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9A" w:rsidRPr="00CD3A21" w:rsidRDefault="00491982" w:rsidP="00CD349A">
      <w:pPr>
        <w:pStyle w:val="h1ChSch"/>
        <w:pageBreakBefore w:val="0"/>
        <w:spacing w:before="0"/>
        <w:rPr>
          <w:b w:val="0"/>
          <w:vanish/>
          <w:sz w:val="12"/>
        </w:rPr>
      </w:pPr>
      <w:r w:rsidRPr="00CD3A21">
        <w:rPr>
          <w:b w:val="0"/>
          <w:vanish/>
          <w:sz w:val="12"/>
        </w:rPr>
        <w:t>`</w:t>
      </w:r>
      <w:r w:rsidR="00CD349A" w:rsidRPr="00CD3A21">
        <w:rPr>
          <w:b w:val="0"/>
          <w:vanish/>
          <w:sz w:val="12"/>
        </w:rPr>
        <w:t>[Don’t delete]</w:t>
      </w:r>
    </w:p>
    <w:p w:rsidR="00CD349A" w:rsidRPr="00CD3A21" w:rsidRDefault="00CD349A" w:rsidP="00CD349A">
      <w:pPr>
        <w:pStyle w:val="h2Part"/>
        <w:pageBreakBefore w:val="0"/>
        <w:spacing w:before="0"/>
        <w:rPr>
          <w:b w:val="0"/>
          <w:vanish/>
          <w:sz w:val="12"/>
        </w:rPr>
      </w:pPr>
      <w:r w:rsidRPr="00CD3A21">
        <w:rPr>
          <w:b w:val="0"/>
          <w:vanish/>
          <w:sz w:val="12"/>
        </w:rPr>
        <w:t>[Don’t delete]</w:t>
      </w:r>
    </w:p>
    <w:p w:rsidR="00CD349A" w:rsidRPr="00CD3A21" w:rsidRDefault="00CD349A" w:rsidP="00CD349A">
      <w:pPr>
        <w:pStyle w:val="h3Div"/>
        <w:spacing w:before="0"/>
        <w:rPr>
          <w:b w:val="0"/>
          <w:vanish/>
          <w:sz w:val="12"/>
        </w:rPr>
      </w:pPr>
      <w:r w:rsidRPr="00CD3A21">
        <w:rPr>
          <w:b w:val="0"/>
          <w:vanish/>
          <w:sz w:val="12"/>
        </w:rPr>
        <w:t>[Don’t delete]</w:t>
      </w:r>
    </w:p>
    <w:p w:rsidR="00CD349A" w:rsidRPr="00CD3A21" w:rsidRDefault="00CD349A" w:rsidP="00CD349A">
      <w:pPr>
        <w:rPr>
          <w:rFonts w:ascii="Arial" w:hAnsi="Arial"/>
          <w:color w:val="808080" w:themeColor="background1" w:themeShade="80"/>
        </w:rPr>
      </w:pPr>
      <w:r w:rsidRPr="00CD3A21">
        <w:rPr>
          <w:noProof/>
        </w:rPr>
        <w:drawing>
          <wp:inline distT="0" distB="0" distL="0" distR="0" wp14:anchorId="73991515" wp14:editId="52CABBD1">
            <wp:extent cx="1414145" cy="1105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1105535"/>
                    </a:xfrm>
                    <a:prstGeom prst="rect">
                      <a:avLst/>
                    </a:prstGeom>
                    <a:noFill/>
                    <a:ln>
                      <a:noFill/>
                    </a:ln>
                  </pic:spPr>
                </pic:pic>
              </a:graphicData>
            </a:graphic>
          </wp:inline>
        </w:drawing>
      </w:r>
      <w:r w:rsidRPr="00CD3A21">
        <w:tab/>
      </w:r>
      <w:bookmarkStart w:id="0" w:name="Draft_and_version"/>
      <w:r w:rsidR="00B52169" w:rsidRPr="00CD3A21">
        <w:rPr>
          <w:rFonts w:ascii="Arial" w:hAnsi="Arial"/>
          <w:color w:val="808080" w:themeColor="background1" w:themeShade="80"/>
        </w:rPr>
        <w:t xml:space="preserve"> </w:t>
      </w:r>
      <w:bookmarkEnd w:id="0"/>
    </w:p>
    <w:p w:rsidR="00CD349A" w:rsidRPr="00CD3A21" w:rsidRDefault="00CD349A" w:rsidP="000C3480">
      <w:pPr>
        <w:pStyle w:val="Title"/>
      </w:pPr>
      <w:bookmarkStart w:id="1" w:name="Citation"/>
      <w:r w:rsidRPr="00CD3A21">
        <w:t xml:space="preserve">Carbon </w:t>
      </w:r>
      <w:r w:rsidR="00B52169" w:rsidRPr="00CD3A21">
        <w:t>Credits</w:t>
      </w:r>
      <w:r w:rsidRPr="00CD3A21">
        <w:t xml:space="preserve"> </w:t>
      </w:r>
      <w:r w:rsidR="00896D15" w:rsidRPr="00CD3A21">
        <w:t xml:space="preserve">(Carbon Farming Initiative) </w:t>
      </w:r>
      <w:r w:rsidRPr="00CD3A21">
        <w:t>(</w:t>
      </w:r>
      <w:r w:rsidR="009E0B90" w:rsidRPr="00CD3A21">
        <w:t>Destruction of Methane Generated from Manure in Piggeries—1.1</w:t>
      </w:r>
      <w:r w:rsidRPr="00CD3A21">
        <w:t>) Methodology Determination</w:t>
      </w:r>
      <w:bookmarkEnd w:id="1"/>
      <w:r w:rsidR="009E0B90" w:rsidRPr="00CD3A21">
        <w:t xml:space="preserve"> 2013</w:t>
      </w:r>
      <w:r w:rsidRPr="00CD3A21">
        <w:rPr>
          <w:position w:val="6"/>
          <w:sz w:val="24"/>
          <w:vertAlign w:val="superscript"/>
        </w:rPr>
        <w:t>1</w:t>
      </w:r>
    </w:p>
    <w:p w:rsidR="00CD349A" w:rsidRPr="00CD3A21" w:rsidRDefault="00CD349A" w:rsidP="00CD349A">
      <w:pPr>
        <w:pBdr>
          <w:bottom w:val="single" w:sz="4" w:space="3" w:color="auto"/>
        </w:pBdr>
        <w:spacing w:before="480"/>
        <w:rPr>
          <w:rFonts w:ascii="Arial" w:hAnsi="Arial" w:cs="Arial"/>
          <w:i/>
          <w:sz w:val="28"/>
          <w:szCs w:val="28"/>
          <w:lang w:val="en-US"/>
        </w:rPr>
      </w:pPr>
      <w:r w:rsidRPr="00CD3A21">
        <w:rPr>
          <w:rFonts w:ascii="Arial" w:hAnsi="Arial" w:cs="Arial"/>
          <w:i/>
          <w:sz w:val="28"/>
          <w:szCs w:val="28"/>
          <w:lang w:val="en-US"/>
        </w:rPr>
        <w:t>Carbon Credits (Carbon Farming Initiative) Act 2011</w:t>
      </w:r>
    </w:p>
    <w:p w:rsidR="00CD349A" w:rsidRPr="00CD3A21" w:rsidRDefault="00CD349A" w:rsidP="00CD349A">
      <w:pPr>
        <w:spacing w:before="360"/>
        <w:jc w:val="both"/>
      </w:pPr>
      <w:r w:rsidRPr="00CD3A21">
        <w:t xml:space="preserve">I, </w:t>
      </w:r>
      <w:r w:rsidR="0037431B" w:rsidRPr="00CD3A21">
        <w:t xml:space="preserve">Yvette </w:t>
      </w:r>
      <w:proofErr w:type="spellStart"/>
      <w:r w:rsidR="0037431B" w:rsidRPr="00CD3A21">
        <w:t>D’Ath</w:t>
      </w:r>
      <w:proofErr w:type="spellEnd"/>
      <w:r w:rsidRPr="00CD3A21">
        <w:t>, Parliamenta</w:t>
      </w:r>
      <w:r w:rsidR="0037431B" w:rsidRPr="00CD3A21">
        <w:t>ry Secretary for Climate Change, Industry and Innovation</w:t>
      </w:r>
      <w:r w:rsidRPr="00CD3A21">
        <w:t xml:space="preserve">, make this Methodology Determination under subsection 106(1) of the </w:t>
      </w:r>
      <w:r w:rsidRPr="00CD3A21">
        <w:rPr>
          <w:i/>
        </w:rPr>
        <w:t>Carbon Credits (Carbon Farming Initiative) Act 2011</w:t>
      </w:r>
      <w:r w:rsidRPr="00CD3A21">
        <w:t>.</w:t>
      </w:r>
    </w:p>
    <w:p w:rsidR="00CD349A" w:rsidRPr="00CD3A21" w:rsidRDefault="00CD349A" w:rsidP="00CD349A">
      <w:pPr>
        <w:tabs>
          <w:tab w:val="left" w:pos="3119"/>
        </w:tabs>
        <w:spacing w:before="300" w:after="600" w:line="300" w:lineRule="atLeast"/>
      </w:pPr>
      <w:r w:rsidRPr="00CD3A21">
        <w:t xml:space="preserve">Dated </w:t>
      </w:r>
      <w:r w:rsidR="004D69D5">
        <w:t>28 May 2013</w:t>
      </w:r>
      <w:bookmarkStart w:id="2" w:name="_GoBack"/>
      <w:bookmarkEnd w:id="2"/>
    </w:p>
    <w:p w:rsidR="0037431B" w:rsidRPr="00CD3A21" w:rsidRDefault="0037431B" w:rsidP="0037431B">
      <w:pPr>
        <w:tabs>
          <w:tab w:val="left" w:pos="4015"/>
        </w:tabs>
        <w:spacing w:before="120" w:after="120"/>
      </w:pPr>
      <w:r w:rsidRPr="00CD3A21">
        <w:t>YVETTE D’ATH</w:t>
      </w:r>
      <w:r w:rsidRPr="00CD3A21">
        <w:tab/>
      </w:r>
    </w:p>
    <w:p w:rsidR="00CD349A" w:rsidRPr="00CD3A21" w:rsidRDefault="0037431B" w:rsidP="0037431B">
      <w:pPr>
        <w:pBdr>
          <w:bottom w:val="single" w:sz="4" w:space="12" w:color="auto"/>
        </w:pBdr>
        <w:tabs>
          <w:tab w:val="left" w:pos="3119"/>
        </w:tabs>
        <w:spacing w:after="240" w:line="300" w:lineRule="atLeast"/>
      </w:pPr>
      <w:r w:rsidRPr="00CD3A21">
        <w:t>Parliamentary Secretary for Climate Change, Industry and Innovation</w:t>
      </w:r>
    </w:p>
    <w:p w:rsidR="00CD349A" w:rsidRPr="00CD3A21" w:rsidRDefault="00CD349A" w:rsidP="00CD349A">
      <w:r w:rsidRPr="00CD3A21">
        <w:br w:type="page"/>
      </w:r>
    </w:p>
    <w:p w:rsidR="005B1068" w:rsidRDefault="005B1068" w:rsidP="005B1068">
      <w:pPr>
        <w:pStyle w:val="h2Part"/>
        <w:spacing w:before="120"/>
      </w:pPr>
      <w:r>
        <w:lastRenderedPageBreak/>
        <w:t>Contents</w:t>
      </w:r>
    </w:p>
    <w:p w:rsidR="005B1068" w:rsidRDefault="005B1068">
      <w:pPr>
        <w:pStyle w:val="TOC2"/>
        <w:rPr>
          <w:rFonts w:asciiTheme="minorHAnsi" w:eastAsiaTheme="minorEastAsia" w:hAnsiTheme="minorHAnsi" w:cstheme="minorBidi"/>
          <w:b w:val="0"/>
          <w:lang w:eastAsia="en-AU"/>
        </w:rPr>
      </w:pPr>
      <w:r>
        <w:t>Part 1</w:t>
      </w:r>
      <w:r>
        <w:rPr>
          <w:rFonts w:asciiTheme="minorHAnsi" w:eastAsiaTheme="minorEastAsia" w:hAnsiTheme="minorHAnsi" w:cstheme="minorBidi"/>
          <w:b w:val="0"/>
          <w:lang w:eastAsia="en-AU"/>
        </w:rPr>
        <w:tab/>
      </w:r>
      <w:r>
        <w:t>Preliminary</w:t>
      </w:r>
    </w:p>
    <w:p w:rsidR="005B1068" w:rsidRDefault="005B1068">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Name of Determination</w:t>
      </w:r>
      <w:r>
        <w:tab/>
        <w:t>4</w:t>
      </w:r>
    </w:p>
    <w:p w:rsidR="005B1068" w:rsidRDefault="005B1068">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Commencement</w:t>
      </w:r>
      <w:r>
        <w:tab/>
        <w:t>4</w:t>
      </w:r>
    </w:p>
    <w:p w:rsidR="005B1068" w:rsidRDefault="005B1068">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Definitions</w:t>
      </w:r>
      <w:r>
        <w:tab/>
        <w:t>4</w:t>
      </w:r>
    </w:p>
    <w:p w:rsidR="005B1068" w:rsidRDefault="005B1068">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Kind of project to which this Determination applies</w:t>
      </w:r>
      <w:r>
        <w:tab/>
        <w:t>6</w:t>
      </w:r>
    </w:p>
    <w:p w:rsidR="005B1068" w:rsidRDefault="005B1068">
      <w:pPr>
        <w:pStyle w:val="TOC2"/>
        <w:rPr>
          <w:rFonts w:asciiTheme="minorHAnsi" w:eastAsiaTheme="minorEastAsia" w:hAnsiTheme="minorHAnsi" w:cstheme="minorBidi"/>
          <w:b w:val="0"/>
          <w:lang w:eastAsia="en-AU"/>
        </w:rPr>
      </w:pPr>
      <w:r>
        <w:t>Part 2</w:t>
      </w:r>
      <w:r>
        <w:rPr>
          <w:rFonts w:asciiTheme="minorHAnsi" w:eastAsiaTheme="minorEastAsia" w:hAnsiTheme="minorHAnsi" w:cstheme="minorBidi"/>
          <w:b w:val="0"/>
          <w:lang w:eastAsia="en-AU"/>
        </w:rPr>
        <w:tab/>
      </w:r>
      <w:r>
        <w:t>Requirements for declaration as eligible project</w:t>
      </w:r>
    </w:p>
    <w:p w:rsidR="005B1068" w:rsidRDefault="005B1068">
      <w:pPr>
        <w:pStyle w:val="TOC5"/>
        <w:rPr>
          <w:rFonts w:asciiTheme="minorHAnsi" w:eastAsiaTheme="minorEastAsia" w:hAnsiTheme="minorHAnsi" w:cstheme="minorBidi"/>
          <w:sz w:val="22"/>
          <w:szCs w:val="22"/>
          <w:lang w:eastAsia="en-AU"/>
        </w:rPr>
      </w:pPr>
      <w:r>
        <w:tab/>
        <w:t>2.1</w:t>
      </w:r>
      <w:r>
        <w:rPr>
          <w:rFonts w:asciiTheme="minorHAnsi" w:eastAsiaTheme="minorEastAsia" w:hAnsiTheme="minorHAnsi" w:cstheme="minorBidi"/>
          <w:sz w:val="22"/>
          <w:szCs w:val="22"/>
          <w:lang w:eastAsia="en-AU"/>
        </w:rPr>
        <w:tab/>
      </w:r>
      <w:r>
        <w:t>Eligible projects</w:t>
      </w:r>
      <w:r>
        <w:tab/>
        <w:t>7</w:t>
      </w:r>
    </w:p>
    <w:p w:rsidR="005B1068" w:rsidRDefault="005B1068">
      <w:pPr>
        <w:pStyle w:val="TOC5"/>
        <w:rPr>
          <w:rFonts w:asciiTheme="minorHAnsi" w:eastAsiaTheme="minorEastAsia" w:hAnsiTheme="minorHAnsi" w:cstheme="minorBidi"/>
          <w:sz w:val="22"/>
          <w:szCs w:val="22"/>
          <w:lang w:eastAsia="en-AU"/>
        </w:rPr>
      </w:pPr>
      <w:r>
        <w:tab/>
        <w:t>2.2</w:t>
      </w:r>
      <w:r>
        <w:rPr>
          <w:rFonts w:asciiTheme="minorHAnsi" w:eastAsiaTheme="minorEastAsia" w:hAnsiTheme="minorHAnsi" w:cstheme="minorBidi"/>
          <w:sz w:val="22"/>
          <w:szCs w:val="22"/>
          <w:lang w:eastAsia="en-AU"/>
        </w:rPr>
        <w:tab/>
      </w:r>
      <w:r>
        <w:t>Requirement 1—Location</w:t>
      </w:r>
      <w:r>
        <w:tab/>
        <w:t>7</w:t>
      </w:r>
    </w:p>
    <w:p w:rsidR="005B1068" w:rsidRDefault="005B1068">
      <w:pPr>
        <w:pStyle w:val="TOC5"/>
        <w:rPr>
          <w:rFonts w:asciiTheme="minorHAnsi" w:eastAsiaTheme="minorEastAsia" w:hAnsiTheme="minorHAnsi" w:cstheme="minorBidi"/>
          <w:sz w:val="22"/>
          <w:szCs w:val="22"/>
          <w:lang w:eastAsia="en-AU"/>
        </w:rPr>
      </w:pPr>
      <w:r>
        <w:tab/>
        <w:t>2.3</w:t>
      </w:r>
      <w:r>
        <w:rPr>
          <w:rFonts w:asciiTheme="minorHAnsi" w:eastAsiaTheme="minorEastAsia" w:hAnsiTheme="minorHAnsi" w:cstheme="minorBidi"/>
          <w:sz w:val="22"/>
          <w:szCs w:val="22"/>
          <w:lang w:eastAsia="en-AU"/>
        </w:rPr>
        <w:tab/>
      </w:r>
      <w:r>
        <w:t>Requirement 2—Project mechanism</w:t>
      </w:r>
      <w:r>
        <w:tab/>
        <w:t>7</w:t>
      </w:r>
    </w:p>
    <w:p w:rsidR="005B1068" w:rsidRDefault="005B1068">
      <w:pPr>
        <w:pStyle w:val="TOC5"/>
        <w:rPr>
          <w:rFonts w:asciiTheme="minorHAnsi" w:eastAsiaTheme="minorEastAsia" w:hAnsiTheme="minorHAnsi" w:cstheme="minorBidi"/>
          <w:sz w:val="22"/>
          <w:szCs w:val="22"/>
          <w:lang w:eastAsia="en-AU"/>
        </w:rPr>
      </w:pPr>
      <w:r>
        <w:tab/>
        <w:t>2.4</w:t>
      </w:r>
      <w:r>
        <w:rPr>
          <w:rFonts w:asciiTheme="minorHAnsi" w:eastAsiaTheme="minorEastAsia" w:hAnsiTheme="minorHAnsi" w:cstheme="minorBidi"/>
          <w:sz w:val="22"/>
          <w:szCs w:val="22"/>
          <w:lang w:eastAsia="en-AU"/>
        </w:rPr>
        <w:tab/>
      </w:r>
      <w:r>
        <w:t>Requirement 3—Project equipment</w:t>
      </w:r>
      <w:r>
        <w:tab/>
        <w:t>7</w:t>
      </w:r>
    </w:p>
    <w:p w:rsidR="005B1068" w:rsidRDefault="005B1068">
      <w:pPr>
        <w:pStyle w:val="TOC5"/>
        <w:rPr>
          <w:rFonts w:asciiTheme="minorHAnsi" w:eastAsiaTheme="minorEastAsia" w:hAnsiTheme="minorHAnsi" w:cstheme="minorBidi"/>
          <w:sz w:val="22"/>
          <w:szCs w:val="22"/>
          <w:lang w:eastAsia="en-AU"/>
        </w:rPr>
      </w:pPr>
      <w:r>
        <w:tab/>
        <w:t>2.5</w:t>
      </w:r>
      <w:r>
        <w:rPr>
          <w:rFonts w:asciiTheme="minorHAnsi" w:eastAsiaTheme="minorEastAsia" w:hAnsiTheme="minorHAnsi" w:cstheme="minorBidi"/>
          <w:sz w:val="22"/>
          <w:szCs w:val="22"/>
          <w:lang w:eastAsia="en-AU"/>
        </w:rPr>
        <w:tab/>
      </w:r>
      <w:r>
        <w:t>Requirement 4—Lagoons</w:t>
      </w:r>
      <w:r>
        <w:tab/>
        <w:t>7</w:t>
      </w:r>
    </w:p>
    <w:p w:rsidR="005B1068" w:rsidRDefault="005B1068">
      <w:pPr>
        <w:pStyle w:val="TOC5"/>
        <w:rPr>
          <w:rFonts w:asciiTheme="minorHAnsi" w:eastAsiaTheme="minorEastAsia" w:hAnsiTheme="minorHAnsi" w:cstheme="minorBidi"/>
          <w:sz w:val="22"/>
          <w:szCs w:val="22"/>
          <w:lang w:eastAsia="en-AU"/>
        </w:rPr>
      </w:pPr>
      <w:r>
        <w:tab/>
        <w:t>2.6</w:t>
      </w:r>
      <w:r>
        <w:rPr>
          <w:rFonts w:asciiTheme="minorHAnsi" w:eastAsiaTheme="minorEastAsia" w:hAnsiTheme="minorHAnsi" w:cstheme="minorBidi"/>
          <w:sz w:val="22"/>
          <w:szCs w:val="22"/>
          <w:lang w:eastAsia="en-AU"/>
        </w:rPr>
        <w:tab/>
      </w:r>
      <w:r>
        <w:t>Requirement 5—Flaring systems</w:t>
      </w:r>
      <w:r>
        <w:tab/>
        <w:t>8</w:t>
      </w:r>
    </w:p>
    <w:p w:rsidR="005B1068" w:rsidRDefault="005B1068">
      <w:pPr>
        <w:pStyle w:val="TOC2"/>
        <w:rPr>
          <w:rFonts w:asciiTheme="minorHAnsi" w:eastAsiaTheme="minorEastAsia" w:hAnsiTheme="minorHAnsi" w:cstheme="minorBidi"/>
          <w:b w:val="0"/>
          <w:lang w:eastAsia="en-AU"/>
        </w:rPr>
      </w:pPr>
      <w:r>
        <w:t>Part 3</w:t>
      </w:r>
      <w:r>
        <w:rPr>
          <w:rFonts w:asciiTheme="minorHAnsi" w:eastAsiaTheme="minorEastAsia" w:hAnsiTheme="minorHAnsi" w:cstheme="minorBidi"/>
          <w:b w:val="0"/>
          <w:lang w:eastAsia="en-AU"/>
        </w:rPr>
        <w:tab/>
      </w:r>
      <w:r>
        <w:t>Requirements for operation of eligible projects</w:t>
      </w:r>
    </w:p>
    <w:p w:rsidR="005B1068" w:rsidRDefault="005B1068">
      <w:pPr>
        <w:pStyle w:val="TOC3"/>
        <w:rPr>
          <w:rFonts w:asciiTheme="minorHAnsi" w:eastAsiaTheme="minorEastAsia" w:hAnsiTheme="minorHAnsi" w:cstheme="minorBidi"/>
          <w:b w:val="0"/>
          <w:noProof/>
          <w:sz w:val="22"/>
          <w:szCs w:val="22"/>
          <w:lang w:eastAsia="en-AU"/>
        </w:rPr>
      </w:pPr>
      <w:r>
        <w:rPr>
          <w:noProof/>
        </w:rPr>
        <w:t>Division 3.1</w:t>
      </w:r>
      <w:r>
        <w:rPr>
          <w:rFonts w:asciiTheme="minorHAnsi" w:eastAsiaTheme="minorEastAsia" w:hAnsiTheme="minorHAnsi" w:cstheme="minorBidi"/>
          <w:b w:val="0"/>
          <w:noProof/>
          <w:sz w:val="22"/>
          <w:szCs w:val="22"/>
          <w:lang w:eastAsia="en-AU"/>
        </w:rPr>
        <w:tab/>
      </w:r>
      <w:r>
        <w:rPr>
          <w:noProof/>
        </w:rPr>
        <w:t>Operation of eligible projects</w:t>
      </w:r>
    </w:p>
    <w:p w:rsidR="005B1068" w:rsidRDefault="005B1068">
      <w:pPr>
        <w:pStyle w:val="TOC5"/>
        <w:rPr>
          <w:rFonts w:asciiTheme="minorHAnsi" w:eastAsiaTheme="minorEastAsia" w:hAnsiTheme="minorHAnsi" w:cstheme="minorBidi"/>
          <w:sz w:val="22"/>
          <w:szCs w:val="22"/>
          <w:lang w:eastAsia="en-AU"/>
        </w:rPr>
      </w:pPr>
      <w:r>
        <w:tab/>
        <w:t>3.1</w:t>
      </w:r>
      <w:r>
        <w:rPr>
          <w:rFonts w:asciiTheme="minorHAnsi" w:eastAsiaTheme="minorEastAsia" w:hAnsiTheme="minorHAnsi" w:cstheme="minorBidi"/>
          <w:sz w:val="22"/>
          <w:szCs w:val="22"/>
          <w:lang w:eastAsia="en-AU"/>
        </w:rPr>
        <w:tab/>
      </w:r>
      <w:r>
        <w:t>Operation of eligible projects</w:t>
      </w:r>
      <w:r>
        <w:tab/>
        <w:t>9</w:t>
      </w:r>
    </w:p>
    <w:p w:rsidR="005B1068" w:rsidRDefault="005B1068">
      <w:pPr>
        <w:pStyle w:val="TOC5"/>
        <w:rPr>
          <w:rFonts w:asciiTheme="minorHAnsi" w:eastAsiaTheme="minorEastAsia" w:hAnsiTheme="minorHAnsi" w:cstheme="minorBidi"/>
          <w:sz w:val="22"/>
          <w:szCs w:val="22"/>
          <w:lang w:eastAsia="en-AU"/>
        </w:rPr>
      </w:pPr>
      <w:r>
        <w:tab/>
        <w:t>3.2</w:t>
      </w:r>
      <w:r>
        <w:rPr>
          <w:rFonts w:asciiTheme="minorHAnsi" w:eastAsiaTheme="minorEastAsia" w:hAnsiTheme="minorHAnsi" w:cstheme="minorBidi"/>
          <w:sz w:val="22"/>
          <w:szCs w:val="22"/>
          <w:lang w:eastAsia="en-AU"/>
        </w:rPr>
        <w:tab/>
      </w:r>
      <w:r>
        <w:t>Flare operation</w:t>
      </w:r>
      <w:r>
        <w:tab/>
        <w:t>9</w:t>
      </w:r>
    </w:p>
    <w:p w:rsidR="005B1068" w:rsidRDefault="005B1068">
      <w:pPr>
        <w:pStyle w:val="TOC3"/>
        <w:rPr>
          <w:rFonts w:asciiTheme="minorHAnsi" w:eastAsiaTheme="minorEastAsia" w:hAnsiTheme="minorHAnsi" w:cstheme="minorBidi"/>
          <w:b w:val="0"/>
          <w:noProof/>
          <w:sz w:val="22"/>
          <w:szCs w:val="22"/>
          <w:lang w:eastAsia="en-AU"/>
        </w:rPr>
      </w:pPr>
      <w:r>
        <w:rPr>
          <w:noProof/>
        </w:rPr>
        <w:t>Division 3.2</w:t>
      </w:r>
      <w:r>
        <w:rPr>
          <w:rFonts w:asciiTheme="minorHAnsi" w:eastAsiaTheme="minorEastAsia" w:hAnsiTheme="minorHAnsi" w:cstheme="minorBidi"/>
          <w:b w:val="0"/>
          <w:noProof/>
          <w:sz w:val="22"/>
          <w:szCs w:val="22"/>
          <w:lang w:eastAsia="en-AU"/>
        </w:rPr>
        <w:tab/>
      </w:r>
      <w:r>
        <w:rPr>
          <w:noProof/>
        </w:rPr>
        <w:t>Greenhouse gas assessment boundary</w:t>
      </w:r>
    </w:p>
    <w:p w:rsidR="005B1068" w:rsidRDefault="005B1068">
      <w:pPr>
        <w:pStyle w:val="TOC5"/>
        <w:rPr>
          <w:rFonts w:asciiTheme="minorHAnsi" w:eastAsiaTheme="minorEastAsia" w:hAnsiTheme="minorHAnsi" w:cstheme="minorBidi"/>
          <w:sz w:val="22"/>
          <w:szCs w:val="22"/>
          <w:lang w:eastAsia="en-AU"/>
        </w:rPr>
      </w:pPr>
      <w:r>
        <w:tab/>
        <w:t>3.3</w:t>
      </w:r>
      <w:r>
        <w:rPr>
          <w:rFonts w:asciiTheme="minorHAnsi" w:eastAsiaTheme="minorEastAsia" w:hAnsiTheme="minorHAnsi" w:cstheme="minorBidi"/>
          <w:sz w:val="22"/>
          <w:szCs w:val="22"/>
          <w:lang w:eastAsia="en-AU"/>
        </w:rPr>
        <w:tab/>
      </w:r>
      <w:r>
        <w:t>Greenhouse gases that must be accounted for</w:t>
      </w:r>
      <w:r>
        <w:tab/>
        <w:t>9</w:t>
      </w:r>
    </w:p>
    <w:p w:rsidR="005B1068" w:rsidRDefault="005B1068">
      <w:pPr>
        <w:pStyle w:val="TOC2"/>
        <w:rPr>
          <w:rFonts w:asciiTheme="minorHAnsi" w:eastAsiaTheme="minorEastAsia" w:hAnsiTheme="minorHAnsi" w:cstheme="minorBidi"/>
          <w:b w:val="0"/>
          <w:lang w:eastAsia="en-AU"/>
        </w:rPr>
      </w:pPr>
      <w:r>
        <w:t>Part 4</w:t>
      </w:r>
      <w:r>
        <w:rPr>
          <w:rFonts w:asciiTheme="minorHAnsi" w:eastAsiaTheme="minorEastAsia" w:hAnsiTheme="minorHAnsi" w:cstheme="minorBidi"/>
          <w:b w:val="0"/>
          <w:lang w:eastAsia="en-AU"/>
        </w:rPr>
        <w:tab/>
      </w:r>
      <w:r>
        <w:t>The net abatement amount</w:t>
      </w:r>
    </w:p>
    <w:p w:rsidR="005B1068" w:rsidRDefault="005B1068">
      <w:pPr>
        <w:pStyle w:val="TOC3"/>
        <w:rPr>
          <w:rFonts w:asciiTheme="minorHAnsi" w:eastAsiaTheme="minorEastAsia" w:hAnsiTheme="minorHAnsi" w:cstheme="minorBidi"/>
          <w:b w:val="0"/>
          <w:noProof/>
          <w:sz w:val="22"/>
          <w:szCs w:val="22"/>
          <w:lang w:eastAsia="en-AU"/>
        </w:rPr>
      </w:pPr>
      <w:r>
        <w:rPr>
          <w:noProof/>
        </w:rPr>
        <w:t>Division 4.1</w:t>
      </w:r>
      <w:r>
        <w:rPr>
          <w:rFonts w:asciiTheme="minorHAnsi" w:eastAsiaTheme="minorEastAsia" w:hAnsiTheme="minorHAnsi" w:cstheme="minorBidi"/>
          <w:b w:val="0"/>
          <w:noProof/>
          <w:sz w:val="22"/>
          <w:szCs w:val="22"/>
          <w:lang w:eastAsia="en-AU"/>
        </w:rPr>
        <w:tab/>
      </w:r>
      <w:r>
        <w:rPr>
          <w:noProof/>
        </w:rPr>
        <w:t>The net abatement amount</w:t>
      </w:r>
    </w:p>
    <w:p w:rsidR="005B1068" w:rsidRDefault="005B1068">
      <w:pPr>
        <w:pStyle w:val="TOC5"/>
        <w:rPr>
          <w:rFonts w:asciiTheme="minorHAnsi" w:eastAsiaTheme="minorEastAsia" w:hAnsiTheme="minorHAnsi" w:cstheme="minorBidi"/>
          <w:sz w:val="22"/>
          <w:szCs w:val="22"/>
          <w:lang w:eastAsia="en-AU"/>
        </w:rPr>
      </w:pPr>
      <w:r>
        <w:tab/>
        <w:t>4.1</w:t>
      </w:r>
      <w:r>
        <w:rPr>
          <w:rFonts w:asciiTheme="minorHAnsi" w:eastAsiaTheme="minorEastAsia" w:hAnsiTheme="minorHAnsi" w:cstheme="minorBidi"/>
          <w:sz w:val="22"/>
          <w:szCs w:val="22"/>
          <w:lang w:eastAsia="en-AU"/>
        </w:rPr>
        <w:tab/>
      </w:r>
      <w:r>
        <w:t>The net abatement amount</w:t>
      </w:r>
      <w:r>
        <w:tab/>
        <w:t>11</w:t>
      </w:r>
    </w:p>
    <w:p w:rsidR="005B1068" w:rsidRDefault="005B1068">
      <w:pPr>
        <w:pStyle w:val="TOC3"/>
        <w:rPr>
          <w:rFonts w:asciiTheme="minorHAnsi" w:eastAsiaTheme="minorEastAsia" w:hAnsiTheme="minorHAnsi" w:cstheme="minorBidi"/>
          <w:b w:val="0"/>
          <w:noProof/>
          <w:sz w:val="22"/>
          <w:szCs w:val="22"/>
          <w:lang w:eastAsia="en-AU"/>
        </w:rPr>
      </w:pPr>
      <w:r>
        <w:rPr>
          <w:noProof/>
        </w:rPr>
        <w:t>Division 4.2</w:t>
      </w:r>
      <w:r>
        <w:rPr>
          <w:rFonts w:asciiTheme="minorHAnsi" w:eastAsiaTheme="minorEastAsia" w:hAnsiTheme="minorHAnsi" w:cstheme="minorBidi"/>
          <w:b w:val="0"/>
          <w:noProof/>
          <w:sz w:val="22"/>
          <w:szCs w:val="22"/>
          <w:lang w:eastAsia="en-AU"/>
        </w:rPr>
        <w:tab/>
      </w:r>
      <w:r>
        <w:rPr>
          <w:noProof/>
        </w:rPr>
        <w:t>Calculations</w:t>
      </w:r>
    </w:p>
    <w:p w:rsidR="005B1068" w:rsidRDefault="005B1068">
      <w:pPr>
        <w:pStyle w:val="TOC4"/>
        <w:rPr>
          <w:rFonts w:asciiTheme="minorHAnsi" w:eastAsiaTheme="minorEastAsia" w:hAnsiTheme="minorHAnsi" w:cstheme="minorBidi"/>
          <w:b w:val="0"/>
          <w:noProof/>
          <w:sz w:val="22"/>
          <w:szCs w:val="22"/>
          <w:lang w:eastAsia="en-AU"/>
        </w:rPr>
      </w:pPr>
      <w:r>
        <w:rPr>
          <w:noProof/>
        </w:rPr>
        <w:t>Subdivision 4.2.1</w:t>
      </w:r>
      <w:r>
        <w:rPr>
          <w:rFonts w:asciiTheme="minorHAnsi" w:eastAsiaTheme="minorEastAsia" w:hAnsiTheme="minorHAnsi" w:cstheme="minorBidi"/>
          <w:b w:val="0"/>
          <w:noProof/>
          <w:sz w:val="22"/>
          <w:szCs w:val="22"/>
          <w:lang w:eastAsia="en-AU"/>
        </w:rPr>
        <w:tab/>
      </w:r>
      <w:r>
        <w:rPr>
          <w:noProof/>
        </w:rPr>
        <w:t>Preliminary</w:t>
      </w:r>
    </w:p>
    <w:p w:rsidR="005B1068" w:rsidRDefault="005B1068">
      <w:pPr>
        <w:pStyle w:val="TOC5"/>
        <w:rPr>
          <w:rFonts w:asciiTheme="minorHAnsi" w:eastAsiaTheme="minorEastAsia" w:hAnsiTheme="minorHAnsi" w:cstheme="minorBidi"/>
          <w:sz w:val="22"/>
          <w:szCs w:val="22"/>
          <w:lang w:eastAsia="en-AU"/>
        </w:rPr>
      </w:pPr>
      <w:r>
        <w:tab/>
        <w:t>4.2</w:t>
      </w:r>
      <w:r>
        <w:rPr>
          <w:rFonts w:asciiTheme="minorHAnsi" w:eastAsiaTheme="minorEastAsia" w:hAnsiTheme="minorHAnsi" w:cstheme="minorBidi"/>
          <w:sz w:val="22"/>
          <w:szCs w:val="22"/>
          <w:lang w:eastAsia="en-AU"/>
        </w:rPr>
        <w:tab/>
      </w:r>
      <w:r>
        <w:t>How calculations are to be made</w:t>
      </w:r>
      <w:r>
        <w:tab/>
        <w:t>11</w:t>
      </w:r>
    </w:p>
    <w:p w:rsidR="005B1068" w:rsidRDefault="005B1068">
      <w:pPr>
        <w:pStyle w:val="TOC5"/>
        <w:rPr>
          <w:rFonts w:asciiTheme="minorHAnsi" w:eastAsiaTheme="minorEastAsia" w:hAnsiTheme="minorHAnsi" w:cstheme="minorBidi"/>
          <w:sz w:val="22"/>
          <w:szCs w:val="22"/>
          <w:lang w:eastAsia="en-AU"/>
        </w:rPr>
      </w:pPr>
      <w:r>
        <w:tab/>
        <w:t>4.3</w:t>
      </w:r>
      <w:r>
        <w:rPr>
          <w:rFonts w:asciiTheme="minorHAnsi" w:eastAsiaTheme="minorEastAsia" w:hAnsiTheme="minorHAnsi" w:cstheme="minorBidi"/>
          <w:sz w:val="22"/>
          <w:szCs w:val="22"/>
          <w:lang w:eastAsia="en-AU"/>
        </w:rPr>
        <w:tab/>
      </w:r>
      <w:r>
        <w:t>Calculating the baseline for the project</w:t>
      </w:r>
      <w:r>
        <w:tab/>
        <w:t>12</w:t>
      </w:r>
    </w:p>
    <w:p w:rsidR="005B1068" w:rsidRDefault="005B1068">
      <w:pPr>
        <w:pStyle w:val="TOC4"/>
        <w:rPr>
          <w:rFonts w:asciiTheme="minorHAnsi" w:eastAsiaTheme="minorEastAsia" w:hAnsiTheme="minorHAnsi" w:cstheme="minorBidi"/>
          <w:b w:val="0"/>
          <w:noProof/>
          <w:sz w:val="22"/>
          <w:szCs w:val="22"/>
          <w:lang w:eastAsia="en-AU"/>
        </w:rPr>
      </w:pPr>
      <w:r>
        <w:rPr>
          <w:noProof/>
        </w:rPr>
        <w:t>Subdivision 4.2.2</w:t>
      </w:r>
      <w:r>
        <w:rPr>
          <w:rFonts w:asciiTheme="minorHAnsi" w:eastAsiaTheme="minorEastAsia" w:hAnsiTheme="minorHAnsi" w:cstheme="minorBidi"/>
          <w:b w:val="0"/>
          <w:noProof/>
          <w:sz w:val="22"/>
          <w:szCs w:val="22"/>
          <w:lang w:eastAsia="en-AU"/>
        </w:rPr>
        <w:tab/>
      </w:r>
      <w:r>
        <w:rPr>
          <w:noProof/>
        </w:rPr>
        <w:t>Baseline emissions (E</w:t>
      </w:r>
      <w:r w:rsidRPr="008B70F4">
        <w:rPr>
          <w:noProof/>
          <w:vertAlign w:val="subscript"/>
        </w:rPr>
        <w:t>b</w:t>
      </w:r>
      <w:r>
        <w:rPr>
          <w:noProof/>
        </w:rPr>
        <w:t>)</w:t>
      </w:r>
    </w:p>
    <w:p w:rsidR="005B1068" w:rsidRDefault="005B1068">
      <w:pPr>
        <w:pStyle w:val="TOC5"/>
        <w:rPr>
          <w:rFonts w:asciiTheme="minorHAnsi" w:eastAsiaTheme="minorEastAsia" w:hAnsiTheme="minorHAnsi" w:cstheme="minorBidi"/>
          <w:sz w:val="22"/>
          <w:szCs w:val="22"/>
          <w:lang w:eastAsia="en-AU"/>
        </w:rPr>
      </w:pPr>
      <w:r>
        <w:tab/>
        <w:t>4.4</w:t>
      </w:r>
      <w:r>
        <w:rPr>
          <w:rFonts w:asciiTheme="minorHAnsi" w:eastAsiaTheme="minorEastAsia" w:hAnsiTheme="minorHAnsi" w:cstheme="minorBidi"/>
          <w:sz w:val="22"/>
          <w:szCs w:val="22"/>
          <w:lang w:eastAsia="en-AU"/>
        </w:rPr>
        <w:tab/>
      </w:r>
      <w:r>
        <w:t>Calculating the baseline methane emissions</w:t>
      </w:r>
      <w:r>
        <w:tab/>
        <w:t>12</w:t>
      </w:r>
    </w:p>
    <w:p w:rsidR="005B1068" w:rsidRDefault="005B1068">
      <w:pPr>
        <w:pStyle w:val="TOC5"/>
        <w:rPr>
          <w:rFonts w:asciiTheme="minorHAnsi" w:eastAsiaTheme="minorEastAsia" w:hAnsiTheme="minorHAnsi" w:cstheme="minorBidi"/>
          <w:sz w:val="22"/>
          <w:szCs w:val="22"/>
          <w:lang w:eastAsia="en-AU"/>
        </w:rPr>
      </w:pPr>
      <w:r>
        <w:tab/>
        <w:t>4.5</w:t>
      </w:r>
      <w:r>
        <w:rPr>
          <w:rFonts w:asciiTheme="minorHAnsi" w:eastAsiaTheme="minorEastAsia" w:hAnsiTheme="minorHAnsi" w:cstheme="minorBidi"/>
          <w:sz w:val="22"/>
          <w:szCs w:val="22"/>
          <w:lang w:eastAsia="en-AU"/>
        </w:rPr>
        <w:tab/>
      </w:r>
      <w:r>
        <w:t>Calculating the volume of methane</w:t>
      </w:r>
      <w:r>
        <w:tab/>
        <w:t>13</w:t>
      </w:r>
    </w:p>
    <w:p w:rsidR="005B1068" w:rsidRDefault="005B1068">
      <w:pPr>
        <w:pStyle w:val="TOC4"/>
        <w:rPr>
          <w:rFonts w:asciiTheme="minorHAnsi" w:eastAsiaTheme="minorEastAsia" w:hAnsiTheme="minorHAnsi" w:cstheme="minorBidi"/>
          <w:b w:val="0"/>
          <w:noProof/>
          <w:sz w:val="22"/>
          <w:szCs w:val="22"/>
          <w:lang w:eastAsia="en-AU"/>
        </w:rPr>
      </w:pPr>
      <w:r>
        <w:rPr>
          <w:noProof/>
        </w:rPr>
        <w:t>Subdivision 4.2.3</w:t>
      </w:r>
      <w:r>
        <w:rPr>
          <w:rFonts w:asciiTheme="minorHAnsi" w:eastAsiaTheme="minorEastAsia" w:hAnsiTheme="minorHAnsi" w:cstheme="minorBidi"/>
          <w:b w:val="0"/>
          <w:noProof/>
          <w:sz w:val="22"/>
          <w:szCs w:val="22"/>
          <w:lang w:eastAsia="en-AU"/>
        </w:rPr>
        <w:tab/>
      </w:r>
      <w:r>
        <w:rPr>
          <w:noProof/>
        </w:rPr>
        <w:t>Calculating the carbon dioxide equivalent net abatement amount</w:t>
      </w:r>
    </w:p>
    <w:p w:rsidR="005B1068" w:rsidRDefault="005B1068">
      <w:pPr>
        <w:pStyle w:val="TOC5"/>
        <w:rPr>
          <w:rFonts w:asciiTheme="minorHAnsi" w:eastAsiaTheme="minorEastAsia" w:hAnsiTheme="minorHAnsi" w:cstheme="minorBidi"/>
          <w:sz w:val="22"/>
          <w:szCs w:val="22"/>
          <w:lang w:eastAsia="en-AU"/>
        </w:rPr>
      </w:pPr>
      <w:r>
        <w:tab/>
        <w:t>4.6</w:t>
      </w:r>
      <w:r>
        <w:rPr>
          <w:rFonts w:asciiTheme="minorHAnsi" w:eastAsiaTheme="minorEastAsia" w:hAnsiTheme="minorHAnsi" w:cstheme="minorBidi"/>
          <w:sz w:val="22"/>
          <w:szCs w:val="22"/>
          <w:lang w:eastAsia="en-AU"/>
        </w:rPr>
        <w:tab/>
      </w:r>
      <w:r>
        <w:t>Calculating net greenhouse gas abatement (A)</w:t>
      </w:r>
      <w:r>
        <w:tab/>
        <w:t>13</w:t>
      </w:r>
    </w:p>
    <w:p w:rsidR="005B1068" w:rsidRDefault="005B1068">
      <w:pPr>
        <w:pStyle w:val="TOC4"/>
        <w:rPr>
          <w:rFonts w:asciiTheme="minorHAnsi" w:eastAsiaTheme="minorEastAsia" w:hAnsiTheme="minorHAnsi" w:cstheme="minorBidi"/>
          <w:b w:val="0"/>
          <w:noProof/>
          <w:sz w:val="22"/>
          <w:szCs w:val="22"/>
          <w:lang w:eastAsia="en-AU"/>
        </w:rPr>
      </w:pPr>
      <w:r>
        <w:rPr>
          <w:noProof/>
        </w:rPr>
        <w:t>Subdivision 4.2.4</w:t>
      </w:r>
      <w:r>
        <w:rPr>
          <w:rFonts w:asciiTheme="minorHAnsi" w:eastAsiaTheme="minorEastAsia" w:hAnsiTheme="minorHAnsi" w:cstheme="minorBidi"/>
          <w:b w:val="0"/>
          <w:noProof/>
          <w:sz w:val="22"/>
          <w:szCs w:val="22"/>
          <w:lang w:eastAsia="en-AU"/>
        </w:rPr>
        <w:tab/>
      </w:r>
      <w:r>
        <w:rPr>
          <w:noProof/>
        </w:rPr>
        <w:t>Calculating A</w:t>
      </w:r>
      <w:r w:rsidRPr="008B70F4">
        <w:rPr>
          <w:noProof/>
          <w:vertAlign w:val="subscript"/>
        </w:rPr>
        <w:t>p</w:t>
      </w:r>
    </w:p>
    <w:p w:rsidR="005B1068" w:rsidRDefault="005B1068">
      <w:pPr>
        <w:pStyle w:val="TOC5"/>
        <w:rPr>
          <w:rFonts w:asciiTheme="minorHAnsi" w:eastAsiaTheme="minorEastAsia" w:hAnsiTheme="minorHAnsi" w:cstheme="minorBidi"/>
          <w:sz w:val="22"/>
          <w:szCs w:val="22"/>
          <w:lang w:eastAsia="en-AU"/>
        </w:rPr>
      </w:pPr>
      <w:r>
        <w:tab/>
        <w:t>4.7</w:t>
      </w:r>
      <w:r>
        <w:rPr>
          <w:rFonts w:asciiTheme="minorHAnsi" w:eastAsiaTheme="minorEastAsia" w:hAnsiTheme="minorHAnsi" w:cstheme="minorBidi"/>
          <w:sz w:val="22"/>
          <w:szCs w:val="22"/>
          <w:lang w:eastAsia="en-AU"/>
        </w:rPr>
        <w:tab/>
      </w:r>
      <w:r>
        <w:t>Calculating avoided greenhouse gas emissions (A</w:t>
      </w:r>
      <w:r w:rsidRPr="008B70F4">
        <w:rPr>
          <w:rFonts w:ascii="Times New Roman Bold" w:hAnsi="Times New Roman Bold"/>
          <w:vertAlign w:val="subscript"/>
        </w:rPr>
        <w:t>p</w:t>
      </w:r>
      <w:r>
        <w:t>)</w:t>
      </w:r>
      <w:r>
        <w:tab/>
        <w:t>14</w:t>
      </w:r>
    </w:p>
    <w:p w:rsidR="005B1068" w:rsidRDefault="005B1068">
      <w:pPr>
        <w:pStyle w:val="TOC4"/>
        <w:rPr>
          <w:rFonts w:asciiTheme="minorHAnsi" w:eastAsiaTheme="minorEastAsia" w:hAnsiTheme="minorHAnsi" w:cstheme="minorBidi"/>
          <w:b w:val="0"/>
          <w:noProof/>
          <w:sz w:val="22"/>
          <w:szCs w:val="22"/>
          <w:lang w:eastAsia="en-AU"/>
        </w:rPr>
      </w:pPr>
      <w:r>
        <w:rPr>
          <w:noProof/>
        </w:rPr>
        <w:t>Subdivision 4.2.5</w:t>
      </w:r>
      <w:r>
        <w:rPr>
          <w:rFonts w:asciiTheme="minorHAnsi" w:eastAsiaTheme="minorEastAsia" w:hAnsiTheme="minorHAnsi" w:cstheme="minorBidi"/>
          <w:b w:val="0"/>
          <w:noProof/>
          <w:sz w:val="22"/>
          <w:szCs w:val="22"/>
          <w:lang w:eastAsia="en-AU"/>
        </w:rPr>
        <w:tab/>
      </w:r>
      <w:r>
        <w:rPr>
          <w:noProof/>
        </w:rPr>
        <w:t>Calculating Q</w:t>
      </w:r>
      <w:r w:rsidRPr="008B70F4">
        <w:rPr>
          <w:noProof/>
          <w:vertAlign w:val="subscript"/>
        </w:rPr>
        <w:t>com,h</w:t>
      </w:r>
    </w:p>
    <w:p w:rsidR="005B1068" w:rsidRDefault="005B1068">
      <w:pPr>
        <w:pStyle w:val="TOC5"/>
        <w:rPr>
          <w:rFonts w:asciiTheme="minorHAnsi" w:eastAsiaTheme="minorEastAsia" w:hAnsiTheme="minorHAnsi" w:cstheme="minorBidi"/>
          <w:sz w:val="22"/>
          <w:szCs w:val="22"/>
          <w:lang w:eastAsia="en-AU"/>
        </w:rPr>
      </w:pPr>
      <w:r>
        <w:tab/>
        <w:t>4.8</w:t>
      </w:r>
      <w:r>
        <w:rPr>
          <w:rFonts w:asciiTheme="minorHAnsi" w:eastAsiaTheme="minorEastAsia" w:hAnsiTheme="minorHAnsi" w:cstheme="minorBidi"/>
          <w:sz w:val="22"/>
          <w:szCs w:val="22"/>
          <w:lang w:eastAsia="en-AU"/>
        </w:rPr>
        <w:tab/>
      </w:r>
      <w:r>
        <w:t>Calculating volume of methane destroyed by combustion device (Q</w:t>
      </w:r>
      <w:r w:rsidRPr="008B70F4">
        <w:rPr>
          <w:rFonts w:ascii="Times New Roman Bold" w:hAnsi="Times New Roman Bold"/>
          <w:vertAlign w:val="subscript"/>
        </w:rPr>
        <w:t>com,h</w:t>
      </w:r>
      <w:r>
        <w:t>)</w:t>
      </w:r>
      <w:r>
        <w:tab/>
        <w:t>14</w:t>
      </w:r>
    </w:p>
    <w:p w:rsidR="005B1068" w:rsidRDefault="005B1068">
      <w:pPr>
        <w:pStyle w:val="TOC5"/>
        <w:rPr>
          <w:rFonts w:asciiTheme="minorHAnsi" w:eastAsiaTheme="minorEastAsia" w:hAnsiTheme="minorHAnsi" w:cstheme="minorBidi"/>
          <w:sz w:val="22"/>
          <w:szCs w:val="22"/>
          <w:lang w:eastAsia="en-AU"/>
        </w:rPr>
      </w:pPr>
      <w:r>
        <w:tab/>
        <w:t>4.9</w:t>
      </w:r>
      <w:r>
        <w:rPr>
          <w:rFonts w:asciiTheme="minorHAnsi" w:eastAsiaTheme="minorEastAsia" w:hAnsiTheme="minorHAnsi" w:cstheme="minorBidi"/>
          <w:sz w:val="22"/>
          <w:szCs w:val="22"/>
          <w:lang w:eastAsia="en-AU"/>
        </w:rPr>
        <w:tab/>
      </w:r>
      <w:r>
        <w:t>Determining the destruction efficiency of combustion device (DE</w:t>
      </w:r>
      <w:r w:rsidRPr="008B70F4">
        <w:rPr>
          <w:vertAlign w:val="subscript"/>
        </w:rPr>
        <w:t>h</w:t>
      </w:r>
      <w:r>
        <w:t>)</w:t>
      </w:r>
      <w:r>
        <w:tab/>
        <w:t>15</w:t>
      </w:r>
    </w:p>
    <w:p w:rsidR="005B1068" w:rsidRDefault="005B1068">
      <w:pPr>
        <w:pStyle w:val="TOC4"/>
        <w:rPr>
          <w:rFonts w:asciiTheme="minorHAnsi" w:eastAsiaTheme="minorEastAsia" w:hAnsiTheme="minorHAnsi" w:cstheme="minorBidi"/>
          <w:b w:val="0"/>
          <w:noProof/>
          <w:sz w:val="22"/>
          <w:szCs w:val="22"/>
          <w:lang w:eastAsia="en-AU"/>
        </w:rPr>
      </w:pPr>
      <w:r>
        <w:rPr>
          <w:noProof/>
        </w:rPr>
        <w:t>Subdivision 4.2.6</w:t>
      </w:r>
      <w:r>
        <w:rPr>
          <w:rFonts w:asciiTheme="minorHAnsi" w:eastAsiaTheme="minorEastAsia" w:hAnsiTheme="minorHAnsi" w:cstheme="minorBidi"/>
          <w:b w:val="0"/>
          <w:noProof/>
          <w:sz w:val="22"/>
          <w:szCs w:val="22"/>
          <w:lang w:eastAsia="en-AU"/>
        </w:rPr>
        <w:tab/>
      </w:r>
      <w:r>
        <w:rPr>
          <w:noProof/>
        </w:rPr>
        <w:t>Calculating Q</w:t>
      </w:r>
      <w:r w:rsidRPr="008B70F4">
        <w:rPr>
          <w:noProof/>
          <w:vertAlign w:val="subscript"/>
        </w:rPr>
        <w:t>CH</w:t>
      </w:r>
      <w:r w:rsidRPr="008B70F4">
        <w:rPr>
          <w:noProof/>
          <w:position w:val="-6"/>
          <w:vertAlign w:val="subscript"/>
        </w:rPr>
        <w:t>4</w:t>
      </w:r>
      <w:r w:rsidRPr="008B70F4">
        <w:rPr>
          <w:noProof/>
          <w:vertAlign w:val="subscript"/>
        </w:rPr>
        <w:t>,h</w:t>
      </w:r>
    </w:p>
    <w:p w:rsidR="005B1068" w:rsidRDefault="005B1068">
      <w:pPr>
        <w:pStyle w:val="TOC5"/>
        <w:rPr>
          <w:rFonts w:asciiTheme="minorHAnsi" w:eastAsiaTheme="minorEastAsia" w:hAnsiTheme="minorHAnsi" w:cstheme="minorBidi"/>
          <w:sz w:val="22"/>
          <w:szCs w:val="22"/>
          <w:lang w:eastAsia="en-AU"/>
        </w:rPr>
      </w:pPr>
      <w:r>
        <w:tab/>
        <w:t>4.10</w:t>
      </w:r>
      <w:r>
        <w:rPr>
          <w:rFonts w:asciiTheme="minorHAnsi" w:eastAsiaTheme="minorEastAsia" w:hAnsiTheme="minorHAnsi" w:cstheme="minorBidi"/>
          <w:sz w:val="22"/>
          <w:szCs w:val="22"/>
          <w:lang w:eastAsia="en-AU"/>
        </w:rPr>
        <w:tab/>
      </w:r>
      <w:r>
        <w:t>Calculating the volume of methane</w:t>
      </w:r>
      <w:r>
        <w:tab/>
        <w:t>15</w:t>
      </w:r>
    </w:p>
    <w:p w:rsidR="005B1068" w:rsidRDefault="005B1068">
      <w:pPr>
        <w:pStyle w:val="TOC5"/>
        <w:rPr>
          <w:rFonts w:asciiTheme="minorHAnsi" w:eastAsiaTheme="minorEastAsia" w:hAnsiTheme="minorHAnsi" w:cstheme="minorBidi"/>
          <w:sz w:val="22"/>
          <w:szCs w:val="22"/>
          <w:lang w:eastAsia="en-AU"/>
        </w:rPr>
      </w:pPr>
      <w:r>
        <w:tab/>
        <w:t>4.11</w:t>
      </w:r>
      <w:r>
        <w:rPr>
          <w:rFonts w:asciiTheme="minorHAnsi" w:eastAsiaTheme="minorEastAsia" w:hAnsiTheme="minorHAnsi" w:cstheme="minorBidi"/>
          <w:sz w:val="22"/>
          <w:szCs w:val="22"/>
          <w:lang w:eastAsia="en-AU"/>
        </w:rPr>
        <w:tab/>
      </w:r>
      <w:r>
        <w:t>Capping the volume of methane</w:t>
      </w:r>
      <w:r>
        <w:tab/>
        <w:t>16</w:t>
      </w:r>
    </w:p>
    <w:p w:rsidR="005B1068" w:rsidRDefault="005B1068">
      <w:pPr>
        <w:pStyle w:val="TOC4"/>
        <w:rPr>
          <w:rFonts w:asciiTheme="minorHAnsi" w:eastAsiaTheme="minorEastAsia" w:hAnsiTheme="minorHAnsi" w:cstheme="minorBidi"/>
          <w:b w:val="0"/>
          <w:noProof/>
          <w:sz w:val="22"/>
          <w:szCs w:val="22"/>
          <w:lang w:eastAsia="en-AU"/>
        </w:rPr>
      </w:pPr>
      <w:r>
        <w:rPr>
          <w:noProof/>
        </w:rPr>
        <w:lastRenderedPageBreak/>
        <w:t>Subdivision 4.2.7</w:t>
      </w:r>
      <w:r>
        <w:rPr>
          <w:rFonts w:asciiTheme="minorHAnsi" w:eastAsiaTheme="minorEastAsia" w:hAnsiTheme="minorHAnsi" w:cstheme="minorBidi"/>
          <w:b w:val="0"/>
          <w:noProof/>
          <w:sz w:val="22"/>
          <w:szCs w:val="22"/>
          <w:lang w:eastAsia="en-AU"/>
        </w:rPr>
        <w:tab/>
      </w:r>
      <w:r>
        <w:rPr>
          <w:noProof/>
        </w:rPr>
        <w:t>Calculating E</w:t>
      </w:r>
      <w:r w:rsidRPr="008B70F4">
        <w:rPr>
          <w:noProof/>
          <w:vertAlign w:val="subscript"/>
        </w:rPr>
        <w:t>N</w:t>
      </w:r>
      <w:r w:rsidRPr="008B70F4">
        <w:rPr>
          <w:noProof/>
          <w:position w:val="-6"/>
          <w:vertAlign w:val="subscript"/>
        </w:rPr>
        <w:t>2</w:t>
      </w:r>
      <w:r w:rsidRPr="008B70F4">
        <w:rPr>
          <w:noProof/>
          <w:vertAlign w:val="subscript"/>
        </w:rPr>
        <w:t>O</w:t>
      </w:r>
    </w:p>
    <w:p w:rsidR="005B1068" w:rsidRDefault="005B1068">
      <w:pPr>
        <w:pStyle w:val="TOC5"/>
        <w:rPr>
          <w:rFonts w:asciiTheme="minorHAnsi" w:eastAsiaTheme="minorEastAsia" w:hAnsiTheme="minorHAnsi" w:cstheme="minorBidi"/>
          <w:sz w:val="22"/>
          <w:szCs w:val="22"/>
          <w:lang w:eastAsia="en-AU"/>
        </w:rPr>
      </w:pPr>
      <w:r>
        <w:tab/>
        <w:t>4.12</w:t>
      </w:r>
      <w:r>
        <w:rPr>
          <w:rFonts w:asciiTheme="minorHAnsi" w:eastAsiaTheme="minorEastAsia" w:hAnsiTheme="minorHAnsi" w:cstheme="minorBidi"/>
          <w:sz w:val="22"/>
          <w:szCs w:val="22"/>
          <w:lang w:eastAsia="en-AU"/>
        </w:rPr>
        <w:tab/>
      </w:r>
      <w:r>
        <w:t>Calculating nitrous oxide emissions</w:t>
      </w:r>
      <w:r>
        <w:tab/>
        <w:t>16</w:t>
      </w:r>
    </w:p>
    <w:p w:rsidR="005B1068" w:rsidRDefault="005B1068">
      <w:pPr>
        <w:pStyle w:val="TOC4"/>
        <w:rPr>
          <w:rFonts w:asciiTheme="minorHAnsi" w:eastAsiaTheme="minorEastAsia" w:hAnsiTheme="minorHAnsi" w:cstheme="minorBidi"/>
          <w:b w:val="0"/>
          <w:noProof/>
          <w:sz w:val="22"/>
          <w:szCs w:val="22"/>
          <w:lang w:eastAsia="en-AU"/>
        </w:rPr>
      </w:pPr>
      <w:r>
        <w:rPr>
          <w:noProof/>
        </w:rPr>
        <w:t>Subdivision 4.2.8</w:t>
      </w:r>
      <w:r>
        <w:rPr>
          <w:rFonts w:asciiTheme="minorHAnsi" w:eastAsiaTheme="minorEastAsia" w:hAnsiTheme="minorHAnsi" w:cstheme="minorBidi"/>
          <w:b w:val="0"/>
          <w:noProof/>
          <w:sz w:val="22"/>
          <w:szCs w:val="22"/>
          <w:lang w:eastAsia="en-AU"/>
        </w:rPr>
        <w:tab/>
      </w:r>
      <w:r>
        <w:rPr>
          <w:noProof/>
        </w:rPr>
        <w:t>Calculating emissions combusted in an internal combustion engine</w:t>
      </w:r>
    </w:p>
    <w:p w:rsidR="005B1068" w:rsidRDefault="005B1068">
      <w:pPr>
        <w:pStyle w:val="TOC5"/>
        <w:rPr>
          <w:rFonts w:asciiTheme="minorHAnsi" w:eastAsiaTheme="minorEastAsia" w:hAnsiTheme="minorHAnsi" w:cstheme="minorBidi"/>
          <w:sz w:val="22"/>
          <w:szCs w:val="22"/>
          <w:lang w:eastAsia="en-AU"/>
        </w:rPr>
      </w:pPr>
      <w:r>
        <w:tab/>
        <w:t>4.13</w:t>
      </w:r>
      <w:r>
        <w:rPr>
          <w:rFonts w:asciiTheme="minorHAnsi" w:eastAsiaTheme="minorEastAsia" w:hAnsiTheme="minorHAnsi" w:cstheme="minorBidi"/>
          <w:sz w:val="22"/>
          <w:szCs w:val="22"/>
          <w:lang w:eastAsia="en-AU"/>
        </w:rPr>
        <w:tab/>
      </w:r>
      <w:r>
        <w:t>Quantity of emissions combusted in an internal combustion engine—optional calculations</w:t>
      </w:r>
      <w:r>
        <w:tab/>
        <w:t>17</w:t>
      </w:r>
    </w:p>
    <w:p w:rsidR="005B1068" w:rsidRDefault="005B1068">
      <w:pPr>
        <w:pStyle w:val="TOC4"/>
        <w:rPr>
          <w:rFonts w:asciiTheme="minorHAnsi" w:eastAsiaTheme="minorEastAsia" w:hAnsiTheme="minorHAnsi" w:cstheme="minorBidi"/>
          <w:b w:val="0"/>
          <w:noProof/>
          <w:sz w:val="22"/>
          <w:szCs w:val="22"/>
          <w:lang w:eastAsia="en-AU"/>
        </w:rPr>
      </w:pPr>
      <w:r>
        <w:rPr>
          <w:noProof/>
        </w:rPr>
        <w:t>Subdivision 4.2.9</w:t>
      </w:r>
      <w:r>
        <w:rPr>
          <w:rFonts w:asciiTheme="minorHAnsi" w:eastAsiaTheme="minorEastAsia" w:hAnsiTheme="minorHAnsi" w:cstheme="minorBidi"/>
          <w:b w:val="0"/>
          <w:noProof/>
          <w:sz w:val="22"/>
          <w:szCs w:val="22"/>
          <w:lang w:eastAsia="en-AU"/>
        </w:rPr>
        <w:tab/>
      </w:r>
      <w:r>
        <w:rPr>
          <w:noProof/>
        </w:rPr>
        <w:t>Calculating emissions from fuel and grid-derived electricity used to operate the gas extraction system in the project (Y</w:t>
      </w:r>
      <w:r w:rsidRPr="008B70F4">
        <w:rPr>
          <w:noProof/>
          <w:vertAlign w:val="subscript"/>
        </w:rPr>
        <w:t>p</w:t>
      </w:r>
      <w:r>
        <w:rPr>
          <w:noProof/>
        </w:rPr>
        <w:t>)</w:t>
      </w:r>
    </w:p>
    <w:p w:rsidR="005B1068" w:rsidRDefault="005B1068">
      <w:pPr>
        <w:pStyle w:val="TOC5"/>
        <w:rPr>
          <w:rFonts w:asciiTheme="minorHAnsi" w:eastAsiaTheme="minorEastAsia" w:hAnsiTheme="minorHAnsi" w:cstheme="minorBidi"/>
          <w:sz w:val="22"/>
          <w:szCs w:val="22"/>
          <w:lang w:eastAsia="en-AU"/>
        </w:rPr>
      </w:pPr>
      <w:r>
        <w:tab/>
        <w:t>4.14</w:t>
      </w:r>
      <w:r>
        <w:rPr>
          <w:rFonts w:asciiTheme="minorHAnsi" w:eastAsiaTheme="minorEastAsia" w:hAnsiTheme="minorHAnsi" w:cstheme="minorBidi"/>
          <w:sz w:val="22"/>
          <w:szCs w:val="22"/>
          <w:lang w:eastAsia="en-AU"/>
        </w:rPr>
        <w:tab/>
      </w:r>
      <w:r>
        <w:t>Calculating emissions from electricity and fuel use</w:t>
      </w:r>
      <w:r>
        <w:tab/>
        <w:t>19</w:t>
      </w:r>
    </w:p>
    <w:p w:rsidR="005B1068" w:rsidRDefault="005B1068">
      <w:pPr>
        <w:pStyle w:val="TOC5"/>
        <w:rPr>
          <w:rFonts w:asciiTheme="minorHAnsi" w:eastAsiaTheme="minorEastAsia" w:hAnsiTheme="minorHAnsi" w:cstheme="minorBidi"/>
          <w:sz w:val="22"/>
          <w:szCs w:val="22"/>
          <w:lang w:eastAsia="en-AU"/>
        </w:rPr>
      </w:pPr>
      <w:r>
        <w:tab/>
        <w:t>4.15</w:t>
      </w:r>
      <w:r>
        <w:rPr>
          <w:rFonts w:asciiTheme="minorHAnsi" w:eastAsiaTheme="minorEastAsia" w:hAnsiTheme="minorHAnsi" w:cstheme="minorBidi"/>
          <w:sz w:val="22"/>
          <w:szCs w:val="22"/>
          <w:lang w:eastAsia="en-AU"/>
        </w:rPr>
        <w:tab/>
      </w:r>
      <w:r>
        <w:t>Calculating total emissions from fuel use (E</w:t>
      </w:r>
      <w:r w:rsidRPr="008B70F4">
        <w:rPr>
          <w:vertAlign w:val="subscript"/>
        </w:rPr>
        <w:t>f</w:t>
      </w:r>
      <w:r>
        <w:t>)</w:t>
      </w:r>
      <w:r>
        <w:tab/>
        <w:t>20</w:t>
      </w:r>
    </w:p>
    <w:p w:rsidR="005B1068" w:rsidRDefault="005B1068">
      <w:pPr>
        <w:pStyle w:val="TOC5"/>
        <w:rPr>
          <w:rFonts w:asciiTheme="minorHAnsi" w:eastAsiaTheme="minorEastAsia" w:hAnsiTheme="minorHAnsi" w:cstheme="minorBidi"/>
          <w:sz w:val="22"/>
          <w:szCs w:val="22"/>
          <w:lang w:eastAsia="en-AU"/>
        </w:rPr>
      </w:pPr>
      <w:r>
        <w:tab/>
        <w:t>4.16</w:t>
      </w:r>
      <w:r>
        <w:rPr>
          <w:rFonts w:asciiTheme="minorHAnsi" w:eastAsiaTheme="minorEastAsia" w:hAnsiTheme="minorHAnsi" w:cstheme="minorBidi"/>
          <w:sz w:val="22"/>
          <w:szCs w:val="22"/>
          <w:lang w:eastAsia="en-AU"/>
        </w:rPr>
        <w:tab/>
      </w:r>
      <w:r>
        <w:t>Emissions from the consumption of purchased electricity (E</w:t>
      </w:r>
      <w:r w:rsidRPr="008B70F4">
        <w:rPr>
          <w:vertAlign w:val="subscript"/>
        </w:rPr>
        <w:t>elec</w:t>
      </w:r>
      <w:r>
        <w:t>)</w:t>
      </w:r>
      <w:r>
        <w:tab/>
        <w:t>21</w:t>
      </w:r>
    </w:p>
    <w:p w:rsidR="005B1068" w:rsidRDefault="005B1068">
      <w:pPr>
        <w:pStyle w:val="TOC3"/>
        <w:rPr>
          <w:rFonts w:asciiTheme="minorHAnsi" w:eastAsiaTheme="minorEastAsia" w:hAnsiTheme="minorHAnsi" w:cstheme="minorBidi"/>
          <w:b w:val="0"/>
          <w:noProof/>
          <w:sz w:val="22"/>
          <w:szCs w:val="22"/>
          <w:lang w:eastAsia="en-AU"/>
        </w:rPr>
      </w:pPr>
      <w:r>
        <w:rPr>
          <w:noProof/>
        </w:rPr>
        <w:t>Division 4.3</w:t>
      </w:r>
      <w:r>
        <w:rPr>
          <w:rFonts w:asciiTheme="minorHAnsi" w:eastAsiaTheme="minorEastAsia" w:hAnsiTheme="minorHAnsi" w:cstheme="minorBidi"/>
          <w:b w:val="0"/>
          <w:noProof/>
          <w:sz w:val="22"/>
          <w:szCs w:val="22"/>
          <w:lang w:eastAsia="en-AU"/>
        </w:rPr>
        <w:tab/>
      </w:r>
      <w:r>
        <w:rPr>
          <w:noProof/>
        </w:rPr>
        <w:t>Data collection</w:t>
      </w:r>
    </w:p>
    <w:p w:rsidR="005B1068" w:rsidRDefault="005B1068">
      <w:pPr>
        <w:pStyle w:val="TOC5"/>
        <w:rPr>
          <w:rFonts w:asciiTheme="minorHAnsi" w:eastAsiaTheme="minorEastAsia" w:hAnsiTheme="minorHAnsi" w:cstheme="minorBidi"/>
          <w:sz w:val="22"/>
          <w:szCs w:val="22"/>
          <w:lang w:eastAsia="en-AU"/>
        </w:rPr>
      </w:pPr>
      <w:r>
        <w:tab/>
        <w:t>4.17</w:t>
      </w:r>
      <w:r>
        <w:rPr>
          <w:rFonts w:asciiTheme="minorHAnsi" w:eastAsiaTheme="minorEastAsia" w:hAnsiTheme="minorHAnsi" w:cstheme="minorBidi"/>
          <w:sz w:val="22"/>
          <w:szCs w:val="22"/>
          <w:lang w:eastAsia="en-AU"/>
        </w:rPr>
        <w:tab/>
      </w:r>
      <w:r>
        <w:t>Data collection procedures and measurement frequency</w:t>
      </w:r>
      <w:r>
        <w:tab/>
        <w:t>22</w:t>
      </w:r>
    </w:p>
    <w:p w:rsidR="005B1068" w:rsidRDefault="005B1068">
      <w:pPr>
        <w:pStyle w:val="TOC5"/>
        <w:rPr>
          <w:rFonts w:asciiTheme="minorHAnsi" w:eastAsiaTheme="minorEastAsia" w:hAnsiTheme="minorHAnsi" w:cstheme="minorBidi"/>
          <w:sz w:val="22"/>
          <w:szCs w:val="22"/>
          <w:lang w:eastAsia="en-AU"/>
        </w:rPr>
      </w:pPr>
      <w:r>
        <w:tab/>
        <w:t>4.18</w:t>
      </w:r>
      <w:r>
        <w:rPr>
          <w:rFonts w:asciiTheme="minorHAnsi" w:eastAsiaTheme="minorEastAsia" w:hAnsiTheme="minorHAnsi" w:cstheme="minorBidi"/>
          <w:sz w:val="22"/>
          <w:szCs w:val="22"/>
          <w:lang w:eastAsia="en-AU"/>
        </w:rPr>
        <w:tab/>
      </w:r>
      <w:r>
        <w:t>Volumetric measurement—quantity of biogas sent to combustion device h</w:t>
      </w:r>
      <w:r w:rsidRPr="008B70F4">
        <w:rPr>
          <w:i/>
        </w:rPr>
        <w:t xml:space="preserve"> </w:t>
      </w:r>
      <w:r>
        <w:t>(Q</w:t>
      </w:r>
      <w:r w:rsidRPr="008B70F4">
        <w:rPr>
          <w:vertAlign w:val="subscript"/>
        </w:rPr>
        <w:t>biogas, h</w:t>
      </w:r>
      <w:r>
        <w:t>)</w:t>
      </w:r>
      <w:r>
        <w:tab/>
        <w:t>26</w:t>
      </w:r>
    </w:p>
    <w:p w:rsidR="005B1068" w:rsidRDefault="005B1068">
      <w:pPr>
        <w:pStyle w:val="TOC5"/>
        <w:rPr>
          <w:rFonts w:asciiTheme="minorHAnsi" w:eastAsiaTheme="minorEastAsia" w:hAnsiTheme="minorHAnsi" w:cstheme="minorBidi"/>
          <w:sz w:val="22"/>
          <w:szCs w:val="22"/>
          <w:lang w:eastAsia="en-AU"/>
        </w:rPr>
      </w:pPr>
      <w:r>
        <w:tab/>
        <w:t>4.19</w:t>
      </w:r>
      <w:r>
        <w:rPr>
          <w:rFonts w:asciiTheme="minorHAnsi" w:eastAsiaTheme="minorEastAsia" w:hAnsiTheme="minorHAnsi" w:cstheme="minorBidi"/>
          <w:sz w:val="22"/>
          <w:szCs w:val="22"/>
          <w:lang w:eastAsia="en-AU"/>
        </w:rPr>
        <w:tab/>
      </w:r>
      <w:r>
        <w:t>Measurement of W</w:t>
      </w:r>
      <w:r w:rsidRPr="008B70F4">
        <w:rPr>
          <w:vertAlign w:val="subscript"/>
        </w:rPr>
        <w:t>CH</w:t>
      </w:r>
      <w:r w:rsidRPr="008B70F4">
        <w:rPr>
          <w:position w:val="-6"/>
          <w:vertAlign w:val="subscript"/>
        </w:rPr>
        <w:t>4</w:t>
      </w:r>
      <w:r>
        <w:t xml:space="preserve"> methane percentage in biogas</w:t>
      </w:r>
      <w:r>
        <w:tab/>
        <w:t>27</w:t>
      </w:r>
    </w:p>
    <w:p w:rsidR="005B1068" w:rsidRDefault="005B1068">
      <w:pPr>
        <w:pStyle w:val="TOC2"/>
        <w:rPr>
          <w:rFonts w:asciiTheme="minorHAnsi" w:eastAsiaTheme="minorEastAsia" w:hAnsiTheme="minorHAnsi" w:cstheme="minorBidi"/>
          <w:b w:val="0"/>
          <w:lang w:eastAsia="en-AU"/>
        </w:rPr>
      </w:pPr>
      <w:r>
        <w:t>Part 5</w:t>
      </w:r>
      <w:r>
        <w:rPr>
          <w:rFonts w:asciiTheme="minorHAnsi" w:eastAsiaTheme="minorEastAsia" w:hAnsiTheme="minorHAnsi" w:cstheme="minorBidi"/>
          <w:b w:val="0"/>
          <w:lang w:eastAsia="en-AU"/>
        </w:rPr>
        <w:tab/>
      </w:r>
      <w:r>
        <w:t>Monitoring, record-keeping and reporting requirements</w:t>
      </w:r>
    </w:p>
    <w:p w:rsidR="005B1068" w:rsidRDefault="005B1068">
      <w:pPr>
        <w:pStyle w:val="TOC3"/>
        <w:rPr>
          <w:rFonts w:asciiTheme="minorHAnsi" w:eastAsiaTheme="minorEastAsia" w:hAnsiTheme="minorHAnsi" w:cstheme="minorBidi"/>
          <w:b w:val="0"/>
          <w:noProof/>
          <w:sz w:val="22"/>
          <w:szCs w:val="22"/>
          <w:lang w:eastAsia="en-AU"/>
        </w:rPr>
      </w:pPr>
      <w:r>
        <w:rPr>
          <w:noProof/>
        </w:rPr>
        <w:t>Division 5.1</w:t>
      </w:r>
      <w:r>
        <w:rPr>
          <w:rFonts w:asciiTheme="minorHAnsi" w:eastAsiaTheme="minorEastAsia" w:hAnsiTheme="minorHAnsi" w:cstheme="minorBidi"/>
          <w:b w:val="0"/>
          <w:noProof/>
          <w:sz w:val="22"/>
          <w:szCs w:val="22"/>
          <w:lang w:eastAsia="en-AU"/>
        </w:rPr>
        <w:tab/>
      </w:r>
      <w:r>
        <w:rPr>
          <w:noProof/>
        </w:rPr>
        <w:t>General</w:t>
      </w:r>
    </w:p>
    <w:p w:rsidR="005B1068" w:rsidRDefault="005B1068">
      <w:pPr>
        <w:pStyle w:val="TOC5"/>
        <w:rPr>
          <w:rFonts w:asciiTheme="minorHAnsi" w:eastAsiaTheme="minorEastAsia" w:hAnsiTheme="minorHAnsi" w:cstheme="minorBidi"/>
          <w:sz w:val="22"/>
          <w:szCs w:val="22"/>
          <w:lang w:eastAsia="en-AU"/>
        </w:rPr>
      </w:pPr>
      <w:r>
        <w:tab/>
        <w:t>5.1</w:t>
      </w:r>
      <w:r>
        <w:rPr>
          <w:rFonts w:asciiTheme="minorHAnsi" w:eastAsiaTheme="minorEastAsia" w:hAnsiTheme="minorHAnsi" w:cstheme="minorBidi"/>
          <w:sz w:val="22"/>
          <w:szCs w:val="22"/>
          <w:lang w:eastAsia="en-AU"/>
        </w:rPr>
        <w:tab/>
      </w:r>
      <w:r>
        <w:t>Application</w:t>
      </w:r>
      <w:r>
        <w:tab/>
        <w:t>28</w:t>
      </w:r>
    </w:p>
    <w:p w:rsidR="005B1068" w:rsidRDefault="005B1068">
      <w:pPr>
        <w:pStyle w:val="TOC3"/>
        <w:rPr>
          <w:rFonts w:asciiTheme="minorHAnsi" w:eastAsiaTheme="minorEastAsia" w:hAnsiTheme="minorHAnsi" w:cstheme="minorBidi"/>
          <w:b w:val="0"/>
          <w:noProof/>
          <w:sz w:val="22"/>
          <w:szCs w:val="22"/>
          <w:lang w:eastAsia="en-AU"/>
        </w:rPr>
      </w:pPr>
      <w:r>
        <w:rPr>
          <w:noProof/>
        </w:rPr>
        <w:t>Division 5.2</w:t>
      </w:r>
      <w:r>
        <w:rPr>
          <w:rFonts w:asciiTheme="minorHAnsi" w:eastAsiaTheme="minorEastAsia" w:hAnsiTheme="minorHAnsi" w:cstheme="minorBidi"/>
          <w:b w:val="0"/>
          <w:noProof/>
          <w:sz w:val="22"/>
          <w:szCs w:val="22"/>
          <w:lang w:eastAsia="en-AU"/>
        </w:rPr>
        <w:tab/>
      </w:r>
      <w:r>
        <w:rPr>
          <w:noProof/>
        </w:rPr>
        <w:t>Monitoring requirements</w:t>
      </w:r>
    </w:p>
    <w:p w:rsidR="005B1068" w:rsidRDefault="005B1068">
      <w:pPr>
        <w:pStyle w:val="TOC5"/>
        <w:rPr>
          <w:rFonts w:asciiTheme="minorHAnsi" w:eastAsiaTheme="minorEastAsia" w:hAnsiTheme="minorHAnsi" w:cstheme="minorBidi"/>
          <w:sz w:val="22"/>
          <w:szCs w:val="22"/>
          <w:lang w:eastAsia="en-AU"/>
        </w:rPr>
      </w:pPr>
      <w:r>
        <w:tab/>
        <w:t>5.2</w:t>
      </w:r>
      <w:r>
        <w:rPr>
          <w:rFonts w:asciiTheme="minorHAnsi" w:eastAsiaTheme="minorEastAsia" w:hAnsiTheme="minorHAnsi" w:cstheme="minorBidi"/>
          <w:sz w:val="22"/>
          <w:szCs w:val="22"/>
          <w:lang w:eastAsia="en-AU"/>
        </w:rPr>
        <w:tab/>
      </w:r>
      <w:r>
        <w:t>Monitoring requirements</w:t>
      </w:r>
      <w:r>
        <w:tab/>
        <w:t>28</w:t>
      </w:r>
    </w:p>
    <w:p w:rsidR="005B1068" w:rsidRDefault="005B1068">
      <w:pPr>
        <w:pStyle w:val="TOC5"/>
        <w:rPr>
          <w:rFonts w:asciiTheme="minorHAnsi" w:eastAsiaTheme="minorEastAsia" w:hAnsiTheme="minorHAnsi" w:cstheme="minorBidi"/>
          <w:sz w:val="22"/>
          <w:szCs w:val="22"/>
          <w:lang w:eastAsia="en-AU"/>
        </w:rPr>
      </w:pPr>
      <w:r>
        <w:tab/>
        <w:t>5.3</w:t>
      </w:r>
      <w:r>
        <w:rPr>
          <w:rFonts w:asciiTheme="minorHAnsi" w:eastAsiaTheme="minorEastAsia" w:hAnsiTheme="minorHAnsi" w:cstheme="minorBidi"/>
          <w:sz w:val="22"/>
          <w:szCs w:val="22"/>
          <w:lang w:eastAsia="en-AU"/>
        </w:rPr>
        <w:tab/>
      </w:r>
      <w:r>
        <w:t>Quality assurance and quality control</w:t>
      </w:r>
      <w:r>
        <w:tab/>
        <w:t>29</w:t>
      </w:r>
    </w:p>
    <w:p w:rsidR="005B1068" w:rsidRDefault="005B1068">
      <w:pPr>
        <w:pStyle w:val="TOC3"/>
        <w:rPr>
          <w:rFonts w:asciiTheme="minorHAnsi" w:eastAsiaTheme="minorEastAsia" w:hAnsiTheme="minorHAnsi" w:cstheme="minorBidi"/>
          <w:b w:val="0"/>
          <w:noProof/>
          <w:sz w:val="22"/>
          <w:szCs w:val="22"/>
          <w:lang w:eastAsia="en-AU"/>
        </w:rPr>
      </w:pPr>
      <w:r>
        <w:rPr>
          <w:noProof/>
        </w:rPr>
        <w:t>Division 5.3</w:t>
      </w:r>
      <w:r>
        <w:rPr>
          <w:rFonts w:asciiTheme="minorHAnsi" w:eastAsiaTheme="minorEastAsia" w:hAnsiTheme="minorHAnsi" w:cstheme="minorBidi"/>
          <w:b w:val="0"/>
          <w:noProof/>
          <w:sz w:val="22"/>
          <w:szCs w:val="22"/>
          <w:lang w:eastAsia="en-AU"/>
        </w:rPr>
        <w:tab/>
      </w:r>
      <w:r>
        <w:rPr>
          <w:noProof/>
        </w:rPr>
        <w:t>Record-keeping requirements</w:t>
      </w:r>
    </w:p>
    <w:p w:rsidR="005B1068" w:rsidRDefault="005B1068">
      <w:pPr>
        <w:pStyle w:val="TOC5"/>
        <w:rPr>
          <w:rFonts w:asciiTheme="minorHAnsi" w:eastAsiaTheme="minorEastAsia" w:hAnsiTheme="minorHAnsi" w:cstheme="minorBidi"/>
          <w:sz w:val="22"/>
          <w:szCs w:val="22"/>
          <w:lang w:eastAsia="en-AU"/>
        </w:rPr>
      </w:pPr>
      <w:r>
        <w:tab/>
        <w:t>5.4</w:t>
      </w:r>
      <w:r>
        <w:rPr>
          <w:rFonts w:asciiTheme="minorHAnsi" w:eastAsiaTheme="minorEastAsia" w:hAnsiTheme="minorHAnsi" w:cstheme="minorBidi"/>
          <w:sz w:val="22"/>
          <w:szCs w:val="22"/>
          <w:lang w:eastAsia="en-AU"/>
        </w:rPr>
        <w:tab/>
      </w:r>
      <w:r>
        <w:t>Records that must be kept</w:t>
      </w:r>
      <w:r>
        <w:tab/>
        <w:t>29</w:t>
      </w:r>
    </w:p>
    <w:p w:rsidR="005B1068" w:rsidRDefault="005B1068">
      <w:pPr>
        <w:pStyle w:val="TOC5"/>
        <w:rPr>
          <w:rFonts w:asciiTheme="minorHAnsi" w:eastAsiaTheme="minorEastAsia" w:hAnsiTheme="minorHAnsi" w:cstheme="minorBidi"/>
          <w:sz w:val="22"/>
          <w:szCs w:val="22"/>
          <w:lang w:eastAsia="en-AU"/>
        </w:rPr>
      </w:pPr>
      <w:r>
        <w:tab/>
        <w:t>5.5</w:t>
      </w:r>
      <w:r>
        <w:rPr>
          <w:rFonts w:asciiTheme="minorHAnsi" w:eastAsiaTheme="minorEastAsia" w:hAnsiTheme="minorHAnsi" w:cstheme="minorBidi"/>
          <w:sz w:val="22"/>
          <w:szCs w:val="22"/>
          <w:lang w:eastAsia="en-AU"/>
        </w:rPr>
        <w:tab/>
      </w:r>
      <w:r>
        <w:t>General information</w:t>
      </w:r>
      <w:r>
        <w:tab/>
        <w:t>29</w:t>
      </w:r>
    </w:p>
    <w:p w:rsidR="005B1068" w:rsidRDefault="005B1068">
      <w:pPr>
        <w:pStyle w:val="TOC5"/>
        <w:rPr>
          <w:rFonts w:asciiTheme="minorHAnsi" w:eastAsiaTheme="minorEastAsia" w:hAnsiTheme="minorHAnsi" w:cstheme="minorBidi"/>
          <w:sz w:val="22"/>
          <w:szCs w:val="22"/>
          <w:lang w:eastAsia="en-AU"/>
        </w:rPr>
      </w:pPr>
      <w:r>
        <w:tab/>
        <w:t>5.6</w:t>
      </w:r>
      <w:r>
        <w:rPr>
          <w:rFonts w:asciiTheme="minorHAnsi" w:eastAsiaTheme="minorEastAsia" w:hAnsiTheme="minorHAnsi" w:cstheme="minorBidi"/>
          <w:sz w:val="22"/>
          <w:szCs w:val="22"/>
          <w:lang w:eastAsia="en-AU"/>
        </w:rPr>
        <w:tab/>
      </w:r>
      <w:r>
        <w:t>Project information</w:t>
      </w:r>
      <w:r>
        <w:tab/>
        <w:t>30</w:t>
      </w:r>
    </w:p>
    <w:p w:rsidR="005B1068" w:rsidRDefault="005B1068">
      <w:pPr>
        <w:pStyle w:val="TOC5"/>
        <w:rPr>
          <w:rFonts w:asciiTheme="minorHAnsi" w:eastAsiaTheme="minorEastAsia" w:hAnsiTheme="minorHAnsi" w:cstheme="minorBidi"/>
          <w:sz w:val="22"/>
          <w:szCs w:val="22"/>
          <w:lang w:eastAsia="en-AU"/>
        </w:rPr>
      </w:pPr>
      <w:r>
        <w:tab/>
        <w:t>5.7</w:t>
      </w:r>
      <w:r>
        <w:rPr>
          <w:rFonts w:asciiTheme="minorHAnsi" w:eastAsiaTheme="minorEastAsia" w:hAnsiTheme="minorHAnsi" w:cstheme="minorBidi"/>
          <w:sz w:val="22"/>
          <w:szCs w:val="22"/>
          <w:lang w:eastAsia="en-AU"/>
        </w:rPr>
        <w:tab/>
      </w:r>
      <w:r>
        <w:t>Combustion devices</w:t>
      </w:r>
      <w:r>
        <w:tab/>
        <w:t>30</w:t>
      </w:r>
    </w:p>
    <w:p w:rsidR="005B1068" w:rsidRDefault="005B1068">
      <w:pPr>
        <w:pStyle w:val="TOC5"/>
        <w:rPr>
          <w:rFonts w:asciiTheme="minorHAnsi" w:eastAsiaTheme="minorEastAsia" w:hAnsiTheme="minorHAnsi" w:cstheme="minorBidi"/>
          <w:sz w:val="22"/>
          <w:szCs w:val="22"/>
          <w:lang w:eastAsia="en-AU"/>
        </w:rPr>
      </w:pPr>
      <w:r>
        <w:tab/>
        <w:t>5.8</w:t>
      </w:r>
      <w:r>
        <w:rPr>
          <w:rFonts w:asciiTheme="minorHAnsi" w:eastAsiaTheme="minorEastAsia" w:hAnsiTheme="minorHAnsi" w:cstheme="minorBidi"/>
          <w:sz w:val="22"/>
          <w:szCs w:val="22"/>
          <w:lang w:eastAsia="en-AU"/>
        </w:rPr>
        <w:tab/>
      </w:r>
      <w:r>
        <w:t>Monitoring equipment</w:t>
      </w:r>
      <w:r>
        <w:tab/>
        <w:t>30</w:t>
      </w:r>
    </w:p>
    <w:p w:rsidR="005B1068" w:rsidRDefault="005B1068">
      <w:pPr>
        <w:pStyle w:val="TOC5"/>
        <w:rPr>
          <w:rFonts w:asciiTheme="minorHAnsi" w:eastAsiaTheme="minorEastAsia" w:hAnsiTheme="minorHAnsi" w:cstheme="minorBidi"/>
          <w:sz w:val="22"/>
          <w:szCs w:val="22"/>
          <w:lang w:eastAsia="en-AU"/>
        </w:rPr>
      </w:pPr>
      <w:r>
        <w:tab/>
        <w:t>5.9</w:t>
      </w:r>
      <w:r>
        <w:rPr>
          <w:rFonts w:asciiTheme="minorHAnsi" w:eastAsiaTheme="minorEastAsia" w:hAnsiTheme="minorHAnsi" w:cstheme="minorBidi"/>
          <w:sz w:val="22"/>
          <w:szCs w:val="22"/>
          <w:lang w:eastAsia="en-AU"/>
        </w:rPr>
        <w:tab/>
      </w:r>
      <w:r>
        <w:t>Gas composition</w:t>
      </w:r>
      <w:r>
        <w:tab/>
        <w:t>31</w:t>
      </w:r>
    </w:p>
    <w:p w:rsidR="005B1068" w:rsidRDefault="005B1068">
      <w:pPr>
        <w:pStyle w:val="TOC5"/>
        <w:rPr>
          <w:rFonts w:asciiTheme="minorHAnsi" w:eastAsiaTheme="minorEastAsia" w:hAnsiTheme="minorHAnsi" w:cstheme="minorBidi"/>
          <w:sz w:val="22"/>
          <w:szCs w:val="22"/>
          <w:lang w:eastAsia="en-AU"/>
        </w:rPr>
      </w:pPr>
      <w:r>
        <w:tab/>
        <w:t>5.10</w:t>
      </w:r>
      <w:r>
        <w:rPr>
          <w:rFonts w:asciiTheme="minorHAnsi" w:eastAsiaTheme="minorEastAsia" w:hAnsiTheme="minorHAnsi" w:cstheme="minorBidi"/>
          <w:sz w:val="22"/>
          <w:szCs w:val="22"/>
          <w:lang w:eastAsia="en-AU"/>
        </w:rPr>
        <w:tab/>
      </w:r>
      <w:r>
        <w:t>Direct and indirect measurement</w:t>
      </w:r>
      <w:r>
        <w:tab/>
        <w:t>31</w:t>
      </w:r>
    </w:p>
    <w:p w:rsidR="005B1068" w:rsidRDefault="005B1068">
      <w:pPr>
        <w:pStyle w:val="TOC3"/>
        <w:rPr>
          <w:rFonts w:asciiTheme="minorHAnsi" w:eastAsiaTheme="minorEastAsia" w:hAnsiTheme="minorHAnsi" w:cstheme="minorBidi"/>
          <w:b w:val="0"/>
          <w:noProof/>
          <w:sz w:val="22"/>
          <w:szCs w:val="22"/>
          <w:lang w:eastAsia="en-AU"/>
        </w:rPr>
      </w:pPr>
      <w:r>
        <w:rPr>
          <w:noProof/>
        </w:rPr>
        <w:t>Division 5.4</w:t>
      </w:r>
      <w:r>
        <w:rPr>
          <w:rFonts w:asciiTheme="minorHAnsi" w:eastAsiaTheme="minorEastAsia" w:hAnsiTheme="minorHAnsi" w:cstheme="minorBidi"/>
          <w:b w:val="0"/>
          <w:noProof/>
          <w:sz w:val="22"/>
          <w:szCs w:val="22"/>
          <w:lang w:eastAsia="en-AU"/>
        </w:rPr>
        <w:tab/>
      </w:r>
      <w:r>
        <w:rPr>
          <w:noProof/>
        </w:rPr>
        <w:t>Offsets report requirements</w:t>
      </w:r>
    </w:p>
    <w:p w:rsidR="005B1068" w:rsidRDefault="005B1068">
      <w:pPr>
        <w:pStyle w:val="TOC5"/>
        <w:rPr>
          <w:rFonts w:asciiTheme="minorHAnsi" w:eastAsiaTheme="minorEastAsia" w:hAnsiTheme="minorHAnsi" w:cstheme="minorBidi"/>
          <w:sz w:val="22"/>
          <w:szCs w:val="22"/>
          <w:lang w:eastAsia="en-AU"/>
        </w:rPr>
      </w:pPr>
      <w:r>
        <w:tab/>
        <w:t>5.11</w:t>
      </w:r>
      <w:r>
        <w:rPr>
          <w:rFonts w:asciiTheme="minorHAnsi" w:eastAsiaTheme="minorEastAsia" w:hAnsiTheme="minorHAnsi" w:cstheme="minorBidi"/>
          <w:sz w:val="22"/>
          <w:szCs w:val="22"/>
          <w:lang w:eastAsia="en-AU"/>
        </w:rPr>
        <w:tab/>
      </w:r>
      <w:r>
        <w:t>Report requirements</w:t>
      </w:r>
      <w:r>
        <w:tab/>
        <w:t>32</w:t>
      </w:r>
    </w:p>
    <w:p w:rsidR="005B1068" w:rsidRDefault="005B1068">
      <w:pPr>
        <w:pStyle w:val="TOC5"/>
        <w:rPr>
          <w:rFonts w:asciiTheme="minorHAnsi" w:eastAsiaTheme="minorEastAsia" w:hAnsiTheme="minorHAnsi" w:cstheme="minorBidi"/>
          <w:sz w:val="22"/>
          <w:szCs w:val="22"/>
          <w:lang w:eastAsia="en-AU"/>
        </w:rPr>
      </w:pPr>
      <w:r>
        <w:tab/>
        <w:t>5.12</w:t>
      </w:r>
      <w:r>
        <w:rPr>
          <w:rFonts w:asciiTheme="minorHAnsi" w:eastAsiaTheme="minorEastAsia" w:hAnsiTheme="minorHAnsi" w:cstheme="minorBidi"/>
          <w:sz w:val="22"/>
          <w:szCs w:val="22"/>
          <w:lang w:eastAsia="en-AU"/>
        </w:rPr>
        <w:tab/>
      </w:r>
      <w:r>
        <w:t>First reporting period</w:t>
      </w:r>
      <w:r>
        <w:tab/>
        <w:t>32</w:t>
      </w:r>
    </w:p>
    <w:p w:rsidR="005B1068" w:rsidRDefault="005B1068">
      <w:pPr>
        <w:pStyle w:val="TOC5"/>
        <w:rPr>
          <w:rFonts w:asciiTheme="minorHAnsi" w:eastAsiaTheme="minorEastAsia" w:hAnsiTheme="minorHAnsi" w:cstheme="minorBidi"/>
          <w:sz w:val="22"/>
          <w:szCs w:val="22"/>
          <w:lang w:eastAsia="en-AU"/>
        </w:rPr>
      </w:pPr>
      <w:r>
        <w:tab/>
        <w:t>5.13</w:t>
      </w:r>
      <w:r>
        <w:rPr>
          <w:rFonts w:asciiTheme="minorHAnsi" w:eastAsiaTheme="minorEastAsia" w:hAnsiTheme="minorHAnsi" w:cstheme="minorBidi"/>
          <w:sz w:val="22"/>
          <w:szCs w:val="22"/>
          <w:lang w:eastAsia="en-AU"/>
        </w:rPr>
        <w:tab/>
      </w:r>
      <w:r>
        <w:t>Subsequent reporting periods</w:t>
      </w:r>
      <w:r>
        <w:tab/>
        <w:t>32</w:t>
      </w:r>
    </w:p>
    <w:p w:rsidR="00703D39" w:rsidRPr="00CD3A21" w:rsidRDefault="00703D39">
      <w:pPr>
        <w:pStyle w:val="TOC5"/>
        <w:rPr>
          <w:rFonts w:asciiTheme="minorHAnsi" w:eastAsiaTheme="minorEastAsia" w:hAnsiTheme="minorHAnsi" w:cstheme="minorBidi"/>
          <w:sz w:val="22"/>
          <w:szCs w:val="22"/>
          <w:lang w:eastAsia="en-AU"/>
        </w:rPr>
      </w:pPr>
    </w:p>
    <w:p w:rsidR="005E089C" w:rsidRPr="00CD3A21" w:rsidRDefault="005E089C" w:rsidP="005E089C">
      <w:pPr>
        <w:pBdr>
          <w:bottom w:val="single" w:sz="6" w:space="5" w:color="auto"/>
        </w:pBdr>
        <w:ind w:left="2880" w:right="2880"/>
        <w:jc w:val="center"/>
      </w:pPr>
    </w:p>
    <w:p w:rsidR="004169E9" w:rsidRPr="00CD3A21" w:rsidRDefault="004169E9" w:rsidP="00CD349A"/>
    <w:p w:rsidR="005E089C" w:rsidRPr="00CD3A21" w:rsidRDefault="00757BB4" w:rsidP="00757BB4">
      <w:pPr>
        <w:pStyle w:val="h2Part"/>
      </w:pPr>
      <w:bookmarkStart w:id="3" w:name="_Toc357161742"/>
      <w:r w:rsidRPr="00CD3A21">
        <w:lastRenderedPageBreak/>
        <w:t xml:space="preserve">Part </w:t>
      </w:r>
      <w:r w:rsidR="00273574" w:rsidRPr="00CD3A21">
        <w:t>1</w:t>
      </w:r>
      <w:r w:rsidRPr="00CD3A21">
        <w:tab/>
        <w:t>Preliminary</w:t>
      </w:r>
      <w:bookmarkEnd w:id="3"/>
    </w:p>
    <w:p w:rsidR="005E089C" w:rsidRPr="00CD3A21" w:rsidRDefault="000C29DD" w:rsidP="00A52416">
      <w:pPr>
        <w:pStyle w:val="h5Section"/>
      </w:pPr>
      <w:bookmarkStart w:id="4" w:name="_Toc357161743"/>
      <w:r w:rsidRPr="00CD3A21">
        <w:t>1.1</w:t>
      </w:r>
      <w:r w:rsidR="00A52416" w:rsidRPr="00CD3A21">
        <w:tab/>
      </w:r>
      <w:r w:rsidR="005E089C" w:rsidRPr="00CD3A21">
        <w:t>Name of Determination</w:t>
      </w:r>
      <w:bookmarkEnd w:id="4"/>
      <w:r w:rsidR="0048075A" w:rsidRPr="00CD3A21">
        <w:t xml:space="preserve"> </w:t>
      </w:r>
    </w:p>
    <w:p w:rsidR="005E089C" w:rsidRPr="00CD3A21" w:rsidRDefault="0033655F" w:rsidP="0033655F">
      <w:pPr>
        <w:pStyle w:val="tMain"/>
      </w:pPr>
      <w:r w:rsidRPr="00CD3A21">
        <w:tab/>
      </w:r>
      <w:r w:rsidRPr="00CD3A21">
        <w:tab/>
      </w:r>
      <w:r w:rsidR="005E089C" w:rsidRPr="00CD3A21">
        <w:t xml:space="preserve">This Determination is the </w:t>
      </w:r>
      <w:r w:rsidR="00273574" w:rsidRPr="00CD3A21">
        <w:rPr>
          <w:i/>
        </w:rPr>
        <w:t>Carbon Credits (Carbon Farming Initiative) (Destruction of Methane Generated from Manure in Piggeries—1.1) Methodology Determination</w:t>
      </w:r>
      <w:r w:rsidR="00896D15" w:rsidRPr="00CD3A21">
        <w:rPr>
          <w:i/>
        </w:rPr>
        <w:t xml:space="preserve"> 2013</w:t>
      </w:r>
      <w:r w:rsidR="005E089C" w:rsidRPr="00CD3A21">
        <w:t>.</w:t>
      </w:r>
    </w:p>
    <w:p w:rsidR="005E089C" w:rsidRPr="00CD3A21" w:rsidRDefault="000C29DD" w:rsidP="00A52416">
      <w:pPr>
        <w:pStyle w:val="h5Section"/>
      </w:pPr>
      <w:bookmarkStart w:id="5" w:name="_Toc357161744"/>
      <w:r w:rsidRPr="00CD3A21">
        <w:t>1.2</w:t>
      </w:r>
      <w:r w:rsidR="00A52416" w:rsidRPr="00CD3A21">
        <w:tab/>
      </w:r>
      <w:r w:rsidR="005E089C" w:rsidRPr="00CD3A21">
        <w:t>Commencement</w:t>
      </w:r>
      <w:bookmarkEnd w:id="5"/>
      <w:r w:rsidR="0048075A" w:rsidRPr="00CD3A21">
        <w:t xml:space="preserve"> </w:t>
      </w:r>
    </w:p>
    <w:p w:rsidR="005E089C" w:rsidRPr="00CD3A21" w:rsidRDefault="0033655F" w:rsidP="0033655F">
      <w:pPr>
        <w:pStyle w:val="tMain"/>
      </w:pPr>
      <w:r w:rsidRPr="00CD3A21">
        <w:tab/>
      </w:r>
      <w:r w:rsidRPr="00CD3A21">
        <w:tab/>
      </w:r>
      <w:r w:rsidR="005E089C" w:rsidRPr="00CD3A21">
        <w:t xml:space="preserve">This Determination is taken to have </w:t>
      </w:r>
      <w:r w:rsidR="0037431B" w:rsidRPr="00CD3A21">
        <w:t>come</w:t>
      </w:r>
      <w:r w:rsidR="00B52169" w:rsidRPr="00CD3A21">
        <w:t xml:space="preserve"> into force</w:t>
      </w:r>
      <w:r w:rsidR="005E089C" w:rsidRPr="00CD3A21">
        <w:t xml:space="preserve"> on 1 July 2010.</w:t>
      </w:r>
    </w:p>
    <w:p w:rsidR="00E70EC4" w:rsidRPr="00CD3A21" w:rsidRDefault="000C29DD" w:rsidP="00A52416">
      <w:pPr>
        <w:pStyle w:val="h5Section"/>
      </w:pPr>
      <w:bookmarkStart w:id="6" w:name="_Toc357161745"/>
      <w:r w:rsidRPr="00CD3A21">
        <w:t>1.3</w:t>
      </w:r>
      <w:r w:rsidR="00A52416" w:rsidRPr="00CD3A21">
        <w:tab/>
      </w:r>
      <w:r w:rsidR="00E70EC4" w:rsidRPr="00CD3A21">
        <w:t>Definitions</w:t>
      </w:r>
      <w:bookmarkEnd w:id="6"/>
      <w:r w:rsidR="00E908E7" w:rsidRPr="00CD3A21">
        <w:t xml:space="preserve"> </w:t>
      </w:r>
    </w:p>
    <w:p w:rsidR="00E70EC4" w:rsidRPr="00CD3A21" w:rsidRDefault="0033655F" w:rsidP="0033655F">
      <w:pPr>
        <w:pStyle w:val="tMain"/>
        <w:rPr>
          <w:rStyle w:val="CharSectno"/>
        </w:rPr>
      </w:pPr>
      <w:r w:rsidRPr="00CD3A21">
        <w:rPr>
          <w:rStyle w:val="CharSectno"/>
        </w:rPr>
        <w:tab/>
      </w:r>
      <w:r w:rsidRPr="00CD3A21">
        <w:rPr>
          <w:rStyle w:val="CharSectno"/>
        </w:rPr>
        <w:tab/>
      </w:r>
      <w:r w:rsidR="00E70EC4" w:rsidRPr="00CD3A21">
        <w:rPr>
          <w:rStyle w:val="CharSectno"/>
        </w:rPr>
        <w:t>In this Determination:</w:t>
      </w:r>
    </w:p>
    <w:p w:rsidR="00E70EC4" w:rsidRPr="00CD3A21" w:rsidRDefault="00E70EC4" w:rsidP="00E70EC4">
      <w:pPr>
        <w:pStyle w:val="tDefn"/>
        <w:ind w:left="244" w:firstLine="720"/>
      </w:pPr>
      <w:r w:rsidRPr="00CD3A21">
        <w:rPr>
          <w:b/>
          <w:i/>
        </w:rPr>
        <w:t>Act</w:t>
      </w:r>
      <w:r w:rsidRPr="00CD3A21">
        <w:t xml:space="preserve"> means the </w:t>
      </w:r>
      <w:r w:rsidRPr="00CD3A21">
        <w:rPr>
          <w:i/>
        </w:rPr>
        <w:t>Carbon Credits (Carbon Farming Initiative) Act 2011</w:t>
      </w:r>
      <w:r w:rsidRPr="00CD3A21">
        <w:t xml:space="preserve">. </w:t>
      </w:r>
    </w:p>
    <w:p w:rsidR="00896D15" w:rsidRPr="00CD3A21" w:rsidRDefault="00896D15" w:rsidP="00896D15">
      <w:pPr>
        <w:pStyle w:val="tDefn"/>
      </w:pPr>
      <w:proofErr w:type="gramStart"/>
      <w:r w:rsidRPr="00CD3A21">
        <w:rPr>
          <w:b/>
          <w:i/>
        </w:rPr>
        <w:t>anaerobic</w:t>
      </w:r>
      <w:proofErr w:type="gramEnd"/>
      <w:r w:rsidRPr="00CD3A21">
        <w:rPr>
          <w:b/>
          <w:i/>
        </w:rPr>
        <w:t xml:space="preserve"> decomposition</w:t>
      </w:r>
      <w:r w:rsidRPr="00CD3A21">
        <w:rPr>
          <w:b/>
        </w:rPr>
        <w:t xml:space="preserve"> </w:t>
      </w:r>
      <w:r w:rsidRPr="00CD3A21">
        <w:t>means the active and naturally occurring biological process where organic matter is degraded by bacteria under anoxic conditions to yield biogas, consisting primarily of methane and carbon dioxide, and a nutrient rich effluent.</w:t>
      </w:r>
    </w:p>
    <w:p w:rsidR="00896D15" w:rsidRPr="00CD3A21" w:rsidRDefault="00896D15" w:rsidP="00896D15">
      <w:pPr>
        <w:pStyle w:val="tDefn"/>
      </w:pPr>
      <w:proofErr w:type="gramStart"/>
      <w:r w:rsidRPr="00CD3A21">
        <w:rPr>
          <w:b/>
          <w:i/>
        </w:rPr>
        <w:t>biogas</w:t>
      </w:r>
      <w:proofErr w:type="gramEnd"/>
      <w:r w:rsidRPr="00CD3A21">
        <w:t xml:space="preserve"> means a mixture of gases, primarily methane and carbon dioxide, that is generated </w:t>
      </w:r>
      <w:r w:rsidR="00BB404B" w:rsidRPr="00CD3A21">
        <w:t>from</w:t>
      </w:r>
      <w:r w:rsidRPr="00CD3A21">
        <w:t xml:space="preserve"> anaerobic decomposition. </w:t>
      </w:r>
    </w:p>
    <w:p w:rsidR="00B2323D" w:rsidRPr="00CD3A21" w:rsidRDefault="00B2323D" w:rsidP="00B2323D">
      <w:pPr>
        <w:pStyle w:val="tDefn"/>
        <w:rPr>
          <w:b/>
          <w:i/>
        </w:rPr>
      </w:pPr>
      <w:r w:rsidRPr="00CD3A21">
        <w:rPr>
          <w:b/>
          <w:i/>
        </w:rPr>
        <w:t>CO</w:t>
      </w:r>
      <w:r w:rsidRPr="00CD3A21">
        <w:rPr>
          <w:b/>
          <w:i/>
          <w:vertAlign w:val="subscript"/>
        </w:rPr>
        <w:t>2</w:t>
      </w:r>
      <w:r w:rsidRPr="00CD3A21">
        <w:rPr>
          <w:b/>
          <w:i/>
        </w:rPr>
        <w:t>-e</w:t>
      </w:r>
      <w:r w:rsidRPr="00CD3A21">
        <w:t xml:space="preserve"> means carbon dioxide equivalent.</w:t>
      </w:r>
      <w:r w:rsidRPr="00CD3A21">
        <w:rPr>
          <w:b/>
          <w:i/>
        </w:rPr>
        <w:t xml:space="preserve"> </w:t>
      </w:r>
    </w:p>
    <w:p w:rsidR="00896D15" w:rsidRPr="00CD3A21" w:rsidRDefault="00896D15" w:rsidP="00896D15">
      <w:pPr>
        <w:pStyle w:val="tDefn"/>
      </w:pPr>
      <w:proofErr w:type="gramStart"/>
      <w:r w:rsidRPr="00CD3A21">
        <w:rPr>
          <w:b/>
          <w:i/>
        </w:rPr>
        <w:t>combustion</w:t>
      </w:r>
      <w:proofErr w:type="gramEnd"/>
      <w:r w:rsidRPr="00CD3A21">
        <w:rPr>
          <w:b/>
          <w:i/>
        </w:rPr>
        <w:t xml:space="preserve"> device </w:t>
      </w:r>
      <w:r w:rsidRPr="00CD3A21">
        <w:t>means a flare, whether enclosed or open, or an internal combustion engine or a gas boiler.</w:t>
      </w:r>
    </w:p>
    <w:p w:rsidR="00896D15" w:rsidRPr="00CD3A21" w:rsidRDefault="00896D15" w:rsidP="00896D15">
      <w:pPr>
        <w:pStyle w:val="tDefn"/>
        <w:rPr>
          <w:b/>
        </w:rPr>
      </w:pPr>
      <w:proofErr w:type="gramStart"/>
      <w:r w:rsidRPr="00CD3A21">
        <w:rPr>
          <w:b/>
          <w:i/>
        </w:rPr>
        <w:t>continuous</w:t>
      </w:r>
      <w:proofErr w:type="gramEnd"/>
      <w:r w:rsidRPr="00CD3A21">
        <w:rPr>
          <w:b/>
          <w:i/>
        </w:rPr>
        <w:t xml:space="preserve"> monitoring system</w:t>
      </w:r>
      <w:r w:rsidRPr="00CD3A21">
        <w:t xml:space="preserve"> means the equipment used to continuously acquire data, process the data and deliver the required information.</w:t>
      </w:r>
    </w:p>
    <w:p w:rsidR="00896D15" w:rsidRPr="00CD3A21" w:rsidRDefault="00896D15" w:rsidP="00896D15">
      <w:pPr>
        <w:pStyle w:val="tDefn"/>
      </w:pPr>
      <w:proofErr w:type="gramStart"/>
      <w:r w:rsidRPr="00CD3A21">
        <w:rPr>
          <w:b/>
          <w:i/>
        </w:rPr>
        <w:t>enclosed</w:t>
      </w:r>
      <w:proofErr w:type="gramEnd"/>
      <w:r w:rsidRPr="00CD3A21">
        <w:rPr>
          <w:b/>
          <w:i/>
        </w:rPr>
        <w:t xml:space="preserve"> flare</w:t>
      </w:r>
      <w:r w:rsidRPr="00CD3A21">
        <w:t xml:space="preserve"> means a device where residual gas is burned in a cylindrical or rectilinear enclosure that includes a burning system and a damper where air for the combustion reaction is admitted. </w:t>
      </w:r>
    </w:p>
    <w:p w:rsidR="00896D15" w:rsidRPr="00CD3A21" w:rsidRDefault="00896D15" w:rsidP="00896D15">
      <w:pPr>
        <w:pStyle w:val="tDefn"/>
      </w:pPr>
      <w:proofErr w:type="gramStart"/>
      <w:r w:rsidRPr="00CD3A21">
        <w:rPr>
          <w:b/>
          <w:i/>
        </w:rPr>
        <w:t>flaring</w:t>
      </w:r>
      <w:proofErr w:type="gramEnd"/>
      <w:r w:rsidRPr="00CD3A21">
        <w:rPr>
          <w:b/>
          <w:i/>
        </w:rPr>
        <w:t xml:space="preserve"> system</w:t>
      </w:r>
      <w:r w:rsidRPr="00CD3A21">
        <w:t xml:space="preserve"> means </w:t>
      </w:r>
      <w:r w:rsidR="00BB404B" w:rsidRPr="00CD3A21">
        <w:t xml:space="preserve">a </w:t>
      </w:r>
      <w:r w:rsidRPr="00CD3A21">
        <w:t xml:space="preserve">system </w:t>
      </w:r>
      <w:r w:rsidR="00711C90" w:rsidRPr="00CD3A21">
        <w:t xml:space="preserve">which is </w:t>
      </w:r>
      <w:r w:rsidRPr="00CD3A21">
        <w:t>used to combust biogas</w:t>
      </w:r>
      <w:r w:rsidR="00711C90" w:rsidRPr="00CD3A21">
        <w:t xml:space="preserve"> and</w:t>
      </w:r>
      <w:r w:rsidRPr="00CD3A21">
        <w:t xml:space="preserve"> which involves an open flare or an enclosed flare.</w:t>
      </w:r>
    </w:p>
    <w:p w:rsidR="00896D15" w:rsidRPr="00CD3A21" w:rsidRDefault="00896D15" w:rsidP="00896D15">
      <w:pPr>
        <w:pStyle w:val="tDefn"/>
      </w:pPr>
      <w:proofErr w:type="gramStart"/>
      <w:r w:rsidRPr="00CD3A21">
        <w:rPr>
          <w:b/>
          <w:i/>
        </w:rPr>
        <w:t>gas</w:t>
      </w:r>
      <w:proofErr w:type="gramEnd"/>
      <w:r w:rsidRPr="00CD3A21">
        <w:rPr>
          <w:b/>
          <w:i/>
        </w:rPr>
        <w:t xml:space="preserve"> boiler</w:t>
      </w:r>
      <w:r w:rsidRPr="00CD3A21">
        <w:rPr>
          <w:b/>
        </w:rPr>
        <w:t xml:space="preserve"> </w:t>
      </w:r>
      <w:r w:rsidRPr="00CD3A21">
        <w:t>means a combustion device for gaseous fuels, including biogas, for heating water or raising steam.</w:t>
      </w:r>
    </w:p>
    <w:p w:rsidR="001D283A" w:rsidRPr="00CD3A21" w:rsidRDefault="001D283A" w:rsidP="00B2323D">
      <w:pPr>
        <w:pStyle w:val="tDefn"/>
        <w:spacing w:line="247" w:lineRule="auto"/>
      </w:pPr>
      <w:r w:rsidRPr="00CD3A21">
        <w:rPr>
          <w:b/>
          <w:bCs/>
          <w:i/>
          <w:iCs/>
        </w:rPr>
        <w:t>GWP</w:t>
      </w:r>
      <w:r w:rsidRPr="00CD3A21">
        <w:rPr>
          <w:b/>
          <w:bCs/>
          <w:i/>
          <w:iCs/>
          <w:vertAlign w:val="subscript"/>
        </w:rPr>
        <w:t>CH</w:t>
      </w:r>
      <w:r w:rsidRPr="00CD3A21">
        <w:rPr>
          <w:rFonts w:ascii="Times New Roman Bold" w:hAnsi="Times New Roman Bold"/>
          <w:b/>
          <w:bCs/>
          <w:i/>
          <w:iCs/>
          <w:position w:val="-2"/>
          <w:vertAlign w:val="subscript"/>
        </w:rPr>
        <w:t>4</w:t>
      </w:r>
      <w:r w:rsidRPr="00CD3A21">
        <w:t xml:space="preserve"> means the global warming potential of methane, as prescribed in the NGER Regulations.</w:t>
      </w:r>
    </w:p>
    <w:p w:rsidR="00896D15" w:rsidRPr="00CD3A21" w:rsidRDefault="00896D15" w:rsidP="00896D15">
      <w:pPr>
        <w:pStyle w:val="tDefn"/>
      </w:pPr>
      <w:proofErr w:type="gramStart"/>
      <w:r w:rsidRPr="00CD3A21">
        <w:rPr>
          <w:b/>
          <w:bCs/>
          <w:i/>
        </w:rPr>
        <w:t>internal</w:t>
      </w:r>
      <w:proofErr w:type="gramEnd"/>
      <w:r w:rsidRPr="00CD3A21">
        <w:rPr>
          <w:b/>
          <w:bCs/>
          <w:i/>
        </w:rPr>
        <w:t xml:space="preserve"> combustion engine</w:t>
      </w:r>
      <w:r w:rsidRPr="00CD3A21">
        <w:t xml:space="preserve"> means an engine in which the combustion of a fuel occurs with an oxidizer in a combustion chamber.</w:t>
      </w:r>
    </w:p>
    <w:p w:rsidR="00896D15" w:rsidRPr="00CD3A21" w:rsidRDefault="00896D15" w:rsidP="00896D15">
      <w:pPr>
        <w:pStyle w:val="tDefn"/>
      </w:pPr>
      <w:proofErr w:type="gramStart"/>
      <w:r w:rsidRPr="00CD3A21">
        <w:rPr>
          <w:b/>
          <w:i/>
        </w:rPr>
        <w:lastRenderedPageBreak/>
        <w:t>lagoon</w:t>
      </w:r>
      <w:proofErr w:type="gramEnd"/>
      <w:r w:rsidRPr="00CD3A21">
        <w:rPr>
          <w:b/>
        </w:rPr>
        <w:t xml:space="preserve"> </w:t>
      </w:r>
      <w:r w:rsidRPr="00CD3A21">
        <w:t>means a dam into which liquid waste slurry produced during cleaning of sheds in conventional piggeries is deposited, stored and treated.</w:t>
      </w:r>
    </w:p>
    <w:p w:rsidR="00896D15" w:rsidRPr="00CD3A21" w:rsidRDefault="00896D15" w:rsidP="00896D15">
      <w:pPr>
        <w:pStyle w:val="tDefn"/>
      </w:pPr>
      <w:proofErr w:type="gramStart"/>
      <w:r w:rsidRPr="00CD3A21">
        <w:rPr>
          <w:b/>
          <w:i/>
        </w:rPr>
        <w:t>monitoring</w:t>
      </w:r>
      <w:proofErr w:type="gramEnd"/>
      <w:r w:rsidRPr="00CD3A21">
        <w:rPr>
          <w:b/>
          <w:i/>
        </w:rPr>
        <w:t xml:space="preserve"> instrument </w:t>
      </w:r>
      <w:r w:rsidRPr="00CD3A21">
        <w:t>means an instrument for measuring a quantity.</w:t>
      </w:r>
    </w:p>
    <w:p w:rsidR="00896D15" w:rsidRPr="00CD3A21" w:rsidRDefault="00896D15" w:rsidP="00896D15">
      <w:pPr>
        <w:pStyle w:val="tDefn"/>
      </w:pPr>
      <w:r w:rsidRPr="00CD3A21">
        <w:rPr>
          <w:b/>
          <w:i/>
        </w:rPr>
        <w:t xml:space="preserve">NATA </w:t>
      </w:r>
      <w:r w:rsidRPr="00CD3A21">
        <w:t>means</w:t>
      </w:r>
      <w:r w:rsidRPr="00CD3A21">
        <w:rPr>
          <w:b/>
          <w:i/>
        </w:rPr>
        <w:t xml:space="preserve"> </w:t>
      </w:r>
      <w:r w:rsidRPr="00CD3A21">
        <w:t>the National Association of Testing Authorities, Australia (ACN</w:t>
      </w:r>
      <w:r w:rsidR="00711C90" w:rsidRPr="00CD3A21">
        <w:t> </w:t>
      </w:r>
      <w:r w:rsidRPr="00CD3A21">
        <w:t>004</w:t>
      </w:r>
      <w:r w:rsidR="00711C90" w:rsidRPr="00CD3A21">
        <w:t> </w:t>
      </w:r>
      <w:r w:rsidRPr="00CD3A21">
        <w:t>379 748).</w:t>
      </w:r>
    </w:p>
    <w:p w:rsidR="00896D15" w:rsidRPr="00CD3A21" w:rsidRDefault="00896D15" w:rsidP="00896D15">
      <w:pPr>
        <w:pStyle w:val="tDefn"/>
      </w:pPr>
      <w:r w:rsidRPr="00CD3A21">
        <w:rPr>
          <w:b/>
          <w:i/>
        </w:rPr>
        <w:t xml:space="preserve">NGER Measurement Determination </w:t>
      </w:r>
      <w:r w:rsidRPr="00CD3A21">
        <w:t xml:space="preserve">means the applicable determination made under subsection 10(3) of the </w:t>
      </w:r>
      <w:r w:rsidRPr="00CD3A21">
        <w:rPr>
          <w:i/>
        </w:rPr>
        <w:t>National Greenhouse and Energy Reporting Act 2007</w:t>
      </w:r>
      <w:r w:rsidRPr="00CD3A21">
        <w:t>.</w:t>
      </w:r>
    </w:p>
    <w:p w:rsidR="00896D15" w:rsidRPr="00CD3A21" w:rsidRDefault="00896D15" w:rsidP="00896D15">
      <w:pPr>
        <w:pStyle w:val="tDefn"/>
      </w:pPr>
      <w:r w:rsidRPr="00CD3A21">
        <w:rPr>
          <w:b/>
          <w:i/>
        </w:rPr>
        <w:t>NGER Regulations</w:t>
      </w:r>
      <w:r w:rsidRPr="00CD3A21">
        <w:rPr>
          <w:i/>
        </w:rPr>
        <w:t xml:space="preserve"> </w:t>
      </w:r>
      <w:r w:rsidRPr="00CD3A21">
        <w:t xml:space="preserve">means the regulations made under the </w:t>
      </w:r>
      <w:r w:rsidRPr="00CD3A21">
        <w:rPr>
          <w:i/>
        </w:rPr>
        <w:t>National Greenhouse and Energy Reporting Act 2007</w:t>
      </w:r>
      <w:r w:rsidRPr="00CD3A21">
        <w:t>.</w:t>
      </w:r>
    </w:p>
    <w:p w:rsidR="00896D15" w:rsidRPr="00CD3A21" w:rsidRDefault="00896D15" w:rsidP="00896D15">
      <w:pPr>
        <w:pStyle w:val="tDefn"/>
      </w:pPr>
      <w:proofErr w:type="gramStart"/>
      <w:r w:rsidRPr="00CD3A21">
        <w:rPr>
          <w:b/>
          <w:i/>
        </w:rPr>
        <w:t>open</w:t>
      </w:r>
      <w:proofErr w:type="gramEnd"/>
      <w:r w:rsidRPr="00CD3A21">
        <w:rPr>
          <w:b/>
          <w:i/>
        </w:rPr>
        <w:t xml:space="preserve"> flare</w:t>
      </w:r>
      <w:r w:rsidRPr="00CD3A21">
        <w:t xml:space="preserve"> means a device where residual gas is burned in open air with or without any auxiliary fuel assistance.</w:t>
      </w:r>
    </w:p>
    <w:p w:rsidR="00896D15" w:rsidRPr="00CD3A21" w:rsidRDefault="00896D15" w:rsidP="00896D15">
      <w:pPr>
        <w:pStyle w:val="tDefn"/>
      </w:pPr>
      <w:proofErr w:type="spellStart"/>
      <w:r w:rsidRPr="00CD3A21">
        <w:rPr>
          <w:b/>
          <w:i/>
        </w:rPr>
        <w:t>PigBal</w:t>
      </w:r>
      <w:proofErr w:type="spellEnd"/>
      <w:r w:rsidRPr="00CD3A21">
        <w:rPr>
          <w:b/>
          <w:i/>
        </w:rPr>
        <w:t xml:space="preserve"> model</w:t>
      </w:r>
      <w:r w:rsidRPr="00CD3A21">
        <w:rPr>
          <w:b/>
        </w:rPr>
        <w:t xml:space="preserve"> </w:t>
      </w:r>
      <w:r w:rsidRPr="00CD3A21">
        <w:t xml:space="preserve">means </w:t>
      </w:r>
      <w:proofErr w:type="spellStart"/>
      <w:r w:rsidRPr="00CD3A21">
        <w:t>PigBal</w:t>
      </w:r>
      <w:proofErr w:type="spellEnd"/>
      <w:r w:rsidRPr="00CD3A21">
        <w:t xml:space="preserve"> Version 2.14 produced by </w:t>
      </w:r>
      <w:r w:rsidR="00B27F69" w:rsidRPr="00CD3A21">
        <w:t xml:space="preserve">the </w:t>
      </w:r>
      <w:r w:rsidRPr="00CD3A21">
        <w:t xml:space="preserve">Queensland Department of </w:t>
      </w:r>
      <w:r w:rsidR="00B27F69" w:rsidRPr="00CD3A21">
        <w:t xml:space="preserve">Agriculture, Fisheries and Forestry; the publication is </w:t>
      </w:r>
      <w:r w:rsidRPr="00CD3A21">
        <w:t xml:space="preserve">used to calculate nutrient and salt content in the waste effluent from a piggery and </w:t>
      </w:r>
      <w:r w:rsidR="00711C90" w:rsidRPr="00CD3A21">
        <w:t>comprises</w:t>
      </w:r>
      <w:r w:rsidRPr="00CD3A21">
        <w:t>:</w:t>
      </w:r>
    </w:p>
    <w:p w:rsidR="00896D15" w:rsidRPr="00CD3A21" w:rsidRDefault="00896D15" w:rsidP="000477DE">
      <w:pPr>
        <w:pStyle w:val="definition"/>
        <w:numPr>
          <w:ilvl w:val="0"/>
          <w:numId w:val="2"/>
        </w:numPr>
        <w:spacing w:before="120" w:after="120" w:line="240" w:lineRule="auto"/>
        <w:jc w:val="left"/>
      </w:pPr>
      <w:r w:rsidRPr="00CD3A21">
        <w:t xml:space="preserve">the </w:t>
      </w:r>
      <w:proofErr w:type="spellStart"/>
      <w:r w:rsidRPr="00CD3A21">
        <w:t>PigBal</w:t>
      </w:r>
      <w:proofErr w:type="spellEnd"/>
      <w:r w:rsidRPr="00CD3A21">
        <w:t xml:space="preserve"> Manual; and</w:t>
      </w:r>
    </w:p>
    <w:p w:rsidR="00896D15" w:rsidRPr="00CD3A21" w:rsidRDefault="00896D15" w:rsidP="000477DE">
      <w:pPr>
        <w:pStyle w:val="definition"/>
        <w:numPr>
          <w:ilvl w:val="0"/>
          <w:numId w:val="2"/>
        </w:numPr>
        <w:spacing w:before="120" w:after="120" w:line="240" w:lineRule="auto"/>
        <w:jc w:val="left"/>
      </w:pPr>
      <w:r w:rsidRPr="00CD3A21">
        <w:t xml:space="preserve">the </w:t>
      </w:r>
      <w:proofErr w:type="spellStart"/>
      <w:r w:rsidRPr="00CD3A21">
        <w:t>PigBal</w:t>
      </w:r>
      <w:proofErr w:type="spellEnd"/>
      <w:r w:rsidRPr="00CD3A21">
        <w:t xml:space="preserve"> workbook</w:t>
      </w:r>
      <w:r w:rsidR="00B25B29" w:rsidRPr="00CD3A21">
        <w:t>;</w:t>
      </w:r>
    </w:p>
    <w:p w:rsidR="00896D15" w:rsidRPr="00CD3A21" w:rsidRDefault="00896D15" w:rsidP="006A242A">
      <w:pPr>
        <w:pStyle w:val="definition"/>
        <w:spacing w:before="120" w:after="120" w:line="240" w:lineRule="auto"/>
      </w:pPr>
      <w:proofErr w:type="gramStart"/>
      <w:r w:rsidRPr="00CD3A21">
        <w:t>and</w:t>
      </w:r>
      <w:proofErr w:type="gramEnd"/>
      <w:r w:rsidRPr="00CD3A21">
        <w:t xml:space="preserve"> is available at www.climatechange.gov.au</w:t>
      </w:r>
      <w:r w:rsidR="00CC39B9" w:rsidRPr="00CD3A21">
        <w:t>.</w:t>
      </w:r>
    </w:p>
    <w:p w:rsidR="00896D15" w:rsidRPr="00CD3A21" w:rsidRDefault="00896D15" w:rsidP="006A242A">
      <w:pPr>
        <w:pStyle w:val="tDefn"/>
      </w:pPr>
      <w:proofErr w:type="gramStart"/>
      <w:r w:rsidRPr="00CD3A21">
        <w:rPr>
          <w:b/>
          <w:i/>
        </w:rPr>
        <w:t>standard</w:t>
      </w:r>
      <w:proofErr w:type="gramEnd"/>
      <w:r w:rsidRPr="00CD3A21">
        <w:rPr>
          <w:b/>
          <w:i/>
        </w:rPr>
        <w:t xml:space="preserve"> conditions</w:t>
      </w:r>
      <w:r w:rsidRPr="00CD3A21">
        <w:t xml:space="preserve"> has the same meaning provided in the NGER Measurement Determination.</w:t>
      </w:r>
    </w:p>
    <w:p w:rsidR="00896D15" w:rsidRPr="00CD3A21" w:rsidRDefault="00896D15" w:rsidP="006A242A">
      <w:pPr>
        <w:pStyle w:val="tDefn"/>
      </w:pPr>
      <w:r w:rsidRPr="00CD3A21">
        <w:rPr>
          <w:b/>
          <w:i/>
        </w:rPr>
        <w:t xml:space="preserve">US EPA Method </w:t>
      </w:r>
      <w:r w:rsidRPr="00CD3A21">
        <w:t xml:space="preserve">means </w:t>
      </w:r>
      <w:r w:rsidR="00BB404B" w:rsidRPr="00CD3A21">
        <w:t xml:space="preserve">a </w:t>
      </w:r>
      <w:r w:rsidRPr="00CD3A21">
        <w:t>test method</w:t>
      </w:r>
      <w:r w:rsidR="00BB404B" w:rsidRPr="00CD3A21">
        <w:t xml:space="preserve"> so named and</w:t>
      </w:r>
      <w:r w:rsidRPr="00CD3A21">
        <w:t xml:space="preserve"> approved by the United States Environmental Protection Agency</w:t>
      </w:r>
      <w:r w:rsidR="00BB404B" w:rsidRPr="00CD3A21">
        <w:t>,</w:t>
      </w:r>
      <w:r w:rsidRPr="00CD3A21">
        <w:t xml:space="preserve"> as amended from time to time.</w:t>
      </w:r>
    </w:p>
    <w:p w:rsidR="00896D15" w:rsidRPr="00CD3A21" w:rsidRDefault="00896D15" w:rsidP="00896D15">
      <w:pPr>
        <w:pStyle w:val="notePara"/>
        <w:rPr>
          <w:color w:val="000000"/>
        </w:rPr>
      </w:pPr>
      <w:r w:rsidRPr="00CD3A21">
        <w:tab/>
      </w:r>
      <w:r w:rsidRPr="00CD3A21">
        <w:rPr>
          <w:b/>
          <w:i/>
        </w:rPr>
        <w:t>Note</w:t>
      </w:r>
      <w:r w:rsidRPr="00CD3A21">
        <w:tab/>
        <w:t>A link to these methods is available at www.climatechange.gov.au</w:t>
      </w:r>
      <w:r w:rsidR="008B654E" w:rsidRPr="00CD3A21">
        <w:t>.</w:t>
      </w:r>
    </w:p>
    <w:p w:rsidR="00C4585C" w:rsidRPr="00CD3A21" w:rsidRDefault="00896D15" w:rsidP="00896D15">
      <w:pPr>
        <w:pStyle w:val="notePara"/>
      </w:pPr>
      <w:r w:rsidRPr="00CD3A21">
        <w:tab/>
      </w:r>
      <w:r w:rsidRPr="00CD3A21">
        <w:rPr>
          <w:b/>
          <w:i/>
        </w:rPr>
        <w:t>Note</w:t>
      </w:r>
      <w:r w:rsidRPr="00CD3A21">
        <w:tab/>
      </w:r>
      <w:r w:rsidR="00C4585C" w:rsidRPr="00CD3A21">
        <w:t>Other words and expressions used in this Determination have the meaning given by the Act.  These terms include:</w:t>
      </w:r>
    </w:p>
    <w:p w:rsidR="00C4585C" w:rsidRPr="00CD3A21" w:rsidRDefault="0033655F" w:rsidP="00896D15">
      <w:pPr>
        <w:pStyle w:val="noteMain"/>
        <w:ind w:left="1758"/>
        <w:rPr>
          <w:b/>
          <w:i/>
        </w:rPr>
      </w:pPr>
      <w:r w:rsidRPr="00CD3A21">
        <w:tab/>
      </w:r>
      <w:r w:rsidRPr="00CD3A21">
        <w:tab/>
      </w:r>
      <w:proofErr w:type="gramStart"/>
      <w:r w:rsidR="00C4585C" w:rsidRPr="00CD3A21">
        <w:rPr>
          <w:b/>
          <w:i/>
        </w:rPr>
        <w:t>baseline</w:t>
      </w:r>
      <w:proofErr w:type="gramEnd"/>
    </w:p>
    <w:p w:rsidR="00C4585C" w:rsidRPr="00CD3A21" w:rsidRDefault="0033655F" w:rsidP="00896D15">
      <w:pPr>
        <w:pStyle w:val="noteMain"/>
        <w:ind w:left="1758"/>
        <w:rPr>
          <w:b/>
          <w:i/>
        </w:rPr>
      </w:pPr>
      <w:r w:rsidRPr="00CD3A21">
        <w:rPr>
          <w:b/>
          <w:i/>
        </w:rPr>
        <w:tab/>
      </w:r>
      <w:r w:rsidRPr="00CD3A21">
        <w:rPr>
          <w:b/>
          <w:i/>
        </w:rPr>
        <w:tab/>
      </w:r>
      <w:proofErr w:type="gramStart"/>
      <w:r w:rsidR="00C4585C" w:rsidRPr="00CD3A21">
        <w:rPr>
          <w:b/>
          <w:i/>
        </w:rPr>
        <w:t>eligible</w:t>
      </w:r>
      <w:proofErr w:type="gramEnd"/>
      <w:r w:rsidR="00C4585C" w:rsidRPr="00CD3A21">
        <w:rPr>
          <w:b/>
          <w:i/>
        </w:rPr>
        <w:t xml:space="preserve"> offsets project</w:t>
      </w:r>
    </w:p>
    <w:p w:rsidR="00C4585C" w:rsidRPr="00CD3A21" w:rsidRDefault="0033655F" w:rsidP="00896D15">
      <w:pPr>
        <w:pStyle w:val="noteMain"/>
        <w:ind w:left="1758"/>
        <w:rPr>
          <w:b/>
          <w:i/>
        </w:rPr>
      </w:pPr>
      <w:r w:rsidRPr="00CD3A21">
        <w:rPr>
          <w:b/>
          <w:i/>
        </w:rPr>
        <w:tab/>
      </w:r>
      <w:r w:rsidRPr="00CD3A21">
        <w:rPr>
          <w:b/>
          <w:i/>
        </w:rPr>
        <w:tab/>
      </w:r>
      <w:proofErr w:type="gramStart"/>
      <w:r w:rsidR="00C4585C" w:rsidRPr="00CD3A21">
        <w:rPr>
          <w:b/>
          <w:i/>
        </w:rPr>
        <w:t>emission</w:t>
      </w:r>
      <w:proofErr w:type="gramEnd"/>
    </w:p>
    <w:p w:rsidR="00C4585C" w:rsidRPr="00CD3A21" w:rsidRDefault="0033655F" w:rsidP="00896D15">
      <w:pPr>
        <w:pStyle w:val="noteMain"/>
        <w:ind w:left="1758"/>
        <w:rPr>
          <w:b/>
          <w:i/>
        </w:rPr>
      </w:pPr>
      <w:r w:rsidRPr="00CD3A21">
        <w:rPr>
          <w:b/>
          <w:i/>
        </w:rPr>
        <w:tab/>
      </w:r>
      <w:r w:rsidRPr="00CD3A21">
        <w:rPr>
          <w:b/>
          <w:i/>
        </w:rPr>
        <w:tab/>
      </w:r>
      <w:proofErr w:type="gramStart"/>
      <w:r w:rsidR="00C4585C" w:rsidRPr="00CD3A21">
        <w:rPr>
          <w:b/>
          <w:i/>
        </w:rPr>
        <w:t>greenhouse</w:t>
      </w:r>
      <w:proofErr w:type="gramEnd"/>
      <w:r w:rsidR="00C4585C" w:rsidRPr="00CD3A21">
        <w:rPr>
          <w:b/>
          <w:i/>
        </w:rPr>
        <w:t xml:space="preserve"> gas</w:t>
      </w:r>
    </w:p>
    <w:p w:rsidR="00C4585C" w:rsidRPr="00CD3A21" w:rsidRDefault="0033655F" w:rsidP="00896D15">
      <w:pPr>
        <w:pStyle w:val="noteMain"/>
        <w:ind w:left="1758"/>
        <w:rPr>
          <w:b/>
          <w:i/>
        </w:rPr>
      </w:pPr>
      <w:r w:rsidRPr="00CD3A21">
        <w:rPr>
          <w:b/>
          <w:i/>
        </w:rPr>
        <w:tab/>
      </w:r>
      <w:r w:rsidRPr="00CD3A21">
        <w:rPr>
          <w:b/>
          <w:i/>
        </w:rPr>
        <w:tab/>
      </w:r>
      <w:proofErr w:type="gramStart"/>
      <w:r w:rsidR="00C4585C" w:rsidRPr="00CD3A21">
        <w:rPr>
          <w:b/>
          <w:i/>
        </w:rPr>
        <w:t>offsets</w:t>
      </w:r>
      <w:proofErr w:type="gramEnd"/>
      <w:r w:rsidR="00C4585C" w:rsidRPr="00CD3A21">
        <w:rPr>
          <w:b/>
          <w:i/>
        </w:rPr>
        <w:t xml:space="preserve"> project</w:t>
      </w:r>
    </w:p>
    <w:p w:rsidR="00C4585C" w:rsidRPr="00CD3A21" w:rsidRDefault="0033655F" w:rsidP="00896D15">
      <w:pPr>
        <w:pStyle w:val="noteMain"/>
        <w:ind w:left="1758"/>
        <w:rPr>
          <w:b/>
          <w:i/>
        </w:rPr>
      </w:pPr>
      <w:r w:rsidRPr="00CD3A21">
        <w:rPr>
          <w:b/>
          <w:i/>
        </w:rPr>
        <w:tab/>
      </w:r>
      <w:r w:rsidRPr="00CD3A21">
        <w:rPr>
          <w:b/>
          <w:i/>
        </w:rPr>
        <w:tab/>
      </w:r>
      <w:proofErr w:type="gramStart"/>
      <w:r w:rsidR="00C4585C" w:rsidRPr="00CD3A21">
        <w:rPr>
          <w:b/>
          <w:i/>
        </w:rPr>
        <w:t>offsets</w:t>
      </w:r>
      <w:proofErr w:type="gramEnd"/>
      <w:r w:rsidR="00C4585C" w:rsidRPr="00CD3A21">
        <w:rPr>
          <w:b/>
          <w:i/>
        </w:rPr>
        <w:t xml:space="preserve"> report</w:t>
      </w:r>
    </w:p>
    <w:p w:rsidR="00C4585C" w:rsidRPr="00CD3A21" w:rsidRDefault="0033655F" w:rsidP="00896D15">
      <w:pPr>
        <w:pStyle w:val="noteMain"/>
        <w:ind w:left="1758"/>
        <w:rPr>
          <w:b/>
          <w:i/>
        </w:rPr>
      </w:pPr>
      <w:r w:rsidRPr="00CD3A21">
        <w:rPr>
          <w:b/>
          <w:i/>
        </w:rPr>
        <w:tab/>
      </w:r>
      <w:r w:rsidRPr="00CD3A21">
        <w:rPr>
          <w:b/>
          <w:i/>
        </w:rPr>
        <w:tab/>
      </w:r>
      <w:proofErr w:type="gramStart"/>
      <w:r w:rsidR="00C4585C" w:rsidRPr="00CD3A21">
        <w:rPr>
          <w:b/>
          <w:i/>
        </w:rPr>
        <w:t>project</w:t>
      </w:r>
      <w:proofErr w:type="gramEnd"/>
    </w:p>
    <w:p w:rsidR="00C4585C" w:rsidRPr="00CD3A21" w:rsidRDefault="0033655F" w:rsidP="00896D15">
      <w:pPr>
        <w:pStyle w:val="noteMain"/>
        <w:ind w:left="1758"/>
        <w:rPr>
          <w:b/>
          <w:i/>
        </w:rPr>
      </w:pPr>
      <w:r w:rsidRPr="00CD3A21">
        <w:rPr>
          <w:b/>
          <w:i/>
        </w:rPr>
        <w:tab/>
      </w:r>
      <w:r w:rsidRPr="00CD3A21">
        <w:rPr>
          <w:b/>
          <w:i/>
        </w:rPr>
        <w:tab/>
      </w:r>
      <w:proofErr w:type="gramStart"/>
      <w:r w:rsidR="00C4585C" w:rsidRPr="00CD3A21">
        <w:rPr>
          <w:b/>
          <w:i/>
        </w:rPr>
        <w:t>project</w:t>
      </w:r>
      <w:proofErr w:type="gramEnd"/>
      <w:r w:rsidR="00C4585C" w:rsidRPr="00CD3A21">
        <w:rPr>
          <w:b/>
          <w:i/>
        </w:rPr>
        <w:t xml:space="preserve"> area</w:t>
      </w:r>
    </w:p>
    <w:p w:rsidR="00C4585C" w:rsidRPr="00CD3A21" w:rsidRDefault="0033655F" w:rsidP="00896D15">
      <w:pPr>
        <w:pStyle w:val="noteMain"/>
        <w:ind w:left="1758"/>
        <w:rPr>
          <w:b/>
          <w:i/>
        </w:rPr>
      </w:pPr>
      <w:r w:rsidRPr="00CD3A21">
        <w:rPr>
          <w:b/>
          <w:i/>
        </w:rPr>
        <w:tab/>
      </w:r>
      <w:r w:rsidRPr="00CD3A21">
        <w:rPr>
          <w:b/>
          <w:i/>
        </w:rPr>
        <w:tab/>
      </w:r>
      <w:proofErr w:type="gramStart"/>
      <w:r w:rsidR="00C4585C" w:rsidRPr="00CD3A21">
        <w:rPr>
          <w:b/>
          <w:i/>
        </w:rPr>
        <w:t>project</w:t>
      </w:r>
      <w:proofErr w:type="gramEnd"/>
      <w:r w:rsidR="00C4585C" w:rsidRPr="00CD3A21">
        <w:rPr>
          <w:b/>
          <w:i/>
        </w:rPr>
        <w:t xml:space="preserve"> proponent</w:t>
      </w:r>
    </w:p>
    <w:p w:rsidR="00C4585C" w:rsidRPr="00CD3A21" w:rsidRDefault="0033655F" w:rsidP="00896D15">
      <w:pPr>
        <w:pStyle w:val="noteMain"/>
        <w:ind w:left="1758"/>
        <w:rPr>
          <w:b/>
          <w:i/>
        </w:rPr>
      </w:pPr>
      <w:r w:rsidRPr="00CD3A21">
        <w:rPr>
          <w:b/>
          <w:i/>
        </w:rPr>
        <w:tab/>
      </w:r>
      <w:r w:rsidRPr="00CD3A21">
        <w:rPr>
          <w:b/>
          <w:i/>
        </w:rPr>
        <w:tab/>
      </w:r>
      <w:proofErr w:type="gramStart"/>
      <w:r w:rsidR="00C4585C" w:rsidRPr="00CD3A21">
        <w:rPr>
          <w:b/>
          <w:i/>
        </w:rPr>
        <w:t>reporting</w:t>
      </w:r>
      <w:proofErr w:type="gramEnd"/>
      <w:r w:rsidR="00C4585C" w:rsidRPr="00CD3A21">
        <w:rPr>
          <w:b/>
          <w:i/>
        </w:rPr>
        <w:t xml:space="preserve"> period</w:t>
      </w:r>
    </w:p>
    <w:p w:rsidR="00E47935" w:rsidRPr="00CD3A21" w:rsidRDefault="000C29DD" w:rsidP="00A52416">
      <w:pPr>
        <w:pStyle w:val="h5Section"/>
      </w:pPr>
      <w:bookmarkStart w:id="7" w:name="_Toc357161746"/>
      <w:r w:rsidRPr="00CD3A21">
        <w:lastRenderedPageBreak/>
        <w:t>1.4</w:t>
      </w:r>
      <w:r w:rsidR="00A52416" w:rsidRPr="00CD3A21">
        <w:tab/>
      </w:r>
      <w:r w:rsidR="00047F86" w:rsidRPr="00CD3A21">
        <w:t>Kind</w:t>
      </w:r>
      <w:r w:rsidR="00E47935" w:rsidRPr="00CD3A21">
        <w:t xml:space="preserve"> of project to which this Determination applies</w:t>
      </w:r>
      <w:bookmarkEnd w:id="7"/>
      <w:r w:rsidR="00E908E7" w:rsidRPr="00CD3A21">
        <w:t xml:space="preserve"> </w:t>
      </w:r>
    </w:p>
    <w:p w:rsidR="00E47935" w:rsidRPr="00CD3A21" w:rsidRDefault="00D01EF1" w:rsidP="005B11E4">
      <w:pPr>
        <w:pStyle w:val="noteMain"/>
        <w:keepNext/>
      </w:pPr>
      <w:r w:rsidRPr="00CD3A21">
        <w:tab/>
      </w:r>
      <w:r w:rsidRPr="00CD3A21">
        <w:rPr>
          <w:b/>
          <w:i/>
        </w:rPr>
        <w:t>Note</w:t>
      </w:r>
      <w:r w:rsidRPr="00CD3A21">
        <w:tab/>
      </w:r>
      <w:r w:rsidR="00E47935" w:rsidRPr="00CD3A21">
        <w:t>See paragraph 106(1</w:t>
      </w:r>
      <w:proofErr w:type="gramStart"/>
      <w:r w:rsidR="00E47935" w:rsidRPr="00CD3A21">
        <w:t>)(</w:t>
      </w:r>
      <w:proofErr w:type="gramEnd"/>
      <w:r w:rsidR="00E47935" w:rsidRPr="00CD3A21">
        <w:t>a) of the Act.</w:t>
      </w:r>
    </w:p>
    <w:p w:rsidR="00E47935" w:rsidRPr="00CD3A21" w:rsidRDefault="009F58D5" w:rsidP="005B11E4">
      <w:pPr>
        <w:pStyle w:val="tMain"/>
        <w:keepNext/>
      </w:pPr>
      <w:r w:rsidRPr="00CD3A21">
        <w:tab/>
      </w:r>
      <w:r w:rsidRPr="00CD3A21">
        <w:tab/>
      </w:r>
      <w:r w:rsidR="00E47935" w:rsidRPr="00CD3A21">
        <w:t xml:space="preserve">This Determination applies to </w:t>
      </w:r>
      <w:r w:rsidRPr="00CD3A21">
        <w:rPr>
          <w:rStyle w:val="CharSectno"/>
        </w:rPr>
        <w:t xml:space="preserve">a project to capture </w:t>
      </w:r>
      <w:r w:rsidRPr="00CD3A21">
        <w:t>biogas generated by the decomposition of piggery manure waste in anaerobic lagoons and to combust the methane component of the captured biogas.</w:t>
      </w:r>
    </w:p>
    <w:p w:rsidR="00E47935" w:rsidRPr="00CD3A21" w:rsidRDefault="00A52416" w:rsidP="00A52416">
      <w:pPr>
        <w:pStyle w:val="h2Part"/>
      </w:pPr>
      <w:bookmarkStart w:id="8" w:name="_Toc357161747"/>
      <w:r w:rsidRPr="00CD3A21">
        <w:lastRenderedPageBreak/>
        <w:t xml:space="preserve">Part </w:t>
      </w:r>
      <w:r w:rsidR="000C29DD" w:rsidRPr="00CD3A21">
        <w:t>2</w:t>
      </w:r>
      <w:r w:rsidRPr="00CD3A21">
        <w:tab/>
      </w:r>
      <w:r w:rsidR="00E47935" w:rsidRPr="00CD3A21">
        <w:t>Requirements for declaration as eligible project</w:t>
      </w:r>
      <w:bookmarkEnd w:id="8"/>
    </w:p>
    <w:p w:rsidR="003D3593" w:rsidRPr="00CD3A21" w:rsidRDefault="0033655F" w:rsidP="0033655F">
      <w:pPr>
        <w:pStyle w:val="noteMain"/>
      </w:pPr>
      <w:r w:rsidRPr="00CD3A21">
        <w:tab/>
      </w:r>
      <w:r w:rsidRPr="00CD3A21">
        <w:rPr>
          <w:b/>
          <w:i/>
        </w:rPr>
        <w:t>Note</w:t>
      </w:r>
      <w:r w:rsidRPr="00CD3A21">
        <w:tab/>
      </w:r>
      <w:r w:rsidR="003D3593" w:rsidRPr="00CD3A21">
        <w:t>See paragraphs 27(4</w:t>
      </w:r>
      <w:proofErr w:type="gramStart"/>
      <w:r w:rsidR="003D3593" w:rsidRPr="00CD3A21">
        <w:t>)(</w:t>
      </w:r>
      <w:proofErr w:type="gramEnd"/>
      <w:r w:rsidR="003D3593" w:rsidRPr="00CD3A21">
        <w:t>c), 35(2)(a) and 106(1)(b) of the Act.</w:t>
      </w:r>
    </w:p>
    <w:p w:rsidR="00E47935" w:rsidRPr="00CD3A21" w:rsidRDefault="000C29DD" w:rsidP="00A52416">
      <w:pPr>
        <w:pStyle w:val="h5Section"/>
      </w:pPr>
      <w:bookmarkStart w:id="9" w:name="_Toc357161748"/>
      <w:r w:rsidRPr="00CD3A21">
        <w:t>2.1</w:t>
      </w:r>
      <w:r w:rsidR="00A52416" w:rsidRPr="00CD3A21">
        <w:tab/>
      </w:r>
      <w:r w:rsidR="00E47935" w:rsidRPr="00CD3A21">
        <w:t>Eligible projects</w:t>
      </w:r>
      <w:bookmarkEnd w:id="9"/>
    </w:p>
    <w:p w:rsidR="00E47935" w:rsidRPr="00CD3A21" w:rsidRDefault="0033655F" w:rsidP="0033655F">
      <w:pPr>
        <w:pStyle w:val="tMain"/>
      </w:pPr>
      <w:r w:rsidRPr="00CD3A21">
        <w:tab/>
      </w:r>
      <w:r w:rsidRPr="00CD3A21">
        <w:tab/>
      </w:r>
      <w:r w:rsidR="00E47935" w:rsidRPr="00CD3A21">
        <w:t>To be declared an eligible offsets project, a project to which this Determination applies must meet the requirements in this Part.</w:t>
      </w:r>
    </w:p>
    <w:p w:rsidR="00E47935" w:rsidRPr="00CD3A21" w:rsidRDefault="000C29DD" w:rsidP="00A52416">
      <w:pPr>
        <w:pStyle w:val="h5Section"/>
      </w:pPr>
      <w:bookmarkStart w:id="10" w:name="_Toc357161749"/>
      <w:r w:rsidRPr="00CD3A21">
        <w:t>2.2</w:t>
      </w:r>
      <w:r w:rsidR="00A52416" w:rsidRPr="00CD3A21">
        <w:tab/>
      </w:r>
      <w:r w:rsidR="00E47935" w:rsidRPr="00CD3A21">
        <w:t>Requirement 1—Location</w:t>
      </w:r>
      <w:bookmarkEnd w:id="10"/>
    </w:p>
    <w:p w:rsidR="00E47935" w:rsidRPr="00CD3A21" w:rsidRDefault="0033655F" w:rsidP="0033655F">
      <w:pPr>
        <w:pStyle w:val="tMain"/>
      </w:pPr>
      <w:r w:rsidRPr="00CD3A21">
        <w:tab/>
      </w:r>
      <w:r w:rsidRPr="00CD3A21">
        <w:tab/>
      </w:r>
      <w:r w:rsidR="00E47935" w:rsidRPr="00CD3A21">
        <w:t xml:space="preserve">The project must be </w:t>
      </w:r>
      <w:r w:rsidR="005910BC" w:rsidRPr="00CD3A21">
        <w:t xml:space="preserve">located </w:t>
      </w:r>
      <w:r w:rsidR="00E47935" w:rsidRPr="00CD3A21">
        <w:t>within Australia.</w:t>
      </w:r>
    </w:p>
    <w:p w:rsidR="00E47935" w:rsidRPr="00CD3A21" w:rsidRDefault="000C29DD" w:rsidP="00A52416">
      <w:pPr>
        <w:pStyle w:val="h5Section"/>
      </w:pPr>
      <w:bookmarkStart w:id="11" w:name="_Toc357161750"/>
      <w:r w:rsidRPr="00CD3A21">
        <w:t>2.3</w:t>
      </w:r>
      <w:r w:rsidR="00A52416" w:rsidRPr="00CD3A21">
        <w:tab/>
      </w:r>
      <w:r w:rsidR="00E47935" w:rsidRPr="00CD3A21">
        <w:t xml:space="preserve">Requirement </w:t>
      </w:r>
      <w:r w:rsidR="00103BA1" w:rsidRPr="00CD3A21">
        <w:t>2</w:t>
      </w:r>
      <w:r w:rsidR="00E47935" w:rsidRPr="00CD3A21">
        <w:t>—Project mechanism</w:t>
      </w:r>
      <w:bookmarkEnd w:id="11"/>
      <w:r w:rsidR="00E908E7" w:rsidRPr="00CD3A21">
        <w:t xml:space="preserve"> </w:t>
      </w:r>
    </w:p>
    <w:p w:rsidR="00E47935" w:rsidRPr="00CD3A21" w:rsidRDefault="00F93B24" w:rsidP="00F93B24">
      <w:pPr>
        <w:pStyle w:val="tMain"/>
      </w:pPr>
      <w:r w:rsidRPr="00CD3A21">
        <w:tab/>
      </w:r>
      <w:r w:rsidRPr="00CD3A21">
        <w:tab/>
      </w:r>
      <w:r w:rsidR="00E47935" w:rsidRPr="00CD3A21">
        <w:t>The project must</w:t>
      </w:r>
      <w:r w:rsidR="007C0446" w:rsidRPr="00CD3A21">
        <w:t xml:space="preserve"> be carried out at </w:t>
      </w:r>
      <w:r w:rsidR="00BB404B" w:rsidRPr="00CD3A21">
        <w:t xml:space="preserve">a </w:t>
      </w:r>
      <w:r w:rsidR="007C0446" w:rsidRPr="00CD3A21">
        <w:t>pigger</w:t>
      </w:r>
      <w:r w:rsidR="00BB404B" w:rsidRPr="00CD3A21">
        <w:t>y</w:t>
      </w:r>
      <w:r w:rsidR="00CC770E" w:rsidRPr="00CD3A21">
        <w:t xml:space="preserve"> that, on or after 1 July 2007, </w:t>
      </w:r>
      <w:r w:rsidR="00305CFE" w:rsidRPr="00CD3A21">
        <w:t>has</w:t>
      </w:r>
      <w:r w:rsidR="00CC770E" w:rsidRPr="00CD3A21">
        <w:t xml:space="preserve"> equipment</w:t>
      </w:r>
      <w:r w:rsidR="00305CFE" w:rsidRPr="00CD3A21">
        <w:t xml:space="preserve"> installed</w:t>
      </w:r>
      <w:r w:rsidR="00103BA1" w:rsidRPr="00CD3A21">
        <w:t>:</w:t>
      </w:r>
    </w:p>
    <w:p w:rsidR="00103BA1" w:rsidRPr="00CD3A21" w:rsidRDefault="00103BA1" w:rsidP="00103BA1">
      <w:pPr>
        <w:pStyle w:val="tPara"/>
      </w:pPr>
      <w:r w:rsidRPr="00CD3A21">
        <w:tab/>
      </w:r>
      <w:r w:rsidR="00273574" w:rsidRPr="00CD3A21">
        <w:t>(a)</w:t>
      </w:r>
      <w:r w:rsidRPr="00CD3A21">
        <w:tab/>
      </w:r>
      <w:proofErr w:type="gramStart"/>
      <w:r w:rsidR="00AA0A42" w:rsidRPr="00CD3A21">
        <w:t>to</w:t>
      </w:r>
      <w:proofErr w:type="gramEnd"/>
      <w:r w:rsidR="00AA0A42" w:rsidRPr="00CD3A21">
        <w:t xml:space="preserve"> </w:t>
      </w:r>
      <w:r w:rsidR="00D01EF1" w:rsidRPr="00CD3A21">
        <w:t>cover</w:t>
      </w:r>
      <w:r w:rsidRPr="00CD3A21">
        <w:t xml:space="preserve"> lagoons to prevent release of biogas containing methane; </w:t>
      </w:r>
    </w:p>
    <w:p w:rsidR="00103BA1" w:rsidRPr="00CD3A21" w:rsidRDefault="00103BA1" w:rsidP="00103BA1">
      <w:pPr>
        <w:pStyle w:val="tPara"/>
      </w:pPr>
      <w:r w:rsidRPr="00CD3A21">
        <w:tab/>
      </w:r>
      <w:r w:rsidR="00273574" w:rsidRPr="00CD3A21">
        <w:t>(b)</w:t>
      </w:r>
      <w:r w:rsidRPr="00CD3A21">
        <w:tab/>
      </w:r>
      <w:proofErr w:type="gramStart"/>
      <w:r w:rsidR="00AA0A42" w:rsidRPr="00CD3A21">
        <w:t>to</w:t>
      </w:r>
      <w:proofErr w:type="gramEnd"/>
      <w:r w:rsidR="00AA0A42" w:rsidRPr="00CD3A21">
        <w:t xml:space="preserve"> </w:t>
      </w:r>
      <w:r w:rsidRPr="00CD3A21">
        <w:t>collect the gas from the covered lagoon; and</w:t>
      </w:r>
    </w:p>
    <w:p w:rsidR="00103BA1" w:rsidRPr="00CD3A21" w:rsidRDefault="00103BA1" w:rsidP="00F93B24">
      <w:pPr>
        <w:pStyle w:val="tPara"/>
      </w:pPr>
      <w:r w:rsidRPr="00CD3A21">
        <w:tab/>
      </w:r>
      <w:r w:rsidR="00273574" w:rsidRPr="00CD3A21">
        <w:t>(c)</w:t>
      </w:r>
      <w:r w:rsidRPr="00CD3A21">
        <w:tab/>
      </w:r>
      <w:proofErr w:type="gramStart"/>
      <w:r w:rsidR="00AA0A42" w:rsidRPr="00CD3A21">
        <w:t>to</w:t>
      </w:r>
      <w:proofErr w:type="gramEnd"/>
      <w:r w:rsidR="00AA0A42" w:rsidRPr="00CD3A21">
        <w:t xml:space="preserve"> </w:t>
      </w:r>
      <w:r w:rsidRPr="00CD3A21">
        <w:t>combust the methane component in the gas to convert it to carbon dioxide.</w:t>
      </w:r>
    </w:p>
    <w:p w:rsidR="00E27259" w:rsidRPr="00CD3A21" w:rsidRDefault="000C29DD" w:rsidP="00E27259">
      <w:pPr>
        <w:pStyle w:val="h5Section"/>
      </w:pPr>
      <w:bookmarkStart w:id="12" w:name="_Toc357161751"/>
      <w:r w:rsidRPr="00CD3A21">
        <w:t>2.4</w:t>
      </w:r>
      <w:r w:rsidR="00E27259" w:rsidRPr="00CD3A21">
        <w:tab/>
        <w:t>Requirement 3—Project equipment</w:t>
      </w:r>
      <w:bookmarkEnd w:id="12"/>
    </w:p>
    <w:p w:rsidR="00E27259" w:rsidRPr="00CD3A21" w:rsidRDefault="00F93B24" w:rsidP="00F93B24">
      <w:pPr>
        <w:pStyle w:val="tMain"/>
      </w:pPr>
      <w:r w:rsidRPr="00CD3A21">
        <w:tab/>
      </w:r>
      <w:r w:rsidR="000C29DD" w:rsidRPr="00CD3A21">
        <w:t>(1)</w:t>
      </w:r>
      <w:r w:rsidRPr="00CD3A21">
        <w:tab/>
      </w:r>
      <w:r w:rsidR="00E27259" w:rsidRPr="00CD3A21">
        <w:t>Subject to subsection (2), equipment referred to in section 2.3 may be installed for new lagoon</w:t>
      </w:r>
      <w:r w:rsidR="00BB404B" w:rsidRPr="00CD3A21">
        <w:t>s</w:t>
      </w:r>
      <w:r w:rsidR="00E27259" w:rsidRPr="00CD3A21">
        <w:t xml:space="preserve"> or for existing uncovered lagoon</w:t>
      </w:r>
      <w:r w:rsidR="00BB404B" w:rsidRPr="00CD3A21">
        <w:t>s</w:t>
      </w:r>
      <w:r w:rsidR="00E27259" w:rsidRPr="00CD3A21">
        <w:t>.</w:t>
      </w:r>
    </w:p>
    <w:p w:rsidR="00E27259" w:rsidRPr="00CD3A21" w:rsidRDefault="00F93B24" w:rsidP="00F93B24">
      <w:pPr>
        <w:pStyle w:val="tMain"/>
      </w:pPr>
      <w:r w:rsidRPr="00CD3A21">
        <w:tab/>
      </w:r>
      <w:r w:rsidR="000C29DD" w:rsidRPr="00CD3A21">
        <w:t>(2)</w:t>
      </w:r>
      <w:r w:rsidRPr="00CD3A21">
        <w:tab/>
      </w:r>
      <w:r w:rsidR="00E27259" w:rsidRPr="00CD3A21">
        <w:t>Equipment referred to in section 2.3 does not include the reinstallation, or replacement of, upgrades to or modifications of an existing covered lagoon, where such covered lagoons were installed prior to 1 July 2007</w:t>
      </w:r>
      <w:r w:rsidR="00D6510F" w:rsidRPr="00CD3A21">
        <w:t>.</w:t>
      </w:r>
    </w:p>
    <w:p w:rsidR="00E47935" w:rsidRPr="00CD3A21" w:rsidRDefault="000C29DD" w:rsidP="00A52416">
      <w:pPr>
        <w:pStyle w:val="h5Section"/>
      </w:pPr>
      <w:bookmarkStart w:id="13" w:name="_Toc357161752"/>
      <w:r w:rsidRPr="00CD3A21">
        <w:t>2.5</w:t>
      </w:r>
      <w:r w:rsidR="00A52416" w:rsidRPr="00CD3A21">
        <w:tab/>
      </w:r>
      <w:r w:rsidR="00E47935" w:rsidRPr="00CD3A21">
        <w:t xml:space="preserve">Requirement </w:t>
      </w:r>
      <w:r w:rsidR="000B069E" w:rsidRPr="00CD3A21">
        <w:t>4</w:t>
      </w:r>
      <w:r w:rsidR="00E47935" w:rsidRPr="00CD3A21">
        <w:t>—</w:t>
      </w:r>
      <w:r w:rsidR="007C0446" w:rsidRPr="00CD3A21">
        <w:t>Lagoons</w:t>
      </w:r>
      <w:bookmarkEnd w:id="13"/>
      <w:r w:rsidR="00E908E7" w:rsidRPr="00CD3A21">
        <w:t xml:space="preserve"> </w:t>
      </w:r>
    </w:p>
    <w:p w:rsidR="00E47935" w:rsidRPr="00CD3A21" w:rsidRDefault="00BE56F3" w:rsidP="00BE56F3">
      <w:pPr>
        <w:pStyle w:val="tMain"/>
      </w:pPr>
      <w:r w:rsidRPr="00CD3A21">
        <w:tab/>
      </w:r>
      <w:r w:rsidR="000C29DD" w:rsidRPr="00CD3A21">
        <w:t>(1)</w:t>
      </w:r>
      <w:r w:rsidRPr="00CD3A21">
        <w:tab/>
      </w:r>
      <w:r w:rsidR="00545521" w:rsidRPr="00CD3A21">
        <w:t>A</w:t>
      </w:r>
      <w:r w:rsidR="00E47935" w:rsidRPr="00CD3A21">
        <w:t xml:space="preserve"> </w:t>
      </w:r>
      <w:r w:rsidR="001B6622" w:rsidRPr="00CD3A21">
        <w:t xml:space="preserve">lagoon that </w:t>
      </w:r>
      <w:r w:rsidR="00545521" w:rsidRPr="00CD3A21">
        <w:t>is</w:t>
      </w:r>
      <w:r w:rsidR="001B6622" w:rsidRPr="00CD3A21">
        <w:t xml:space="preserve"> used for the anaerobic treatment of effluent must:</w:t>
      </w:r>
    </w:p>
    <w:p w:rsidR="001B6622" w:rsidRPr="00CD3A21" w:rsidRDefault="001B6622" w:rsidP="001B6622">
      <w:pPr>
        <w:pStyle w:val="tPara"/>
      </w:pPr>
      <w:r w:rsidRPr="00CD3A21">
        <w:tab/>
      </w:r>
      <w:r w:rsidR="00273574" w:rsidRPr="00CD3A21">
        <w:t>(a)</w:t>
      </w:r>
      <w:r w:rsidRPr="00CD3A21">
        <w:tab/>
      </w:r>
      <w:proofErr w:type="gramStart"/>
      <w:r w:rsidRPr="00CD3A21">
        <w:t>have</w:t>
      </w:r>
      <w:proofErr w:type="gramEnd"/>
      <w:r w:rsidRPr="00CD3A21">
        <w:t xml:space="preserve"> a minimum depth of 2 metres; and </w:t>
      </w:r>
    </w:p>
    <w:p w:rsidR="001B6622" w:rsidRPr="00CD3A21" w:rsidRDefault="001B6622" w:rsidP="001B6622">
      <w:pPr>
        <w:pStyle w:val="tPara"/>
      </w:pPr>
      <w:r w:rsidRPr="00CD3A21">
        <w:tab/>
      </w:r>
      <w:r w:rsidR="00273574" w:rsidRPr="00CD3A21">
        <w:t>(b)</w:t>
      </w:r>
      <w:r w:rsidRPr="00CD3A21">
        <w:tab/>
      </w:r>
      <w:proofErr w:type="gramStart"/>
      <w:r w:rsidRPr="00CD3A21">
        <w:t>comply</w:t>
      </w:r>
      <w:proofErr w:type="gramEnd"/>
      <w:r w:rsidRPr="00CD3A21">
        <w:t xml:space="preserve"> with the best practice principles for the design of effluent treatment ponds as set out in the </w:t>
      </w:r>
      <w:r w:rsidRPr="00CD3A21">
        <w:rPr>
          <w:i/>
        </w:rPr>
        <w:t>National Environmental Guidelines for Piggeries 2010</w:t>
      </w:r>
      <w:r w:rsidRPr="00CD3A21">
        <w:t>.</w:t>
      </w:r>
    </w:p>
    <w:p w:rsidR="001B6622" w:rsidRPr="00CD3A21" w:rsidRDefault="000344F1" w:rsidP="000344F1">
      <w:pPr>
        <w:pStyle w:val="notePara"/>
      </w:pPr>
      <w:r w:rsidRPr="00CD3A21">
        <w:tab/>
      </w:r>
      <w:r w:rsidRPr="00CD3A21">
        <w:rPr>
          <w:b/>
          <w:i/>
        </w:rPr>
        <w:t>Note</w:t>
      </w:r>
      <w:r w:rsidRPr="00CD3A21">
        <w:tab/>
      </w:r>
      <w:r w:rsidR="00E3033A" w:rsidRPr="00CD3A21">
        <w:t>T</w:t>
      </w:r>
      <w:r w:rsidR="001B6622" w:rsidRPr="00CD3A21">
        <w:t xml:space="preserve">he </w:t>
      </w:r>
      <w:r w:rsidR="001B6622" w:rsidRPr="00CD3A21">
        <w:rPr>
          <w:i/>
        </w:rPr>
        <w:t>National Environmental Guidelines for Piggeries 2010</w:t>
      </w:r>
      <w:r w:rsidR="001B6622" w:rsidRPr="00CD3A21">
        <w:t xml:space="preserve"> </w:t>
      </w:r>
      <w:r w:rsidR="00E3033A" w:rsidRPr="00CD3A21">
        <w:t>are</w:t>
      </w:r>
      <w:r w:rsidR="001B6622" w:rsidRPr="00CD3A21">
        <w:t xml:space="preserve"> </w:t>
      </w:r>
      <w:r w:rsidR="00E3033A" w:rsidRPr="00CD3A21">
        <w:t xml:space="preserve">available at </w:t>
      </w:r>
      <w:r w:rsidR="00926C97" w:rsidRPr="00CD3A21">
        <w:t>www.climatechange.gov.au.</w:t>
      </w:r>
      <w:r w:rsidR="00926C97" w:rsidRPr="00CD3A21">
        <w:rPr>
          <w:u w:val="single"/>
        </w:rPr>
        <w:t xml:space="preserve"> </w:t>
      </w:r>
    </w:p>
    <w:p w:rsidR="00431B56" w:rsidRPr="00CD3A21" w:rsidRDefault="00E3033A" w:rsidP="00273574">
      <w:pPr>
        <w:pStyle w:val="tMain"/>
      </w:pPr>
      <w:r w:rsidRPr="00CD3A21">
        <w:tab/>
      </w:r>
      <w:r w:rsidR="00273574" w:rsidRPr="00CD3A21">
        <w:t>(2)</w:t>
      </w:r>
      <w:r w:rsidRPr="00CD3A21">
        <w:tab/>
        <w:t xml:space="preserve">The input to </w:t>
      </w:r>
      <w:r w:rsidR="00545521" w:rsidRPr="00CD3A21">
        <w:t>a</w:t>
      </w:r>
      <w:r w:rsidRPr="00CD3A21">
        <w:t xml:space="preserve"> lagoon must consist only of effluent from the operation of </w:t>
      </w:r>
      <w:r w:rsidR="00BB404B" w:rsidRPr="00CD3A21">
        <w:t xml:space="preserve">the </w:t>
      </w:r>
      <w:r w:rsidRPr="00CD3A21">
        <w:t xml:space="preserve">piggery </w:t>
      </w:r>
      <w:r w:rsidR="00BB404B" w:rsidRPr="00CD3A21">
        <w:t>to which the project relates</w:t>
      </w:r>
      <w:r w:rsidRPr="00CD3A21">
        <w:t>.</w:t>
      </w:r>
    </w:p>
    <w:p w:rsidR="00E3033A" w:rsidRPr="00CD3A21" w:rsidRDefault="000C29DD" w:rsidP="00A52416">
      <w:pPr>
        <w:pStyle w:val="h5Section"/>
      </w:pPr>
      <w:bookmarkStart w:id="14" w:name="_Toc357161753"/>
      <w:r w:rsidRPr="00CD3A21">
        <w:lastRenderedPageBreak/>
        <w:t>2.6</w:t>
      </w:r>
      <w:r w:rsidR="00A52416" w:rsidRPr="00CD3A21">
        <w:tab/>
      </w:r>
      <w:r w:rsidR="00E3033A" w:rsidRPr="00CD3A21">
        <w:t xml:space="preserve">Requirement </w:t>
      </w:r>
      <w:r w:rsidR="000B069E" w:rsidRPr="00CD3A21">
        <w:t>5</w:t>
      </w:r>
      <w:r w:rsidR="00E3033A" w:rsidRPr="00CD3A21">
        <w:t>—Flaring systems</w:t>
      </w:r>
      <w:bookmarkEnd w:id="14"/>
      <w:r w:rsidR="00E908E7" w:rsidRPr="00CD3A21">
        <w:t xml:space="preserve"> </w:t>
      </w:r>
    </w:p>
    <w:p w:rsidR="00E3033A" w:rsidRPr="00CD3A21" w:rsidRDefault="003C1363" w:rsidP="003C1363">
      <w:pPr>
        <w:pStyle w:val="tMain"/>
      </w:pPr>
      <w:r w:rsidRPr="00CD3A21">
        <w:tab/>
      </w:r>
      <w:r w:rsidRPr="00CD3A21">
        <w:tab/>
      </w:r>
      <w:r w:rsidR="00E3033A" w:rsidRPr="00CD3A21">
        <w:t>Any flaring system used in the project must:</w:t>
      </w:r>
    </w:p>
    <w:p w:rsidR="00881D0F" w:rsidRPr="00CD3A21" w:rsidRDefault="00881D0F" w:rsidP="00881D0F">
      <w:pPr>
        <w:pStyle w:val="tPara"/>
      </w:pPr>
      <w:r w:rsidRPr="00CD3A21">
        <w:tab/>
      </w:r>
      <w:r w:rsidR="00273574" w:rsidRPr="00CD3A21">
        <w:t>(a)</w:t>
      </w:r>
      <w:r w:rsidRPr="00CD3A21">
        <w:tab/>
      </w:r>
      <w:proofErr w:type="gramStart"/>
      <w:r w:rsidRPr="00CD3A21">
        <w:t>use</w:t>
      </w:r>
      <w:proofErr w:type="gramEnd"/>
      <w:r w:rsidRPr="00CD3A21">
        <w:t xml:space="preserve"> a </w:t>
      </w:r>
      <w:r w:rsidR="004A10B8" w:rsidRPr="00CD3A21">
        <w:t xml:space="preserve">type of flare that </w:t>
      </w:r>
      <w:r w:rsidR="005910BC" w:rsidRPr="00CD3A21">
        <w:t xml:space="preserve">is designed to maintain </w:t>
      </w:r>
      <w:r w:rsidRPr="00CD3A21">
        <w:t xml:space="preserve">continuous destruction of methane; </w:t>
      </w:r>
      <w:r w:rsidR="004A10B8" w:rsidRPr="00CD3A21">
        <w:t>and</w:t>
      </w:r>
    </w:p>
    <w:p w:rsidR="00881D0F" w:rsidRPr="00CD3A21" w:rsidRDefault="00881D0F" w:rsidP="00881D0F">
      <w:pPr>
        <w:pStyle w:val="tPara"/>
      </w:pPr>
      <w:r w:rsidRPr="00CD3A21">
        <w:tab/>
      </w:r>
      <w:r w:rsidR="00273574" w:rsidRPr="00CD3A21">
        <w:t>(b)</w:t>
      </w:r>
      <w:r w:rsidRPr="00CD3A21">
        <w:tab/>
      </w:r>
      <w:proofErr w:type="gramStart"/>
      <w:r w:rsidRPr="00CD3A21">
        <w:t>include</w:t>
      </w:r>
      <w:proofErr w:type="gramEnd"/>
      <w:r w:rsidRPr="00CD3A21">
        <w:t xml:space="preserve"> a system that </w:t>
      </w:r>
      <w:r w:rsidR="004A10B8" w:rsidRPr="00CD3A21">
        <w:t xml:space="preserve">detects </w:t>
      </w:r>
      <w:r w:rsidR="00917B5D" w:rsidRPr="00CD3A21">
        <w:t xml:space="preserve">and records </w:t>
      </w:r>
      <w:r w:rsidRPr="00CD3A21">
        <w:t xml:space="preserve">when </w:t>
      </w:r>
      <w:r w:rsidR="00917B5D" w:rsidRPr="00CD3A21">
        <w:t xml:space="preserve">operation of </w:t>
      </w:r>
      <w:r w:rsidRPr="00CD3A21">
        <w:t xml:space="preserve">the flare </w:t>
      </w:r>
      <w:r w:rsidR="00917B5D" w:rsidRPr="00CD3A21">
        <w:t xml:space="preserve">fails for </w:t>
      </w:r>
      <w:r w:rsidR="004A10B8" w:rsidRPr="00CD3A21">
        <w:t>periods exceeding 20 minutes</w:t>
      </w:r>
      <w:r w:rsidRPr="00CD3A21">
        <w:t xml:space="preserve">.  </w:t>
      </w:r>
    </w:p>
    <w:p w:rsidR="004A10B8" w:rsidRPr="00CD3A21" w:rsidRDefault="00BB404B" w:rsidP="00BB404B">
      <w:pPr>
        <w:pStyle w:val="notePara"/>
      </w:pPr>
      <w:r w:rsidRPr="00CD3A21">
        <w:tab/>
      </w:r>
      <w:r w:rsidRPr="00CD3A21">
        <w:rPr>
          <w:b/>
          <w:i/>
        </w:rPr>
        <w:t>Note</w:t>
      </w:r>
      <w:r w:rsidRPr="00CD3A21">
        <w:tab/>
      </w:r>
      <w:r w:rsidR="002C6C1A" w:rsidRPr="00CD3A21">
        <w:t xml:space="preserve">A flare that </w:t>
      </w:r>
      <w:r w:rsidR="00743DDE" w:rsidRPr="00CD3A21">
        <w:t>is designed to maintain</w:t>
      </w:r>
      <w:r w:rsidR="002C6C1A" w:rsidRPr="00CD3A21">
        <w:t xml:space="preserve"> continuous destruction of methane includes continuously sparking flares with a system to detect operation</w:t>
      </w:r>
      <w:r w:rsidR="00F93B24" w:rsidRPr="00CD3A21">
        <w:t>,</w:t>
      </w:r>
      <w:r w:rsidR="002C6C1A" w:rsidRPr="00CD3A21">
        <w:t xml:space="preserve"> or an enclosed flare with a system that detects if </w:t>
      </w:r>
      <w:r w:rsidR="00F93B24" w:rsidRPr="00CD3A21">
        <w:t xml:space="preserve">the </w:t>
      </w:r>
      <w:r w:rsidR="002C6C1A" w:rsidRPr="00CD3A21">
        <w:t xml:space="preserve">temperature in the </w:t>
      </w:r>
      <w:r w:rsidR="00F93B24" w:rsidRPr="00CD3A21">
        <w:t xml:space="preserve">exhaust gas of the </w:t>
      </w:r>
      <w:r w:rsidR="002C6C1A" w:rsidRPr="00CD3A21">
        <w:t xml:space="preserve">flare falls below </w:t>
      </w:r>
      <w:r w:rsidR="00F93B24" w:rsidRPr="00CD3A21">
        <w:t>the level required to achieve a destruction efficiency of 0.98</w:t>
      </w:r>
      <w:r w:rsidR="002C6C1A" w:rsidRPr="00CD3A21">
        <w:t>.</w:t>
      </w:r>
    </w:p>
    <w:p w:rsidR="0037431B" w:rsidRPr="00CD3A21" w:rsidRDefault="0037431B" w:rsidP="0033655F">
      <w:pPr>
        <w:pStyle w:val="tMain"/>
        <w:rPr>
          <w:color w:val="808080" w:themeColor="background1" w:themeShade="80"/>
        </w:rPr>
      </w:pPr>
    </w:p>
    <w:p w:rsidR="00E47935" w:rsidRPr="00CD3A21" w:rsidRDefault="00A52416" w:rsidP="00A52416">
      <w:pPr>
        <w:pStyle w:val="h2Part"/>
      </w:pPr>
      <w:bookmarkStart w:id="15" w:name="_Toc357161754"/>
      <w:r w:rsidRPr="00CD3A21">
        <w:lastRenderedPageBreak/>
        <w:t xml:space="preserve">Part </w:t>
      </w:r>
      <w:r w:rsidR="000C29DD" w:rsidRPr="00CD3A21">
        <w:t>3</w:t>
      </w:r>
      <w:r w:rsidRPr="00CD3A21">
        <w:tab/>
      </w:r>
      <w:r w:rsidR="00E47935" w:rsidRPr="00CD3A21">
        <w:t>Requirements for operation of eligible projects</w:t>
      </w:r>
      <w:bookmarkEnd w:id="15"/>
    </w:p>
    <w:p w:rsidR="00E47935" w:rsidRPr="00CD3A21" w:rsidRDefault="0033655F" w:rsidP="0033655F">
      <w:pPr>
        <w:pStyle w:val="noteMain"/>
      </w:pPr>
      <w:r w:rsidRPr="00CD3A21">
        <w:tab/>
      </w:r>
      <w:r w:rsidRPr="00CD3A21">
        <w:rPr>
          <w:b/>
          <w:i/>
        </w:rPr>
        <w:t>Note</w:t>
      </w:r>
      <w:r w:rsidRPr="00CD3A21">
        <w:tab/>
      </w:r>
      <w:r w:rsidR="00E47935" w:rsidRPr="00CD3A21">
        <w:t>See paragraphs 27(4</w:t>
      </w:r>
      <w:proofErr w:type="gramStart"/>
      <w:r w:rsidR="00E47935" w:rsidRPr="00CD3A21">
        <w:t>)(</w:t>
      </w:r>
      <w:proofErr w:type="gramEnd"/>
      <w:r w:rsidR="00E47935" w:rsidRPr="00CD3A21">
        <w:t xml:space="preserve">c), 35(2)(a) and 106(1)(b) of the Act and regulation 3.26 of the </w:t>
      </w:r>
      <w:r w:rsidR="00D01EF1" w:rsidRPr="00CD3A21">
        <w:rPr>
          <w:i/>
        </w:rPr>
        <w:t>Carbon Credits (Carbon Farming Initiative) Regulations 2011</w:t>
      </w:r>
      <w:r w:rsidR="00E47935" w:rsidRPr="00CD3A21">
        <w:t>.</w:t>
      </w:r>
    </w:p>
    <w:p w:rsidR="00402A3A" w:rsidRPr="00CD3A21" w:rsidRDefault="00402A3A" w:rsidP="00402A3A">
      <w:pPr>
        <w:pStyle w:val="h3Div"/>
      </w:pPr>
      <w:bookmarkStart w:id="16" w:name="_Toc357161755"/>
      <w:r w:rsidRPr="00CD3A21">
        <w:t>Division 3.1</w:t>
      </w:r>
      <w:r w:rsidRPr="00CD3A21">
        <w:tab/>
        <w:t>Operation of eligible projects</w:t>
      </w:r>
      <w:bookmarkEnd w:id="16"/>
    </w:p>
    <w:p w:rsidR="00E47935" w:rsidRPr="00CD3A21" w:rsidRDefault="000C29DD" w:rsidP="00A52416">
      <w:pPr>
        <w:pStyle w:val="h5Section"/>
      </w:pPr>
      <w:bookmarkStart w:id="17" w:name="_Toc357161756"/>
      <w:r w:rsidRPr="00CD3A21">
        <w:t>3.1</w:t>
      </w:r>
      <w:r w:rsidR="00A52416" w:rsidRPr="00CD3A21">
        <w:tab/>
      </w:r>
      <w:r w:rsidR="00E47935" w:rsidRPr="00CD3A21">
        <w:t>Operation of eligible projects</w:t>
      </w:r>
      <w:bookmarkEnd w:id="17"/>
    </w:p>
    <w:p w:rsidR="00976A82" w:rsidRPr="00CD3A21" w:rsidRDefault="0033655F" w:rsidP="006C0961">
      <w:pPr>
        <w:pStyle w:val="tMain"/>
      </w:pPr>
      <w:r w:rsidRPr="00CD3A21">
        <w:tab/>
      </w:r>
      <w:r w:rsidRPr="00CD3A21">
        <w:tab/>
      </w:r>
      <w:r w:rsidR="00E47935" w:rsidRPr="00CD3A21">
        <w:t>An eligible offsets project must be operate</w:t>
      </w:r>
      <w:r w:rsidR="006C0961" w:rsidRPr="00CD3A21">
        <w:t>d in accordance with this Part.</w:t>
      </w:r>
    </w:p>
    <w:p w:rsidR="0084415B" w:rsidRPr="00CD3A21" w:rsidRDefault="000C29DD" w:rsidP="00A52416">
      <w:pPr>
        <w:pStyle w:val="h5Section"/>
      </w:pPr>
      <w:bookmarkStart w:id="18" w:name="_Toc357161757"/>
      <w:r w:rsidRPr="00CD3A21">
        <w:t>3.2</w:t>
      </w:r>
      <w:r w:rsidR="00A52416" w:rsidRPr="00CD3A21">
        <w:tab/>
      </w:r>
      <w:r w:rsidR="0084415B" w:rsidRPr="00CD3A21">
        <w:t>Flare operation</w:t>
      </w:r>
      <w:bookmarkEnd w:id="18"/>
    </w:p>
    <w:p w:rsidR="0084415B" w:rsidRPr="00CD3A21" w:rsidRDefault="00A52416" w:rsidP="006A242A">
      <w:pPr>
        <w:pStyle w:val="tMain"/>
      </w:pPr>
      <w:r w:rsidRPr="00CD3A21">
        <w:tab/>
      </w:r>
      <w:r w:rsidR="000C29DD" w:rsidRPr="00CD3A21">
        <w:t>(1)</w:t>
      </w:r>
      <w:r w:rsidRPr="00CD3A21">
        <w:tab/>
      </w:r>
      <w:r w:rsidR="0084415B" w:rsidRPr="00CD3A21">
        <w:t xml:space="preserve">This section sets out the requirements for </w:t>
      </w:r>
      <w:r w:rsidR="00EB1C96" w:rsidRPr="00CD3A21">
        <w:t xml:space="preserve">determining whether </w:t>
      </w:r>
      <w:r w:rsidR="00743DDE" w:rsidRPr="00CD3A21">
        <w:t>a</w:t>
      </w:r>
      <w:r w:rsidR="0084415B" w:rsidRPr="00CD3A21">
        <w:t xml:space="preserve"> </w:t>
      </w:r>
      <w:r w:rsidR="00EB1C96" w:rsidRPr="00CD3A21">
        <w:t xml:space="preserve">flaring system </w:t>
      </w:r>
      <w:r w:rsidR="0084415B" w:rsidRPr="00CD3A21">
        <w:t>used in the project</w:t>
      </w:r>
      <w:r w:rsidR="00EB1C96" w:rsidRPr="00CD3A21">
        <w:t xml:space="preserve"> is operational</w:t>
      </w:r>
      <w:r w:rsidR="005F3C37" w:rsidRPr="00CD3A21">
        <w:t>, for the purposes of determining the destruction efficiency of the flaring system</w:t>
      </w:r>
      <w:r w:rsidR="00166C68" w:rsidRPr="00CD3A21">
        <w:t xml:space="preserve"> in accordance with Subdivision 4.2.5</w:t>
      </w:r>
      <w:r w:rsidR="0084415B" w:rsidRPr="00CD3A21">
        <w:t>.</w:t>
      </w:r>
    </w:p>
    <w:p w:rsidR="0084415B" w:rsidRPr="00CD3A21" w:rsidRDefault="00A52416" w:rsidP="006A242A">
      <w:pPr>
        <w:pStyle w:val="tMain"/>
      </w:pPr>
      <w:r w:rsidRPr="00CD3A21">
        <w:tab/>
      </w:r>
      <w:r w:rsidR="000C29DD" w:rsidRPr="00CD3A21">
        <w:t>(2)</w:t>
      </w:r>
      <w:r w:rsidRPr="00CD3A21">
        <w:tab/>
      </w:r>
      <w:r w:rsidR="00AA0A42" w:rsidRPr="00CD3A21">
        <w:t>Subject to subsection (3), i</w:t>
      </w:r>
      <w:r w:rsidR="0084415B" w:rsidRPr="00CD3A21">
        <w:t>f for any particular hour:</w:t>
      </w:r>
    </w:p>
    <w:p w:rsidR="0084415B" w:rsidRPr="00CD3A21" w:rsidRDefault="00743DDE" w:rsidP="006A242A">
      <w:pPr>
        <w:pStyle w:val="tPara"/>
        <w:spacing w:before="80"/>
      </w:pPr>
      <w:r w:rsidRPr="00CD3A21">
        <w:tab/>
      </w:r>
      <w:r w:rsidR="000C29DD" w:rsidRPr="00CD3A21">
        <w:t>(a)</w:t>
      </w:r>
      <w:r w:rsidRPr="00CD3A21">
        <w:tab/>
      </w:r>
      <w:proofErr w:type="gramStart"/>
      <w:r w:rsidR="0084415B" w:rsidRPr="00CD3A21">
        <w:t>there</w:t>
      </w:r>
      <w:proofErr w:type="gramEnd"/>
      <w:r w:rsidR="0084415B" w:rsidRPr="00CD3A21">
        <w:t xml:space="preserve"> is no record of the flare being operational; or</w:t>
      </w:r>
    </w:p>
    <w:p w:rsidR="0084415B" w:rsidRPr="00CD3A21" w:rsidRDefault="00743DDE" w:rsidP="006A242A">
      <w:pPr>
        <w:pStyle w:val="tPara"/>
        <w:spacing w:before="80"/>
      </w:pPr>
      <w:r w:rsidRPr="00CD3A21">
        <w:tab/>
      </w:r>
      <w:r w:rsidR="000C29DD" w:rsidRPr="00CD3A21">
        <w:t>(b)</w:t>
      </w:r>
      <w:r w:rsidRPr="00CD3A21">
        <w:tab/>
      </w:r>
      <w:proofErr w:type="gramStart"/>
      <w:r w:rsidR="0084415B" w:rsidRPr="00CD3A21">
        <w:t>the</w:t>
      </w:r>
      <w:proofErr w:type="gramEnd"/>
      <w:r w:rsidR="0084415B" w:rsidRPr="00CD3A21">
        <w:t xml:space="preserve"> flare is not operational for a period exceeding 20 minutes; </w:t>
      </w:r>
    </w:p>
    <w:p w:rsidR="0084415B" w:rsidRPr="00CD3A21" w:rsidRDefault="0084415B" w:rsidP="006A242A">
      <w:pPr>
        <w:pStyle w:val="R2"/>
        <w:tabs>
          <w:tab w:val="clear" w:pos="794"/>
          <w:tab w:val="right" w:pos="1418"/>
        </w:tabs>
        <w:spacing w:before="80" w:after="100"/>
        <w:ind w:left="992" w:firstLine="0"/>
      </w:pPr>
      <w:proofErr w:type="gramStart"/>
      <w:r w:rsidRPr="00CD3A21">
        <w:t>then</w:t>
      </w:r>
      <w:proofErr w:type="gramEnd"/>
      <w:r w:rsidRPr="00CD3A21">
        <w:t xml:space="preserve"> it must be assumed that during that hour the flare destruction efficiency is zero.</w:t>
      </w:r>
    </w:p>
    <w:p w:rsidR="0084415B" w:rsidRPr="00CD3A21" w:rsidRDefault="00A52416" w:rsidP="006A242A">
      <w:pPr>
        <w:pStyle w:val="tMain"/>
      </w:pPr>
      <w:r w:rsidRPr="00CD3A21">
        <w:tab/>
      </w:r>
      <w:r w:rsidR="000C29DD" w:rsidRPr="00CD3A21">
        <w:t>(3)</w:t>
      </w:r>
      <w:r w:rsidRPr="00CD3A21">
        <w:tab/>
      </w:r>
      <w:r w:rsidR="00AA0A42" w:rsidRPr="00CD3A21">
        <w:t>A</w:t>
      </w:r>
      <w:r w:rsidR="0084415B" w:rsidRPr="00CD3A21">
        <w:t xml:space="preserve"> flare is operational if the continuous presence of a flame at the pilot light is detected using:</w:t>
      </w:r>
    </w:p>
    <w:p w:rsidR="0084415B" w:rsidRPr="00CD3A21" w:rsidRDefault="002E1156" w:rsidP="006A242A">
      <w:pPr>
        <w:pStyle w:val="tPara"/>
        <w:spacing w:before="80"/>
      </w:pPr>
      <w:r w:rsidRPr="00CD3A21">
        <w:tab/>
      </w:r>
      <w:r w:rsidR="000C29DD" w:rsidRPr="00CD3A21">
        <w:t>(a)</w:t>
      </w:r>
      <w:r w:rsidRPr="00CD3A21">
        <w:tab/>
      </w:r>
      <w:proofErr w:type="gramStart"/>
      <w:r w:rsidR="0084415B" w:rsidRPr="00CD3A21">
        <w:t>an</w:t>
      </w:r>
      <w:proofErr w:type="gramEnd"/>
      <w:r w:rsidR="0084415B" w:rsidRPr="00CD3A21">
        <w:t xml:space="preserve"> ultra-violet beam sensor; or </w:t>
      </w:r>
    </w:p>
    <w:p w:rsidR="0084415B" w:rsidRPr="00CD3A21" w:rsidRDefault="002E1156" w:rsidP="006A242A">
      <w:pPr>
        <w:pStyle w:val="tPara"/>
        <w:spacing w:before="80"/>
      </w:pPr>
      <w:r w:rsidRPr="00CD3A21">
        <w:tab/>
      </w:r>
      <w:r w:rsidR="000C29DD" w:rsidRPr="00CD3A21">
        <w:t>(b)</w:t>
      </w:r>
      <w:r w:rsidRPr="00CD3A21">
        <w:tab/>
      </w:r>
      <w:proofErr w:type="gramStart"/>
      <w:r w:rsidR="00305CFE" w:rsidRPr="00CD3A21">
        <w:t>a</w:t>
      </w:r>
      <w:proofErr w:type="gramEnd"/>
      <w:r w:rsidR="00305CFE" w:rsidRPr="00CD3A21">
        <w:t xml:space="preserve"> </w:t>
      </w:r>
      <w:r w:rsidR="0084415B" w:rsidRPr="00CD3A21">
        <w:t xml:space="preserve">thermocouple; or </w:t>
      </w:r>
    </w:p>
    <w:p w:rsidR="002E1156" w:rsidRPr="00CD3A21" w:rsidRDefault="002E1156" w:rsidP="006A242A">
      <w:pPr>
        <w:pStyle w:val="tPara"/>
        <w:spacing w:before="80"/>
      </w:pPr>
      <w:r w:rsidRPr="00CD3A21">
        <w:tab/>
      </w:r>
      <w:r w:rsidR="000C29DD" w:rsidRPr="00CD3A21">
        <w:t>(c)</w:t>
      </w:r>
      <w:r w:rsidRPr="00CD3A21">
        <w:tab/>
      </w:r>
      <w:proofErr w:type="gramStart"/>
      <w:r w:rsidR="00305CFE" w:rsidRPr="00CD3A21">
        <w:t>a</w:t>
      </w:r>
      <w:proofErr w:type="gramEnd"/>
      <w:r w:rsidR="00305CFE" w:rsidRPr="00CD3A21">
        <w:t xml:space="preserve"> </w:t>
      </w:r>
      <w:r w:rsidRPr="00CD3A21">
        <w:t>temperature sensor; or</w:t>
      </w:r>
    </w:p>
    <w:p w:rsidR="0084415B" w:rsidRPr="00CD3A21" w:rsidRDefault="002E1156" w:rsidP="006A242A">
      <w:pPr>
        <w:pStyle w:val="tPara"/>
        <w:spacing w:before="80"/>
      </w:pPr>
      <w:r w:rsidRPr="00CD3A21">
        <w:tab/>
      </w:r>
      <w:r w:rsidR="000C29DD" w:rsidRPr="00CD3A21">
        <w:t>(d)</w:t>
      </w:r>
      <w:r w:rsidRPr="00CD3A21">
        <w:tab/>
      </w:r>
      <w:proofErr w:type="gramStart"/>
      <w:r w:rsidR="0084415B" w:rsidRPr="00CD3A21">
        <w:t>an</w:t>
      </w:r>
      <w:proofErr w:type="gramEnd"/>
      <w:r w:rsidR="0084415B" w:rsidRPr="00CD3A21">
        <w:t xml:space="preserve"> equivalent device</w:t>
      </w:r>
      <w:r w:rsidR="00567314" w:rsidRPr="00CD3A21">
        <w:t xml:space="preserve"> that automatically detects the presence or absence of the flame</w:t>
      </w:r>
      <w:r w:rsidR="0084415B" w:rsidRPr="00CD3A21">
        <w:t>.</w:t>
      </w:r>
    </w:p>
    <w:p w:rsidR="00E83991" w:rsidRPr="00CD3A21" w:rsidRDefault="00E83991" w:rsidP="00E83991">
      <w:pPr>
        <w:pStyle w:val="h3Div"/>
      </w:pPr>
      <w:bookmarkStart w:id="19" w:name="_Toc357161758"/>
      <w:r w:rsidRPr="00CD3A21">
        <w:t xml:space="preserve">Division </w:t>
      </w:r>
      <w:r w:rsidR="00273574" w:rsidRPr="00CD3A21">
        <w:t>3.2</w:t>
      </w:r>
      <w:r w:rsidRPr="00CD3A21">
        <w:tab/>
        <w:t>Greenhouse gas assessment boundary</w:t>
      </w:r>
      <w:bookmarkEnd w:id="19"/>
    </w:p>
    <w:p w:rsidR="00E83991" w:rsidRPr="00CD3A21" w:rsidRDefault="000C29DD" w:rsidP="00A52416">
      <w:pPr>
        <w:pStyle w:val="h5Section"/>
      </w:pPr>
      <w:bookmarkStart w:id="20" w:name="_Toc357161759"/>
      <w:r w:rsidRPr="00CD3A21">
        <w:t>3.3</w:t>
      </w:r>
      <w:r w:rsidR="00A52416" w:rsidRPr="00CD3A21">
        <w:tab/>
      </w:r>
      <w:r w:rsidR="00E83991" w:rsidRPr="00CD3A21">
        <w:t>Greenhouse gases that must be accounted for</w:t>
      </w:r>
      <w:bookmarkEnd w:id="20"/>
      <w:r w:rsidR="00261313" w:rsidRPr="00CD3A21">
        <w:t xml:space="preserve"> </w:t>
      </w:r>
    </w:p>
    <w:p w:rsidR="0053783F" w:rsidRPr="00CD3A21" w:rsidRDefault="009C794C" w:rsidP="009C794C">
      <w:pPr>
        <w:pStyle w:val="tMain"/>
      </w:pPr>
      <w:r w:rsidRPr="00CD3A21">
        <w:tab/>
      </w:r>
      <w:r w:rsidRPr="00CD3A21">
        <w:tab/>
      </w:r>
      <w:r w:rsidR="0053783F" w:rsidRPr="00CD3A21">
        <w:t>Only t</w:t>
      </w:r>
      <w:r w:rsidR="00E83991" w:rsidRPr="00CD3A21">
        <w:t xml:space="preserve">he greenhouse gases </w:t>
      </w:r>
      <w:r w:rsidR="0053783F" w:rsidRPr="00CD3A21">
        <w:t>set out in column 3 of</w:t>
      </w:r>
      <w:r w:rsidR="00E83991" w:rsidRPr="00CD3A21">
        <w:t xml:space="preserve"> the following </w:t>
      </w:r>
      <w:r w:rsidR="0053783F" w:rsidRPr="00CD3A21">
        <w:t xml:space="preserve">table </w:t>
      </w:r>
      <w:r w:rsidRPr="00CD3A21">
        <w:t xml:space="preserve">may be taken into account when making calculations under Part </w:t>
      </w:r>
      <w:r w:rsidR="00273574" w:rsidRPr="00CD3A21">
        <w:t>4</w:t>
      </w:r>
      <w:r w:rsidRPr="00CD3A21">
        <w:t xml:space="preserve"> in respect of the sources specified in column 2</w:t>
      </w:r>
      <w:r w:rsidR="00261313" w:rsidRPr="00CD3A21">
        <w:t xml:space="preserve"> of the table</w:t>
      </w:r>
      <w:r w:rsidRPr="00CD3A21">
        <w:t>.</w:t>
      </w:r>
    </w:p>
    <w:p w:rsidR="00E83991" w:rsidRPr="00CD3A21" w:rsidRDefault="009C794C" w:rsidP="009C794C">
      <w:pPr>
        <w:pStyle w:val="notePara"/>
      </w:pPr>
      <w:r w:rsidRPr="00CD3A21">
        <w:tab/>
      </w:r>
      <w:r w:rsidRPr="00CD3A21">
        <w:rPr>
          <w:b/>
          <w:i/>
        </w:rPr>
        <w:t>Note</w:t>
      </w:r>
      <w:r w:rsidRPr="00CD3A21">
        <w:tab/>
      </w:r>
      <w:r w:rsidR="00E83991" w:rsidRPr="00CD3A21">
        <w:t>No other gases</w:t>
      </w:r>
      <w:r w:rsidRPr="00CD3A21">
        <w:t>, carbon pools or emissions</w:t>
      </w:r>
      <w:r w:rsidR="00E83991" w:rsidRPr="00CD3A21">
        <w:t xml:space="preserve"> may be taken into account in respect of a source.</w:t>
      </w:r>
    </w:p>
    <w:p w:rsidR="00E908E7" w:rsidRPr="00CD3A21" w:rsidRDefault="00E908E7" w:rsidP="000344F1">
      <w:pPr>
        <w:pStyle w:val="h6Subsec"/>
      </w:pPr>
      <w:r w:rsidRPr="00CD3A21">
        <w:lastRenderedPageBreak/>
        <w:t>Table of gases accounted for in the abatement calculations</w:t>
      </w:r>
    </w:p>
    <w:tbl>
      <w:tblPr>
        <w:tblpPr w:leftFromText="180" w:rightFromText="180" w:vertAnchor="text" w:horzAnchor="page" w:tblpX="1918" w:tblpY="329"/>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077"/>
        <w:gridCol w:w="3261"/>
      </w:tblGrid>
      <w:tr w:rsidR="0053783F" w:rsidRPr="00CD3A21" w:rsidTr="00DB412B">
        <w:trPr>
          <w:cantSplit/>
          <w:trHeight w:val="346"/>
          <w:tblHeader/>
        </w:trPr>
        <w:tc>
          <w:tcPr>
            <w:tcW w:w="1134" w:type="dxa"/>
            <w:shd w:val="clear" w:color="auto" w:fill="auto"/>
          </w:tcPr>
          <w:p w:rsidR="0053783F" w:rsidRPr="00CD3A21" w:rsidRDefault="0053783F" w:rsidP="000344F1">
            <w:pPr>
              <w:keepNext/>
              <w:spacing w:before="120" w:after="120"/>
              <w:rPr>
                <w:i/>
              </w:rPr>
            </w:pPr>
          </w:p>
        </w:tc>
        <w:tc>
          <w:tcPr>
            <w:tcW w:w="4077" w:type="dxa"/>
            <w:shd w:val="clear" w:color="auto" w:fill="auto"/>
          </w:tcPr>
          <w:p w:rsidR="0053783F" w:rsidRPr="00CD3A21" w:rsidRDefault="0053783F" w:rsidP="000344F1">
            <w:pPr>
              <w:keepNext/>
              <w:spacing w:before="120" w:after="120"/>
              <w:rPr>
                <w:b/>
              </w:rPr>
            </w:pPr>
            <w:r w:rsidRPr="00CD3A21">
              <w:rPr>
                <w:b/>
              </w:rPr>
              <w:t xml:space="preserve">          Source                                                   </w:t>
            </w:r>
          </w:p>
        </w:tc>
        <w:tc>
          <w:tcPr>
            <w:tcW w:w="3261" w:type="dxa"/>
            <w:shd w:val="clear" w:color="auto" w:fill="auto"/>
          </w:tcPr>
          <w:p w:rsidR="0053783F" w:rsidRPr="00CD3A21" w:rsidRDefault="0053783F" w:rsidP="000344F1">
            <w:pPr>
              <w:keepNext/>
              <w:spacing w:before="120" w:after="120"/>
              <w:rPr>
                <w:b/>
              </w:rPr>
            </w:pPr>
            <w:r w:rsidRPr="00CD3A21">
              <w:rPr>
                <w:b/>
              </w:rPr>
              <w:t>Greenhouse gas/carbon pools</w:t>
            </w:r>
          </w:p>
        </w:tc>
      </w:tr>
      <w:tr w:rsidR="0053783F" w:rsidRPr="00CD3A21" w:rsidTr="00DB412B">
        <w:trPr>
          <w:cantSplit/>
          <w:trHeight w:val="842"/>
        </w:trPr>
        <w:tc>
          <w:tcPr>
            <w:tcW w:w="1134" w:type="dxa"/>
            <w:shd w:val="clear" w:color="auto" w:fill="auto"/>
            <w:vAlign w:val="center"/>
          </w:tcPr>
          <w:p w:rsidR="0053783F" w:rsidRPr="00CD3A21" w:rsidRDefault="0053783F" w:rsidP="000344F1">
            <w:pPr>
              <w:keepNext/>
              <w:spacing w:before="120" w:after="120"/>
              <w:rPr>
                <w:b/>
              </w:rPr>
            </w:pPr>
            <w:r w:rsidRPr="00CD3A21">
              <w:rPr>
                <w:b/>
              </w:rPr>
              <w:t>Baseline</w:t>
            </w:r>
          </w:p>
        </w:tc>
        <w:tc>
          <w:tcPr>
            <w:tcW w:w="4077" w:type="dxa"/>
            <w:shd w:val="clear" w:color="auto" w:fill="auto"/>
          </w:tcPr>
          <w:p w:rsidR="0053783F" w:rsidRPr="00CD3A21" w:rsidRDefault="006C7EEE" w:rsidP="000344F1">
            <w:pPr>
              <w:keepNext/>
              <w:spacing w:before="120" w:after="120"/>
              <w:rPr>
                <w:sz w:val="14"/>
                <w:szCs w:val="14"/>
              </w:rPr>
            </w:pPr>
            <w:r w:rsidRPr="00CD3A21">
              <w:t>A</w:t>
            </w:r>
            <w:r w:rsidR="0053783F" w:rsidRPr="00CD3A21">
              <w:t>naerobically treated waste in project lagoons</w:t>
            </w:r>
          </w:p>
        </w:tc>
        <w:tc>
          <w:tcPr>
            <w:tcW w:w="3261" w:type="dxa"/>
            <w:shd w:val="clear" w:color="auto" w:fill="auto"/>
          </w:tcPr>
          <w:p w:rsidR="0053783F" w:rsidRPr="00CD3A21" w:rsidRDefault="0053783F" w:rsidP="000344F1">
            <w:pPr>
              <w:keepNext/>
              <w:spacing w:before="120" w:after="120"/>
              <w:rPr>
                <w:szCs w:val="14"/>
              </w:rPr>
            </w:pPr>
            <w:r w:rsidRPr="00CD3A21">
              <w:rPr>
                <w:szCs w:val="14"/>
              </w:rPr>
              <w:t>Methane (CH</w:t>
            </w:r>
            <w:r w:rsidRPr="00CD3A21">
              <w:rPr>
                <w:szCs w:val="14"/>
                <w:vertAlign w:val="subscript"/>
              </w:rPr>
              <w:t>4</w:t>
            </w:r>
            <w:r w:rsidRPr="00CD3A21">
              <w:rPr>
                <w:szCs w:val="14"/>
              </w:rPr>
              <w:t>)</w:t>
            </w:r>
          </w:p>
        </w:tc>
      </w:tr>
      <w:tr w:rsidR="0053783F" w:rsidRPr="00CD3A21" w:rsidTr="00DB412B">
        <w:trPr>
          <w:cantSplit/>
          <w:trHeight w:val="437"/>
        </w:trPr>
        <w:tc>
          <w:tcPr>
            <w:tcW w:w="1134" w:type="dxa"/>
            <w:vMerge w:val="restart"/>
            <w:tcBorders>
              <w:top w:val="single" w:sz="4" w:space="0" w:color="auto"/>
            </w:tcBorders>
            <w:shd w:val="clear" w:color="auto" w:fill="auto"/>
            <w:vAlign w:val="center"/>
          </w:tcPr>
          <w:p w:rsidR="0053783F" w:rsidRPr="00CD3A21" w:rsidRDefault="0053783F" w:rsidP="000344F1">
            <w:pPr>
              <w:keepNext/>
              <w:spacing w:before="120" w:after="120"/>
              <w:rPr>
                <w:b/>
              </w:rPr>
            </w:pPr>
            <w:r w:rsidRPr="00CD3A21">
              <w:rPr>
                <w:b/>
              </w:rPr>
              <w:t>Project Activity</w:t>
            </w:r>
          </w:p>
        </w:tc>
        <w:tc>
          <w:tcPr>
            <w:tcW w:w="4077" w:type="dxa"/>
            <w:vMerge w:val="restart"/>
            <w:tcBorders>
              <w:top w:val="single" w:sz="4" w:space="0" w:color="auto"/>
            </w:tcBorders>
            <w:shd w:val="clear" w:color="auto" w:fill="auto"/>
            <w:vAlign w:val="center"/>
          </w:tcPr>
          <w:p w:rsidR="0053783F" w:rsidRPr="00CD3A21" w:rsidRDefault="0053783F" w:rsidP="000344F1">
            <w:pPr>
              <w:keepNext/>
              <w:spacing w:before="120" w:after="120"/>
            </w:pPr>
            <w:r w:rsidRPr="00CD3A21">
              <w:t>Electricity from the grid and fuel used for gas capture and combustion</w:t>
            </w:r>
          </w:p>
        </w:tc>
        <w:tc>
          <w:tcPr>
            <w:tcW w:w="3261" w:type="dxa"/>
            <w:shd w:val="clear" w:color="auto" w:fill="auto"/>
          </w:tcPr>
          <w:p w:rsidR="0053783F" w:rsidRPr="00CD3A21" w:rsidRDefault="0053783F" w:rsidP="000344F1">
            <w:pPr>
              <w:keepNext/>
              <w:spacing w:before="120" w:after="120"/>
              <w:rPr>
                <w:sz w:val="14"/>
                <w:szCs w:val="14"/>
              </w:rPr>
            </w:pPr>
            <w:r w:rsidRPr="00CD3A21">
              <w:rPr>
                <w:szCs w:val="14"/>
              </w:rPr>
              <w:t>Carbon dioxide (CO</w:t>
            </w:r>
            <w:r w:rsidRPr="00CD3A21">
              <w:rPr>
                <w:szCs w:val="14"/>
                <w:vertAlign w:val="subscript"/>
              </w:rPr>
              <w:t>2</w:t>
            </w:r>
            <w:r w:rsidRPr="00CD3A21">
              <w:rPr>
                <w:szCs w:val="14"/>
              </w:rPr>
              <w:t>)</w:t>
            </w:r>
          </w:p>
        </w:tc>
      </w:tr>
      <w:tr w:rsidR="0053783F" w:rsidRPr="00CD3A21" w:rsidTr="00DB412B">
        <w:trPr>
          <w:cantSplit/>
          <w:trHeight w:val="412"/>
        </w:trPr>
        <w:tc>
          <w:tcPr>
            <w:tcW w:w="1134" w:type="dxa"/>
            <w:vMerge/>
            <w:shd w:val="clear" w:color="auto" w:fill="auto"/>
          </w:tcPr>
          <w:p w:rsidR="0053783F" w:rsidRPr="00CD3A21" w:rsidRDefault="0053783F" w:rsidP="000344F1">
            <w:pPr>
              <w:keepNext/>
              <w:spacing w:before="120" w:after="120"/>
              <w:rPr>
                <w:i/>
              </w:rPr>
            </w:pPr>
          </w:p>
        </w:tc>
        <w:tc>
          <w:tcPr>
            <w:tcW w:w="4077" w:type="dxa"/>
            <w:vMerge/>
            <w:shd w:val="clear" w:color="auto" w:fill="auto"/>
          </w:tcPr>
          <w:p w:rsidR="0053783F" w:rsidRPr="00CD3A21" w:rsidRDefault="0053783F" w:rsidP="000344F1">
            <w:pPr>
              <w:keepNext/>
              <w:spacing w:before="120" w:after="120"/>
            </w:pPr>
          </w:p>
        </w:tc>
        <w:tc>
          <w:tcPr>
            <w:tcW w:w="3261" w:type="dxa"/>
            <w:shd w:val="clear" w:color="auto" w:fill="auto"/>
          </w:tcPr>
          <w:p w:rsidR="0053783F" w:rsidRPr="00CD3A21" w:rsidRDefault="0053783F" w:rsidP="000344F1">
            <w:pPr>
              <w:keepNext/>
              <w:spacing w:before="120" w:after="120"/>
            </w:pPr>
            <w:r w:rsidRPr="00CD3A21">
              <w:rPr>
                <w:szCs w:val="14"/>
              </w:rPr>
              <w:t>Methane (CH</w:t>
            </w:r>
            <w:r w:rsidRPr="00CD3A21">
              <w:rPr>
                <w:szCs w:val="14"/>
                <w:vertAlign w:val="subscript"/>
              </w:rPr>
              <w:t>4</w:t>
            </w:r>
            <w:r w:rsidRPr="00CD3A21">
              <w:rPr>
                <w:szCs w:val="14"/>
              </w:rPr>
              <w:t>)</w:t>
            </w:r>
          </w:p>
        </w:tc>
      </w:tr>
      <w:tr w:rsidR="0053783F" w:rsidRPr="00CD3A21" w:rsidTr="00DB412B">
        <w:trPr>
          <w:cantSplit/>
          <w:trHeight w:val="417"/>
        </w:trPr>
        <w:tc>
          <w:tcPr>
            <w:tcW w:w="1134" w:type="dxa"/>
            <w:vMerge/>
            <w:shd w:val="clear" w:color="auto" w:fill="auto"/>
          </w:tcPr>
          <w:p w:rsidR="0053783F" w:rsidRPr="00CD3A21" w:rsidRDefault="0053783F" w:rsidP="000344F1">
            <w:pPr>
              <w:keepNext/>
              <w:spacing w:before="120" w:after="120"/>
              <w:rPr>
                <w:i/>
              </w:rPr>
            </w:pPr>
          </w:p>
        </w:tc>
        <w:tc>
          <w:tcPr>
            <w:tcW w:w="4077" w:type="dxa"/>
            <w:vMerge/>
            <w:shd w:val="clear" w:color="auto" w:fill="auto"/>
          </w:tcPr>
          <w:p w:rsidR="0053783F" w:rsidRPr="00CD3A21" w:rsidRDefault="0053783F" w:rsidP="000344F1">
            <w:pPr>
              <w:keepNext/>
              <w:spacing w:before="120" w:after="120"/>
            </w:pPr>
          </w:p>
        </w:tc>
        <w:tc>
          <w:tcPr>
            <w:tcW w:w="3261" w:type="dxa"/>
            <w:tcBorders>
              <w:top w:val="single" w:sz="4" w:space="0" w:color="auto"/>
              <w:bottom w:val="single" w:sz="4" w:space="0" w:color="auto"/>
            </w:tcBorders>
            <w:shd w:val="clear" w:color="auto" w:fill="auto"/>
          </w:tcPr>
          <w:p w:rsidR="0053783F" w:rsidRPr="00CD3A21" w:rsidRDefault="0053783F" w:rsidP="000344F1">
            <w:pPr>
              <w:keepNext/>
              <w:spacing w:before="120" w:after="120"/>
              <w:rPr>
                <w:szCs w:val="14"/>
              </w:rPr>
            </w:pPr>
            <w:r w:rsidRPr="00CD3A21">
              <w:t>Nitrous oxide (N</w:t>
            </w:r>
            <w:r w:rsidRPr="00CD3A21">
              <w:rPr>
                <w:vertAlign w:val="subscript"/>
              </w:rPr>
              <w:t>2</w:t>
            </w:r>
            <w:r w:rsidRPr="00CD3A21">
              <w:t>O)</w:t>
            </w:r>
          </w:p>
        </w:tc>
      </w:tr>
      <w:tr w:rsidR="0053783F" w:rsidRPr="00CD3A21" w:rsidTr="00DB412B">
        <w:trPr>
          <w:cantSplit/>
          <w:trHeight w:val="548"/>
        </w:trPr>
        <w:tc>
          <w:tcPr>
            <w:tcW w:w="1134" w:type="dxa"/>
            <w:vMerge/>
            <w:shd w:val="clear" w:color="auto" w:fill="auto"/>
          </w:tcPr>
          <w:p w:rsidR="0053783F" w:rsidRPr="00CD3A21" w:rsidRDefault="0053783F" w:rsidP="000344F1">
            <w:pPr>
              <w:keepNext/>
              <w:spacing w:before="120" w:after="120"/>
            </w:pPr>
          </w:p>
        </w:tc>
        <w:tc>
          <w:tcPr>
            <w:tcW w:w="4077" w:type="dxa"/>
            <w:vMerge w:val="restart"/>
            <w:tcBorders>
              <w:top w:val="single" w:sz="4" w:space="0" w:color="auto"/>
            </w:tcBorders>
            <w:shd w:val="clear" w:color="auto" w:fill="auto"/>
            <w:vAlign w:val="center"/>
          </w:tcPr>
          <w:p w:rsidR="0053783F" w:rsidRPr="00CD3A21" w:rsidRDefault="0053783F" w:rsidP="000344F1">
            <w:pPr>
              <w:keepNext/>
              <w:spacing w:before="120" w:after="120"/>
            </w:pPr>
            <w:r w:rsidRPr="00CD3A21">
              <w:t>Gas capture and combustion via internal combustion engine</w:t>
            </w:r>
          </w:p>
        </w:tc>
        <w:tc>
          <w:tcPr>
            <w:tcW w:w="3261" w:type="dxa"/>
            <w:tcBorders>
              <w:top w:val="single" w:sz="4" w:space="0" w:color="auto"/>
              <w:bottom w:val="single" w:sz="4" w:space="0" w:color="auto"/>
            </w:tcBorders>
            <w:shd w:val="clear" w:color="auto" w:fill="auto"/>
          </w:tcPr>
          <w:p w:rsidR="0053783F" w:rsidRPr="00CD3A21" w:rsidRDefault="0053783F" w:rsidP="000344F1">
            <w:pPr>
              <w:keepNext/>
              <w:spacing w:before="120" w:after="120"/>
              <w:rPr>
                <w:szCs w:val="14"/>
              </w:rPr>
            </w:pPr>
            <w:r w:rsidRPr="00CD3A21">
              <w:rPr>
                <w:szCs w:val="14"/>
              </w:rPr>
              <w:t>Methane (CH</w:t>
            </w:r>
            <w:r w:rsidRPr="00CD3A21">
              <w:rPr>
                <w:szCs w:val="14"/>
                <w:vertAlign w:val="subscript"/>
              </w:rPr>
              <w:t>4</w:t>
            </w:r>
            <w:r w:rsidRPr="00CD3A21">
              <w:rPr>
                <w:szCs w:val="14"/>
              </w:rPr>
              <w:t>)</w:t>
            </w:r>
          </w:p>
        </w:tc>
      </w:tr>
      <w:tr w:rsidR="0053783F" w:rsidRPr="00CD3A21" w:rsidTr="00DB412B">
        <w:trPr>
          <w:cantSplit/>
          <w:trHeight w:val="358"/>
        </w:trPr>
        <w:tc>
          <w:tcPr>
            <w:tcW w:w="1134" w:type="dxa"/>
            <w:vMerge/>
            <w:shd w:val="clear" w:color="auto" w:fill="auto"/>
          </w:tcPr>
          <w:p w:rsidR="0053783F" w:rsidRPr="00CD3A21" w:rsidRDefault="0053783F" w:rsidP="000344F1">
            <w:pPr>
              <w:keepNext/>
              <w:spacing w:before="120" w:after="120"/>
            </w:pPr>
          </w:p>
        </w:tc>
        <w:tc>
          <w:tcPr>
            <w:tcW w:w="4077" w:type="dxa"/>
            <w:vMerge/>
            <w:shd w:val="clear" w:color="auto" w:fill="auto"/>
            <w:vAlign w:val="center"/>
          </w:tcPr>
          <w:p w:rsidR="0053783F" w:rsidRPr="00CD3A21" w:rsidRDefault="0053783F" w:rsidP="000344F1">
            <w:pPr>
              <w:keepNext/>
              <w:spacing w:before="120" w:after="120"/>
            </w:pPr>
          </w:p>
        </w:tc>
        <w:tc>
          <w:tcPr>
            <w:tcW w:w="3261" w:type="dxa"/>
            <w:tcBorders>
              <w:top w:val="single" w:sz="4" w:space="0" w:color="auto"/>
              <w:bottom w:val="single" w:sz="4" w:space="0" w:color="auto"/>
            </w:tcBorders>
            <w:shd w:val="clear" w:color="auto" w:fill="auto"/>
          </w:tcPr>
          <w:p w:rsidR="0053783F" w:rsidRPr="00CD3A21" w:rsidRDefault="0053783F" w:rsidP="000344F1">
            <w:pPr>
              <w:keepNext/>
              <w:spacing w:before="120" w:after="120"/>
              <w:rPr>
                <w:szCs w:val="14"/>
              </w:rPr>
            </w:pPr>
            <w:r w:rsidRPr="00CD3A21">
              <w:t>Nitrous oxide (N</w:t>
            </w:r>
            <w:r w:rsidRPr="00CD3A21">
              <w:rPr>
                <w:vertAlign w:val="subscript"/>
              </w:rPr>
              <w:t>2</w:t>
            </w:r>
            <w:r w:rsidRPr="00CD3A21">
              <w:t>O)</w:t>
            </w:r>
          </w:p>
        </w:tc>
      </w:tr>
      <w:tr w:rsidR="0053783F" w:rsidRPr="00CD3A21" w:rsidTr="00DB412B">
        <w:trPr>
          <w:cantSplit/>
          <w:trHeight w:val="564"/>
        </w:trPr>
        <w:tc>
          <w:tcPr>
            <w:tcW w:w="1134" w:type="dxa"/>
            <w:vMerge/>
            <w:shd w:val="clear" w:color="auto" w:fill="auto"/>
          </w:tcPr>
          <w:p w:rsidR="0053783F" w:rsidRPr="00CD3A21" w:rsidRDefault="0053783F" w:rsidP="000344F1">
            <w:pPr>
              <w:keepNext/>
              <w:spacing w:before="120" w:after="120"/>
            </w:pPr>
          </w:p>
        </w:tc>
        <w:tc>
          <w:tcPr>
            <w:tcW w:w="4077" w:type="dxa"/>
            <w:vMerge w:val="restart"/>
            <w:shd w:val="clear" w:color="auto" w:fill="auto"/>
            <w:vAlign w:val="center"/>
          </w:tcPr>
          <w:p w:rsidR="0053783F" w:rsidRPr="00CD3A21" w:rsidRDefault="0053783F" w:rsidP="000344F1">
            <w:pPr>
              <w:keepNext/>
              <w:spacing w:before="120" w:after="120"/>
            </w:pPr>
            <w:r w:rsidRPr="00CD3A21">
              <w:t>Gas capture and combustion via gas boiler use</w:t>
            </w:r>
            <w:r w:rsidR="000E5352" w:rsidRPr="00CD3A21">
              <w:t>d</w:t>
            </w:r>
            <w:r w:rsidRPr="00CD3A21">
              <w:t xml:space="preserve"> to heat water or generate steam</w:t>
            </w:r>
          </w:p>
        </w:tc>
        <w:tc>
          <w:tcPr>
            <w:tcW w:w="3261" w:type="dxa"/>
            <w:tcBorders>
              <w:top w:val="single" w:sz="4" w:space="0" w:color="auto"/>
              <w:bottom w:val="single" w:sz="4" w:space="0" w:color="auto"/>
            </w:tcBorders>
            <w:shd w:val="clear" w:color="auto" w:fill="auto"/>
          </w:tcPr>
          <w:p w:rsidR="0053783F" w:rsidRPr="00CD3A21" w:rsidRDefault="0053783F" w:rsidP="000344F1">
            <w:pPr>
              <w:keepNext/>
              <w:spacing w:before="120" w:after="120"/>
              <w:rPr>
                <w:szCs w:val="14"/>
                <w:vertAlign w:val="subscript"/>
              </w:rPr>
            </w:pPr>
            <w:r w:rsidRPr="00CD3A21">
              <w:rPr>
                <w:szCs w:val="14"/>
              </w:rPr>
              <w:t>Methane (CH</w:t>
            </w:r>
            <w:r w:rsidRPr="00CD3A21">
              <w:rPr>
                <w:szCs w:val="14"/>
                <w:vertAlign w:val="subscript"/>
              </w:rPr>
              <w:t>4</w:t>
            </w:r>
            <w:r w:rsidRPr="00CD3A21">
              <w:rPr>
                <w:szCs w:val="14"/>
              </w:rPr>
              <w:t>)</w:t>
            </w:r>
          </w:p>
        </w:tc>
      </w:tr>
      <w:tr w:rsidR="0053783F" w:rsidRPr="00CD3A21" w:rsidTr="00DB412B">
        <w:trPr>
          <w:cantSplit/>
          <w:trHeight w:val="358"/>
        </w:trPr>
        <w:tc>
          <w:tcPr>
            <w:tcW w:w="1134" w:type="dxa"/>
            <w:vMerge/>
            <w:shd w:val="clear" w:color="auto" w:fill="auto"/>
          </w:tcPr>
          <w:p w:rsidR="0053783F" w:rsidRPr="00CD3A21" w:rsidRDefault="0053783F" w:rsidP="000344F1">
            <w:pPr>
              <w:keepNext/>
              <w:spacing w:before="120" w:after="120"/>
            </w:pPr>
          </w:p>
        </w:tc>
        <w:tc>
          <w:tcPr>
            <w:tcW w:w="4077" w:type="dxa"/>
            <w:vMerge/>
            <w:shd w:val="clear" w:color="auto" w:fill="auto"/>
            <w:vAlign w:val="center"/>
          </w:tcPr>
          <w:p w:rsidR="0053783F" w:rsidRPr="00CD3A21" w:rsidRDefault="0053783F" w:rsidP="000344F1">
            <w:pPr>
              <w:keepNext/>
              <w:spacing w:before="120" w:after="120"/>
            </w:pPr>
          </w:p>
        </w:tc>
        <w:tc>
          <w:tcPr>
            <w:tcW w:w="3261" w:type="dxa"/>
            <w:tcBorders>
              <w:top w:val="single" w:sz="4" w:space="0" w:color="auto"/>
              <w:bottom w:val="single" w:sz="4" w:space="0" w:color="auto"/>
            </w:tcBorders>
            <w:shd w:val="clear" w:color="auto" w:fill="auto"/>
          </w:tcPr>
          <w:p w:rsidR="0053783F" w:rsidRPr="00CD3A21" w:rsidRDefault="0053783F" w:rsidP="000344F1">
            <w:pPr>
              <w:keepNext/>
              <w:spacing w:before="120" w:after="120"/>
              <w:rPr>
                <w:szCs w:val="14"/>
              </w:rPr>
            </w:pPr>
            <w:r w:rsidRPr="00CD3A21">
              <w:t>Nitrous oxide (N</w:t>
            </w:r>
            <w:r w:rsidRPr="00CD3A21">
              <w:rPr>
                <w:vertAlign w:val="subscript"/>
              </w:rPr>
              <w:t>2</w:t>
            </w:r>
            <w:r w:rsidRPr="00CD3A21">
              <w:t>O)</w:t>
            </w:r>
          </w:p>
        </w:tc>
      </w:tr>
      <w:tr w:rsidR="0053783F" w:rsidRPr="00CD3A21" w:rsidTr="00DB412B">
        <w:trPr>
          <w:cantSplit/>
          <w:trHeight w:val="586"/>
        </w:trPr>
        <w:tc>
          <w:tcPr>
            <w:tcW w:w="1134" w:type="dxa"/>
            <w:vMerge/>
            <w:shd w:val="clear" w:color="auto" w:fill="auto"/>
          </w:tcPr>
          <w:p w:rsidR="0053783F" w:rsidRPr="00CD3A21" w:rsidRDefault="0053783F" w:rsidP="000344F1">
            <w:pPr>
              <w:keepNext/>
              <w:spacing w:before="120" w:after="120"/>
            </w:pPr>
          </w:p>
        </w:tc>
        <w:tc>
          <w:tcPr>
            <w:tcW w:w="4077" w:type="dxa"/>
            <w:vMerge w:val="restart"/>
            <w:tcBorders>
              <w:top w:val="single" w:sz="4" w:space="0" w:color="auto"/>
            </w:tcBorders>
            <w:shd w:val="clear" w:color="auto" w:fill="auto"/>
          </w:tcPr>
          <w:p w:rsidR="0053783F" w:rsidRPr="00CD3A21" w:rsidRDefault="0053783F" w:rsidP="000344F1">
            <w:pPr>
              <w:keepNext/>
              <w:spacing w:before="120" w:after="120"/>
            </w:pPr>
          </w:p>
          <w:p w:rsidR="0053783F" w:rsidRPr="00CD3A21" w:rsidRDefault="0053783F" w:rsidP="000344F1">
            <w:pPr>
              <w:keepNext/>
              <w:spacing w:before="120" w:after="120"/>
            </w:pPr>
            <w:r w:rsidRPr="00CD3A21">
              <w:t>Gas capture and combustion via flaring</w:t>
            </w:r>
          </w:p>
        </w:tc>
        <w:tc>
          <w:tcPr>
            <w:tcW w:w="3261" w:type="dxa"/>
            <w:tcBorders>
              <w:top w:val="single" w:sz="4" w:space="0" w:color="auto"/>
            </w:tcBorders>
            <w:shd w:val="clear" w:color="auto" w:fill="auto"/>
          </w:tcPr>
          <w:p w:rsidR="0053783F" w:rsidRPr="00CD3A21" w:rsidRDefault="0053783F" w:rsidP="000344F1">
            <w:pPr>
              <w:keepNext/>
              <w:spacing w:before="120" w:after="120"/>
            </w:pPr>
            <w:r w:rsidRPr="00CD3A21">
              <w:rPr>
                <w:szCs w:val="14"/>
              </w:rPr>
              <w:t>Methane (CH</w:t>
            </w:r>
            <w:r w:rsidRPr="00CD3A21">
              <w:rPr>
                <w:szCs w:val="14"/>
                <w:vertAlign w:val="subscript"/>
              </w:rPr>
              <w:t>4</w:t>
            </w:r>
            <w:r w:rsidRPr="00CD3A21">
              <w:rPr>
                <w:szCs w:val="14"/>
              </w:rPr>
              <w:t>)</w:t>
            </w:r>
          </w:p>
        </w:tc>
      </w:tr>
      <w:tr w:rsidR="0053783F" w:rsidRPr="00CD3A21" w:rsidTr="00DB412B">
        <w:trPr>
          <w:cantSplit/>
          <w:trHeight w:val="496"/>
        </w:trPr>
        <w:tc>
          <w:tcPr>
            <w:tcW w:w="1134" w:type="dxa"/>
            <w:vMerge/>
            <w:shd w:val="clear" w:color="auto" w:fill="auto"/>
          </w:tcPr>
          <w:p w:rsidR="0053783F" w:rsidRPr="00CD3A21" w:rsidRDefault="0053783F" w:rsidP="000344F1">
            <w:pPr>
              <w:keepNext/>
              <w:spacing w:before="120" w:after="120"/>
            </w:pPr>
          </w:p>
        </w:tc>
        <w:tc>
          <w:tcPr>
            <w:tcW w:w="4077" w:type="dxa"/>
            <w:vMerge/>
            <w:shd w:val="clear" w:color="auto" w:fill="auto"/>
            <w:vAlign w:val="center"/>
          </w:tcPr>
          <w:p w:rsidR="0053783F" w:rsidRPr="00CD3A21" w:rsidRDefault="0053783F" w:rsidP="000344F1">
            <w:pPr>
              <w:keepNext/>
              <w:spacing w:before="120" w:after="120"/>
            </w:pPr>
          </w:p>
        </w:tc>
        <w:tc>
          <w:tcPr>
            <w:tcW w:w="3261" w:type="dxa"/>
            <w:tcBorders>
              <w:top w:val="single" w:sz="4" w:space="0" w:color="auto"/>
              <w:bottom w:val="single" w:sz="4" w:space="0" w:color="auto"/>
            </w:tcBorders>
            <w:shd w:val="clear" w:color="auto" w:fill="auto"/>
          </w:tcPr>
          <w:p w:rsidR="0053783F" w:rsidRPr="00CD3A21" w:rsidRDefault="0053783F" w:rsidP="000344F1">
            <w:pPr>
              <w:keepNext/>
              <w:spacing w:before="120" w:after="120"/>
              <w:rPr>
                <w:rFonts w:ascii="Arial" w:hAnsi="Arial"/>
              </w:rPr>
            </w:pPr>
            <w:r w:rsidRPr="00CD3A21">
              <w:t>Nitrous oxide (N</w:t>
            </w:r>
            <w:r w:rsidRPr="00CD3A21">
              <w:rPr>
                <w:vertAlign w:val="subscript"/>
              </w:rPr>
              <w:t>2</w:t>
            </w:r>
            <w:r w:rsidRPr="00CD3A21">
              <w:t>O)</w:t>
            </w:r>
          </w:p>
        </w:tc>
      </w:tr>
    </w:tbl>
    <w:p w:rsidR="0053783F" w:rsidRPr="00CD3A21" w:rsidRDefault="0053783F" w:rsidP="0053783F">
      <w:pPr>
        <w:pStyle w:val="tMain"/>
      </w:pPr>
    </w:p>
    <w:p w:rsidR="00E83991" w:rsidRPr="00CD3A21" w:rsidRDefault="00E83991" w:rsidP="00E83991"/>
    <w:p w:rsidR="00E47935" w:rsidRPr="00CD3A21" w:rsidRDefault="00A52416" w:rsidP="00A52416">
      <w:pPr>
        <w:pStyle w:val="h2Part"/>
      </w:pPr>
      <w:bookmarkStart w:id="21" w:name="_Toc357161760"/>
      <w:r w:rsidRPr="00CD3A21">
        <w:lastRenderedPageBreak/>
        <w:t xml:space="preserve">Part </w:t>
      </w:r>
      <w:r w:rsidR="000C29DD" w:rsidRPr="00CD3A21">
        <w:t>4</w:t>
      </w:r>
      <w:r w:rsidRPr="00CD3A21">
        <w:tab/>
      </w:r>
      <w:r w:rsidR="00E47935" w:rsidRPr="00CD3A21">
        <w:t>The net abatement amount</w:t>
      </w:r>
      <w:bookmarkEnd w:id="21"/>
    </w:p>
    <w:p w:rsidR="00E47935" w:rsidRPr="00CD3A21" w:rsidRDefault="00A52416" w:rsidP="00A52416">
      <w:pPr>
        <w:pStyle w:val="h3Div"/>
      </w:pPr>
      <w:bookmarkStart w:id="22" w:name="_Toc357161761"/>
      <w:r w:rsidRPr="00CD3A21">
        <w:t xml:space="preserve">Division </w:t>
      </w:r>
      <w:r w:rsidR="000C29DD" w:rsidRPr="00CD3A21">
        <w:t>4.1</w:t>
      </w:r>
      <w:r w:rsidRPr="00CD3A21">
        <w:tab/>
      </w:r>
      <w:r w:rsidR="00E47935" w:rsidRPr="00CD3A21">
        <w:t>The net abatement amount</w:t>
      </w:r>
      <w:bookmarkEnd w:id="22"/>
    </w:p>
    <w:p w:rsidR="00E47935" w:rsidRPr="00CD3A21" w:rsidRDefault="000C29DD" w:rsidP="00A52416">
      <w:pPr>
        <w:pStyle w:val="h5Section"/>
      </w:pPr>
      <w:bookmarkStart w:id="23" w:name="_Toc357161762"/>
      <w:r w:rsidRPr="00CD3A21">
        <w:t>4.1</w:t>
      </w:r>
      <w:r w:rsidR="00A52416" w:rsidRPr="00CD3A21">
        <w:tab/>
      </w:r>
      <w:r w:rsidR="00E47935" w:rsidRPr="00CD3A21">
        <w:t>The net abatement amount</w:t>
      </w:r>
      <w:bookmarkEnd w:id="23"/>
      <w:r w:rsidR="000E1AFF" w:rsidRPr="00CD3A21">
        <w:t xml:space="preserve"> </w:t>
      </w:r>
    </w:p>
    <w:p w:rsidR="00E47935" w:rsidRPr="00CD3A21" w:rsidRDefault="0033655F" w:rsidP="0033655F">
      <w:pPr>
        <w:pStyle w:val="noteMain"/>
      </w:pPr>
      <w:r w:rsidRPr="00CD3A21">
        <w:tab/>
      </w:r>
      <w:r w:rsidRPr="00CD3A21">
        <w:rPr>
          <w:b/>
          <w:i/>
        </w:rPr>
        <w:t>Note</w:t>
      </w:r>
      <w:r w:rsidRPr="00CD3A21">
        <w:tab/>
      </w:r>
      <w:r w:rsidR="00E47935" w:rsidRPr="00CD3A21">
        <w:t>See paragraph 106(1</w:t>
      </w:r>
      <w:proofErr w:type="gramStart"/>
      <w:r w:rsidR="00E47935" w:rsidRPr="00CD3A21">
        <w:t>)(</w:t>
      </w:r>
      <w:proofErr w:type="gramEnd"/>
      <w:r w:rsidR="00E47935" w:rsidRPr="00CD3A21">
        <w:t>c) of the Act.</w:t>
      </w:r>
    </w:p>
    <w:p w:rsidR="00E47935" w:rsidRPr="00CD3A21" w:rsidRDefault="001432FA" w:rsidP="001432FA">
      <w:pPr>
        <w:pStyle w:val="tMain"/>
      </w:pPr>
      <w:r w:rsidRPr="00CD3A21">
        <w:tab/>
      </w:r>
      <w:r w:rsidRPr="00CD3A21">
        <w:tab/>
      </w:r>
      <w:r w:rsidR="00E47935" w:rsidRPr="00CD3A21">
        <w:t xml:space="preserve">For </w:t>
      </w:r>
      <w:r w:rsidR="00B3698B" w:rsidRPr="00CD3A21">
        <w:t xml:space="preserve">a </w:t>
      </w:r>
      <w:r w:rsidR="00E47935" w:rsidRPr="00CD3A21">
        <w:t xml:space="preserve">project to which this Determination applies, the carbon dioxide equivalent net abatement amount for the project in relation to a reporting period for the </w:t>
      </w:r>
      <w:r w:rsidRPr="00CD3A21">
        <w:t xml:space="preserve">project is taken to be the quantity of methane emissions avoided as a consequence of the project, minus emissions from electricity and fuel used to operate the gas capture and combustion equipment, as calculated in accordance with </w:t>
      </w:r>
      <w:r w:rsidR="00786A8B" w:rsidRPr="00CD3A21">
        <w:t xml:space="preserve">Subdivision </w:t>
      </w:r>
      <w:r w:rsidR="00273574" w:rsidRPr="00CD3A21">
        <w:t>4.2.3</w:t>
      </w:r>
      <w:r w:rsidRPr="00CD3A21">
        <w:t>.</w:t>
      </w:r>
    </w:p>
    <w:p w:rsidR="00E47935" w:rsidRPr="00CD3A21" w:rsidRDefault="00A52416" w:rsidP="00A52416">
      <w:pPr>
        <w:pStyle w:val="h3Div"/>
      </w:pPr>
      <w:bookmarkStart w:id="24" w:name="_Toc357161763"/>
      <w:r w:rsidRPr="00CD3A21">
        <w:t xml:space="preserve">Division </w:t>
      </w:r>
      <w:r w:rsidR="000C29DD" w:rsidRPr="00CD3A21">
        <w:t>4.2</w:t>
      </w:r>
      <w:r w:rsidRPr="00CD3A21">
        <w:tab/>
      </w:r>
      <w:r w:rsidR="00E47935" w:rsidRPr="00CD3A21">
        <w:t>Calculations</w:t>
      </w:r>
      <w:bookmarkEnd w:id="24"/>
    </w:p>
    <w:p w:rsidR="00E47935" w:rsidRPr="00CD3A21" w:rsidRDefault="00A52416" w:rsidP="00A52416">
      <w:pPr>
        <w:pStyle w:val="h4Subdiv"/>
      </w:pPr>
      <w:bookmarkStart w:id="25" w:name="_Toc357161764"/>
      <w:r w:rsidRPr="00CD3A21">
        <w:t xml:space="preserve">Subdivision </w:t>
      </w:r>
      <w:r w:rsidR="000C29DD" w:rsidRPr="00CD3A21">
        <w:t>4.2.1</w:t>
      </w:r>
      <w:r w:rsidRPr="00CD3A21">
        <w:tab/>
      </w:r>
      <w:r w:rsidR="00E47935" w:rsidRPr="00CD3A21">
        <w:t>Preliminary</w:t>
      </w:r>
      <w:bookmarkEnd w:id="25"/>
    </w:p>
    <w:p w:rsidR="00E47935" w:rsidRPr="00CD3A21" w:rsidRDefault="000C29DD" w:rsidP="00A52416">
      <w:pPr>
        <w:pStyle w:val="h5Section"/>
      </w:pPr>
      <w:bookmarkStart w:id="26" w:name="_Toc357161765"/>
      <w:r w:rsidRPr="00CD3A21">
        <w:t>4.2</w:t>
      </w:r>
      <w:r w:rsidR="00A52416" w:rsidRPr="00CD3A21">
        <w:tab/>
      </w:r>
      <w:r w:rsidR="00E47935" w:rsidRPr="00CD3A21">
        <w:t>How calculations are to be made</w:t>
      </w:r>
      <w:bookmarkEnd w:id="26"/>
    </w:p>
    <w:p w:rsidR="00786A8B" w:rsidRPr="00CD3A21" w:rsidRDefault="000344F1" w:rsidP="000344F1">
      <w:pPr>
        <w:pStyle w:val="tMain"/>
      </w:pPr>
      <w:r w:rsidRPr="00CD3A21">
        <w:tab/>
      </w:r>
      <w:r w:rsidRPr="00CD3A21">
        <w:tab/>
      </w:r>
      <w:r w:rsidR="00786A8B" w:rsidRPr="00CD3A21">
        <w:t>In this Part:</w:t>
      </w:r>
      <w:r w:rsidR="004D1C29" w:rsidRPr="00CD3A21">
        <w:t xml:space="preserve"> </w:t>
      </w:r>
    </w:p>
    <w:p w:rsidR="001C7050" w:rsidRPr="00CD3A21" w:rsidRDefault="00A52416" w:rsidP="00A52416">
      <w:pPr>
        <w:pStyle w:val="tPara"/>
      </w:pPr>
      <w:r w:rsidRPr="00CD3A21">
        <w:tab/>
      </w:r>
      <w:r w:rsidR="000C29DD" w:rsidRPr="00CD3A21">
        <w:t>(a)</w:t>
      </w:r>
      <w:r w:rsidRPr="00CD3A21">
        <w:tab/>
      </w:r>
      <w:proofErr w:type="gramStart"/>
      <w:r w:rsidR="00786A8B" w:rsidRPr="00CD3A21">
        <w:t>all</w:t>
      </w:r>
      <w:proofErr w:type="gramEnd"/>
      <w:r w:rsidR="00786A8B" w:rsidRPr="00CD3A21">
        <w:t xml:space="preserve"> calculations</w:t>
      </w:r>
      <w:r w:rsidR="001C7050" w:rsidRPr="00CD3A21">
        <w:t>:</w:t>
      </w:r>
    </w:p>
    <w:p w:rsidR="008E526D" w:rsidRPr="00CD3A21" w:rsidRDefault="00DB5C01" w:rsidP="00DB5C01">
      <w:pPr>
        <w:pStyle w:val="tSubpara"/>
      </w:pPr>
      <w:r w:rsidRPr="00CD3A21">
        <w:tab/>
      </w:r>
      <w:r w:rsidR="00273574" w:rsidRPr="00CD3A21">
        <w:t>(</w:t>
      </w:r>
      <w:proofErr w:type="spellStart"/>
      <w:r w:rsidR="00273574" w:rsidRPr="00CD3A21">
        <w:t>i</w:t>
      </w:r>
      <w:proofErr w:type="spellEnd"/>
      <w:r w:rsidR="00273574" w:rsidRPr="00CD3A21">
        <w:t>)</w:t>
      </w:r>
      <w:r w:rsidRPr="00CD3A21">
        <w:tab/>
      </w:r>
      <w:proofErr w:type="gramStart"/>
      <w:r w:rsidR="00786A8B" w:rsidRPr="00CD3A21">
        <w:t>are</w:t>
      </w:r>
      <w:proofErr w:type="gramEnd"/>
      <w:r w:rsidR="00786A8B" w:rsidRPr="00CD3A21">
        <w:t xml:space="preserve"> in respect of activities undertaken, or outcomes achieved, during the reporting period for the eligible offsets project; </w:t>
      </w:r>
    </w:p>
    <w:p w:rsidR="00786A8B" w:rsidRPr="00CD3A21" w:rsidRDefault="00DB5C01" w:rsidP="00DB5C01">
      <w:pPr>
        <w:pStyle w:val="tSubpara"/>
      </w:pPr>
      <w:r w:rsidRPr="00CD3A21">
        <w:rPr>
          <w:noProof/>
        </w:rPr>
        <w:tab/>
      </w:r>
      <w:r w:rsidR="00273574" w:rsidRPr="00CD3A21">
        <w:rPr>
          <w:noProof/>
        </w:rPr>
        <w:t>(ii)</w:t>
      </w:r>
      <w:r w:rsidRPr="00CD3A21">
        <w:rPr>
          <w:noProof/>
        </w:rPr>
        <w:tab/>
      </w:r>
      <w:r w:rsidR="008E526D" w:rsidRPr="00CD3A21">
        <w:rPr>
          <w:noProof/>
        </w:rPr>
        <w:t>must be performed at least once every 12 months;</w:t>
      </w:r>
      <w:r w:rsidR="008E526D" w:rsidRPr="00CD3A21">
        <w:t xml:space="preserve"> </w:t>
      </w:r>
    </w:p>
    <w:p w:rsidR="004D1C29" w:rsidRPr="00CD3A21" w:rsidRDefault="00A52416" w:rsidP="00A52416">
      <w:pPr>
        <w:pStyle w:val="tPara"/>
      </w:pPr>
      <w:r w:rsidRPr="00CD3A21">
        <w:tab/>
      </w:r>
      <w:r w:rsidR="000C29DD" w:rsidRPr="00CD3A21">
        <w:t>(b)</w:t>
      </w:r>
      <w:r w:rsidRPr="00CD3A21">
        <w:tab/>
      </w:r>
      <w:proofErr w:type="gramStart"/>
      <w:r w:rsidR="004D1C29" w:rsidRPr="00CD3A21">
        <w:t>for</w:t>
      </w:r>
      <w:proofErr w:type="gramEnd"/>
      <w:r w:rsidR="004D1C29" w:rsidRPr="00CD3A21">
        <w:t xml:space="preserve"> all relevant equations:</w:t>
      </w:r>
    </w:p>
    <w:p w:rsidR="004D1C29" w:rsidRPr="00CD3A21" w:rsidRDefault="004D1C29" w:rsidP="004D1C29">
      <w:pPr>
        <w:pStyle w:val="tSubpara"/>
        <w:rPr>
          <w:b/>
        </w:rPr>
      </w:pPr>
      <w:r w:rsidRPr="00CD3A21">
        <w:tab/>
      </w:r>
      <w:r w:rsidR="00273574" w:rsidRPr="00CD3A21">
        <w:t>(</w:t>
      </w:r>
      <w:proofErr w:type="spellStart"/>
      <w:r w:rsidR="00273574" w:rsidRPr="00CD3A21">
        <w:t>i</w:t>
      </w:r>
      <w:proofErr w:type="spellEnd"/>
      <w:r w:rsidR="00273574" w:rsidRPr="00CD3A21">
        <w:t>)</w:t>
      </w:r>
      <w:r w:rsidRPr="00CD3A21">
        <w:tab/>
      </w:r>
      <w:proofErr w:type="gramStart"/>
      <w:r w:rsidRPr="00CD3A21">
        <w:t>n</w:t>
      </w:r>
      <w:proofErr w:type="gramEnd"/>
      <w:r w:rsidRPr="00CD3A21">
        <w:t xml:space="preserve"> = number of combustion devices; </w:t>
      </w:r>
    </w:p>
    <w:p w:rsidR="004D1C29" w:rsidRPr="00CD3A21" w:rsidRDefault="004D1C29" w:rsidP="004D1C29">
      <w:pPr>
        <w:pStyle w:val="tSubpara"/>
        <w:rPr>
          <w:b/>
        </w:rPr>
      </w:pPr>
      <w:r w:rsidRPr="00CD3A21">
        <w:tab/>
      </w:r>
      <w:r w:rsidR="00273574" w:rsidRPr="00CD3A21">
        <w:t>(ii)</w:t>
      </w:r>
      <w:r w:rsidRPr="00CD3A21">
        <w:tab/>
      </w:r>
      <w:proofErr w:type="gramStart"/>
      <w:r w:rsidRPr="00CD3A21">
        <w:t>h</w:t>
      </w:r>
      <w:proofErr w:type="gramEnd"/>
      <w:r w:rsidRPr="00CD3A21">
        <w:t xml:space="preserve"> denotes a combustion device; </w:t>
      </w:r>
    </w:p>
    <w:p w:rsidR="001C7050" w:rsidRPr="00CD3A21" w:rsidRDefault="00A52416" w:rsidP="00A52416">
      <w:pPr>
        <w:pStyle w:val="tPara"/>
      </w:pPr>
      <w:r w:rsidRPr="00CD3A21">
        <w:tab/>
      </w:r>
      <w:r w:rsidR="000C29DD" w:rsidRPr="00CD3A21">
        <w:t>(c)</w:t>
      </w:r>
      <w:r w:rsidRPr="00CD3A21">
        <w:tab/>
      </w:r>
      <w:proofErr w:type="gramStart"/>
      <w:r w:rsidR="00786A8B" w:rsidRPr="00CD3A21">
        <w:t>unless</w:t>
      </w:r>
      <w:proofErr w:type="gramEnd"/>
      <w:r w:rsidR="00786A8B" w:rsidRPr="00CD3A21">
        <w:t xml:space="preserve"> otherwise specified, a reference to a project is a reference to an eligible offsets project that meets the requirements of Part </w:t>
      </w:r>
      <w:r w:rsidR="00273574" w:rsidRPr="00CD3A21">
        <w:t>2</w:t>
      </w:r>
      <w:r w:rsidR="001C7050" w:rsidRPr="00CD3A21">
        <w:t>; and</w:t>
      </w:r>
    </w:p>
    <w:p w:rsidR="00786A8B" w:rsidRPr="00CD3A21" w:rsidRDefault="00A52416" w:rsidP="00A52416">
      <w:pPr>
        <w:pStyle w:val="tPara"/>
      </w:pPr>
      <w:r w:rsidRPr="00CD3A21">
        <w:tab/>
      </w:r>
      <w:r w:rsidR="000C29DD" w:rsidRPr="00CD3A21">
        <w:t>(d)</w:t>
      </w:r>
      <w:r w:rsidRPr="00CD3A21">
        <w:tab/>
      </w:r>
      <w:r w:rsidR="001C7050" w:rsidRPr="00CD3A21">
        <w:t>if a calculation in this Division refers to a factor or parameter prescribed in the NGER Measurement Determination or the NGER Regulations, the person carrying out the calculations must apply, to the entire offsets reporting period, the NGER Measurement Determination or NGER Regulations in force at the time that the offsets report was submitted or was required to be submitted, whichever occurs first</w:t>
      </w:r>
      <w:r w:rsidR="00786A8B" w:rsidRPr="00CD3A21">
        <w:t>.</w:t>
      </w:r>
    </w:p>
    <w:p w:rsidR="00E47935" w:rsidRPr="00CD3A21" w:rsidRDefault="000C29DD" w:rsidP="00A52416">
      <w:pPr>
        <w:pStyle w:val="h5Section"/>
      </w:pPr>
      <w:bookmarkStart w:id="27" w:name="_Toc357161766"/>
      <w:r w:rsidRPr="00CD3A21">
        <w:lastRenderedPageBreak/>
        <w:t>4.3</w:t>
      </w:r>
      <w:r w:rsidR="00A52416" w:rsidRPr="00CD3A21">
        <w:tab/>
      </w:r>
      <w:r w:rsidR="00E47935" w:rsidRPr="00CD3A21">
        <w:t>Calculating the baseline for the project</w:t>
      </w:r>
      <w:bookmarkEnd w:id="27"/>
      <w:r w:rsidR="004D1C29" w:rsidRPr="00CD3A21">
        <w:t xml:space="preserve"> </w:t>
      </w:r>
    </w:p>
    <w:p w:rsidR="008E526D" w:rsidRPr="00CD3A21" w:rsidRDefault="00A52416" w:rsidP="00A52416">
      <w:pPr>
        <w:pStyle w:val="tMain"/>
      </w:pPr>
      <w:r w:rsidRPr="00CD3A21">
        <w:tab/>
      </w:r>
      <w:r w:rsidR="000C29DD" w:rsidRPr="00CD3A21">
        <w:t>(1)</w:t>
      </w:r>
      <w:r w:rsidRPr="00CD3A21">
        <w:tab/>
      </w:r>
      <w:r w:rsidR="008E526D" w:rsidRPr="00CD3A21">
        <w:t>For paragraph 106(4)(f) of the Act, the baseline for a project is the methane that would have been generated and released from each lagoon included in the project, for each year of the project, in the absence of the abatement activity.</w:t>
      </w:r>
    </w:p>
    <w:p w:rsidR="008E526D" w:rsidRPr="00CD3A21" w:rsidRDefault="00A52416" w:rsidP="00A52416">
      <w:pPr>
        <w:pStyle w:val="tMain"/>
      </w:pPr>
      <w:r w:rsidRPr="00CD3A21">
        <w:tab/>
      </w:r>
      <w:r w:rsidR="000C29DD" w:rsidRPr="00CD3A21">
        <w:t>(2)</w:t>
      </w:r>
      <w:r w:rsidRPr="00CD3A21">
        <w:tab/>
      </w:r>
      <w:r w:rsidR="008E526D" w:rsidRPr="00CD3A21">
        <w:t>The project baseline must be calculated based on the amount of volatile solids (VS) in the effluent stream deposited into each lagoon included in the project.</w:t>
      </w:r>
    </w:p>
    <w:p w:rsidR="008E526D" w:rsidRPr="00CD3A21" w:rsidRDefault="00A52416" w:rsidP="00A52416">
      <w:pPr>
        <w:pStyle w:val="tMain"/>
      </w:pPr>
      <w:r w:rsidRPr="00CD3A21">
        <w:tab/>
      </w:r>
      <w:r w:rsidR="000C29DD" w:rsidRPr="00CD3A21">
        <w:t>(3)</w:t>
      </w:r>
      <w:r w:rsidRPr="00CD3A21">
        <w:tab/>
      </w:r>
      <w:r w:rsidR="008E526D" w:rsidRPr="00CD3A21">
        <w:t xml:space="preserve">The amount of VS in the effluent stream must be calculated using the </w:t>
      </w:r>
      <w:proofErr w:type="spellStart"/>
      <w:r w:rsidR="008E526D" w:rsidRPr="00CD3A21">
        <w:t>PigBal</w:t>
      </w:r>
      <w:proofErr w:type="spellEnd"/>
      <w:r w:rsidR="008E526D" w:rsidRPr="00CD3A21">
        <w:t xml:space="preserve"> </w:t>
      </w:r>
      <w:r w:rsidR="0041439C" w:rsidRPr="00CD3A21">
        <w:t>m</w:t>
      </w:r>
      <w:r w:rsidR="008E526D" w:rsidRPr="00CD3A21">
        <w:t xml:space="preserve">odel. </w:t>
      </w:r>
    </w:p>
    <w:p w:rsidR="008E526D" w:rsidRPr="00CD3A21" w:rsidRDefault="00A52416" w:rsidP="00A52416">
      <w:pPr>
        <w:pStyle w:val="tMain"/>
      </w:pPr>
      <w:r w:rsidRPr="00CD3A21">
        <w:tab/>
      </w:r>
      <w:r w:rsidR="000C29DD" w:rsidRPr="00CD3A21">
        <w:t>(4)</w:t>
      </w:r>
      <w:r w:rsidRPr="00CD3A21">
        <w:tab/>
      </w:r>
      <w:r w:rsidR="008E526D" w:rsidRPr="00CD3A21">
        <w:t xml:space="preserve">Project proponents must input all required data into the </w:t>
      </w:r>
      <w:proofErr w:type="spellStart"/>
      <w:r w:rsidR="008E526D" w:rsidRPr="00CD3A21">
        <w:t>PigBal</w:t>
      </w:r>
      <w:proofErr w:type="spellEnd"/>
      <w:r w:rsidR="008E526D" w:rsidRPr="00CD3A21">
        <w:t xml:space="preserve"> model to calculate VS in accordance with the procedures and requirements set out in the </w:t>
      </w:r>
      <w:proofErr w:type="spellStart"/>
      <w:r w:rsidR="008E526D" w:rsidRPr="00CD3A21">
        <w:t>PigBal</w:t>
      </w:r>
      <w:proofErr w:type="spellEnd"/>
      <w:r w:rsidR="008E526D" w:rsidRPr="00CD3A21">
        <w:t xml:space="preserve"> Manual.</w:t>
      </w:r>
    </w:p>
    <w:p w:rsidR="00E47935" w:rsidRPr="00CD3A21" w:rsidRDefault="00A52416" w:rsidP="00A52416">
      <w:pPr>
        <w:pStyle w:val="h4Subdiv"/>
      </w:pPr>
      <w:bookmarkStart w:id="28" w:name="_Toc357161767"/>
      <w:bookmarkStart w:id="29" w:name="_Ref323896053"/>
      <w:r w:rsidRPr="00CD3A21">
        <w:t xml:space="preserve">Subdivision </w:t>
      </w:r>
      <w:r w:rsidR="000C29DD" w:rsidRPr="00CD3A21">
        <w:t>4.2.2</w:t>
      </w:r>
      <w:r w:rsidRPr="00CD3A21">
        <w:tab/>
      </w:r>
      <w:r w:rsidR="001C7050" w:rsidRPr="00CD3A21">
        <w:t>Baseline emissions (</w:t>
      </w:r>
      <w:proofErr w:type="spellStart"/>
      <w:r w:rsidR="001C7050" w:rsidRPr="00CD3A21">
        <w:t>E</w:t>
      </w:r>
      <w:r w:rsidR="001C7050" w:rsidRPr="00CD3A21">
        <w:rPr>
          <w:vertAlign w:val="subscript"/>
        </w:rPr>
        <w:t>b</w:t>
      </w:r>
      <w:proofErr w:type="spellEnd"/>
      <w:r w:rsidR="001C7050" w:rsidRPr="00CD3A21">
        <w:t>)</w:t>
      </w:r>
      <w:bookmarkEnd w:id="28"/>
      <w:r w:rsidR="004D1C29" w:rsidRPr="00CD3A21">
        <w:t xml:space="preserve"> </w:t>
      </w:r>
    </w:p>
    <w:p w:rsidR="001C7050" w:rsidRPr="00CD3A21" w:rsidRDefault="000C29DD" w:rsidP="00A52416">
      <w:pPr>
        <w:pStyle w:val="h5Section"/>
      </w:pPr>
      <w:bookmarkStart w:id="30" w:name="_Toc357161768"/>
      <w:r w:rsidRPr="00CD3A21">
        <w:t>4.4</w:t>
      </w:r>
      <w:r w:rsidR="00A52416" w:rsidRPr="00CD3A21">
        <w:tab/>
      </w:r>
      <w:r w:rsidR="001C7050" w:rsidRPr="00CD3A21">
        <w:t xml:space="preserve">Calculating </w:t>
      </w:r>
      <w:r w:rsidR="00BC2B0E" w:rsidRPr="00CD3A21">
        <w:t xml:space="preserve">the </w:t>
      </w:r>
      <w:r w:rsidR="001C7050" w:rsidRPr="00CD3A21">
        <w:t xml:space="preserve">baseline </w:t>
      </w:r>
      <w:r w:rsidR="00BC2B0E" w:rsidRPr="00CD3A21">
        <w:t xml:space="preserve">methane </w:t>
      </w:r>
      <w:r w:rsidR="001C7050" w:rsidRPr="00CD3A21">
        <w:t>emissions</w:t>
      </w:r>
      <w:bookmarkEnd w:id="30"/>
      <w:r w:rsidR="001C7050" w:rsidRPr="00CD3A21">
        <w:t xml:space="preserve"> </w:t>
      </w:r>
    </w:p>
    <w:p w:rsidR="001C7050" w:rsidRPr="00CD3A21" w:rsidRDefault="001C7050" w:rsidP="001C7050">
      <w:pPr>
        <w:pStyle w:val="tMain"/>
      </w:pPr>
      <w:r w:rsidRPr="00CD3A21">
        <w:tab/>
      </w:r>
      <w:r w:rsidRPr="00CD3A21">
        <w:tab/>
        <w:t xml:space="preserve">Baseline methane emissions must be calculated using the following formula: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2706"/>
      </w:tblGrid>
      <w:tr w:rsidR="001C7050" w:rsidRPr="00CD3A21" w:rsidTr="001C7050">
        <w:tc>
          <w:tcPr>
            <w:tcW w:w="4523" w:type="dxa"/>
          </w:tcPr>
          <w:p w:rsidR="001C7050" w:rsidRPr="00CD3A21" w:rsidRDefault="004D69D5" w:rsidP="00DB412B">
            <w:pPr>
              <w:spacing w:before="120" w:after="120"/>
              <w:jc w:val="center"/>
              <w:rPr>
                <w:b/>
              </w:rPr>
            </w:pPr>
            <m:oMathPara>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b</m:t>
                    </m:r>
                  </m:sub>
                </m:sSub>
                <m:r>
                  <m:rPr>
                    <m:sty m:val="b"/>
                  </m:rPr>
                  <w:rPr>
                    <w:rFonts w:ascii="Cambria Math"/>
                  </w:rPr>
                  <m:t>=</m:t>
                </m:r>
                <m:r>
                  <m:rPr>
                    <m:sty m:val="b"/>
                  </m:rPr>
                  <w:rPr>
                    <w:rFonts w:ascii="Cambria Math" w:hAnsi="Cambria Math"/>
                  </w:rPr>
                  <m:t>γ</m:t>
                </m:r>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b</m:t>
                    </m:r>
                  </m:sub>
                </m:sSub>
              </m:oMath>
            </m:oMathPara>
          </w:p>
        </w:tc>
        <w:tc>
          <w:tcPr>
            <w:tcW w:w="2706" w:type="dxa"/>
            <w:vAlign w:val="center"/>
          </w:tcPr>
          <w:p w:rsidR="001C7050" w:rsidRPr="00CD3A21" w:rsidRDefault="001C7050" w:rsidP="00DB412B">
            <w:pPr>
              <w:spacing w:before="120" w:after="120"/>
              <w:jc w:val="center"/>
              <w:rPr>
                <w:b/>
              </w:rPr>
            </w:pPr>
            <w:r w:rsidRPr="00CD3A21">
              <w:rPr>
                <w:b/>
              </w:rPr>
              <w:t>Equation 1.1</w:t>
            </w:r>
          </w:p>
        </w:tc>
      </w:tr>
    </w:tbl>
    <w:p w:rsidR="001C7050" w:rsidRPr="00CD3A21" w:rsidRDefault="001C7050" w:rsidP="001C7050">
      <w:pPr>
        <w:pStyle w:val="Rc"/>
        <w:spacing w:before="120" w:after="120" w:line="240" w:lineRule="auto"/>
        <w:ind w:left="0" w:firstLine="993"/>
      </w:pPr>
      <w:r w:rsidRPr="00CD3A21">
        <w:t xml:space="preserve">Where: </w:t>
      </w:r>
    </w:p>
    <w:p w:rsidR="001C7050" w:rsidRPr="00CD3A21" w:rsidRDefault="001C7050" w:rsidP="002A28C2">
      <w:pPr>
        <w:pStyle w:val="definition"/>
        <w:spacing w:before="120" w:after="120" w:line="240" w:lineRule="auto"/>
        <w:ind w:left="1843" w:hanging="879"/>
      </w:pPr>
      <w:proofErr w:type="spellStart"/>
      <w:r w:rsidRPr="00CD3A21">
        <w:rPr>
          <w:b/>
        </w:rPr>
        <w:t>E</w:t>
      </w:r>
      <w:r w:rsidRPr="00CD3A21">
        <w:rPr>
          <w:b/>
          <w:vertAlign w:val="subscript"/>
        </w:rPr>
        <w:t>b</w:t>
      </w:r>
      <w:proofErr w:type="spellEnd"/>
      <w:r w:rsidRPr="00CD3A21">
        <w:t xml:space="preserve"> =</w:t>
      </w:r>
      <w:r w:rsidRPr="00CD3A21">
        <w:tab/>
        <w:t>methane emissions from the operation of uncovered anaerobic treatment lagoons within the project site in the absence of the project, in tonnes of CO</w:t>
      </w:r>
      <w:r w:rsidRPr="00CD3A21">
        <w:rPr>
          <w:vertAlign w:val="subscript"/>
        </w:rPr>
        <w:t>2</w:t>
      </w:r>
      <w:r w:rsidRPr="00CD3A21">
        <w:noBreakHyphen/>
        <w:t xml:space="preserve">e.  </w:t>
      </w:r>
    </w:p>
    <w:p w:rsidR="001C7050" w:rsidRPr="00CD3A21" w:rsidRDefault="001C7050" w:rsidP="002A28C2">
      <w:pPr>
        <w:pStyle w:val="definition"/>
        <w:spacing w:before="120" w:after="120" w:line="240" w:lineRule="auto"/>
        <w:ind w:left="1843" w:hanging="879"/>
      </w:pPr>
      <m:oMath>
        <m:r>
          <m:rPr>
            <m:sty m:val="b"/>
          </m:rPr>
          <w:rPr>
            <w:rFonts w:ascii="Cambria Math" w:hAnsi="Cambria Math"/>
          </w:rPr>
          <m:t>γ</m:t>
        </m:r>
      </m:oMath>
      <w:r w:rsidRPr="00CD3A21">
        <w:rPr>
          <w:b/>
        </w:rPr>
        <w:t xml:space="preserve"> </w:t>
      </w:r>
      <w:r w:rsidRPr="00CD3A21">
        <w:t>=</w:t>
      </w:r>
      <w:r w:rsidRPr="00CD3A21">
        <w:tab/>
        <w:t>the factor 6.784 x 10</w:t>
      </w:r>
      <w:r w:rsidRPr="00CD3A21">
        <w:rPr>
          <w:vertAlign w:val="superscript"/>
        </w:rPr>
        <w:t>-4</w:t>
      </w:r>
      <w:r w:rsidRPr="00CD3A21">
        <w:t xml:space="preserve"> </w:t>
      </w:r>
      <w:proofErr w:type="gramStart"/>
      <w:r w:rsidRPr="00CD3A21">
        <w:t xml:space="preserve">x </w:t>
      </w:r>
      <w:proofErr w:type="gramEnd"/>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9D732B" w:rsidRPr="00CD3A21">
        <w:t>,</w:t>
      </w:r>
      <w:r w:rsidRPr="00CD3A21">
        <w:t xml:space="preserve"> </w:t>
      </w:r>
      <w:r w:rsidR="009D732B" w:rsidRPr="00CD3A21">
        <w:t xml:space="preserve">which </w:t>
      </w:r>
      <w:r w:rsidRPr="00CD3A21">
        <w:t>convert</w:t>
      </w:r>
      <w:r w:rsidR="009D732B" w:rsidRPr="00CD3A21">
        <w:t>s</w:t>
      </w:r>
      <w:r w:rsidRPr="00CD3A21">
        <w:t xml:space="preserve"> cubic metres of methane to tonnes of CO</w:t>
      </w:r>
      <w:r w:rsidRPr="00CD3A21">
        <w:rPr>
          <w:vertAlign w:val="subscript"/>
        </w:rPr>
        <w:t>2</w:t>
      </w:r>
      <w:r w:rsidRPr="00CD3A21">
        <w:t>-e at standard conditions.</w:t>
      </w:r>
    </w:p>
    <w:p w:rsidR="001C7050" w:rsidRPr="00CD3A21" w:rsidRDefault="001C7050" w:rsidP="002A28C2">
      <w:pPr>
        <w:pStyle w:val="definition"/>
        <w:spacing w:before="120" w:after="120" w:line="240" w:lineRule="auto"/>
        <w:ind w:left="1843" w:hanging="879"/>
        <w:rPr>
          <w:bCs/>
        </w:rPr>
      </w:pPr>
      <w:proofErr w:type="spellStart"/>
      <w:r w:rsidRPr="00CD3A21">
        <w:rPr>
          <w:b/>
        </w:rPr>
        <w:t>Q</w:t>
      </w:r>
      <w:r w:rsidRPr="00CD3A21">
        <w:rPr>
          <w:b/>
          <w:vertAlign w:val="subscript"/>
        </w:rPr>
        <w:t>b</w:t>
      </w:r>
      <w:proofErr w:type="spellEnd"/>
      <w:r w:rsidRPr="00CD3A21">
        <w:rPr>
          <w:b/>
        </w:rPr>
        <w:t xml:space="preserve"> </w:t>
      </w:r>
      <w:r w:rsidRPr="00CD3A21">
        <w:t>=</w:t>
      </w:r>
      <w:r w:rsidRPr="00CD3A21">
        <w:tab/>
        <w:t>volume of methane that would be released from the operation of uncovered anaerobic treatment lagoons within the project site in the absence of the project, in cubic metres of methane (m</w:t>
      </w:r>
      <w:r w:rsidRPr="00CD3A21">
        <w:rPr>
          <w:vertAlign w:val="superscript"/>
        </w:rPr>
        <w:t>3</w:t>
      </w:r>
      <w:r w:rsidRPr="00CD3A21">
        <w:t xml:space="preserve"> CH</w:t>
      </w:r>
      <w:r w:rsidRPr="00CD3A21">
        <w:rPr>
          <w:vertAlign w:val="subscript"/>
        </w:rPr>
        <w:t>4</w:t>
      </w:r>
      <w:r w:rsidRPr="00CD3A21">
        <w:t>) at standard conditions</w:t>
      </w:r>
      <w:r w:rsidRPr="00CD3A21">
        <w:rPr>
          <w:bCs/>
        </w:rPr>
        <w:t>, calculated using Equation 1.2.</w:t>
      </w:r>
    </w:p>
    <w:p w:rsidR="00BC2B0E" w:rsidRPr="00CD3A21" w:rsidRDefault="000C29DD" w:rsidP="002A28C2">
      <w:pPr>
        <w:pStyle w:val="h5Section"/>
      </w:pPr>
      <w:bookmarkStart w:id="31" w:name="_Toc357161769"/>
      <w:r w:rsidRPr="00CD3A21">
        <w:lastRenderedPageBreak/>
        <w:t>4.5</w:t>
      </w:r>
      <w:r w:rsidR="00A52416" w:rsidRPr="00CD3A21">
        <w:tab/>
      </w:r>
      <w:r w:rsidR="00BC2B0E" w:rsidRPr="00CD3A21">
        <w:t>Calculating the volume of methane</w:t>
      </w:r>
      <w:bookmarkEnd w:id="31"/>
      <w:r w:rsidR="004D1C29" w:rsidRPr="00CD3A21">
        <w:t xml:space="preserve"> </w:t>
      </w:r>
    </w:p>
    <w:p w:rsidR="00273574" w:rsidRPr="00CD3A21" w:rsidRDefault="00BC2B0E" w:rsidP="002A28C2">
      <w:pPr>
        <w:pStyle w:val="tMain"/>
        <w:keepNext/>
      </w:pPr>
      <w:r w:rsidRPr="00CD3A21">
        <w:tab/>
      </w:r>
      <w:r w:rsidRPr="00CD3A21">
        <w:tab/>
        <w:t>The volume of methane that would be emitted from the operation of uncovered anaerobic treatment lagoons within the project site in the absence of the project must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662"/>
      </w:tblGrid>
      <w:tr w:rsidR="00BC2B0E" w:rsidRPr="00CD3A21" w:rsidTr="00BC2B0E">
        <w:tc>
          <w:tcPr>
            <w:tcW w:w="4567" w:type="dxa"/>
          </w:tcPr>
          <w:p w:rsidR="00BC2B0E" w:rsidRPr="00CD3A21" w:rsidRDefault="004D69D5" w:rsidP="002A28C2">
            <w:pPr>
              <w:keepNext/>
              <w:spacing w:before="120" w:after="120"/>
              <w:jc w:val="center"/>
            </w:pPr>
            <m:oMathPara>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b</m:t>
                    </m:r>
                  </m:sub>
                </m:sSub>
                <m:r>
                  <m:rPr>
                    <m:sty m:val="b"/>
                  </m:rPr>
                  <w:rPr>
                    <w:rFonts w:ascii="Cambria Math"/>
                  </w:rPr>
                  <m:t>=</m:t>
                </m:r>
                <m:r>
                  <m:rPr>
                    <m:sty m:val="b"/>
                  </m:rPr>
                  <w:rPr>
                    <w:rFonts w:ascii="Cambria Math" w:hAnsi="Cambria Math"/>
                  </w:rPr>
                  <m:t>VS</m:t>
                </m:r>
                <m:r>
                  <m:rPr>
                    <m:sty m:val="b"/>
                  </m:rPr>
                  <w:rPr>
                    <w:rFonts w:ascii="Cambria Math"/>
                  </w:rPr>
                  <m:t xml:space="preserve"> </m:t>
                </m:r>
                <m:r>
                  <m:rPr>
                    <m:sty m:val="b"/>
                  </m:rPr>
                  <w:rPr>
                    <w:rFonts w:ascii="Cambria Math"/>
                  </w:rPr>
                  <m:t>×</m:t>
                </m:r>
                <m:r>
                  <m:rPr>
                    <m:sty m:val="b"/>
                  </m:rPr>
                  <w:rPr>
                    <w:rFonts w:ascii="Cambria Math" w:hAnsi="Cambria Math"/>
                  </w:rPr>
                  <m:t>Bo</m:t>
                </m:r>
                <m:r>
                  <m:rPr>
                    <m:sty m:val="b"/>
                  </m:rPr>
                  <w:rPr>
                    <w:rFonts w:ascii="Cambria Math"/>
                  </w:rPr>
                  <m:t>×</m:t>
                </m:r>
                <m:r>
                  <m:rPr>
                    <m:sty m:val="b"/>
                  </m:rPr>
                  <w:rPr>
                    <w:rFonts w:ascii="Cambria Math" w:hAnsi="Cambria Math"/>
                  </w:rPr>
                  <m:t>MCF</m:t>
                </m:r>
              </m:oMath>
            </m:oMathPara>
          </w:p>
        </w:tc>
        <w:tc>
          <w:tcPr>
            <w:tcW w:w="2662" w:type="dxa"/>
            <w:vAlign w:val="center"/>
          </w:tcPr>
          <w:p w:rsidR="00BC2B0E" w:rsidRPr="00CD3A21" w:rsidRDefault="00BC2B0E" w:rsidP="002A28C2">
            <w:pPr>
              <w:keepNext/>
              <w:spacing w:before="120" w:after="120"/>
              <w:jc w:val="center"/>
              <w:rPr>
                <w:b/>
              </w:rPr>
            </w:pPr>
            <w:r w:rsidRPr="00CD3A21">
              <w:rPr>
                <w:b/>
              </w:rPr>
              <w:t>Equation 1.2</w:t>
            </w:r>
          </w:p>
        </w:tc>
      </w:tr>
    </w:tbl>
    <w:p w:rsidR="00BC2B0E" w:rsidRPr="00CD3A21" w:rsidRDefault="00BC2B0E" w:rsidP="002A28C2">
      <w:pPr>
        <w:pStyle w:val="Rc"/>
        <w:keepNext/>
        <w:spacing w:before="120" w:after="120" w:line="240" w:lineRule="auto"/>
        <w:ind w:left="0" w:firstLine="993"/>
      </w:pPr>
      <w:r w:rsidRPr="00CD3A21">
        <w:t xml:space="preserve">Where: </w:t>
      </w:r>
    </w:p>
    <w:p w:rsidR="00BC2B0E" w:rsidRPr="00CD3A21" w:rsidRDefault="004D69D5" w:rsidP="002A28C2">
      <w:pPr>
        <w:pStyle w:val="R2"/>
        <w:keepNext/>
        <w:tabs>
          <w:tab w:val="clear" w:pos="794"/>
        </w:tabs>
        <w:spacing w:before="120" w:after="120" w:line="240" w:lineRule="auto"/>
        <w:ind w:left="1814" w:hanging="840"/>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b</m:t>
            </m:r>
          </m:sub>
        </m:sSub>
      </m:oMath>
      <w:r w:rsidR="00BC2B0E" w:rsidRPr="00CD3A21">
        <w:t xml:space="preserve"> =</w:t>
      </w:r>
      <w:r w:rsidR="00BC2B0E" w:rsidRPr="00CD3A21">
        <w:tab/>
        <w:t>volume of methane that would be released from the operation of uncovered anaerobic treatment lagoons within the project site, in the absence of the project, in cubic metres of methane (m</w:t>
      </w:r>
      <w:r w:rsidR="00BC2B0E" w:rsidRPr="00CD3A21">
        <w:rPr>
          <w:vertAlign w:val="superscript"/>
        </w:rPr>
        <w:t>3</w:t>
      </w:r>
      <w:r w:rsidR="00BC2B0E" w:rsidRPr="00CD3A21">
        <w:t xml:space="preserve"> CH</w:t>
      </w:r>
      <w:r w:rsidR="00BC2B0E" w:rsidRPr="00CD3A21">
        <w:rPr>
          <w:vertAlign w:val="subscript"/>
        </w:rPr>
        <w:t>4</w:t>
      </w:r>
      <w:r w:rsidR="00BC2B0E" w:rsidRPr="00CD3A21">
        <w:t>) at standard conditions.</w:t>
      </w:r>
    </w:p>
    <w:p w:rsidR="00BC2B0E" w:rsidRPr="00CD3A21" w:rsidRDefault="00BC2B0E" w:rsidP="002A28C2">
      <w:pPr>
        <w:pStyle w:val="R2"/>
        <w:tabs>
          <w:tab w:val="clear" w:pos="794"/>
          <w:tab w:val="right" w:pos="1843"/>
        </w:tabs>
        <w:spacing w:before="120" w:after="120" w:line="240" w:lineRule="auto"/>
        <w:ind w:left="1814" w:hanging="840"/>
      </w:pPr>
      <w:r w:rsidRPr="00CD3A21">
        <w:rPr>
          <w:b/>
        </w:rPr>
        <w:t>VS</w:t>
      </w:r>
      <w:r w:rsidRPr="00CD3A21">
        <w:t xml:space="preserve"> =</w:t>
      </w:r>
      <w:r w:rsidRPr="00CD3A21">
        <w:tab/>
      </w:r>
      <w:r w:rsidRPr="00CD3A21">
        <w:tab/>
        <w:t xml:space="preserve">quantity of Volatile Solids entering the project lagoons, in kilograms, calculated using the </w:t>
      </w:r>
      <w:proofErr w:type="spellStart"/>
      <w:r w:rsidRPr="00CD3A21">
        <w:t>PigBal</w:t>
      </w:r>
      <w:proofErr w:type="spellEnd"/>
      <w:r w:rsidRPr="00CD3A21">
        <w:t xml:space="preserve"> model in accordance with the </w:t>
      </w:r>
      <w:proofErr w:type="spellStart"/>
      <w:r w:rsidRPr="00CD3A21">
        <w:t>PigBal</w:t>
      </w:r>
      <w:proofErr w:type="spellEnd"/>
      <w:r w:rsidRPr="00CD3A21">
        <w:t xml:space="preserve"> Manual. </w:t>
      </w:r>
    </w:p>
    <w:p w:rsidR="00BC2B0E" w:rsidRPr="00CD3A21" w:rsidRDefault="00BC2B0E" w:rsidP="002A28C2">
      <w:pPr>
        <w:pStyle w:val="R2"/>
        <w:tabs>
          <w:tab w:val="clear" w:pos="794"/>
        </w:tabs>
        <w:spacing w:before="120" w:after="120" w:line="240" w:lineRule="auto"/>
        <w:ind w:left="1843" w:hanging="850"/>
      </w:pPr>
      <w:r w:rsidRPr="00CD3A21">
        <w:rPr>
          <w:b/>
        </w:rPr>
        <w:t>Bo</w:t>
      </w:r>
      <w:r w:rsidRPr="00CD3A21">
        <w:t xml:space="preserve"> = </w:t>
      </w:r>
      <w:r w:rsidRPr="00CD3A21">
        <w:tab/>
      </w:r>
      <w:r w:rsidR="0041439C" w:rsidRPr="00CD3A21">
        <w:t xml:space="preserve">0.45, which is </w:t>
      </w:r>
      <w:r w:rsidRPr="00CD3A21">
        <w:t>the maximum methane-producing capacity from VS</w:t>
      </w:r>
      <w:r w:rsidR="0041439C" w:rsidRPr="00CD3A21">
        <w:t xml:space="preserve"> for pigs</w:t>
      </w:r>
      <w:r w:rsidRPr="00CD3A21">
        <w:t>, in units of cubic metres of methane per kilogram of VS (m</w:t>
      </w:r>
      <w:r w:rsidRPr="00CD3A21">
        <w:rPr>
          <w:vertAlign w:val="superscript"/>
        </w:rPr>
        <w:t>3</w:t>
      </w:r>
      <w:r w:rsidRPr="00CD3A21">
        <w:t> CH</w:t>
      </w:r>
      <w:r w:rsidRPr="00CD3A21">
        <w:rPr>
          <w:vertAlign w:val="subscript"/>
        </w:rPr>
        <w:t>4</w:t>
      </w:r>
      <w:r w:rsidRPr="00CD3A21">
        <w:t>/kg</w:t>
      </w:r>
      <w:r w:rsidR="007D73FC" w:rsidRPr="00CD3A21">
        <w:t> </w:t>
      </w:r>
      <w:r w:rsidRPr="00CD3A21">
        <w:t>VS).</w:t>
      </w:r>
    </w:p>
    <w:p w:rsidR="001C7050" w:rsidRPr="00CD3A21" w:rsidRDefault="00BC2B0E" w:rsidP="002A28C2">
      <w:pPr>
        <w:pStyle w:val="R2"/>
        <w:tabs>
          <w:tab w:val="clear" w:pos="794"/>
        </w:tabs>
        <w:spacing w:before="240" w:after="240" w:line="240" w:lineRule="auto"/>
        <w:ind w:left="1843" w:hanging="850"/>
      </w:pPr>
      <w:r w:rsidRPr="00CD3A21">
        <w:rPr>
          <w:b/>
        </w:rPr>
        <w:t>MCF</w:t>
      </w:r>
      <w:r w:rsidRPr="00CD3A21">
        <w:t xml:space="preserve"> =</w:t>
      </w:r>
      <w:r w:rsidRPr="00CD3A21">
        <w:tab/>
        <w:t>methane conversion factor which reflects that portion of Bo that is achieved under temperature and treatment specifications. For anaerobic lagoons across Australia this is 0.9.</w:t>
      </w:r>
    </w:p>
    <w:p w:rsidR="00E47935" w:rsidRPr="00CD3A21" w:rsidRDefault="00A52416" w:rsidP="00A52416">
      <w:pPr>
        <w:pStyle w:val="h4Subdiv"/>
      </w:pPr>
      <w:bookmarkStart w:id="32" w:name="_Toc357161770"/>
      <w:bookmarkEnd w:id="29"/>
      <w:r w:rsidRPr="00CD3A21">
        <w:t xml:space="preserve">Subdivision </w:t>
      </w:r>
      <w:r w:rsidR="000C29DD" w:rsidRPr="00CD3A21">
        <w:t>4.2.3</w:t>
      </w:r>
      <w:r w:rsidRPr="00CD3A21">
        <w:tab/>
      </w:r>
      <w:proofErr w:type="gramStart"/>
      <w:r w:rsidR="00BC2B0E" w:rsidRPr="00CD3A21">
        <w:t>Calculating</w:t>
      </w:r>
      <w:proofErr w:type="gramEnd"/>
      <w:r w:rsidR="00AF72B3" w:rsidRPr="00CD3A21">
        <w:t xml:space="preserve"> the carbon dioxide equivalent net abatement amount</w:t>
      </w:r>
      <w:bookmarkEnd w:id="32"/>
      <w:r w:rsidR="00BC2B0E" w:rsidRPr="00CD3A21">
        <w:t xml:space="preserve"> </w:t>
      </w:r>
    </w:p>
    <w:p w:rsidR="00AF72B3" w:rsidRPr="00CD3A21" w:rsidRDefault="000C29DD" w:rsidP="00A52416">
      <w:pPr>
        <w:pStyle w:val="h5Section"/>
      </w:pPr>
      <w:bookmarkStart w:id="33" w:name="_Toc357161771"/>
      <w:r w:rsidRPr="00CD3A21">
        <w:t>4.6</w:t>
      </w:r>
      <w:r w:rsidR="00A52416" w:rsidRPr="00CD3A21">
        <w:tab/>
      </w:r>
      <w:r w:rsidR="00AF72B3" w:rsidRPr="00CD3A21">
        <w:t>Calculating net greenhouse gas abatement (A)</w:t>
      </w:r>
      <w:bookmarkEnd w:id="33"/>
      <w:r w:rsidR="004D1C29" w:rsidRPr="00CD3A21">
        <w:t xml:space="preserve"> </w:t>
      </w:r>
    </w:p>
    <w:p w:rsidR="00AF72B3" w:rsidRPr="00CD3A21" w:rsidRDefault="00AF72B3" w:rsidP="00AF72B3">
      <w:pPr>
        <w:pStyle w:val="tMain"/>
      </w:pPr>
      <w:r w:rsidRPr="00CD3A21">
        <w:tab/>
      </w:r>
      <w:r w:rsidRPr="00CD3A21">
        <w:tab/>
        <w:t>The carbon dioxide equivalent net abatement amount must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681"/>
      </w:tblGrid>
      <w:tr w:rsidR="00AF72B3" w:rsidRPr="00CD3A21" w:rsidTr="007D73FC">
        <w:tc>
          <w:tcPr>
            <w:tcW w:w="4548" w:type="dxa"/>
          </w:tcPr>
          <w:p w:rsidR="00AF72B3" w:rsidRPr="00CD3A21" w:rsidRDefault="00AF72B3" w:rsidP="00DB5C01">
            <w:pPr>
              <w:spacing w:before="120" w:after="120"/>
              <w:jc w:val="center"/>
            </w:pPr>
            <m:oMathPara>
              <m:oMath>
                <m:r>
                  <m:rPr>
                    <m:sty m:val="b"/>
                  </m:rPr>
                  <w:rPr>
                    <w:rFonts w:ascii="Cambria Math" w:hAnsi="Cambria Math"/>
                  </w:rPr>
                  <m:t>A</m:t>
                </m:r>
                <m:r>
                  <m:rPr>
                    <m:sty m:val="b"/>
                  </m:rPr>
                  <w:rPr>
                    <w:rFonts w:ascii="Cambria Math"/>
                  </w:rPr>
                  <m:t xml:space="preserve"> = </m:t>
                </m:r>
                <m:d>
                  <m:dPr>
                    <m:ctrlPr>
                      <w:rPr>
                        <w:rFonts w:ascii="Cambria Math" w:hAnsi="Cambria Math"/>
                        <w:b/>
                      </w:rPr>
                    </m:ctrlPr>
                  </m:dPr>
                  <m:e>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r>
                      <m:rPr>
                        <m:sty m:val="b"/>
                      </m:rPr>
                      <w:rPr>
                        <w:rFonts w:ascii="Cambria Math" w:hAnsi="Cambria Math"/>
                      </w:rPr>
                      <m:t>-</m:t>
                    </m:r>
                    <m:r>
                      <m:rPr>
                        <m:sty m:val="b"/>
                      </m:rPr>
                      <w:rPr>
                        <w:rFonts w:ascii="Cambria Math"/>
                      </w:rPr>
                      <m:t xml:space="preserve"> </m:t>
                    </m:r>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e>
                </m:d>
              </m:oMath>
            </m:oMathPara>
          </w:p>
        </w:tc>
        <w:tc>
          <w:tcPr>
            <w:tcW w:w="2681" w:type="dxa"/>
          </w:tcPr>
          <w:p w:rsidR="00AF72B3" w:rsidRPr="00CD3A21" w:rsidRDefault="00AF72B3" w:rsidP="00DB5C01">
            <w:pPr>
              <w:spacing w:before="120" w:after="120"/>
              <w:jc w:val="center"/>
              <w:rPr>
                <w:b/>
              </w:rPr>
            </w:pPr>
            <w:r w:rsidRPr="00CD3A21">
              <w:rPr>
                <w:b/>
              </w:rPr>
              <w:t>Equation 2.1</w:t>
            </w:r>
          </w:p>
        </w:tc>
      </w:tr>
    </w:tbl>
    <w:p w:rsidR="00AF72B3" w:rsidRPr="00CD3A21" w:rsidRDefault="00AF72B3" w:rsidP="00AF72B3">
      <w:pPr>
        <w:pStyle w:val="Rc"/>
        <w:spacing w:before="120" w:after="120" w:line="240" w:lineRule="auto"/>
      </w:pPr>
      <w:r w:rsidRPr="00CD3A21">
        <w:t>Where:</w:t>
      </w:r>
    </w:p>
    <w:p w:rsidR="00AF72B3" w:rsidRPr="00CD3A21" w:rsidRDefault="00AF72B3" w:rsidP="00F25142">
      <w:pPr>
        <w:pStyle w:val="definition"/>
        <w:tabs>
          <w:tab w:val="left" w:pos="1560"/>
        </w:tabs>
        <w:spacing w:before="120" w:after="120" w:line="240" w:lineRule="auto"/>
        <w:ind w:left="1843" w:hanging="850"/>
      </w:pPr>
      <w:r w:rsidRPr="00CD3A21">
        <w:rPr>
          <w:b/>
        </w:rPr>
        <w:t>A</w:t>
      </w:r>
      <w:r w:rsidRPr="00CD3A21">
        <w:rPr>
          <w:b/>
          <w:i/>
        </w:rPr>
        <w:t xml:space="preserve"> </w:t>
      </w:r>
      <w:r w:rsidRPr="00CD3A21">
        <w:t xml:space="preserve">= </w:t>
      </w:r>
      <w:r w:rsidRPr="00CD3A21">
        <w:tab/>
      </w:r>
      <w:r w:rsidR="00AA33C8" w:rsidRPr="00CD3A21">
        <w:tab/>
      </w:r>
      <w:r w:rsidRPr="00CD3A21">
        <w:t>net greenhouse gas abatement due to the project, in tonnes of CO</w:t>
      </w:r>
      <w:r w:rsidRPr="00CD3A21">
        <w:rPr>
          <w:vertAlign w:val="subscript"/>
        </w:rPr>
        <w:t>2</w:t>
      </w:r>
      <w:r w:rsidRPr="00CD3A21">
        <w:noBreakHyphen/>
        <w:t>e.</w:t>
      </w:r>
    </w:p>
    <w:p w:rsidR="00AF72B3" w:rsidRPr="00CD3A21" w:rsidRDefault="004D69D5" w:rsidP="00F25142">
      <w:pPr>
        <w:pStyle w:val="definition"/>
        <w:spacing w:before="120" w:after="120" w:line="240" w:lineRule="auto"/>
        <w:ind w:left="1843" w:hanging="850"/>
      </w:p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oMath>
      <w:r w:rsidR="00AF72B3" w:rsidRPr="00CD3A21">
        <w:rPr>
          <w:b/>
          <w:i/>
        </w:rPr>
        <w:t xml:space="preserve"> </w:t>
      </w:r>
      <w:r w:rsidR="00AF72B3" w:rsidRPr="00CD3A21">
        <w:t>=</w:t>
      </w:r>
      <w:r w:rsidR="00AF72B3" w:rsidRPr="00CD3A21">
        <w:tab/>
        <w:t>quantity of emissions avoided as a consequence of the project in tonnes of CO</w:t>
      </w:r>
      <w:r w:rsidR="00AF72B3" w:rsidRPr="00CD3A21">
        <w:rPr>
          <w:vertAlign w:val="subscript"/>
        </w:rPr>
        <w:t>2</w:t>
      </w:r>
      <w:r w:rsidR="00AF72B3" w:rsidRPr="00CD3A21">
        <w:noBreakHyphen/>
        <w:t xml:space="preserve">e, as calculated in Equation 2.2 or Equation 3.1 as applicable. </w:t>
      </w:r>
    </w:p>
    <w:p w:rsidR="00AF72B3" w:rsidRPr="00CD3A21" w:rsidRDefault="004D69D5" w:rsidP="00F25142">
      <w:pPr>
        <w:pStyle w:val="definition"/>
        <w:tabs>
          <w:tab w:val="left" w:pos="1560"/>
        </w:tabs>
        <w:spacing w:before="120" w:after="120" w:line="240" w:lineRule="auto"/>
        <w:ind w:left="1843" w:hanging="850"/>
      </w:pP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oMath>
      <w:r w:rsidR="00AF72B3" w:rsidRPr="00CD3A21">
        <w:t>=</w:t>
      </w:r>
      <w:r w:rsidR="00AF72B3" w:rsidRPr="00CD3A21">
        <w:tab/>
      </w:r>
      <w:r w:rsidR="00AA33C8" w:rsidRPr="00CD3A21">
        <w:tab/>
      </w:r>
      <w:r w:rsidR="00AF72B3" w:rsidRPr="00CD3A21">
        <w:t>emissions from fuel and/or grid derived electricity used to operate gas capture and combustion equipment for the purpose of the project, measured in tonnes of CO</w:t>
      </w:r>
      <w:r w:rsidR="00AF72B3" w:rsidRPr="00CD3A21">
        <w:rPr>
          <w:vertAlign w:val="subscript"/>
        </w:rPr>
        <w:t>2</w:t>
      </w:r>
      <w:r w:rsidR="00AF72B3" w:rsidRPr="00CD3A21">
        <w:noBreakHyphen/>
        <w:t xml:space="preserve">e as calculated in </w:t>
      </w:r>
      <w:r w:rsidR="00AA33C8" w:rsidRPr="00CD3A21">
        <w:t xml:space="preserve">accordance with </w:t>
      </w:r>
      <w:r w:rsidR="00AF72B3" w:rsidRPr="00CD3A21">
        <w:t>Equation 4.1.</w:t>
      </w:r>
    </w:p>
    <w:p w:rsidR="00AA33C8" w:rsidRPr="00CD3A21" w:rsidRDefault="00A52416" w:rsidP="0041439C">
      <w:pPr>
        <w:pStyle w:val="h4Subdiv"/>
      </w:pPr>
      <w:bookmarkStart w:id="34" w:name="_Toc357161772"/>
      <w:r w:rsidRPr="00CD3A21">
        <w:lastRenderedPageBreak/>
        <w:t xml:space="preserve">Subdivision </w:t>
      </w:r>
      <w:r w:rsidR="000C29DD" w:rsidRPr="00CD3A21">
        <w:t>4.2.4</w:t>
      </w:r>
      <w:r w:rsidRPr="00CD3A21">
        <w:tab/>
      </w:r>
      <w:r w:rsidR="00AA33C8" w:rsidRPr="00CD3A21">
        <w:t xml:space="preserve">Calculating </w:t>
      </w:r>
      <w:proofErr w:type="spellStart"/>
      <w:proofErr w:type="gramStart"/>
      <w:r w:rsidR="00AA33C8" w:rsidRPr="00CD3A21">
        <w:t>A</w:t>
      </w:r>
      <w:r w:rsidR="00AA33C8" w:rsidRPr="00CD3A21">
        <w:rPr>
          <w:vertAlign w:val="subscript"/>
        </w:rPr>
        <w:t>p</w:t>
      </w:r>
      <w:bookmarkEnd w:id="34"/>
      <w:proofErr w:type="spellEnd"/>
      <w:proofErr w:type="gramEnd"/>
      <w:r w:rsidR="004D1C29" w:rsidRPr="00CD3A21">
        <w:rPr>
          <w:vertAlign w:val="subscript"/>
        </w:rPr>
        <w:t xml:space="preserve"> </w:t>
      </w:r>
    </w:p>
    <w:p w:rsidR="00AA33C8" w:rsidRPr="00CD3A21" w:rsidRDefault="000C29DD" w:rsidP="0041439C">
      <w:pPr>
        <w:pStyle w:val="h5Section"/>
      </w:pPr>
      <w:bookmarkStart w:id="35" w:name="_Toc357161773"/>
      <w:r w:rsidRPr="00CD3A21">
        <w:t>4.7</w:t>
      </w:r>
      <w:r w:rsidR="00A52416" w:rsidRPr="00CD3A21">
        <w:tab/>
      </w:r>
      <w:r w:rsidR="00AA33C8" w:rsidRPr="00CD3A21">
        <w:t>Calculating avoided greenhouse gas emissions (</w:t>
      </w:r>
      <w:proofErr w:type="spellStart"/>
      <w:proofErr w:type="gramStart"/>
      <w:r w:rsidR="00AA33C8" w:rsidRPr="00CD3A21">
        <w:t>A</w:t>
      </w:r>
      <w:r w:rsidR="00AA33C8" w:rsidRPr="00CD3A21">
        <w:rPr>
          <w:rFonts w:ascii="Times New Roman Bold" w:hAnsi="Times New Roman Bold"/>
          <w:vertAlign w:val="subscript"/>
        </w:rPr>
        <w:t>p</w:t>
      </w:r>
      <w:proofErr w:type="spellEnd"/>
      <w:proofErr w:type="gramEnd"/>
      <w:r w:rsidR="00AA33C8" w:rsidRPr="00CD3A21">
        <w:t>)</w:t>
      </w:r>
      <w:bookmarkEnd w:id="35"/>
      <w:r w:rsidR="004D1C29" w:rsidRPr="00CD3A21">
        <w:t xml:space="preserve"> </w:t>
      </w:r>
    </w:p>
    <w:p w:rsidR="00AA33C8" w:rsidRPr="00CD3A21" w:rsidRDefault="008F2F5E" w:rsidP="0041439C">
      <w:pPr>
        <w:pStyle w:val="tMain"/>
        <w:keepNext/>
      </w:pPr>
      <w:r w:rsidRPr="00CD3A21">
        <w:tab/>
      </w:r>
      <w:r w:rsidR="000C29DD" w:rsidRPr="00CD3A21">
        <w:t>(1)</w:t>
      </w:r>
      <w:r w:rsidRPr="00CD3A21">
        <w:tab/>
      </w:r>
      <w:r w:rsidR="002E1156" w:rsidRPr="00CD3A21">
        <w:t>Subject to subsection (2), a</w:t>
      </w:r>
      <w:r w:rsidR="008E374F" w:rsidRPr="00CD3A21">
        <w:t>voided greenhouse gas emissions must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2631"/>
      </w:tblGrid>
      <w:tr w:rsidR="008E374F" w:rsidRPr="00CD3A21" w:rsidTr="007D73FC">
        <w:tc>
          <w:tcPr>
            <w:tcW w:w="4598" w:type="dxa"/>
          </w:tcPr>
          <w:p w:rsidR="008E374F" w:rsidRPr="00CD3A21" w:rsidRDefault="004D69D5" w:rsidP="0041439C">
            <w:pPr>
              <w:keepNext/>
              <w:spacing w:before="120" w:after="120"/>
              <w:jc w:val="center"/>
            </w:pPr>
            <m:oMathPara>
              <m:oMath>
                <m:sSub>
                  <m:sSubPr>
                    <m:ctrlPr>
                      <w:rPr>
                        <w:rFonts w:ascii="Cambria Math" w:hAnsi="Cambria Math"/>
                        <w:b/>
                        <w:bCs/>
                      </w:rPr>
                    </m:ctrlPr>
                  </m:sSubPr>
                  <m:e>
                    <m:r>
                      <m:rPr>
                        <m:sty m:val="b"/>
                      </m:rPr>
                      <w:rPr>
                        <w:rFonts w:ascii="Cambria Math" w:hAnsi="Cambria Math"/>
                      </w:rPr>
                      <m:t>A</m:t>
                    </m:r>
                  </m:e>
                  <m:sub>
                    <m:r>
                      <m:rPr>
                        <m:sty m:val="b"/>
                      </m:rPr>
                      <w:rPr>
                        <w:rFonts w:ascii="Cambria Math" w:hAnsi="Cambria Math"/>
                      </w:rPr>
                      <m:t>p</m:t>
                    </m:r>
                  </m:sub>
                </m:sSub>
                <m:r>
                  <m:rPr>
                    <m:sty m:val="b"/>
                  </m:rPr>
                  <w:rPr>
                    <w:rFonts w:ascii="Cambria Math"/>
                  </w:rPr>
                  <m:t>=</m:t>
                </m:r>
                <m:r>
                  <m:rPr>
                    <m:sty m:val="b"/>
                  </m:rPr>
                  <w:rPr>
                    <w:rFonts w:ascii="Cambria Math" w:hAnsi="Cambria Math"/>
                  </w:rPr>
                  <m:t>γ</m:t>
                </m:r>
                <m:nary>
                  <m:naryPr>
                    <m:chr m:val="∑"/>
                    <m:limLoc m:val="undOvr"/>
                    <m:ctrlPr>
                      <w:rPr>
                        <w:rFonts w:ascii="Cambria Math" w:hAnsi="Cambria Math"/>
                        <w:b/>
                      </w:rPr>
                    </m:ctrlPr>
                  </m:naryPr>
                  <m:sub>
                    <m:r>
                      <m:rPr>
                        <m:sty m:val="b"/>
                      </m:rPr>
                      <w:rPr>
                        <w:rFonts w:ascii="Cambria Math" w:hAnsi="Cambria Math"/>
                      </w:rPr>
                      <m:t>h</m:t>
                    </m:r>
                    <m:r>
                      <m:rPr>
                        <m:sty m:val="b"/>
                      </m:rPr>
                      <w:rPr>
                        <w:rFonts w:asci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e>
                </m:nary>
                <m:r>
                  <m:rPr>
                    <m:sty m:val="b"/>
                  </m:rPr>
                  <w:rPr>
                    <w:rFonts w:ascii="Cambria Math" w:hAnsi="Cambria Math"/>
                  </w:rPr>
                  <m:t>-</m:t>
                </m:r>
                <m:r>
                  <m:rPr>
                    <m:sty m:val="b"/>
                  </m:rPr>
                  <w:rPr>
                    <w:rFonts w:ascii="Cambria Math"/>
                  </w:rPr>
                  <m:t xml:space="preserve"> </m:t>
                </m:r>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oMath>
            </m:oMathPara>
          </w:p>
        </w:tc>
        <w:tc>
          <w:tcPr>
            <w:tcW w:w="2631" w:type="dxa"/>
            <w:vAlign w:val="center"/>
          </w:tcPr>
          <w:p w:rsidR="008E374F" w:rsidRPr="00CD3A21" w:rsidRDefault="008E374F" w:rsidP="0041439C">
            <w:pPr>
              <w:keepNext/>
              <w:spacing w:before="120" w:after="120"/>
              <w:jc w:val="center"/>
              <w:rPr>
                <w:b/>
              </w:rPr>
            </w:pPr>
            <w:r w:rsidRPr="00CD3A21">
              <w:rPr>
                <w:b/>
              </w:rPr>
              <w:t>Equation 2.2</w:t>
            </w:r>
          </w:p>
        </w:tc>
      </w:tr>
    </w:tbl>
    <w:p w:rsidR="008E374F" w:rsidRPr="00CD3A21" w:rsidRDefault="008E374F" w:rsidP="008E374F">
      <w:pPr>
        <w:pStyle w:val="Rc"/>
        <w:keepNext/>
        <w:spacing w:before="120" w:after="120" w:line="240" w:lineRule="auto"/>
        <w:rPr>
          <w:bCs/>
        </w:rPr>
      </w:pPr>
      <w:r w:rsidRPr="00CD3A21">
        <w:t>Where</w:t>
      </w:r>
      <w:r w:rsidRPr="00CD3A21">
        <w:rPr>
          <w:bCs/>
        </w:rPr>
        <w:t>:</w:t>
      </w:r>
    </w:p>
    <w:p w:rsidR="008E374F" w:rsidRPr="00CD3A21" w:rsidRDefault="004D69D5" w:rsidP="002A28C2">
      <w:pPr>
        <w:pStyle w:val="definition"/>
        <w:spacing w:before="120" w:after="120" w:line="240" w:lineRule="auto"/>
        <w:ind w:left="1843" w:hanging="850"/>
      </w:pPr>
      <m:oMath>
        <m:sSub>
          <m:sSubPr>
            <m:ctrlPr>
              <w:rPr>
                <w:rFonts w:ascii="Cambria Math" w:hAnsi="Cambria Math"/>
                <w:b/>
                <w:bCs/>
              </w:rPr>
            </m:ctrlPr>
          </m:sSubPr>
          <m:e>
            <m:r>
              <m:rPr>
                <m:sty m:val="b"/>
              </m:rPr>
              <w:rPr>
                <w:rFonts w:ascii="Cambria Math" w:hAnsi="Cambria Math"/>
              </w:rPr>
              <m:t>A</m:t>
            </m:r>
          </m:e>
          <m:sub>
            <m:r>
              <m:rPr>
                <m:sty m:val="b"/>
              </m:rPr>
              <w:rPr>
                <w:rFonts w:ascii="Cambria Math" w:hAnsi="Cambria Math"/>
              </w:rPr>
              <m:t>p</m:t>
            </m:r>
          </m:sub>
        </m:sSub>
      </m:oMath>
      <w:r w:rsidR="008E374F" w:rsidRPr="00CD3A21">
        <w:rPr>
          <w:b/>
          <w:i/>
        </w:rPr>
        <w:t xml:space="preserve"> </w:t>
      </w:r>
      <w:r w:rsidR="008E374F" w:rsidRPr="00CD3A21">
        <w:t>=</w:t>
      </w:r>
      <w:r w:rsidR="008E374F" w:rsidRPr="00CD3A21">
        <w:tab/>
        <w:t>quantity of emissions avoided as a consequence of the project, in tonnes of CO</w:t>
      </w:r>
      <w:r w:rsidR="008E374F" w:rsidRPr="00CD3A21">
        <w:rPr>
          <w:vertAlign w:val="subscript"/>
        </w:rPr>
        <w:t>2</w:t>
      </w:r>
      <w:r w:rsidR="008E374F" w:rsidRPr="00CD3A21">
        <w:noBreakHyphen/>
        <w:t>e.</w:t>
      </w:r>
    </w:p>
    <w:p w:rsidR="008E374F" w:rsidRPr="00CD3A21" w:rsidRDefault="008E374F" w:rsidP="002A28C2">
      <w:pPr>
        <w:pStyle w:val="definition"/>
        <w:spacing w:before="120" w:after="120" w:line="240" w:lineRule="auto"/>
        <w:ind w:left="1843" w:hanging="850"/>
      </w:pPr>
      <m:oMath>
        <m:r>
          <m:rPr>
            <m:sty m:val="b"/>
          </m:rPr>
          <w:rPr>
            <w:rFonts w:ascii="Cambria Math" w:hAnsi="Cambria Math"/>
          </w:rPr>
          <m:t>γ</m:t>
        </m:r>
      </m:oMath>
      <w:r w:rsidRPr="00CD3A21">
        <w:rPr>
          <w:i/>
        </w:rPr>
        <w:t xml:space="preserve"> </w:t>
      </w:r>
      <w:r w:rsidRPr="00CD3A21">
        <w:t xml:space="preserve">= </w:t>
      </w:r>
      <w:r w:rsidRPr="00CD3A21">
        <w:tab/>
        <w:t>the factor 6.784 x 10</w:t>
      </w:r>
      <w:r w:rsidRPr="00CD3A21">
        <w:rPr>
          <w:vertAlign w:val="superscript"/>
        </w:rPr>
        <w:t>-4</w:t>
      </w:r>
      <w:r w:rsidRPr="00CD3A21">
        <w:t xml:space="preserve"> </w:t>
      </w:r>
      <w:proofErr w:type="gramStart"/>
      <w:r w:rsidRPr="00CD3A21">
        <w:t xml:space="preserve">x </w:t>
      </w:r>
      <w:proofErr w:type="gramEnd"/>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9D732B" w:rsidRPr="00CD3A21">
        <w:t>,</w:t>
      </w:r>
      <w:r w:rsidRPr="00CD3A21">
        <w:t xml:space="preserve"> </w:t>
      </w:r>
      <w:r w:rsidR="009D732B" w:rsidRPr="00CD3A21">
        <w:t xml:space="preserve">which </w:t>
      </w:r>
      <w:r w:rsidRPr="00CD3A21">
        <w:t>convert</w:t>
      </w:r>
      <w:r w:rsidR="009D732B" w:rsidRPr="00CD3A21">
        <w:t>s</w:t>
      </w:r>
      <w:r w:rsidRPr="00CD3A21">
        <w:t xml:space="preserve"> cubic metres of methane to tonnes of CO</w:t>
      </w:r>
      <w:r w:rsidRPr="00CD3A21">
        <w:rPr>
          <w:vertAlign w:val="subscript"/>
        </w:rPr>
        <w:t>2</w:t>
      </w:r>
      <w:r w:rsidRPr="00CD3A21">
        <w:t>-e at standard conditions.</w:t>
      </w:r>
    </w:p>
    <w:p w:rsidR="008E374F" w:rsidRPr="00CD3A21" w:rsidRDefault="004D69D5" w:rsidP="002A28C2">
      <w:pPr>
        <w:pStyle w:val="definition"/>
        <w:spacing w:before="120" w:after="120" w:line="240" w:lineRule="auto"/>
        <w:ind w:left="1843" w:hanging="850"/>
        <w:rPr>
          <w:i/>
        </w:rPr>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oMath>
      <w:r w:rsidR="008E374F" w:rsidRPr="00CD3A21">
        <w:rPr>
          <w:i/>
        </w:rPr>
        <w:t xml:space="preserve"> </w:t>
      </w:r>
      <w:r w:rsidR="008E374F" w:rsidRPr="00CD3A21">
        <w:t>= volume of methane destroyed by combustion device h, in cubic metres (m</w:t>
      </w:r>
      <w:r w:rsidR="008E374F" w:rsidRPr="00CD3A21">
        <w:rPr>
          <w:vertAlign w:val="superscript"/>
        </w:rPr>
        <w:t>3</w:t>
      </w:r>
      <w:r w:rsidR="008E374F" w:rsidRPr="00CD3A21">
        <w:t xml:space="preserve">) and capped according to section </w:t>
      </w:r>
      <w:r w:rsidR="00273574" w:rsidRPr="00CD3A21">
        <w:t>4.11</w:t>
      </w:r>
      <w:r w:rsidR="008E374F" w:rsidRPr="00CD3A21">
        <w:t>.</w:t>
      </w:r>
    </w:p>
    <w:p w:rsidR="008E374F" w:rsidRPr="00CD3A21" w:rsidRDefault="004D69D5" w:rsidP="002A28C2">
      <w:pPr>
        <w:spacing w:before="120" w:after="120"/>
        <w:ind w:left="1843" w:hanging="850"/>
        <w:jc w:val="both"/>
      </w:pPr>
      <m:oMath>
        <m:sSub>
          <m:sSubPr>
            <m:ctrlPr>
              <w:rPr>
                <w:rFonts w:ascii="Cambria Math" w:hAnsi="Cambria Math"/>
                <w:b/>
              </w:rPr>
            </m:ctrlPr>
          </m:sSubPr>
          <m:e>
            <m:r>
              <m:rPr>
                <m:sty m:val="b"/>
              </m:rPr>
              <w:rPr>
                <w:rFonts w:ascii="Cambria Math"/>
              </w:rPr>
              <m:t>E</m:t>
            </m:r>
          </m:e>
          <m:sub>
            <m:sSub>
              <m:sSubPr>
                <m:ctrlPr>
                  <w:rPr>
                    <w:rFonts w:ascii="Cambria Math" w:hAnsi="Cambria Math"/>
                    <w:b/>
                  </w:rPr>
                </m:ctrlPr>
              </m:sSubPr>
              <m:e>
                <m:r>
                  <m:rPr>
                    <m:sty m:val="b"/>
                  </m:rPr>
                  <w:rPr>
                    <w:rFonts w:ascii="Cambria Math"/>
                  </w:rPr>
                  <m:t>N</m:t>
                </m:r>
              </m:e>
              <m:sub>
                <m:r>
                  <m:rPr>
                    <m:sty m:val="b"/>
                  </m:rPr>
                  <w:rPr>
                    <w:rFonts w:ascii="Cambria Math"/>
                  </w:rPr>
                  <m:t>2</m:t>
                </m:r>
              </m:sub>
            </m:sSub>
            <m:r>
              <m:rPr>
                <m:sty m:val="b"/>
              </m:rPr>
              <w:rPr>
                <w:rFonts w:ascii="Cambria Math"/>
              </w:rPr>
              <m:t>O</m:t>
            </m:r>
          </m:sub>
        </m:sSub>
      </m:oMath>
      <w:r w:rsidR="008E374F" w:rsidRPr="00CD3A21">
        <w:rPr>
          <w:b/>
          <w:i/>
        </w:rPr>
        <w:t xml:space="preserve"> </w:t>
      </w:r>
      <w:r w:rsidR="008E374F" w:rsidRPr="00CD3A21">
        <w:t>=</w:t>
      </w:r>
      <w:r w:rsidR="008E374F" w:rsidRPr="00CD3A21">
        <w:tab/>
        <w:t>quantity of nitrous oxide emissions released as a result of methane destruction from all combustion devices, in tonnes of CO</w:t>
      </w:r>
      <w:r w:rsidR="008E374F" w:rsidRPr="00CD3A21">
        <w:rPr>
          <w:vertAlign w:val="subscript"/>
        </w:rPr>
        <w:t>2</w:t>
      </w:r>
      <w:r w:rsidR="008E374F" w:rsidRPr="00CD3A21">
        <w:noBreakHyphen/>
        <w:t>e.</w:t>
      </w:r>
    </w:p>
    <w:p w:rsidR="002E1156" w:rsidRPr="00CD3A21" w:rsidRDefault="008F2F5E" w:rsidP="008F2F5E">
      <w:pPr>
        <w:pStyle w:val="tMain"/>
      </w:pPr>
      <w:r w:rsidRPr="00CD3A21">
        <w:tab/>
      </w:r>
      <w:r w:rsidR="000C29DD" w:rsidRPr="00CD3A21">
        <w:t>(2)</w:t>
      </w:r>
      <w:r w:rsidRPr="00CD3A21">
        <w:tab/>
      </w:r>
      <w:r w:rsidR="00EB1C96" w:rsidRPr="00CD3A21">
        <w:t xml:space="preserve">If the requirements set out in subsection 4.13(1) are met, a </w:t>
      </w:r>
      <w:r w:rsidR="002E1156" w:rsidRPr="00CD3A21">
        <w:t xml:space="preserve">project proponent </w:t>
      </w:r>
      <w:r w:rsidR="008F248D" w:rsidRPr="00CD3A21">
        <w:t xml:space="preserve">may calculate </w:t>
      </w:r>
      <w:proofErr w:type="spellStart"/>
      <w:proofErr w:type="gramStart"/>
      <w:r w:rsidR="008F248D" w:rsidRPr="00CD3A21">
        <w:t>A</w:t>
      </w:r>
      <w:r w:rsidR="008F248D" w:rsidRPr="00CD3A21">
        <w:rPr>
          <w:vertAlign w:val="subscript"/>
        </w:rPr>
        <w:t>p</w:t>
      </w:r>
      <w:proofErr w:type="spellEnd"/>
      <w:proofErr w:type="gramEnd"/>
      <w:r w:rsidR="008F248D" w:rsidRPr="00CD3A21">
        <w:t xml:space="preserve"> by substituting Equation 3.1 for </w:t>
      </w:r>
      <w:r w:rsidR="002E1156" w:rsidRPr="00CD3A21">
        <w:t>Equation 2.2</w:t>
      </w:r>
      <w:r w:rsidR="00BE56F3" w:rsidRPr="00CD3A21">
        <w:t>.</w:t>
      </w:r>
    </w:p>
    <w:p w:rsidR="008E374F" w:rsidRPr="00CD3A21" w:rsidRDefault="008E374F" w:rsidP="008E374F">
      <w:pPr>
        <w:pStyle w:val="h4Subdiv"/>
      </w:pPr>
      <w:bookmarkStart w:id="36" w:name="_Toc357161774"/>
      <w:r w:rsidRPr="00CD3A21">
        <w:t xml:space="preserve">Subdivision </w:t>
      </w:r>
      <w:r w:rsidR="00273574" w:rsidRPr="00CD3A21">
        <w:t>4.2.5</w:t>
      </w:r>
      <w:r w:rsidRPr="00CD3A21">
        <w:tab/>
        <w:t xml:space="preserve">Calculating </w:t>
      </w:r>
      <w:proofErr w:type="spellStart"/>
      <w:r w:rsidRPr="00CD3A21">
        <w:t>Q</w:t>
      </w:r>
      <w:r w:rsidRPr="00CD3A21">
        <w:rPr>
          <w:vertAlign w:val="subscript"/>
        </w:rPr>
        <w:t>com</w:t>
      </w:r>
      <w:proofErr w:type="gramStart"/>
      <w:r w:rsidRPr="00CD3A21">
        <w:rPr>
          <w:vertAlign w:val="subscript"/>
        </w:rPr>
        <w:t>,h</w:t>
      </w:r>
      <w:bookmarkEnd w:id="36"/>
      <w:proofErr w:type="spellEnd"/>
      <w:proofErr w:type="gramEnd"/>
      <w:r w:rsidR="00650E2B" w:rsidRPr="00CD3A21">
        <w:rPr>
          <w:vertAlign w:val="subscript"/>
        </w:rPr>
        <w:t xml:space="preserve"> </w:t>
      </w:r>
    </w:p>
    <w:p w:rsidR="008E374F" w:rsidRPr="00CD3A21" w:rsidRDefault="000C29DD" w:rsidP="008F2F5E">
      <w:pPr>
        <w:pStyle w:val="h5Section"/>
      </w:pPr>
      <w:bookmarkStart w:id="37" w:name="_Toc357161775"/>
      <w:r w:rsidRPr="00CD3A21">
        <w:t>4.8</w:t>
      </w:r>
      <w:r w:rsidR="008F2F5E" w:rsidRPr="00CD3A21">
        <w:tab/>
      </w:r>
      <w:r w:rsidR="008E374F" w:rsidRPr="00CD3A21">
        <w:t>Calculating volume of methane destroyed by combustion device (</w:t>
      </w:r>
      <w:proofErr w:type="spellStart"/>
      <w:r w:rsidR="008E374F" w:rsidRPr="00CD3A21">
        <w:t>Q</w:t>
      </w:r>
      <w:r w:rsidR="008E374F" w:rsidRPr="00CD3A21">
        <w:rPr>
          <w:rFonts w:ascii="Times New Roman Bold" w:hAnsi="Times New Roman Bold"/>
          <w:vertAlign w:val="subscript"/>
        </w:rPr>
        <w:t>com</w:t>
      </w:r>
      <w:proofErr w:type="gramStart"/>
      <w:r w:rsidR="008E374F" w:rsidRPr="00CD3A21">
        <w:rPr>
          <w:rFonts w:ascii="Times New Roman Bold" w:hAnsi="Times New Roman Bold"/>
          <w:vertAlign w:val="subscript"/>
        </w:rPr>
        <w:t>,h</w:t>
      </w:r>
      <w:proofErr w:type="spellEnd"/>
      <w:proofErr w:type="gramEnd"/>
      <w:r w:rsidR="008E374F" w:rsidRPr="00CD3A21">
        <w:t>)</w:t>
      </w:r>
      <w:bookmarkEnd w:id="37"/>
      <w:r w:rsidR="00650E2B" w:rsidRPr="00CD3A21">
        <w:t xml:space="preserve"> </w:t>
      </w:r>
    </w:p>
    <w:p w:rsidR="008E374F" w:rsidRPr="00CD3A21" w:rsidRDefault="008F2F5E" w:rsidP="008F2F5E">
      <w:pPr>
        <w:pStyle w:val="tMain"/>
      </w:pPr>
      <w:r w:rsidRPr="00CD3A21">
        <w:tab/>
      </w:r>
      <w:r w:rsidRPr="00CD3A21">
        <w:tab/>
      </w:r>
      <w:r w:rsidR="008E374F" w:rsidRPr="00CD3A21">
        <w:t>The volume of methane destroyed by a combustion device is to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2639"/>
      </w:tblGrid>
      <w:tr w:rsidR="008E374F" w:rsidRPr="00CD3A21" w:rsidTr="007D73FC">
        <w:tc>
          <w:tcPr>
            <w:tcW w:w="4590" w:type="dxa"/>
          </w:tcPr>
          <w:p w:rsidR="008E374F" w:rsidRPr="00CD3A21" w:rsidRDefault="008E374F" w:rsidP="00DB5C01">
            <w:pPr>
              <w:spacing w:before="120" w:after="120"/>
              <w:jc w:val="center"/>
            </w:pPr>
            <w:proofErr w:type="spellStart"/>
            <w:r w:rsidRPr="00CD3A21">
              <w:rPr>
                <w:b/>
              </w:rPr>
              <w:t>Q</w:t>
            </w:r>
            <w:r w:rsidR="00077459" w:rsidRPr="00CD3A21">
              <w:rPr>
                <w:b/>
                <w:vertAlign w:val="subscript"/>
              </w:rPr>
              <w:t>com,</w:t>
            </w:r>
            <w:r w:rsidRPr="00CD3A21">
              <w:rPr>
                <w:b/>
                <w:vertAlign w:val="subscript"/>
              </w:rPr>
              <w:t>h</w:t>
            </w:r>
            <w:proofErr w:type="spellEnd"/>
            <w:r w:rsidRPr="00CD3A21">
              <w:rPr>
                <w:b/>
              </w:rPr>
              <w:t xml:space="preserve"> </w:t>
            </w:r>
            <m:oMath>
              <m:r>
                <m:rPr>
                  <m:sty m:val="b"/>
                </m:rPr>
                <w:rPr>
                  <w:rFonts w:ascii="Cambria Math"/>
                </w:rPr>
                <m:t xml:space="preserve">= </m:t>
              </m:r>
              <m:sSub>
                <m:sSubPr>
                  <m:ctrlPr>
                    <w:rPr>
                      <w:rFonts w:ascii="Cambria Math" w:hAnsi="Cambria Math"/>
                      <w:b/>
                    </w:rPr>
                  </m:ctrlPr>
                </m:sSubPr>
                <m:e>
                  <m:r>
                    <m:rPr>
                      <m:sty m:val="b"/>
                    </m:rPr>
                    <w:rPr>
                      <w:rFonts w:ascii="Cambria Math" w:hAnsi="Cambria Math"/>
                    </w:rPr>
                    <m:t>Q</m:t>
                  </m:r>
                </m:e>
                <m:sub>
                  <m:sSub>
                    <m:sSubPr>
                      <m:ctrlPr>
                        <w:rPr>
                          <w:rFonts w:ascii="Cambria Math" w:hAnsi="Cambria Math"/>
                          <w:b/>
                        </w:rPr>
                      </m:ctrlPr>
                    </m:sSubPr>
                    <m:e>
                      <m:r>
                        <m:rPr>
                          <m:sty m:val="b"/>
                        </m:rPr>
                        <w:rPr>
                          <w:rFonts w:ascii="Cambria Math"/>
                        </w:rPr>
                        <m:t>CH</m:t>
                      </m:r>
                    </m:e>
                    <m:sub>
                      <m:r>
                        <m:rPr>
                          <m:sty m:val="b"/>
                        </m:rPr>
                        <w:rPr>
                          <w:rFonts w:ascii="Cambria Math"/>
                        </w:rPr>
                        <m:t>4</m:t>
                      </m:r>
                    </m:sub>
                  </m:sSub>
                  <m:r>
                    <m:rPr>
                      <m:sty m:val="b"/>
                    </m:rPr>
                    <w:rPr>
                      <w:rFonts w:ascii="Cambria Math"/>
                    </w:rPr>
                    <m:t>,h</m:t>
                  </m:r>
                </m:sub>
              </m:sSub>
              <m:r>
                <m:rPr>
                  <m:sty m:val="b"/>
                </m:rPr>
                <w:rPr>
                  <w:rFonts w:ascii="Cambria Math"/>
                </w:rPr>
                <m:t xml:space="preserve"> </m:t>
              </m:r>
              <m:r>
                <m:rPr>
                  <m:sty m:val="b"/>
                </m:rPr>
                <w:rPr>
                  <w:rFonts w:ascii="Cambria Math" w:hAnsi="Cambria Math"/>
                </w:rPr>
                <m:t>×</m:t>
              </m:r>
              <m:r>
                <m:rPr>
                  <m:sty m:val="b"/>
                </m:rPr>
                <w:rPr>
                  <w:rFonts w:ascii="Cambria Math"/>
                </w:rPr>
                <m:t xml:space="preserve"> </m:t>
              </m:r>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oMath>
          </w:p>
        </w:tc>
        <w:tc>
          <w:tcPr>
            <w:tcW w:w="2639" w:type="dxa"/>
            <w:vAlign w:val="center"/>
          </w:tcPr>
          <w:p w:rsidR="008E374F" w:rsidRPr="00CD3A21" w:rsidRDefault="008E374F" w:rsidP="00DB5C01">
            <w:pPr>
              <w:spacing w:before="120" w:after="120"/>
              <w:jc w:val="center"/>
              <w:rPr>
                <w:b/>
              </w:rPr>
            </w:pPr>
            <w:r w:rsidRPr="00CD3A21">
              <w:rPr>
                <w:b/>
              </w:rPr>
              <w:t>Equation 2.3</w:t>
            </w:r>
          </w:p>
        </w:tc>
      </w:tr>
    </w:tbl>
    <w:p w:rsidR="008E374F" w:rsidRPr="00CD3A21" w:rsidRDefault="008E374F" w:rsidP="008E374F">
      <w:pPr>
        <w:pStyle w:val="Rc"/>
        <w:spacing w:before="120" w:after="120" w:line="240" w:lineRule="auto"/>
      </w:pPr>
      <w:r w:rsidRPr="00CD3A21">
        <w:t>Where:</w:t>
      </w:r>
    </w:p>
    <w:p w:rsidR="008E374F" w:rsidRPr="00CD3A21" w:rsidRDefault="008E374F" w:rsidP="0041439C">
      <w:pPr>
        <w:spacing w:before="120" w:after="120"/>
        <w:ind w:left="1843" w:hanging="850"/>
        <w:jc w:val="both"/>
      </w:pPr>
      <w:proofErr w:type="spellStart"/>
      <w:r w:rsidRPr="00CD3A21">
        <w:rPr>
          <w:b/>
        </w:rPr>
        <w:t>Q</w:t>
      </w:r>
      <w:r w:rsidRPr="00CD3A21">
        <w:rPr>
          <w:b/>
          <w:vertAlign w:val="subscript"/>
        </w:rPr>
        <w:t>com</w:t>
      </w:r>
      <w:proofErr w:type="gramStart"/>
      <w:r w:rsidRPr="00CD3A21">
        <w:rPr>
          <w:b/>
          <w:vertAlign w:val="subscript"/>
        </w:rPr>
        <w:t>,h</w:t>
      </w:r>
      <w:proofErr w:type="spellEnd"/>
      <w:proofErr w:type="gramEnd"/>
      <w:r w:rsidRPr="00CD3A21">
        <w:rPr>
          <w:b/>
          <w:vertAlign w:val="subscript"/>
        </w:rPr>
        <w:t xml:space="preserve"> </w:t>
      </w:r>
      <w:r w:rsidRPr="00CD3A21">
        <w:t xml:space="preserve">= capped volume of methane destroyed by combustion device h, in cubic metres </w:t>
      </w:r>
      <w:r w:rsidRPr="00CD3A21">
        <w:rPr>
          <w:bCs/>
        </w:rPr>
        <w:t>(m</w:t>
      </w:r>
      <w:r w:rsidRPr="00CD3A21">
        <w:rPr>
          <w:bCs/>
          <w:vertAlign w:val="superscript"/>
        </w:rPr>
        <w:t>3</w:t>
      </w:r>
      <w:r w:rsidRPr="00CD3A21">
        <w:rPr>
          <w:bCs/>
        </w:rPr>
        <w:t>)</w:t>
      </w:r>
      <w:r w:rsidRPr="00CD3A21">
        <w:t xml:space="preserve"> and capped according to section </w:t>
      </w:r>
      <w:r w:rsidR="00273574" w:rsidRPr="00CD3A21">
        <w:t>4.11</w:t>
      </w:r>
      <w:r w:rsidRPr="00CD3A21">
        <w:rPr>
          <w:bCs/>
        </w:rPr>
        <w:t>.</w:t>
      </w:r>
    </w:p>
    <w:p w:rsidR="008E374F" w:rsidRPr="00CD3A21" w:rsidRDefault="004D69D5" w:rsidP="0041439C">
      <w:pPr>
        <w:spacing w:before="120" w:after="120"/>
        <w:ind w:left="1843" w:hanging="850"/>
        <w:jc w:val="both"/>
      </w:pPr>
      <m:oMath>
        <m:sSub>
          <m:sSubPr>
            <m:ctrlPr>
              <w:rPr>
                <w:rFonts w:ascii="Cambria Math" w:hAnsi="Cambria Math"/>
                <w:b/>
              </w:rPr>
            </m:ctrlPr>
          </m:sSubPr>
          <m:e>
            <m:r>
              <m:rPr>
                <m:sty m:val="b"/>
              </m:rPr>
              <w:rPr>
                <w:rFonts w:ascii="Cambria Math"/>
              </w:rPr>
              <m:t>Q</m:t>
            </m:r>
          </m:e>
          <m:sub>
            <m:sSub>
              <m:sSubPr>
                <m:ctrlPr>
                  <w:rPr>
                    <w:rFonts w:ascii="Cambria Math" w:hAnsi="Cambria Math"/>
                    <w:b/>
                  </w:rPr>
                </m:ctrlPr>
              </m:sSubPr>
              <m:e>
                <m:r>
                  <m:rPr>
                    <m:sty m:val="b"/>
                  </m:rPr>
                  <w:rPr>
                    <w:rFonts w:ascii="Cambria Math"/>
                  </w:rPr>
                  <m:t>CH</m:t>
                </m:r>
              </m:e>
              <m:sub>
                <m:r>
                  <m:rPr>
                    <m:sty m:val="b"/>
                  </m:rPr>
                  <w:rPr>
                    <w:rFonts w:ascii="Cambria Math"/>
                  </w:rPr>
                  <m:t>4</m:t>
                </m:r>
              </m:sub>
            </m:sSub>
            <m:r>
              <m:rPr>
                <m:sty m:val="b"/>
              </m:rPr>
              <w:rPr>
                <w:rFonts w:ascii="Cambria Math"/>
              </w:rPr>
              <m:t>,h</m:t>
            </m:r>
          </m:sub>
        </m:sSub>
      </m:oMath>
      <w:r w:rsidR="008E374F" w:rsidRPr="00CD3A21">
        <w:t xml:space="preserve"> = volume of methane sent to combustion device h, in cubic metres (</w:t>
      </w:r>
      <w:r w:rsidR="008E374F" w:rsidRPr="00CD3A21">
        <w:rPr>
          <w:bCs/>
        </w:rPr>
        <w:t>m</w:t>
      </w:r>
      <w:r w:rsidR="008E374F" w:rsidRPr="00CD3A21">
        <w:rPr>
          <w:bCs/>
          <w:vertAlign w:val="superscript"/>
        </w:rPr>
        <w:t>3</w:t>
      </w:r>
      <w:r w:rsidR="008E374F" w:rsidRPr="00CD3A21">
        <w:rPr>
          <w:bCs/>
        </w:rPr>
        <w:t xml:space="preserve">) </w:t>
      </w:r>
      <w:r w:rsidR="008E374F" w:rsidRPr="00CD3A21">
        <w:t>as calculated in Equation 2.4.</w:t>
      </w:r>
    </w:p>
    <w:p w:rsidR="008E374F" w:rsidRPr="00CD3A21" w:rsidRDefault="004D69D5" w:rsidP="0041439C">
      <w:pPr>
        <w:spacing w:before="120" w:after="120"/>
        <w:ind w:left="1843" w:hanging="850"/>
        <w:jc w:val="both"/>
      </w:pPr>
      <m:oMath>
        <m:sSub>
          <m:sSubPr>
            <m:ctrlPr>
              <w:rPr>
                <w:rFonts w:ascii="Cambria Math" w:hAnsi="Cambria Math"/>
                <w:b/>
              </w:rPr>
            </m:ctrlPr>
          </m:sSubPr>
          <m:e>
            <m:r>
              <m:rPr>
                <m:sty m:val="b"/>
              </m:rPr>
              <w:rPr>
                <w:rFonts w:ascii="Cambria Math"/>
              </w:rPr>
              <m:t>DE</m:t>
            </m:r>
          </m:e>
          <m:sub>
            <m:r>
              <m:rPr>
                <m:sty m:val="b"/>
              </m:rPr>
              <w:rPr>
                <w:rFonts w:ascii="Cambria Math"/>
              </w:rPr>
              <m:t>h</m:t>
            </m:r>
          </m:sub>
        </m:sSub>
      </m:oMath>
      <w:r w:rsidR="008E374F" w:rsidRPr="00CD3A21">
        <w:rPr>
          <w:i/>
        </w:rPr>
        <w:t xml:space="preserve"> </w:t>
      </w:r>
      <w:r w:rsidR="008E374F" w:rsidRPr="00CD3A21">
        <w:t xml:space="preserve">= </w:t>
      </w:r>
      <w:r w:rsidR="008E374F" w:rsidRPr="00CD3A21">
        <w:tab/>
        <w:t>methane destruction efficiency for device h, as a fraction</w:t>
      </w:r>
      <w:r w:rsidR="0004482B" w:rsidRPr="00CD3A21">
        <w:t xml:space="preserve">, as determined in accordance with sections </w:t>
      </w:r>
      <w:r w:rsidR="00273574" w:rsidRPr="00CD3A21">
        <w:t>3.2</w:t>
      </w:r>
      <w:r w:rsidR="0004482B" w:rsidRPr="00CD3A21">
        <w:t xml:space="preserve"> and </w:t>
      </w:r>
      <w:r w:rsidR="00273574" w:rsidRPr="00CD3A21">
        <w:t>4.9</w:t>
      </w:r>
      <w:r w:rsidR="008E374F" w:rsidRPr="00CD3A21">
        <w:t>.</w:t>
      </w:r>
    </w:p>
    <w:p w:rsidR="00AF72B3" w:rsidRPr="00CD3A21" w:rsidRDefault="000C29DD" w:rsidP="008F2F5E">
      <w:pPr>
        <w:pStyle w:val="h5Section"/>
      </w:pPr>
      <w:bookmarkStart w:id="38" w:name="_Toc357161776"/>
      <w:r w:rsidRPr="00CD3A21">
        <w:lastRenderedPageBreak/>
        <w:t>4.9</w:t>
      </w:r>
      <w:r w:rsidR="008F2F5E" w:rsidRPr="00CD3A21">
        <w:tab/>
      </w:r>
      <w:r w:rsidR="008E374F" w:rsidRPr="00CD3A21">
        <w:t>Determining the destruction efficiency of combustion device (</w:t>
      </w:r>
      <w:proofErr w:type="spellStart"/>
      <w:r w:rsidR="008E374F" w:rsidRPr="00CD3A21">
        <w:t>DE</w:t>
      </w:r>
      <w:r w:rsidR="008E374F" w:rsidRPr="00CD3A21">
        <w:rPr>
          <w:vertAlign w:val="subscript"/>
        </w:rPr>
        <w:t>h</w:t>
      </w:r>
      <w:proofErr w:type="spellEnd"/>
      <w:r w:rsidR="008E374F" w:rsidRPr="00CD3A21">
        <w:t>)</w:t>
      </w:r>
      <w:bookmarkEnd w:id="38"/>
      <w:r w:rsidR="00650E2B" w:rsidRPr="00CD3A21">
        <w:t xml:space="preserve"> </w:t>
      </w:r>
    </w:p>
    <w:p w:rsidR="002B401D" w:rsidRPr="00CD3A21" w:rsidRDefault="008F2F5E" w:rsidP="008F2F5E">
      <w:pPr>
        <w:pStyle w:val="tMain"/>
      </w:pPr>
      <w:r w:rsidRPr="00CD3A21">
        <w:tab/>
      </w:r>
      <w:r w:rsidR="000C29DD" w:rsidRPr="00CD3A21">
        <w:t>(1)</w:t>
      </w:r>
      <w:r w:rsidRPr="00CD3A21">
        <w:tab/>
      </w:r>
      <w:r w:rsidR="002B401D" w:rsidRPr="00CD3A21">
        <w:t>For an open flare, a default value of 0.98 must be used for the destruction efficiency of the device.</w:t>
      </w:r>
    </w:p>
    <w:p w:rsidR="002B401D" w:rsidRPr="00CD3A21" w:rsidRDefault="002B401D" w:rsidP="002B401D">
      <w:pPr>
        <w:pStyle w:val="tMain"/>
      </w:pPr>
      <w:r w:rsidRPr="00CD3A21">
        <w:tab/>
      </w:r>
      <w:r w:rsidR="00273574" w:rsidRPr="00CD3A21">
        <w:t>(2)</w:t>
      </w:r>
      <w:r w:rsidRPr="00CD3A21">
        <w:tab/>
        <w:t xml:space="preserve">Subject to subsection </w:t>
      </w:r>
      <w:r w:rsidR="00273574" w:rsidRPr="00CD3A21">
        <w:t>(4)</w:t>
      </w:r>
      <w:r w:rsidRPr="00CD3A21">
        <w:t>, the destruction efficiency of enclosed flares or internal combustion engines may be either:</w:t>
      </w:r>
    </w:p>
    <w:p w:rsidR="002B401D" w:rsidRPr="00CD3A21" w:rsidRDefault="002B401D" w:rsidP="002B401D">
      <w:pPr>
        <w:pStyle w:val="tPara"/>
      </w:pPr>
      <w:r w:rsidRPr="00CD3A21">
        <w:tab/>
      </w:r>
      <w:r w:rsidR="00273574" w:rsidRPr="00CD3A21">
        <w:t>(a)</w:t>
      </w:r>
      <w:r w:rsidRPr="00CD3A21">
        <w:tab/>
      </w:r>
      <w:proofErr w:type="gramStart"/>
      <w:r w:rsidRPr="00CD3A21">
        <w:t>a</w:t>
      </w:r>
      <w:proofErr w:type="gramEnd"/>
      <w:r w:rsidRPr="00CD3A21">
        <w:t xml:space="preserve"> default value of 0.98; or</w:t>
      </w:r>
    </w:p>
    <w:p w:rsidR="002B401D" w:rsidRPr="00CD3A21" w:rsidRDefault="002B401D" w:rsidP="002B401D">
      <w:pPr>
        <w:pStyle w:val="tPara"/>
      </w:pPr>
      <w:r w:rsidRPr="00CD3A21">
        <w:tab/>
      </w:r>
      <w:r w:rsidR="00273574" w:rsidRPr="00CD3A21">
        <w:t>(b)</w:t>
      </w:r>
      <w:r w:rsidRPr="00CD3A21">
        <w:tab/>
      </w:r>
      <w:proofErr w:type="gramStart"/>
      <w:r w:rsidRPr="00CD3A21">
        <w:t>measured</w:t>
      </w:r>
      <w:proofErr w:type="gramEnd"/>
      <w:r w:rsidRPr="00CD3A21">
        <w:t xml:space="preserve"> in accordance with Division </w:t>
      </w:r>
      <w:r w:rsidR="00273574" w:rsidRPr="00CD3A21">
        <w:t>4.3</w:t>
      </w:r>
      <w:r w:rsidRPr="00CD3A21">
        <w:t>.</w:t>
      </w:r>
    </w:p>
    <w:p w:rsidR="002B401D" w:rsidRPr="00CD3A21" w:rsidRDefault="002B401D" w:rsidP="002B401D">
      <w:pPr>
        <w:pStyle w:val="tMain"/>
      </w:pPr>
      <w:r w:rsidRPr="00CD3A21">
        <w:tab/>
      </w:r>
      <w:r w:rsidR="00273574" w:rsidRPr="00CD3A21">
        <w:t>(3)</w:t>
      </w:r>
      <w:r w:rsidRPr="00CD3A21">
        <w:tab/>
        <w:t xml:space="preserve">Subject to subsection </w:t>
      </w:r>
      <w:r w:rsidR="00273574" w:rsidRPr="00CD3A21">
        <w:t>(4)</w:t>
      </w:r>
      <w:r w:rsidRPr="00CD3A21">
        <w:t xml:space="preserve">, the destruction efficiency of a gas boiler system </w:t>
      </w:r>
      <w:r w:rsidR="00B25B29" w:rsidRPr="00CD3A21">
        <w:t>has</w:t>
      </w:r>
      <w:r w:rsidRPr="00CD3A21">
        <w:t xml:space="preserve"> a default </w:t>
      </w:r>
      <w:r w:rsidR="00B25B29" w:rsidRPr="00CD3A21">
        <w:t xml:space="preserve">value </w:t>
      </w:r>
      <w:r w:rsidRPr="00CD3A21">
        <w:t>of 0.98.</w:t>
      </w:r>
    </w:p>
    <w:p w:rsidR="00CF2DD3" w:rsidRPr="00CD3A21" w:rsidRDefault="002B401D" w:rsidP="00A52416">
      <w:pPr>
        <w:pStyle w:val="tMain"/>
      </w:pPr>
      <w:r w:rsidRPr="00CD3A21">
        <w:tab/>
      </w:r>
      <w:r w:rsidR="00273574" w:rsidRPr="00CD3A21">
        <w:t>(4)</w:t>
      </w:r>
      <w:r w:rsidRPr="00CD3A21">
        <w:tab/>
        <w:t xml:space="preserve">A default destruction efficiency of 0.98 may be used </w:t>
      </w:r>
      <w:r w:rsidR="00445C88" w:rsidRPr="00CD3A21">
        <w:t xml:space="preserve">only </w:t>
      </w:r>
      <w:r w:rsidRPr="00CD3A21">
        <w:t>if the combustion device is installed and operated in accordance with the requirements set out by the manufacturer.</w:t>
      </w:r>
    </w:p>
    <w:p w:rsidR="002B401D" w:rsidRPr="00CD3A21" w:rsidRDefault="009323F3" w:rsidP="00273574">
      <w:pPr>
        <w:pStyle w:val="h4Subdiv"/>
      </w:pPr>
      <w:bookmarkStart w:id="39" w:name="_Toc357161777"/>
      <w:r w:rsidRPr="00CD3A21">
        <w:t xml:space="preserve">Subdivision </w:t>
      </w:r>
      <w:r w:rsidR="00273574" w:rsidRPr="00CD3A21">
        <w:t>4.2.6</w:t>
      </w:r>
      <w:r w:rsidRPr="00CD3A21">
        <w:tab/>
        <w:t>Calculating</w:t>
      </w:r>
      <w:r w:rsidR="00F25142" w:rsidRPr="00CD3A21">
        <w:t xml:space="preserve"> Q</w:t>
      </w:r>
      <w:r w:rsidR="00F25142" w:rsidRPr="00CD3A21">
        <w:rPr>
          <w:vertAlign w:val="subscript"/>
        </w:rPr>
        <w:t>CH</w:t>
      </w:r>
      <w:r w:rsidR="00F25142" w:rsidRPr="00CD3A21">
        <w:rPr>
          <w:position w:val="-6"/>
          <w:vertAlign w:val="subscript"/>
        </w:rPr>
        <w:t>4</w:t>
      </w:r>
      <w:proofErr w:type="gramStart"/>
      <w:r w:rsidR="00F25142" w:rsidRPr="00CD3A21">
        <w:rPr>
          <w:vertAlign w:val="subscript"/>
        </w:rPr>
        <w:t>,h</w:t>
      </w:r>
      <w:bookmarkEnd w:id="39"/>
      <w:proofErr w:type="gramEnd"/>
    </w:p>
    <w:p w:rsidR="009323F3" w:rsidRPr="00CD3A21" w:rsidRDefault="000C29DD" w:rsidP="008F2F5E">
      <w:pPr>
        <w:pStyle w:val="h5Section"/>
      </w:pPr>
      <w:bookmarkStart w:id="40" w:name="_Toc357161778"/>
      <w:r w:rsidRPr="00CD3A21">
        <w:t>4.10</w:t>
      </w:r>
      <w:r w:rsidR="008F2F5E" w:rsidRPr="00CD3A21">
        <w:tab/>
      </w:r>
      <w:r w:rsidR="009323F3" w:rsidRPr="00CD3A21">
        <w:t>Calculating the volume of methane</w:t>
      </w:r>
      <w:bookmarkEnd w:id="40"/>
      <w:r w:rsidR="00650E2B" w:rsidRPr="00CD3A21">
        <w:t xml:space="preserve"> </w:t>
      </w:r>
    </w:p>
    <w:p w:rsidR="009323F3" w:rsidRPr="00CD3A21" w:rsidRDefault="008F2F5E" w:rsidP="008F2F5E">
      <w:pPr>
        <w:pStyle w:val="tMain"/>
      </w:pPr>
      <w:r w:rsidRPr="00CD3A21">
        <w:tab/>
      </w:r>
      <w:r w:rsidR="000C29DD" w:rsidRPr="00CD3A21">
        <w:t>(1)</w:t>
      </w:r>
      <w:r w:rsidRPr="00CD3A21">
        <w:tab/>
      </w:r>
      <w:r w:rsidR="009323F3" w:rsidRPr="00CD3A21">
        <w:t>The volume of methane is to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693"/>
      </w:tblGrid>
      <w:tr w:rsidR="009323F3" w:rsidRPr="00CD3A21" w:rsidTr="007D73FC">
        <w:tc>
          <w:tcPr>
            <w:tcW w:w="4536" w:type="dxa"/>
          </w:tcPr>
          <w:p w:rsidR="009323F3" w:rsidRPr="00CD3A21" w:rsidRDefault="004D69D5" w:rsidP="00273574">
            <w:pPr>
              <w:keepNext/>
              <w:spacing w:before="120" w:after="120"/>
              <w:jc w:val="center"/>
            </w:pPr>
            <m:oMathPara>
              <m:oMathParaPr>
                <m:jc m:val="center"/>
              </m:oMathParaPr>
              <m:oMath>
                <m:sSub>
                  <m:sSubPr>
                    <m:ctrlPr>
                      <w:rPr>
                        <w:rFonts w:ascii="Cambria Math" w:hAnsi="Cambria Math"/>
                        <w:b/>
                      </w:rPr>
                    </m:ctrlPr>
                  </m:sSubPr>
                  <m:e>
                    <m:r>
                      <m:rPr>
                        <m:sty m:val="b"/>
                      </m:rPr>
                      <w:rPr>
                        <w:rFonts w:ascii="Cambria Math" w:hAnsi="Cambria Math"/>
                      </w:rPr>
                      <m:t>Q</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r>
                      <m:rPr>
                        <m:sty m:val="b"/>
                      </m:rPr>
                      <w:rPr>
                        <w:rFonts w:ascii="Cambria Math"/>
                      </w:rPr>
                      <m:t>,</m:t>
                    </m:r>
                    <m:r>
                      <m:rPr>
                        <m:sty m:val="b"/>
                      </m:rPr>
                      <w:rPr>
                        <w:rFonts w:ascii="Cambria Math" w:hAnsi="Cambria Math"/>
                      </w:rPr>
                      <m:t>h</m:t>
                    </m:r>
                  </m:sub>
                </m:sSub>
                <m:r>
                  <m:rPr>
                    <m:sty m:val="b"/>
                  </m:rPr>
                  <w:rPr>
                    <w:rFonts w:ascii="Cambria Math"/>
                  </w:rPr>
                  <m:t xml:space="preserve"> = </m:t>
                </m:r>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biogas</m:t>
                    </m:r>
                    <m:r>
                      <m:rPr>
                        <m:sty m:val="b"/>
                      </m:rPr>
                      <w:rPr>
                        <w:rFonts w:ascii="Cambria Math"/>
                      </w:rPr>
                      <m:t>,</m:t>
                    </m:r>
                    <m:r>
                      <m:rPr>
                        <m:sty m:val="b"/>
                      </m:rPr>
                      <w:rPr>
                        <w:rFonts w:ascii="Cambria Math" w:hAnsi="Cambria Math"/>
                      </w:rPr>
                      <m:t>h</m:t>
                    </m:r>
                  </m:sub>
                </m:sSub>
                <m:r>
                  <m:rPr>
                    <m:sty m:val="b"/>
                  </m:rPr>
                  <w:rPr>
                    <w:rFonts w:ascii="Cambria Math"/>
                  </w:rPr>
                  <m:t xml:space="preserve"> </m:t>
                </m:r>
                <m:r>
                  <m:rPr>
                    <m:sty m:val="b"/>
                  </m:rPr>
                  <w:rPr>
                    <w:rFonts w:ascii="Cambria Math"/>
                  </w:rPr>
                  <m:t>×</m:t>
                </m:r>
                <m:r>
                  <m:rPr>
                    <m:sty m:val="b"/>
                  </m:rPr>
                  <w:rPr>
                    <w:rFonts w:ascii="Cambria Math"/>
                  </w:rPr>
                  <m:t xml:space="preserve"> </m:t>
                </m:r>
                <m:sSub>
                  <m:sSubPr>
                    <m:ctrlPr>
                      <w:rPr>
                        <w:rFonts w:ascii="Cambria Math" w:hAnsi="Cambria Math"/>
                        <w:b/>
                      </w:rPr>
                    </m:ctrlPr>
                  </m:sSubPr>
                  <m:e>
                    <m:r>
                      <m:rPr>
                        <m:sty m:val="b"/>
                      </m:rPr>
                      <w:rPr>
                        <w:rFonts w:ascii="Cambria Math" w:hAnsi="Cambria Math"/>
                      </w:rPr>
                      <m:t>W</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m:oMathPara>
          </w:p>
        </w:tc>
        <w:tc>
          <w:tcPr>
            <w:tcW w:w="2693" w:type="dxa"/>
            <w:vAlign w:val="center"/>
          </w:tcPr>
          <w:p w:rsidR="009323F3" w:rsidRPr="00CD3A21" w:rsidRDefault="009323F3" w:rsidP="00273574">
            <w:pPr>
              <w:keepNext/>
              <w:spacing w:before="120" w:after="120"/>
              <w:jc w:val="center"/>
              <w:rPr>
                <w:b/>
              </w:rPr>
            </w:pPr>
            <w:r w:rsidRPr="00CD3A21">
              <w:rPr>
                <w:b/>
              </w:rPr>
              <w:t>Equation 2.4</w:t>
            </w:r>
          </w:p>
        </w:tc>
      </w:tr>
    </w:tbl>
    <w:p w:rsidR="009323F3" w:rsidRPr="00CD3A21" w:rsidRDefault="009323F3" w:rsidP="000E2783">
      <w:pPr>
        <w:pStyle w:val="Rc"/>
        <w:keepNext/>
        <w:spacing w:before="120" w:after="120" w:line="240" w:lineRule="auto"/>
      </w:pPr>
      <w:r w:rsidRPr="00CD3A21">
        <w:t>Where:</w:t>
      </w:r>
    </w:p>
    <w:p w:rsidR="009323F3" w:rsidRPr="00CD3A21" w:rsidRDefault="004D69D5" w:rsidP="000E2783">
      <w:pPr>
        <w:pStyle w:val="definition"/>
        <w:spacing w:before="120" w:after="120" w:line="240" w:lineRule="auto"/>
        <w:ind w:left="2127" w:hanging="1134"/>
        <w:rPr>
          <w:bCs/>
        </w:rPr>
      </w:pPr>
      <m:oMath>
        <m:sSub>
          <m:sSubPr>
            <m:ctrlPr>
              <w:rPr>
                <w:rFonts w:ascii="Cambria Math" w:hAnsi="Cambria Math"/>
                <w:b/>
              </w:rPr>
            </m:ctrlPr>
          </m:sSubPr>
          <m:e>
            <m:r>
              <m:rPr>
                <m:sty m:val="b"/>
              </m:rPr>
              <w:rPr>
                <w:rFonts w:ascii="Cambria Math" w:hAnsi="Cambria Math"/>
              </w:rPr>
              <m:t>Q</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r>
              <m:rPr>
                <m:sty m:val="b"/>
              </m:rPr>
              <w:rPr>
                <w:rFonts w:ascii="Cambria Math"/>
              </w:rPr>
              <m:t>,</m:t>
            </m:r>
            <m:r>
              <m:rPr>
                <m:sty m:val="b"/>
              </m:rPr>
              <w:rPr>
                <w:rFonts w:ascii="Cambria Math" w:hAnsi="Cambria Math"/>
              </w:rPr>
              <m:t>h</m:t>
            </m:r>
          </m:sub>
        </m:sSub>
      </m:oMath>
      <w:r w:rsidR="009323F3" w:rsidRPr="00CD3A21">
        <w:rPr>
          <w:b/>
        </w:rPr>
        <w:t xml:space="preserve"> </w:t>
      </w:r>
      <w:r w:rsidR="009323F3" w:rsidRPr="00CD3A21">
        <w:t xml:space="preserve">= </w:t>
      </w:r>
      <w:r w:rsidR="009323F3" w:rsidRPr="00CD3A21">
        <w:tab/>
        <w:t xml:space="preserve">volume of methane sent to combustion device h, in cubic metres </w:t>
      </w:r>
      <w:r w:rsidR="009323F3" w:rsidRPr="00CD3A21">
        <w:rPr>
          <w:bCs/>
        </w:rPr>
        <w:t>(m</w:t>
      </w:r>
      <w:r w:rsidR="009323F3" w:rsidRPr="00CD3A21">
        <w:rPr>
          <w:bCs/>
          <w:vertAlign w:val="superscript"/>
        </w:rPr>
        <w:t>3</w:t>
      </w:r>
      <w:r w:rsidR="009323F3" w:rsidRPr="00CD3A21">
        <w:rPr>
          <w:bCs/>
        </w:rPr>
        <w:t>).</w:t>
      </w:r>
    </w:p>
    <w:p w:rsidR="009323F3" w:rsidRPr="00CD3A21" w:rsidRDefault="004D69D5" w:rsidP="000E2783">
      <w:pPr>
        <w:pStyle w:val="definition"/>
        <w:spacing w:before="120" w:after="120" w:line="240" w:lineRule="auto"/>
        <w:ind w:left="2127" w:hanging="1134"/>
      </w:pPr>
      <m:oMath>
        <m:sSub>
          <m:sSubPr>
            <m:ctrlPr>
              <w:rPr>
                <w:rFonts w:ascii="Cambria Math" w:hAnsi="Cambria Math"/>
                <w:b/>
              </w:rPr>
            </m:ctrlPr>
          </m:sSubPr>
          <m:e>
            <m:r>
              <m:rPr>
                <m:sty m:val="b"/>
              </m:rPr>
              <w:rPr>
                <w:rFonts w:ascii="Cambria Math"/>
              </w:rPr>
              <m:t>Q</m:t>
            </m:r>
          </m:e>
          <m:sub>
            <m:r>
              <m:rPr>
                <m:sty m:val="b"/>
              </m:rPr>
              <w:rPr>
                <w:rFonts w:ascii="Cambria Math"/>
              </w:rPr>
              <m:t>biogas,h</m:t>
            </m:r>
          </m:sub>
        </m:sSub>
        <m:r>
          <m:rPr>
            <m:sty m:val="b"/>
          </m:rPr>
          <w:rPr>
            <w:rFonts w:ascii="Cambria Math" w:hAnsi="Cambria Math"/>
          </w:rPr>
          <m:t xml:space="preserve"> </m:t>
        </m:r>
      </m:oMath>
      <w:r w:rsidR="009323F3" w:rsidRPr="00CD3A21">
        <w:t>=</w:t>
      </w:r>
      <w:r w:rsidR="009323F3" w:rsidRPr="00CD3A21">
        <w:tab/>
        <w:t>volume of biogas sent to combustion device h, adjusted to</w:t>
      </w:r>
      <m:oMath>
        <m:r>
          <m:rPr>
            <m:sty m:val="b"/>
          </m:rPr>
          <w:rPr>
            <w:rFonts w:ascii="Cambria Math"/>
          </w:rPr>
          <m:t xml:space="preserve"> </m:t>
        </m:r>
      </m:oMath>
      <w:r w:rsidR="009323F3" w:rsidRPr="00CD3A21">
        <w:t>conditions, in cubic metres (</w:t>
      </w:r>
      <w:r w:rsidR="009323F3" w:rsidRPr="00CD3A21">
        <w:rPr>
          <w:bCs/>
        </w:rPr>
        <w:t>m</w:t>
      </w:r>
      <w:r w:rsidR="009323F3" w:rsidRPr="00CD3A21">
        <w:rPr>
          <w:bCs/>
          <w:vertAlign w:val="superscript"/>
        </w:rPr>
        <w:t>3</w:t>
      </w:r>
      <w:r w:rsidR="009323F3" w:rsidRPr="00CD3A21">
        <w:t>).</w:t>
      </w:r>
    </w:p>
    <w:p w:rsidR="008E374F" w:rsidRPr="00CD3A21" w:rsidRDefault="004D69D5" w:rsidP="000E2783">
      <w:pPr>
        <w:pStyle w:val="definition"/>
        <w:spacing w:before="120" w:after="120" w:line="240" w:lineRule="auto"/>
        <w:ind w:left="2127" w:hanging="1134"/>
      </w:pPr>
      <m:oMath>
        <m:sSub>
          <m:sSubPr>
            <m:ctrlPr>
              <w:rPr>
                <w:rFonts w:ascii="Cambria Math" w:hAnsi="Cambria Math"/>
                <w:b/>
              </w:rPr>
            </m:ctrlPr>
          </m:sSubPr>
          <m:e>
            <m:r>
              <m:rPr>
                <m:sty m:val="b"/>
              </m:rPr>
              <w:rPr>
                <w:rFonts w:ascii="Cambria Math"/>
              </w:rPr>
              <m:t>W</m:t>
            </m:r>
          </m:e>
          <m:sub>
            <m:sSub>
              <m:sSubPr>
                <m:ctrlPr>
                  <w:rPr>
                    <w:rFonts w:ascii="Cambria Math" w:hAnsi="Cambria Math"/>
                    <w:b/>
                  </w:rPr>
                </m:ctrlPr>
              </m:sSubPr>
              <m:e>
                <m:r>
                  <m:rPr>
                    <m:sty m:val="b"/>
                  </m:rPr>
                  <w:rPr>
                    <w:rFonts w:ascii="Cambria Math"/>
                  </w:rPr>
                  <m:t>CH</m:t>
                </m:r>
              </m:e>
              <m:sub>
                <m:r>
                  <m:rPr>
                    <m:sty m:val="b"/>
                  </m:rPr>
                  <w:rPr>
                    <w:rFonts w:ascii="Cambria Math"/>
                  </w:rPr>
                  <m:t>4</m:t>
                </m:r>
              </m:sub>
            </m:sSub>
          </m:sub>
        </m:sSub>
      </m:oMath>
      <w:r w:rsidR="009323F3" w:rsidRPr="00CD3A21">
        <w:t xml:space="preserve"> = </w:t>
      </w:r>
      <w:r w:rsidR="009323F3" w:rsidRPr="00CD3A21">
        <w:tab/>
        <w:t>the proportion of the volume of biogas that is methane.</w:t>
      </w:r>
    </w:p>
    <w:p w:rsidR="009323F3" w:rsidRPr="00CD3A21" w:rsidRDefault="008F2F5E" w:rsidP="008F2F5E">
      <w:pPr>
        <w:pStyle w:val="tMain"/>
      </w:pPr>
      <w:r w:rsidRPr="00CD3A21">
        <w:tab/>
      </w:r>
      <w:r w:rsidR="000C29DD" w:rsidRPr="00CD3A21">
        <w:t>(2)</w:t>
      </w:r>
      <w:r w:rsidRPr="00CD3A21">
        <w:tab/>
      </w:r>
      <w:r w:rsidR="009323F3" w:rsidRPr="00CD3A21">
        <w:t xml:space="preserve">To calculate </w:t>
      </w:r>
      <m:oMath>
        <m:sSub>
          <m:sSubPr>
            <m:ctrlPr>
              <w:rPr>
                <w:rFonts w:ascii="Cambria Math" w:hAnsi="Cambria Math"/>
              </w:rPr>
            </m:ctrlPr>
          </m:sSubPr>
          <m:e>
            <m:r>
              <m:rPr>
                <m:sty m:val="p"/>
              </m:rPr>
              <w:rPr>
                <w:rFonts w:ascii="Cambria Math" w:hAnsi="Cambria Math"/>
              </w:rPr>
              <m:t>W</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9323F3" w:rsidRPr="00CD3A21">
        <w:t xml:space="preserve"> either:</w:t>
      </w:r>
    </w:p>
    <w:p w:rsidR="009323F3" w:rsidRPr="00CD3A21" w:rsidRDefault="009323F3" w:rsidP="009323F3">
      <w:pPr>
        <w:pStyle w:val="tPara"/>
      </w:pPr>
      <w:r w:rsidRPr="00CD3A21">
        <w:tab/>
      </w:r>
      <w:r w:rsidR="00273574" w:rsidRPr="00CD3A21">
        <w:t>(a)</w:t>
      </w:r>
      <w:r w:rsidRPr="00CD3A21">
        <w:tab/>
      </w:r>
      <w:proofErr w:type="gramStart"/>
      <w:r w:rsidRPr="00CD3A21">
        <w:t>a</w:t>
      </w:r>
      <w:proofErr w:type="gramEnd"/>
      <w:r w:rsidRPr="00CD3A21">
        <w:t xml:space="preserve"> default value of 0.70 may be used (70% of the biogas released from uncovered lagoons as defined in the NGER Measurement Determination); or</w:t>
      </w:r>
    </w:p>
    <w:p w:rsidR="009323F3" w:rsidRPr="00CD3A21" w:rsidRDefault="009323F3" w:rsidP="009323F3">
      <w:pPr>
        <w:pStyle w:val="tPara"/>
      </w:pPr>
      <w:r w:rsidRPr="00CD3A21">
        <w:tab/>
      </w:r>
      <w:r w:rsidR="00273574" w:rsidRPr="00CD3A21">
        <w:t>(b)</w:t>
      </w:r>
      <w:r w:rsidRPr="00CD3A21">
        <w:tab/>
      </w:r>
      <w:proofErr w:type="gramStart"/>
      <w:r w:rsidRPr="00CD3A21">
        <w:t>the</w:t>
      </w:r>
      <w:proofErr w:type="gramEnd"/>
      <w:r w:rsidRPr="00CD3A21">
        <w:t xml:space="preserve"> proportion of the volume of biogas that is methane may be measured in accordance with Division </w:t>
      </w:r>
      <w:r w:rsidR="00273574" w:rsidRPr="00CD3A21">
        <w:t>4.3</w:t>
      </w:r>
      <w:r w:rsidRPr="00CD3A21">
        <w:t>.</w:t>
      </w:r>
    </w:p>
    <w:p w:rsidR="009323F3" w:rsidRPr="00CD3A21" w:rsidRDefault="008F2F5E" w:rsidP="008F2F5E">
      <w:pPr>
        <w:pStyle w:val="tMain"/>
      </w:pPr>
      <w:r w:rsidRPr="00CD3A21">
        <w:tab/>
      </w:r>
      <w:r w:rsidR="000C29DD" w:rsidRPr="00CD3A21">
        <w:t>(3)</w:t>
      </w:r>
      <w:r w:rsidRPr="00CD3A21">
        <w:tab/>
      </w:r>
      <w:r w:rsidR="009323F3" w:rsidRPr="00CD3A21">
        <w:t>Where volumetric measurements have not been adjusted to standard conditions based on actual temperature and pressure readings of the biogas,</w:t>
      </w:r>
      <w:r w:rsidR="00EC4309" w:rsidRPr="00CD3A21">
        <w:t xml:space="preserve"> </w:t>
      </w:r>
      <w:proofErr w:type="spellStart"/>
      <w:r w:rsidR="00EC4309" w:rsidRPr="00CD3A21">
        <w:t>Q</w:t>
      </w:r>
      <w:r w:rsidR="00EC4309" w:rsidRPr="00CD3A21">
        <w:rPr>
          <w:vertAlign w:val="subscript"/>
        </w:rPr>
        <w:t>biogas</w:t>
      </w:r>
      <w:proofErr w:type="gramStart"/>
      <w:r w:rsidR="00EC4309" w:rsidRPr="00CD3A21">
        <w:rPr>
          <w:vertAlign w:val="subscript"/>
        </w:rPr>
        <w:t>,h</w:t>
      </w:r>
      <w:proofErr w:type="spellEnd"/>
      <w:proofErr w:type="gramEnd"/>
      <w:r w:rsidR="009323F3" w:rsidRPr="00CD3A21">
        <w:t xml:space="preserve"> must be multiplied by 0.97 before multiplying by </w:t>
      </w:r>
      <m:oMath>
        <m:sSub>
          <m:sSubPr>
            <m:ctrlPr>
              <w:rPr>
                <w:rFonts w:ascii="Cambria Math" w:hAnsi="Cambria Math"/>
              </w:rPr>
            </m:ctrlPr>
          </m:sSubPr>
          <m:e>
            <m:r>
              <m:rPr>
                <m:sty m:val="p"/>
              </m:rPr>
              <w:rPr>
                <w:rFonts w:ascii="Cambria Math"/>
              </w:rPr>
              <m:t>W</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r w:rsidR="009323F3" w:rsidRPr="00CD3A21">
        <w:t>.</w:t>
      </w:r>
    </w:p>
    <w:p w:rsidR="00BB404B" w:rsidRPr="00CD3A21" w:rsidRDefault="00BB404B" w:rsidP="00BB404B">
      <w:pPr>
        <w:pStyle w:val="tMain"/>
      </w:pPr>
      <w:r w:rsidRPr="00CD3A21">
        <w:tab/>
      </w:r>
      <w:r w:rsidR="000C29DD" w:rsidRPr="00CD3A21">
        <w:t>(4)</w:t>
      </w:r>
      <w:r w:rsidRPr="00CD3A21">
        <w:tab/>
        <w:t>If:</w:t>
      </w:r>
    </w:p>
    <w:p w:rsidR="00BB404B" w:rsidRPr="00CD3A21" w:rsidRDefault="00BB404B" w:rsidP="00BB404B">
      <w:pPr>
        <w:pStyle w:val="tPara"/>
      </w:pPr>
      <w:r w:rsidRPr="00CD3A21">
        <w:tab/>
      </w:r>
      <w:r w:rsidR="000C29DD" w:rsidRPr="00CD3A21">
        <w:t>(a)</w:t>
      </w:r>
      <w:r w:rsidRPr="00CD3A21">
        <w:tab/>
      </w:r>
      <w:proofErr w:type="gramStart"/>
      <w:r w:rsidRPr="00CD3A21">
        <w:t>more</w:t>
      </w:r>
      <w:proofErr w:type="gramEnd"/>
      <w:r w:rsidRPr="00CD3A21">
        <w:t xml:space="preserve"> than one combustion device is installed; and </w:t>
      </w:r>
    </w:p>
    <w:p w:rsidR="00BB404B" w:rsidRPr="00CD3A21" w:rsidRDefault="00BB404B" w:rsidP="00BB404B">
      <w:pPr>
        <w:pStyle w:val="tPara"/>
      </w:pPr>
      <w:r w:rsidRPr="00CD3A21">
        <w:lastRenderedPageBreak/>
        <w:tab/>
      </w:r>
      <w:r w:rsidR="000C29DD" w:rsidRPr="00CD3A21">
        <w:t>(b)</w:t>
      </w:r>
      <w:r w:rsidRPr="00CD3A21">
        <w:tab/>
      </w:r>
      <w:proofErr w:type="gramStart"/>
      <w:r w:rsidRPr="00CD3A21">
        <w:t>the</w:t>
      </w:r>
      <w:proofErr w:type="gramEnd"/>
      <w:r w:rsidRPr="00CD3A21">
        <w:t xml:space="preserve"> </w:t>
      </w:r>
      <w:r w:rsidR="00264D1E" w:rsidRPr="00CD3A21">
        <w:t xml:space="preserve">devices have the </w:t>
      </w:r>
      <w:r w:rsidRPr="00CD3A21">
        <w:t xml:space="preserve">same destruction efficiency </w:t>
      </w:r>
      <w:r w:rsidR="00264D1E" w:rsidRPr="00CD3A21">
        <w:t>as determined in accordance with section 4.9</w:t>
      </w:r>
      <w:r w:rsidRPr="00CD3A21">
        <w:t xml:space="preserve">; </w:t>
      </w:r>
    </w:p>
    <w:p w:rsidR="00BB404B" w:rsidRPr="00CD3A21" w:rsidRDefault="00BB404B" w:rsidP="00EC4309">
      <w:pPr>
        <w:pStyle w:val="tMain"/>
        <w:spacing w:line="252" w:lineRule="auto"/>
        <w:ind w:firstLine="28"/>
      </w:pPr>
      <w:proofErr w:type="gramStart"/>
      <w:r w:rsidRPr="00CD3A21">
        <w:t>then</w:t>
      </w:r>
      <w:proofErr w:type="gramEnd"/>
      <w:r w:rsidRPr="00CD3A21">
        <w:t xml:space="preserve"> for the purposes of calculating</w:t>
      </w:r>
      <w:r w:rsidR="00EC4309" w:rsidRPr="00CD3A21">
        <w:t xml:space="preserve"> Q</w:t>
      </w:r>
      <w:r w:rsidR="00EC4309" w:rsidRPr="00CD3A21">
        <w:rPr>
          <w:vertAlign w:val="subscript"/>
        </w:rPr>
        <w:t>CH</w:t>
      </w:r>
      <w:r w:rsidR="00EC4309" w:rsidRPr="00CD3A21">
        <w:rPr>
          <w:position w:val="-6"/>
          <w:vertAlign w:val="subscript"/>
        </w:rPr>
        <w:t>4</w:t>
      </w:r>
      <w:r w:rsidR="00EC4309" w:rsidRPr="00CD3A21">
        <w:rPr>
          <w:vertAlign w:val="subscript"/>
        </w:rPr>
        <w:t>,h</w:t>
      </w:r>
      <w:r w:rsidRPr="00CD3A21">
        <w:t xml:space="preserve"> the devices may be considered as one device.</w:t>
      </w:r>
    </w:p>
    <w:p w:rsidR="00BB404B" w:rsidRPr="00CD3A21" w:rsidRDefault="00BB404B" w:rsidP="00BB404B">
      <w:pPr>
        <w:pStyle w:val="noteMain"/>
      </w:pPr>
      <w:r w:rsidRPr="00CD3A21">
        <w:tab/>
      </w:r>
      <w:r w:rsidRPr="00CD3A21">
        <w:rPr>
          <w:b/>
          <w:i/>
        </w:rPr>
        <w:t>Note</w:t>
      </w:r>
      <w:r w:rsidRPr="00CD3A21">
        <w:tab/>
        <w:t>A single flow meter may be used to measure</w:t>
      </w:r>
      <w:r w:rsidR="00EC4309" w:rsidRPr="00CD3A21">
        <w:t xml:space="preserve"> </w:t>
      </w:r>
      <w:proofErr w:type="spellStart"/>
      <w:r w:rsidR="00EC4309" w:rsidRPr="00CD3A21">
        <w:t>Q</w:t>
      </w:r>
      <w:r w:rsidR="00EC4309" w:rsidRPr="00CD3A21">
        <w:rPr>
          <w:vertAlign w:val="subscript"/>
        </w:rPr>
        <w:t>biogas</w:t>
      </w:r>
      <w:proofErr w:type="gramStart"/>
      <w:r w:rsidR="00EC4309" w:rsidRPr="00CD3A21">
        <w:rPr>
          <w:vertAlign w:val="subscript"/>
        </w:rPr>
        <w:t>,h</w:t>
      </w:r>
      <w:proofErr w:type="spellEnd"/>
      <w:proofErr w:type="gramEnd"/>
      <w:r w:rsidRPr="00CD3A21">
        <w:t xml:space="preserve"> for all combustion devices that </w:t>
      </w:r>
      <w:r w:rsidR="00264D1E" w:rsidRPr="00CD3A21">
        <w:t xml:space="preserve">have </w:t>
      </w:r>
      <w:r w:rsidRPr="00CD3A21">
        <w:t>the same destruction efficiency.</w:t>
      </w:r>
    </w:p>
    <w:p w:rsidR="00BB404B" w:rsidRPr="00CD3A21" w:rsidRDefault="00BB404B" w:rsidP="00F70A4E">
      <w:pPr>
        <w:pStyle w:val="tMain"/>
      </w:pPr>
      <w:r w:rsidRPr="00CD3A21">
        <w:tab/>
      </w:r>
      <w:r w:rsidR="000C29DD" w:rsidRPr="00CD3A21">
        <w:t>(5)</w:t>
      </w:r>
      <w:r w:rsidRPr="00CD3A21">
        <w:tab/>
        <w:t>Subject to subsection (6), in the event of a failure of one or more of the combustion devices referred to in paragraph (4</w:t>
      </w:r>
      <w:proofErr w:type="gramStart"/>
      <w:r w:rsidRPr="00CD3A21">
        <w:t>)(</w:t>
      </w:r>
      <w:proofErr w:type="gramEnd"/>
      <w:r w:rsidRPr="00CD3A21">
        <w:t>a), a project proponent must:</w:t>
      </w:r>
    </w:p>
    <w:p w:rsidR="00BB404B" w:rsidRPr="00CD3A21" w:rsidRDefault="00BB404B" w:rsidP="00F70A4E">
      <w:pPr>
        <w:pStyle w:val="tPara"/>
      </w:pPr>
      <w:r w:rsidRPr="00CD3A21">
        <w:tab/>
      </w:r>
      <w:r w:rsidR="000C29DD" w:rsidRPr="00CD3A21">
        <w:t>(a)</w:t>
      </w:r>
      <w:r w:rsidRPr="00CD3A21">
        <w:tab/>
      </w:r>
      <w:proofErr w:type="gramStart"/>
      <w:r w:rsidRPr="00CD3A21">
        <w:t>document</w:t>
      </w:r>
      <w:proofErr w:type="gramEnd"/>
      <w:r w:rsidRPr="00CD3A21">
        <w:t xml:space="preserve"> the type of device and the date and duration of the failure; </w:t>
      </w:r>
    </w:p>
    <w:p w:rsidR="00BB404B" w:rsidRPr="00CD3A21" w:rsidRDefault="00BB404B" w:rsidP="00F70A4E">
      <w:pPr>
        <w:pStyle w:val="tPara"/>
      </w:pPr>
      <w:r w:rsidRPr="00CD3A21">
        <w:tab/>
      </w:r>
      <w:r w:rsidR="000C29DD" w:rsidRPr="00CD3A21">
        <w:t>(b)</w:t>
      </w:r>
      <w:r w:rsidRPr="00CD3A21">
        <w:tab/>
      </w:r>
      <w:proofErr w:type="gramStart"/>
      <w:r w:rsidRPr="00CD3A21">
        <w:t>adjust</w:t>
      </w:r>
      <w:proofErr w:type="gramEnd"/>
      <w:r w:rsidRPr="00CD3A21">
        <w:t xml:space="preserve"> the value of</w:t>
      </w:r>
      <w:r w:rsidR="00F70A4E" w:rsidRPr="00CD3A21">
        <w:t xml:space="preserve"> Q</w:t>
      </w:r>
      <w:r w:rsidR="00F70A4E" w:rsidRPr="00CD3A21">
        <w:rPr>
          <w:vertAlign w:val="subscript"/>
        </w:rPr>
        <w:t>CH</w:t>
      </w:r>
      <w:r w:rsidR="00F70A4E" w:rsidRPr="00CD3A21">
        <w:rPr>
          <w:position w:val="-6"/>
          <w:vertAlign w:val="subscript"/>
        </w:rPr>
        <w:t>4</w:t>
      </w:r>
      <w:r w:rsidR="00F70A4E" w:rsidRPr="00CD3A21">
        <w:rPr>
          <w:vertAlign w:val="subscript"/>
        </w:rPr>
        <w:t>,h</w:t>
      </w:r>
      <w:r w:rsidRPr="00CD3A21">
        <w:t xml:space="preserve"> to account for methane not combusted; and </w:t>
      </w:r>
    </w:p>
    <w:p w:rsidR="00BB404B" w:rsidRPr="00CD3A21" w:rsidRDefault="00BB404B" w:rsidP="00F70A4E">
      <w:pPr>
        <w:pStyle w:val="tPara"/>
      </w:pPr>
      <w:r w:rsidRPr="00CD3A21">
        <w:tab/>
      </w:r>
      <w:r w:rsidR="000C29DD" w:rsidRPr="00CD3A21">
        <w:t>(c)</w:t>
      </w:r>
      <w:r w:rsidRPr="00CD3A21">
        <w:tab/>
      </w:r>
      <w:proofErr w:type="gramStart"/>
      <w:r w:rsidRPr="00CD3A21">
        <w:t>demonstrate</w:t>
      </w:r>
      <w:proofErr w:type="gramEnd"/>
      <w:r w:rsidRPr="00CD3A21">
        <w:t xml:space="preserve"> how the adjustment referred to in paragraph (b) was made. </w:t>
      </w:r>
    </w:p>
    <w:p w:rsidR="00BB404B" w:rsidRPr="00CD3A21" w:rsidRDefault="00BB404B" w:rsidP="00F70A4E">
      <w:pPr>
        <w:pStyle w:val="noteMain"/>
      </w:pPr>
      <w:r w:rsidRPr="00CD3A21">
        <w:tab/>
      </w:r>
      <w:r w:rsidRPr="00CD3A21">
        <w:rPr>
          <w:b/>
          <w:i/>
        </w:rPr>
        <w:t>Note</w:t>
      </w:r>
      <w:r w:rsidRPr="00CD3A21">
        <w:tab/>
      </w:r>
      <w:r w:rsidR="007D73FC" w:rsidRPr="00CD3A21">
        <w:t>An</w:t>
      </w:r>
      <w:r w:rsidR="00B25B29" w:rsidRPr="00CD3A21">
        <w:t xml:space="preserve"> example</w:t>
      </w:r>
      <w:r w:rsidR="007D73FC" w:rsidRPr="00CD3A21">
        <w:t xml:space="preserve"> of how </w:t>
      </w:r>
      <w:r w:rsidRPr="00CD3A21">
        <w:t>the adjustment referred to in paragraph (5</w:t>
      </w:r>
      <w:proofErr w:type="gramStart"/>
      <w:r w:rsidRPr="00CD3A21">
        <w:t>)(</w:t>
      </w:r>
      <w:proofErr w:type="gramEnd"/>
      <w:r w:rsidRPr="00CD3A21">
        <w:t>b) may be demonstrated</w:t>
      </w:r>
      <w:r w:rsidR="007D73FC" w:rsidRPr="00CD3A21">
        <w:t xml:space="preserve"> is</w:t>
      </w:r>
      <w:r w:rsidRPr="00CD3A21">
        <w:t xml:space="preserve"> by </w:t>
      </w:r>
      <w:r w:rsidR="007D73FC" w:rsidRPr="00CD3A21">
        <w:t>using deductions based on</w:t>
      </w:r>
      <w:r w:rsidRPr="00CD3A21">
        <w:t xml:space="preserve"> estimations of methane combusted </w:t>
      </w:r>
      <w:r w:rsidR="007D73FC" w:rsidRPr="00CD3A21">
        <w:t>from</w:t>
      </w:r>
      <w:r w:rsidRPr="00CD3A21">
        <w:t xml:space="preserve"> electricity generated.</w:t>
      </w:r>
    </w:p>
    <w:p w:rsidR="00BB404B" w:rsidRPr="00CD3A21" w:rsidRDefault="00BB404B" w:rsidP="00F70A4E">
      <w:pPr>
        <w:pStyle w:val="tMain"/>
      </w:pPr>
      <w:r w:rsidRPr="00CD3A21">
        <w:tab/>
      </w:r>
      <w:r w:rsidR="000C29DD" w:rsidRPr="00CD3A21">
        <w:t>(6)</w:t>
      </w:r>
      <w:r w:rsidRPr="00CD3A21">
        <w:tab/>
        <w:t>If the requirements of subsection (5) cannot be met for one or more devices, then the destruction efficiency of that device or those devices will be zero for the duration of the failure referred to in subsection (5).</w:t>
      </w:r>
    </w:p>
    <w:p w:rsidR="009323F3" w:rsidRPr="00CD3A21" w:rsidRDefault="000C29DD" w:rsidP="00FF0D22">
      <w:pPr>
        <w:pStyle w:val="h5Section"/>
      </w:pPr>
      <w:bookmarkStart w:id="41" w:name="_Toc357161779"/>
      <w:r w:rsidRPr="00CD3A21">
        <w:t>4.11</w:t>
      </w:r>
      <w:r w:rsidR="00FF0D22" w:rsidRPr="00CD3A21">
        <w:tab/>
      </w:r>
      <w:r w:rsidR="009323F3" w:rsidRPr="00CD3A21">
        <w:t>Capping the volume of methane</w:t>
      </w:r>
      <w:bookmarkEnd w:id="41"/>
      <w:r w:rsidR="00650E2B" w:rsidRPr="00CD3A21">
        <w:t xml:space="preserve"> </w:t>
      </w:r>
    </w:p>
    <w:p w:rsidR="009323F3" w:rsidRPr="00CD3A21" w:rsidRDefault="00D43A16" w:rsidP="00D43A16">
      <w:pPr>
        <w:pStyle w:val="tMain"/>
      </w:pPr>
      <w:r w:rsidRPr="00CD3A21">
        <w:tab/>
      </w:r>
      <w:r w:rsidR="000C29DD" w:rsidRPr="00CD3A21">
        <w:t>(1)</w:t>
      </w:r>
      <w:r w:rsidRPr="00CD3A21">
        <w:tab/>
      </w:r>
      <w:proofErr w:type="spellStart"/>
      <w:r w:rsidR="009323F3" w:rsidRPr="00CD3A21">
        <w:t>Q</w:t>
      </w:r>
      <w:r w:rsidR="009323F3" w:rsidRPr="00CD3A21">
        <w:rPr>
          <w:vertAlign w:val="subscript"/>
        </w:rPr>
        <w:t>b</w:t>
      </w:r>
      <w:proofErr w:type="spellEnd"/>
      <w:r w:rsidR="009323F3" w:rsidRPr="00CD3A21">
        <w:t xml:space="preserve"> (calculated using Equation 1.2) and </w:t>
      </w:r>
      <m:oMath>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009323F3" w:rsidRPr="00CD3A21">
        <w:t xml:space="preserve"> (calculated using Equation 2.4) must be estimated over the same time period and at least once every 12 months. </w:t>
      </w:r>
    </w:p>
    <w:p w:rsidR="009323F3" w:rsidRPr="00CD3A21" w:rsidRDefault="00D43A16" w:rsidP="00D43A16">
      <w:pPr>
        <w:pStyle w:val="tMain"/>
      </w:pPr>
      <w:r w:rsidRPr="00CD3A21">
        <w:tab/>
      </w:r>
      <w:r w:rsidR="000C29DD" w:rsidRPr="00CD3A21">
        <w:t>(2)</w:t>
      </w:r>
      <w:r w:rsidRPr="00CD3A21">
        <w:tab/>
      </w:r>
      <w:r w:rsidR="009323F3" w:rsidRPr="00CD3A21">
        <w:t>If the value of the volume of methane destroyed by all combustion devices (</w:t>
      </w:r>
      <m:oMath>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009323F3" w:rsidRPr="00CD3A21">
        <w:t>) is greater than the value for baseline methane emissions (</w:t>
      </w:r>
      <w:proofErr w:type="spellStart"/>
      <w:r w:rsidR="009323F3" w:rsidRPr="00CD3A21">
        <w:t>Q</w:t>
      </w:r>
      <w:r w:rsidR="009323F3" w:rsidRPr="00CD3A21">
        <w:rPr>
          <w:vertAlign w:val="subscript"/>
        </w:rPr>
        <w:t>b</w:t>
      </w:r>
      <w:proofErr w:type="spellEnd"/>
      <w:r w:rsidR="009323F3" w:rsidRPr="00CD3A21">
        <w:t xml:space="preserve">), the value for </w:t>
      </w:r>
      <w:proofErr w:type="spellStart"/>
      <w:r w:rsidR="009323F3" w:rsidRPr="00CD3A21">
        <w:t>Q</w:t>
      </w:r>
      <w:r w:rsidR="009323F3" w:rsidRPr="00CD3A21">
        <w:rPr>
          <w:vertAlign w:val="subscript"/>
        </w:rPr>
        <w:t>b</w:t>
      </w:r>
      <w:proofErr w:type="spellEnd"/>
      <w:r w:rsidR="009323F3" w:rsidRPr="00CD3A21">
        <w:t xml:space="preserve"> must be used instead of the value for</w:t>
      </w:r>
      <m:oMath>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h=1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com,h</m:t>
                </m:r>
              </m:sub>
            </m:sSub>
          </m:e>
        </m:nary>
      </m:oMath>
      <w:r w:rsidR="009323F3" w:rsidRPr="00CD3A21">
        <w:t xml:space="preserve"> in Equation 2.2.</w:t>
      </w:r>
    </w:p>
    <w:p w:rsidR="009323F3" w:rsidRPr="00CD3A21" w:rsidRDefault="009323F3" w:rsidP="009323F3">
      <w:pPr>
        <w:pStyle w:val="h4Subdiv"/>
      </w:pPr>
      <w:bookmarkStart w:id="42" w:name="_Toc357161780"/>
      <w:r w:rsidRPr="00CD3A21">
        <w:t xml:space="preserve">Subdivision </w:t>
      </w:r>
      <w:r w:rsidR="00273574" w:rsidRPr="00CD3A21">
        <w:t>4.2.7</w:t>
      </w:r>
      <w:r w:rsidRPr="00CD3A21">
        <w:tab/>
        <w:t>Calculating</w:t>
      </w:r>
      <w:r w:rsidR="00F70A4E" w:rsidRPr="00CD3A21">
        <w:t xml:space="preserve"> E</w:t>
      </w:r>
      <w:r w:rsidR="00F70A4E" w:rsidRPr="00CD3A21">
        <w:rPr>
          <w:vertAlign w:val="subscript"/>
        </w:rPr>
        <w:t>N</w:t>
      </w:r>
      <w:r w:rsidR="00F70A4E" w:rsidRPr="00CD3A21">
        <w:rPr>
          <w:position w:val="-6"/>
          <w:vertAlign w:val="subscript"/>
        </w:rPr>
        <w:t>2</w:t>
      </w:r>
      <w:r w:rsidR="00F70A4E" w:rsidRPr="00CD3A21">
        <w:rPr>
          <w:vertAlign w:val="subscript"/>
        </w:rPr>
        <w:t>O</w:t>
      </w:r>
      <w:bookmarkEnd w:id="42"/>
      <w:r w:rsidRPr="00CD3A21">
        <w:t xml:space="preserve"> </w:t>
      </w:r>
    </w:p>
    <w:p w:rsidR="009323F3" w:rsidRPr="00CD3A21" w:rsidRDefault="000C29DD" w:rsidP="00FF0D22">
      <w:pPr>
        <w:pStyle w:val="h5Section"/>
      </w:pPr>
      <w:bookmarkStart w:id="43" w:name="_Toc357161781"/>
      <w:r w:rsidRPr="00CD3A21">
        <w:t>4.12</w:t>
      </w:r>
      <w:r w:rsidR="00FF0D22" w:rsidRPr="00CD3A21">
        <w:tab/>
      </w:r>
      <w:r w:rsidR="009323F3" w:rsidRPr="00CD3A21">
        <w:t>Calculating nitrous oxide emissions</w:t>
      </w:r>
      <w:bookmarkEnd w:id="43"/>
      <w:r w:rsidR="009C2402" w:rsidRPr="00CD3A21">
        <w:t xml:space="preserve"> </w:t>
      </w:r>
    </w:p>
    <w:p w:rsidR="00F40465" w:rsidRPr="00CD3A21" w:rsidRDefault="00273574" w:rsidP="00F70A4E">
      <w:pPr>
        <w:pStyle w:val="tMain"/>
      </w:pPr>
      <w:r w:rsidRPr="00CD3A21">
        <w:tab/>
      </w:r>
      <w:r w:rsidR="008C4516" w:rsidRPr="00CD3A21">
        <w:t>(1)</w:t>
      </w:r>
      <w:r w:rsidRPr="00CD3A21">
        <w:tab/>
      </w:r>
      <w:r w:rsidR="00F40465" w:rsidRPr="00CD3A21">
        <w:t xml:space="preserve">Subject to subsection </w:t>
      </w:r>
      <w:r w:rsidRPr="00CD3A21">
        <w:t>(2)</w:t>
      </w:r>
      <w:r w:rsidR="00F40465" w:rsidRPr="00CD3A21">
        <w:t>, nitrous oxide emissions released as a result of methane destruction must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67"/>
      </w:tblGrid>
      <w:tr w:rsidR="00F40465" w:rsidRPr="00CD3A21" w:rsidTr="00F40465">
        <w:tc>
          <w:tcPr>
            <w:tcW w:w="4961" w:type="dxa"/>
          </w:tcPr>
          <w:p w:rsidR="00F40465" w:rsidRPr="00CD3A21" w:rsidRDefault="004D69D5" w:rsidP="00DB5C01">
            <w:pPr>
              <w:spacing w:before="120" w:after="120"/>
              <w:jc w:val="center"/>
            </w:pPr>
            <m:oMathPara>
              <m:oMathParaPr>
                <m:jc m:val="center"/>
              </m:oMathParaP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r>
                  <m:rPr>
                    <m:sty m:val="b"/>
                  </m:rPr>
                  <w:rPr>
                    <w:rFonts w:ascii="Cambria Math"/>
                  </w:rPr>
                  <m:t xml:space="preserve"> = </m:t>
                </m:r>
                <m:nary>
                  <m:naryPr>
                    <m:chr m:val="∑"/>
                    <m:limLoc m:val="undOvr"/>
                    <m:ctrlPr>
                      <w:rPr>
                        <w:rFonts w:ascii="Cambria Math" w:hAnsi="Cambria Math"/>
                        <w:b/>
                      </w:rPr>
                    </m:ctrlPr>
                  </m:naryPr>
                  <m:sub>
                    <m:r>
                      <m:rPr>
                        <m:sty m:val="b"/>
                      </m:rPr>
                      <w:rPr>
                        <w:rFonts w:ascii="Cambria Math" w:hAnsi="Cambria Math"/>
                      </w:rPr>
                      <m:t>h</m:t>
                    </m:r>
                    <m:r>
                      <m:rPr>
                        <m:sty m:val="b"/>
                      </m:rPr>
                      <w:rPr>
                        <w:rFonts w:ascii="Cambria Math"/>
                      </w:rPr>
                      <m:t>=</m:t>
                    </m:r>
                    <m:r>
                      <m:rPr>
                        <m:sty m:val="b"/>
                      </m:rPr>
                      <w:rPr>
                        <w:rFonts w:ascii="Cambria Math" w:hAnsi="Cambria Math"/>
                      </w:rPr>
                      <m:t>1</m:t>
                    </m:r>
                  </m:sub>
                  <m:sup>
                    <m:r>
                      <m:rPr>
                        <m:sty m:val="b"/>
                      </m:rPr>
                      <w:rPr>
                        <w:rFonts w:ascii="Cambria Math" w:hAnsi="Cambria Math"/>
                      </w:rPr>
                      <m:t>n</m:t>
                    </m:r>
                  </m:sup>
                  <m:e>
                    <m:d>
                      <m:dPr>
                        <m:ctrlPr>
                          <w:rPr>
                            <w:rFonts w:ascii="Cambria Math" w:hAnsi="Cambria Math"/>
                            <w:b/>
                          </w:rPr>
                        </m:ctrlPr>
                      </m:dPr>
                      <m:e>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r>
                          <m:rPr>
                            <m:sty m:val="b"/>
                          </m:rPr>
                          <w:rPr>
                            <w:rFonts w:ascii="Cambria Math"/>
                          </w:rPr>
                          <m:t>×</m:t>
                        </m:r>
                        <m:r>
                          <m:rPr>
                            <m:sty m:val="b"/>
                          </m:rPr>
                          <w:rPr>
                            <w:rFonts w:ascii="Cambria Math"/>
                          </w:rPr>
                          <m:t xml:space="preserve"> </m:t>
                        </m:r>
                        <m:r>
                          <m:rPr>
                            <m:sty m:val="b"/>
                          </m:rPr>
                          <w:rPr>
                            <w:rFonts w:ascii="Cambria Math" w:hAnsi="Cambria Math"/>
                          </w:rPr>
                          <m:t xml:space="preserve">EC </m:t>
                        </m:r>
                        <m:r>
                          <m:rPr>
                            <m:sty m:val="b"/>
                          </m:rPr>
                          <w:rPr>
                            <w:rFonts w:ascii="Cambria Math" w:hAnsi="Cambria Math"/>
                            <w:vertAlign w:val="subscript"/>
                          </w:rPr>
                          <m:t>biogas</m:t>
                        </m:r>
                        <m:r>
                          <m:rPr>
                            <m:sty m:val="b"/>
                          </m:rPr>
                          <w:rPr>
                            <w:rFonts w:ascii="Cambria Math"/>
                          </w:rPr>
                          <m:t>×</m:t>
                        </m:r>
                        <m:r>
                          <m:rPr>
                            <m:sty m:val="b"/>
                          </m:rPr>
                          <w:rPr>
                            <w:rFonts w:ascii="Cambria Math"/>
                          </w:rPr>
                          <m:t xml:space="preserve"> </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EF</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0</m:t>
                                </m:r>
                              </m:sub>
                            </m:sSub>
                          </m:num>
                          <m:den>
                            <m:r>
                              <m:rPr>
                                <m:sty m:val="b"/>
                              </m:rPr>
                              <w:rPr>
                                <w:rFonts w:ascii="Cambria Math" w:hAnsi="Cambria Math"/>
                              </w:rPr>
                              <m:t>1000</m:t>
                            </m:r>
                          </m:den>
                        </m:f>
                      </m:e>
                    </m:d>
                  </m:e>
                </m:nary>
                <m:r>
                  <m:rPr>
                    <m:sty m:val="b"/>
                  </m:rPr>
                  <w:rPr>
                    <w:rFonts w:ascii="Cambria Math"/>
                  </w:rPr>
                  <m:t xml:space="preserve">   </m:t>
                </m:r>
              </m:oMath>
            </m:oMathPara>
          </w:p>
        </w:tc>
        <w:tc>
          <w:tcPr>
            <w:tcW w:w="2467" w:type="dxa"/>
            <w:vAlign w:val="center"/>
          </w:tcPr>
          <w:p w:rsidR="00F40465" w:rsidRPr="00CD3A21" w:rsidRDefault="00F40465" w:rsidP="00DB5C01">
            <w:pPr>
              <w:spacing w:before="120" w:after="120"/>
              <w:jc w:val="center"/>
              <w:rPr>
                <w:b/>
              </w:rPr>
            </w:pPr>
            <w:r w:rsidRPr="00CD3A21">
              <w:rPr>
                <w:b/>
              </w:rPr>
              <w:t>Equation 2.5</w:t>
            </w:r>
          </w:p>
        </w:tc>
      </w:tr>
    </w:tbl>
    <w:p w:rsidR="00F40465" w:rsidRPr="00CD3A21" w:rsidRDefault="00F40465" w:rsidP="000E2783">
      <w:pPr>
        <w:pStyle w:val="Rc"/>
        <w:spacing w:before="120" w:after="120" w:line="240" w:lineRule="auto"/>
        <w:ind w:left="993"/>
      </w:pPr>
      <w:r w:rsidRPr="00CD3A21">
        <w:t>Where:</w:t>
      </w:r>
    </w:p>
    <w:p w:rsidR="00F40465" w:rsidRPr="00CD3A21" w:rsidRDefault="00F40465" w:rsidP="000E2783">
      <w:pPr>
        <w:spacing w:before="120" w:after="120"/>
        <w:ind w:left="2268" w:hanging="1275"/>
        <w:jc w:val="both"/>
      </w:pPr>
      <w:r w:rsidRPr="00CD3A21">
        <w:rPr>
          <w:b/>
        </w:rPr>
        <w:t>E</w:t>
      </w:r>
      <w:r w:rsidRPr="00CD3A21">
        <w:rPr>
          <w:b/>
          <w:vertAlign w:val="subscript"/>
        </w:rPr>
        <w:t>N</w:t>
      </w:r>
      <w:r w:rsidRPr="00CD3A21">
        <w:rPr>
          <w:b/>
          <w:position w:val="-6"/>
          <w:vertAlign w:val="subscript"/>
        </w:rPr>
        <w:t>2</w:t>
      </w:r>
      <w:r w:rsidRPr="00CD3A21">
        <w:rPr>
          <w:b/>
          <w:vertAlign w:val="subscript"/>
        </w:rPr>
        <w:t>O</w:t>
      </w:r>
      <w:r w:rsidRPr="00CD3A21">
        <w:rPr>
          <w:b/>
        </w:rPr>
        <w:t xml:space="preserve"> </w:t>
      </w:r>
      <w:r w:rsidRPr="00CD3A21">
        <w:t>=</w:t>
      </w:r>
      <w:r w:rsidRPr="00CD3A21">
        <w:tab/>
        <w:t>quantity of nitrous oxide emissions released as a result of methane destruction from all combustion devices, in tonnes of CO</w:t>
      </w:r>
      <w:r w:rsidRPr="00CD3A21">
        <w:rPr>
          <w:vertAlign w:val="subscript"/>
        </w:rPr>
        <w:t>2</w:t>
      </w:r>
      <w:r w:rsidRPr="00CD3A21">
        <w:noBreakHyphen/>
        <w:t>e</w:t>
      </w:r>
      <w:r w:rsidRPr="00CD3A21">
        <w:rPr>
          <w:bCs/>
        </w:rPr>
        <w:t>.</w:t>
      </w:r>
    </w:p>
    <w:p w:rsidR="00F40465" w:rsidRPr="00CD3A21" w:rsidRDefault="00F40465" w:rsidP="000E2783">
      <w:pPr>
        <w:pStyle w:val="definition"/>
        <w:spacing w:before="120" w:after="120" w:line="240" w:lineRule="auto"/>
        <w:ind w:left="2268" w:hanging="1275"/>
      </w:pPr>
      <w:proofErr w:type="spellStart"/>
      <w:r w:rsidRPr="00CD3A21">
        <w:rPr>
          <w:b/>
        </w:rPr>
        <w:t>Q</w:t>
      </w:r>
      <w:r w:rsidRPr="00CD3A21">
        <w:rPr>
          <w:b/>
          <w:vertAlign w:val="subscript"/>
        </w:rPr>
        <w:t>com</w:t>
      </w:r>
      <w:proofErr w:type="gramStart"/>
      <w:r w:rsidRPr="00CD3A21">
        <w:rPr>
          <w:b/>
          <w:vertAlign w:val="subscript"/>
        </w:rPr>
        <w:t>,h</w:t>
      </w:r>
      <w:proofErr w:type="spellEnd"/>
      <w:proofErr w:type="gramEnd"/>
      <w:r w:rsidRPr="00CD3A21">
        <w:t xml:space="preserve"> =</w:t>
      </w:r>
      <w:r w:rsidRPr="00CD3A21">
        <w:tab/>
        <w:t>capped volume of methane destroyed by combustion device h, in cubic metres (m</w:t>
      </w:r>
      <w:r w:rsidRPr="00CD3A21">
        <w:rPr>
          <w:vertAlign w:val="superscript"/>
        </w:rPr>
        <w:t>3</w:t>
      </w:r>
      <w:r w:rsidRPr="00CD3A21">
        <w:t xml:space="preserve">) as calculated in </w:t>
      </w:r>
      <w:r w:rsidR="00334087" w:rsidRPr="00CD3A21">
        <w:t>E</w:t>
      </w:r>
      <w:r w:rsidRPr="00CD3A21">
        <w:t>quation 2.3.</w:t>
      </w:r>
    </w:p>
    <w:p w:rsidR="00F40465" w:rsidRPr="00CD3A21" w:rsidRDefault="00F40465" w:rsidP="000E2783">
      <w:pPr>
        <w:pStyle w:val="definition"/>
        <w:spacing w:before="120" w:after="120" w:line="240" w:lineRule="auto"/>
        <w:ind w:left="2268" w:hanging="1275"/>
      </w:pPr>
      <w:r w:rsidRPr="00CD3A21">
        <w:rPr>
          <w:b/>
        </w:rPr>
        <w:lastRenderedPageBreak/>
        <w:t>EC</w:t>
      </w:r>
      <w:r w:rsidR="007D73FC" w:rsidRPr="00CD3A21">
        <w:rPr>
          <w:b/>
        </w:rPr>
        <w:t xml:space="preserve"> </w:t>
      </w:r>
      <w:r w:rsidRPr="00CD3A21">
        <w:rPr>
          <w:rFonts w:ascii="Times New Roman Bold" w:hAnsi="Times New Roman Bold"/>
          <w:b/>
        </w:rPr>
        <w:t>biogas</w:t>
      </w:r>
      <w:r w:rsidRPr="00CD3A21">
        <w:rPr>
          <w:i/>
        </w:rPr>
        <w:t xml:space="preserve"> </w:t>
      </w:r>
      <w:r w:rsidRPr="00CD3A21">
        <w:t>=</w:t>
      </w:r>
      <w:r w:rsidRPr="00CD3A21">
        <w:rPr>
          <w:b/>
        </w:rPr>
        <w:t xml:space="preserve"> </w:t>
      </w:r>
      <w:r w:rsidRPr="00CD3A21">
        <w:t>energy content of biogas, in gigajoules per cubic metre (GJ/</w:t>
      </w:r>
      <w:r w:rsidRPr="00CD3A21">
        <w:rPr>
          <w:bCs/>
        </w:rPr>
        <w:t>m</w:t>
      </w:r>
      <w:r w:rsidRPr="00CD3A21">
        <w:rPr>
          <w:bCs/>
          <w:vertAlign w:val="superscript"/>
        </w:rPr>
        <w:t>3</w:t>
      </w:r>
      <w:r w:rsidRPr="00CD3A21">
        <w:rPr>
          <w:bCs/>
        </w:rPr>
        <w:t xml:space="preserve">), in accordance with the </w:t>
      </w:r>
      <w:r w:rsidRPr="00CD3A21">
        <w:t>relevant energy content factors in Schedule 1 of the NGER Measurement Determination.</w:t>
      </w:r>
    </w:p>
    <w:p w:rsidR="00F40465" w:rsidRPr="00CD3A21" w:rsidRDefault="00F40465" w:rsidP="000E2783">
      <w:pPr>
        <w:pStyle w:val="definition"/>
        <w:spacing w:before="240" w:after="240" w:line="240" w:lineRule="auto"/>
        <w:ind w:left="2268" w:hanging="1275"/>
      </w:pPr>
      <w:r w:rsidRPr="00CD3A21">
        <w:rPr>
          <w:b/>
        </w:rPr>
        <w:t>EF</w:t>
      </w:r>
      <w:r w:rsidRPr="00CD3A21">
        <w:rPr>
          <w:b/>
          <w:vertAlign w:val="subscript"/>
        </w:rPr>
        <w:t>N</w:t>
      </w:r>
      <w:r w:rsidRPr="00CD3A21">
        <w:rPr>
          <w:b/>
          <w:position w:val="-6"/>
          <w:vertAlign w:val="subscript"/>
        </w:rPr>
        <w:t>2</w:t>
      </w:r>
      <w:r w:rsidRPr="00CD3A21">
        <w:rPr>
          <w:b/>
          <w:vertAlign w:val="subscript"/>
        </w:rPr>
        <w:t>O</w:t>
      </w:r>
      <w:r w:rsidRPr="00CD3A21">
        <w:t xml:space="preserve"> = </w:t>
      </w:r>
      <w:r w:rsidRPr="00CD3A21">
        <w:tab/>
        <w:t>emissions factor for nitrous oxide emitted during the combustion of biogas in kilograms of CO</w:t>
      </w:r>
      <w:r w:rsidRPr="00CD3A21">
        <w:rPr>
          <w:vertAlign w:val="subscript"/>
        </w:rPr>
        <w:t>2</w:t>
      </w:r>
      <w:r w:rsidRPr="00CD3A21">
        <w:noBreakHyphen/>
        <w:t>e per gigajoule of energy (kg</w:t>
      </w:r>
      <w:r w:rsidRPr="00CD3A21">
        <w:rPr>
          <w:bCs/>
        </w:rPr>
        <w:t xml:space="preserve"> CO</w:t>
      </w:r>
      <w:r w:rsidRPr="00CD3A21">
        <w:rPr>
          <w:bCs/>
          <w:vertAlign w:val="subscript"/>
        </w:rPr>
        <w:t>2</w:t>
      </w:r>
      <w:r w:rsidRPr="00CD3A21">
        <w:rPr>
          <w:bCs/>
        </w:rPr>
        <w:noBreakHyphen/>
        <w:t>e</w:t>
      </w:r>
      <w:r w:rsidRPr="00CD3A21">
        <w:t>/GJ) as prescribed in Schedule 1 of the NGER Measurement Determination.</w:t>
      </w:r>
    </w:p>
    <w:p w:rsidR="00A61952" w:rsidRPr="00CD3A21" w:rsidRDefault="00A61952" w:rsidP="00F70A4E">
      <w:pPr>
        <w:pStyle w:val="tMain"/>
      </w:pPr>
      <w:r w:rsidRPr="00CD3A21">
        <w:tab/>
      </w:r>
      <w:r w:rsidR="008C4516" w:rsidRPr="00CD3A21">
        <w:t>(2)</w:t>
      </w:r>
      <w:r w:rsidRPr="00CD3A21">
        <w:tab/>
      </w:r>
      <w:r w:rsidR="00F40465" w:rsidRPr="00CD3A21">
        <w:t xml:space="preserve">If section </w:t>
      </w:r>
      <w:r w:rsidR="00273574" w:rsidRPr="00CD3A21">
        <w:t>4.13</w:t>
      </w:r>
      <w:r w:rsidR="00334087" w:rsidRPr="00CD3A21">
        <w:t xml:space="preserve"> </w:t>
      </w:r>
      <w:r w:rsidR="00F40465" w:rsidRPr="00CD3A21">
        <w:t xml:space="preserve">applies, then </w:t>
      </w:r>
      <m:oMath>
        <m:sSub>
          <m:sSubPr>
            <m:ctrlPr>
              <w:rPr>
                <w:rFonts w:ascii="Cambria Math" w:hAnsi="Cambria Math"/>
              </w:rPr>
            </m:ctrlPr>
          </m:sSubPr>
          <m:e>
            <m:r>
              <m:rPr>
                <m:sty m:val="p"/>
              </m:rPr>
              <w:rPr>
                <w:rFonts w:ascii="Cambria Math" w:hAnsi="Cambria Math"/>
              </w:rPr>
              <m:t>E</m:t>
            </m:r>
          </m:e>
          <m: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O</m:t>
            </m:r>
          </m:sub>
        </m:sSub>
      </m:oMath>
      <w:r w:rsidR="00F40465" w:rsidRPr="00CD3A21">
        <w:t xml:space="preserve"> must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F40465" w:rsidRPr="00CD3A21" w:rsidTr="00F40465">
        <w:tc>
          <w:tcPr>
            <w:tcW w:w="4819" w:type="dxa"/>
            <w:vAlign w:val="center"/>
          </w:tcPr>
          <w:p w:rsidR="00F40465" w:rsidRPr="00CD3A21" w:rsidRDefault="004D69D5" w:rsidP="000F5A92">
            <w:pPr>
              <w:keepNext/>
              <w:spacing w:before="120" w:after="120"/>
              <w:ind w:left="360"/>
              <w:jc w:val="center"/>
            </w:pPr>
            <m:oMathPara>
              <m:oMathParaPr>
                <m:jc m:val="center"/>
              </m:oMathParaP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r>
                  <m:rPr>
                    <m:sty m:val="b"/>
                  </m:rPr>
                  <w:rPr>
                    <w:rFonts w:ascii="Cambria Math"/>
                  </w:rPr>
                  <m:t xml:space="preserve"> = </m:t>
                </m:r>
                <m:f>
                  <m:fPr>
                    <m:ctrlPr>
                      <w:rPr>
                        <w:rFonts w:ascii="Cambria Math" w:hAnsi="Cambria Math"/>
                        <w:b/>
                      </w:rPr>
                    </m:ctrlPr>
                  </m:fPr>
                  <m:num>
                    <m:r>
                      <m:rPr>
                        <m:sty m:val="b"/>
                      </m:rPr>
                      <w:rPr>
                        <w:rFonts w:ascii="Cambria Math" w:hAnsi="Cambria Math"/>
                      </w:rPr>
                      <m:t>QE</m:t>
                    </m:r>
                  </m:num>
                  <m:den>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den>
                </m:f>
                <m:r>
                  <m:rPr>
                    <m:sty m:val="b"/>
                  </m:rPr>
                  <w:rPr>
                    <w:rFonts w:ascii="Cambria Math"/>
                  </w:rPr>
                  <m:t>×</m:t>
                </m:r>
                <m:r>
                  <m:rPr>
                    <m:sty m:val="b"/>
                  </m:rPr>
                  <w:rPr>
                    <w:rFonts w:ascii="Cambria Math"/>
                  </w:rPr>
                  <m:t xml:space="preserve">  </m:t>
                </m:r>
                <m:f>
                  <m:fPr>
                    <m:ctrlPr>
                      <w:rPr>
                        <w:rFonts w:ascii="Cambria Math" w:hAnsi="Cambria Math"/>
                        <w:b/>
                      </w:rPr>
                    </m:ctrlPr>
                  </m:fPr>
                  <m:num>
                    <m:sSub>
                      <m:sSubPr>
                        <m:ctrlPr>
                          <w:rPr>
                            <w:rFonts w:ascii="Cambria Math" w:hAnsi="Cambria Math"/>
                            <w:b/>
                          </w:rPr>
                        </m:ctrlPr>
                      </m:sSubPr>
                      <m:e>
                        <m:r>
                          <m:rPr>
                            <m:sty m:val="b"/>
                          </m:rPr>
                          <w:rPr>
                            <w:rFonts w:ascii="Cambria Math" w:hAnsi="Cambria Math"/>
                          </w:rPr>
                          <m:t>EF</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0</m:t>
                        </m:r>
                      </m:sub>
                    </m:sSub>
                  </m:num>
                  <m:den>
                    <m:r>
                      <m:rPr>
                        <m:sty m:val="b"/>
                      </m:rPr>
                      <w:rPr>
                        <w:rFonts w:ascii="Cambria Math" w:hAnsi="Cambria Math"/>
                      </w:rPr>
                      <m:t>1000</m:t>
                    </m:r>
                  </m:den>
                </m:f>
              </m:oMath>
            </m:oMathPara>
          </w:p>
        </w:tc>
        <w:tc>
          <w:tcPr>
            <w:tcW w:w="2552" w:type="dxa"/>
            <w:vAlign w:val="center"/>
          </w:tcPr>
          <w:p w:rsidR="00F40465" w:rsidRPr="00CD3A21" w:rsidRDefault="00F40465" w:rsidP="000F5A92">
            <w:pPr>
              <w:keepNext/>
              <w:spacing w:before="120" w:after="120"/>
              <w:jc w:val="center"/>
            </w:pPr>
            <w:r w:rsidRPr="00CD3A21">
              <w:rPr>
                <w:b/>
              </w:rPr>
              <w:t>Equation 2.5(a)</w:t>
            </w:r>
          </w:p>
        </w:tc>
      </w:tr>
    </w:tbl>
    <w:p w:rsidR="00F40465" w:rsidRPr="00CD3A21" w:rsidRDefault="00334087" w:rsidP="007D73FC">
      <w:pPr>
        <w:pStyle w:val="Rc"/>
        <w:keepNext/>
        <w:spacing w:before="120" w:after="120" w:line="240" w:lineRule="auto"/>
        <w:ind w:left="993"/>
      </w:pPr>
      <w:r w:rsidRPr="00CD3A21">
        <w:t>W</w:t>
      </w:r>
      <w:r w:rsidR="00F40465" w:rsidRPr="00CD3A21">
        <w:t>here:</w:t>
      </w:r>
    </w:p>
    <w:p w:rsidR="00F40465" w:rsidRPr="00CD3A21" w:rsidRDefault="00F40465" w:rsidP="007D73FC">
      <w:pPr>
        <w:keepNext/>
        <w:spacing w:before="120" w:after="120"/>
        <w:ind w:left="1843" w:hanging="850"/>
        <w:jc w:val="both"/>
      </w:pPr>
      <w:r w:rsidRPr="00CD3A21">
        <w:rPr>
          <w:b/>
        </w:rPr>
        <w:t>E</w:t>
      </w:r>
      <w:r w:rsidRPr="00CD3A21">
        <w:rPr>
          <w:b/>
          <w:vertAlign w:val="subscript"/>
        </w:rPr>
        <w:t>N</w:t>
      </w:r>
      <w:r w:rsidRPr="00CD3A21">
        <w:rPr>
          <w:b/>
          <w:position w:val="-6"/>
          <w:vertAlign w:val="subscript"/>
        </w:rPr>
        <w:t>2</w:t>
      </w:r>
      <w:r w:rsidRPr="00CD3A21">
        <w:rPr>
          <w:b/>
          <w:vertAlign w:val="subscript"/>
        </w:rPr>
        <w:t>O</w:t>
      </w:r>
      <w:r w:rsidRPr="00CD3A21">
        <w:rPr>
          <w:b/>
        </w:rPr>
        <w:t xml:space="preserve"> </w:t>
      </w:r>
      <w:r w:rsidRPr="00CD3A21">
        <w:t>=</w:t>
      </w:r>
      <w:r w:rsidRPr="00CD3A21">
        <w:tab/>
        <w:t>quantity of nitrous oxide emissions released as a result of methane destruction from all combustion devices, in tonnes of CO</w:t>
      </w:r>
      <w:r w:rsidRPr="00CD3A21">
        <w:rPr>
          <w:vertAlign w:val="subscript"/>
        </w:rPr>
        <w:t>2</w:t>
      </w:r>
      <w:r w:rsidRPr="00CD3A21">
        <w:noBreakHyphen/>
        <w:t>e</w:t>
      </w:r>
      <w:r w:rsidRPr="00CD3A21">
        <w:rPr>
          <w:bCs/>
        </w:rPr>
        <w:t>.</w:t>
      </w:r>
    </w:p>
    <w:p w:rsidR="00F40465" w:rsidRPr="00CD3A21" w:rsidRDefault="00F40465" w:rsidP="007D73FC">
      <w:pPr>
        <w:pStyle w:val="definition"/>
        <w:keepNext/>
        <w:spacing w:before="120" w:after="120" w:line="240" w:lineRule="auto"/>
        <w:ind w:left="1843" w:hanging="850"/>
      </w:pPr>
      <w:r w:rsidRPr="00CD3A21">
        <w:rPr>
          <w:b/>
        </w:rPr>
        <w:t xml:space="preserve">QE </w:t>
      </w:r>
      <w:r w:rsidRPr="00CD3A21">
        <w:t>=</w:t>
      </w:r>
      <w:r w:rsidRPr="00CD3A21">
        <w:rPr>
          <w:b/>
          <w:i/>
        </w:rPr>
        <w:t xml:space="preserve"> </w:t>
      </w:r>
      <w:r w:rsidRPr="00CD3A21">
        <w:rPr>
          <w:b/>
          <w:i/>
        </w:rPr>
        <w:tab/>
      </w:r>
      <w:r w:rsidRPr="00CD3A21">
        <w:t>energy content of the methane sent to the internal combustion engine, in gigajoules</w:t>
      </w:r>
      <w:r w:rsidRPr="00CD3A21" w:rsidDel="003F2ECC">
        <w:t xml:space="preserve"> </w:t>
      </w:r>
      <w:r w:rsidRPr="00CD3A21">
        <w:t>(GJ), calculated using Equation 3.3.</w:t>
      </w:r>
    </w:p>
    <w:p w:rsidR="00F40465" w:rsidRPr="00CD3A21" w:rsidRDefault="004D69D5" w:rsidP="007D73FC">
      <w:pPr>
        <w:pStyle w:val="definition"/>
        <w:keepNext/>
        <w:spacing w:before="120" w:after="120" w:line="240" w:lineRule="auto"/>
        <w:ind w:left="1843" w:hanging="850"/>
        <w:rPr>
          <w:b/>
        </w:rPr>
      </w:pPr>
      <m:oMath>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oMath>
      <w:r w:rsidR="00F40465" w:rsidRPr="00CD3A21">
        <w:t xml:space="preserve">= </w:t>
      </w:r>
      <w:r w:rsidR="00F40465" w:rsidRPr="00CD3A21">
        <w:rPr>
          <w:b/>
        </w:rPr>
        <w:tab/>
      </w:r>
      <w:r w:rsidR="00F40465" w:rsidRPr="00CD3A21">
        <w:t>destruction efficiency for the internal combustion engine generator, expressed as a fraction. For an internal combustion engine h, the default value is 0.98</w:t>
      </w:r>
      <w:r w:rsidR="00B25B29" w:rsidRPr="00CD3A21">
        <w:t>,</w:t>
      </w:r>
      <w:r w:rsidR="00F40465" w:rsidRPr="00CD3A21">
        <w:t xml:space="preserve"> or the methane destruction efficiency of the device can be determined in accordance with section </w:t>
      </w:r>
      <w:r w:rsidR="00273574" w:rsidRPr="00CD3A21">
        <w:t>4.17</w:t>
      </w:r>
      <w:r w:rsidR="00F40465" w:rsidRPr="00CD3A21">
        <w:t>.</w:t>
      </w:r>
    </w:p>
    <w:p w:rsidR="00F40465" w:rsidRPr="00CD3A21" w:rsidRDefault="00F40465" w:rsidP="007D73FC">
      <w:pPr>
        <w:pStyle w:val="definition"/>
        <w:keepNext/>
        <w:spacing w:before="120" w:after="120" w:line="240" w:lineRule="auto"/>
        <w:ind w:left="1843" w:hanging="850"/>
      </w:pPr>
      <w:r w:rsidRPr="00CD3A21">
        <w:rPr>
          <w:b/>
        </w:rPr>
        <w:t>EF</w:t>
      </w:r>
      <w:r w:rsidRPr="00CD3A21">
        <w:rPr>
          <w:b/>
          <w:vertAlign w:val="subscript"/>
        </w:rPr>
        <w:t>N</w:t>
      </w:r>
      <w:r w:rsidRPr="00CD3A21">
        <w:rPr>
          <w:b/>
          <w:position w:val="-6"/>
          <w:vertAlign w:val="subscript"/>
        </w:rPr>
        <w:t>2</w:t>
      </w:r>
      <w:r w:rsidRPr="00CD3A21">
        <w:rPr>
          <w:b/>
          <w:vertAlign w:val="subscript"/>
        </w:rPr>
        <w:t>O</w:t>
      </w:r>
      <w:r w:rsidRPr="00CD3A21">
        <w:t xml:space="preserve"> = emissions factor for nitrous oxide emitted during the combustion of biogas in kilograms of CO</w:t>
      </w:r>
      <w:r w:rsidRPr="00CD3A21">
        <w:rPr>
          <w:vertAlign w:val="subscript"/>
        </w:rPr>
        <w:t>2</w:t>
      </w:r>
      <w:r w:rsidRPr="00CD3A21">
        <w:noBreakHyphen/>
        <w:t>e per gigajoule of energy (kg</w:t>
      </w:r>
      <w:r w:rsidRPr="00CD3A21">
        <w:rPr>
          <w:bCs/>
        </w:rPr>
        <w:t xml:space="preserve"> CO</w:t>
      </w:r>
      <w:r w:rsidRPr="00CD3A21">
        <w:rPr>
          <w:bCs/>
          <w:vertAlign w:val="subscript"/>
        </w:rPr>
        <w:t>2</w:t>
      </w:r>
      <w:r w:rsidRPr="00CD3A21">
        <w:rPr>
          <w:bCs/>
        </w:rPr>
        <w:noBreakHyphen/>
        <w:t>e</w:t>
      </w:r>
      <w:r w:rsidRPr="00CD3A21">
        <w:t xml:space="preserve"> /GJ) in accordance with Schedule 1 of the NGER Measurement Determination.</w:t>
      </w:r>
    </w:p>
    <w:p w:rsidR="002A6856" w:rsidRPr="00CD3A21" w:rsidRDefault="00F40465" w:rsidP="00F40465">
      <w:pPr>
        <w:pStyle w:val="h4Subdiv"/>
      </w:pPr>
      <w:bookmarkStart w:id="44" w:name="_Toc357161782"/>
      <w:r w:rsidRPr="00CD3A21">
        <w:t xml:space="preserve">Subdivision </w:t>
      </w:r>
      <w:r w:rsidR="00273574" w:rsidRPr="00CD3A21">
        <w:t>4.2.8</w:t>
      </w:r>
      <w:r w:rsidRPr="00CD3A21">
        <w:tab/>
        <w:t xml:space="preserve">Calculating </w:t>
      </w:r>
      <w:r w:rsidR="00360B09" w:rsidRPr="00CD3A21">
        <w:t>e</w:t>
      </w:r>
      <w:r w:rsidRPr="00CD3A21">
        <w:t>missions combusted in an internal combustion engine</w:t>
      </w:r>
      <w:bookmarkEnd w:id="44"/>
      <w:r w:rsidR="00650E2B" w:rsidRPr="00CD3A21">
        <w:t xml:space="preserve"> </w:t>
      </w:r>
    </w:p>
    <w:p w:rsidR="00F40465" w:rsidRPr="00CD3A21" w:rsidRDefault="000C29DD" w:rsidP="00FF0D22">
      <w:pPr>
        <w:pStyle w:val="h5Section"/>
      </w:pPr>
      <w:bookmarkStart w:id="45" w:name="_Toc357161783"/>
      <w:r w:rsidRPr="00CD3A21">
        <w:t>4.13</w:t>
      </w:r>
      <w:r w:rsidR="00FF0D22" w:rsidRPr="00CD3A21">
        <w:tab/>
      </w:r>
      <w:r w:rsidR="00F40465" w:rsidRPr="00CD3A21">
        <w:t>Quantity of emissions combusted in an internal combustion engine—optional calculations</w:t>
      </w:r>
      <w:bookmarkEnd w:id="45"/>
      <w:r w:rsidR="00650E2B" w:rsidRPr="00CD3A21">
        <w:t xml:space="preserve"> </w:t>
      </w:r>
    </w:p>
    <w:p w:rsidR="00F40465" w:rsidRPr="00CD3A21" w:rsidRDefault="00360B09" w:rsidP="00360B09">
      <w:pPr>
        <w:pStyle w:val="tMain"/>
      </w:pPr>
      <w:r w:rsidRPr="00CD3A21">
        <w:tab/>
      </w:r>
      <w:r w:rsidR="00273574" w:rsidRPr="00CD3A21">
        <w:t>(1)</w:t>
      </w:r>
      <w:r w:rsidRPr="00CD3A21">
        <w:tab/>
      </w:r>
      <w:r w:rsidR="00F40465" w:rsidRPr="00CD3A21">
        <w:t>This section applies if:</w:t>
      </w:r>
    </w:p>
    <w:p w:rsidR="00F40465" w:rsidRPr="00CD3A21" w:rsidRDefault="00360B09" w:rsidP="00360B09">
      <w:pPr>
        <w:pStyle w:val="tPara"/>
      </w:pPr>
      <w:r w:rsidRPr="00CD3A21">
        <w:tab/>
      </w:r>
      <w:r w:rsidR="00273574" w:rsidRPr="00CD3A21">
        <w:t>(a)</w:t>
      </w:r>
      <w:r w:rsidRPr="00CD3A21">
        <w:tab/>
      </w:r>
      <w:proofErr w:type="gramStart"/>
      <w:r w:rsidR="00F40465" w:rsidRPr="00CD3A21">
        <w:t>an</w:t>
      </w:r>
      <w:proofErr w:type="gramEnd"/>
      <w:r w:rsidR="00F40465" w:rsidRPr="00CD3A21">
        <w:t xml:space="preserve"> offsets project to which this methodology determination applies uses one</w:t>
      </w:r>
      <w:r w:rsidR="00FD61E2" w:rsidRPr="00CD3A21">
        <w:t xml:space="preserve"> or more</w:t>
      </w:r>
      <w:r w:rsidR="00F40465" w:rsidRPr="00CD3A21">
        <w:t xml:space="preserve"> internal combustion engine</w:t>
      </w:r>
      <w:r w:rsidR="00A97EBC" w:rsidRPr="00CD3A21">
        <w:t>s</w:t>
      </w:r>
      <w:r w:rsidR="00F40465" w:rsidRPr="00CD3A21">
        <w:t xml:space="preserve"> as </w:t>
      </w:r>
      <w:r w:rsidR="00FD61E2" w:rsidRPr="00CD3A21">
        <w:t xml:space="preserve">a </w:t>
      </w:r>
      <w:r w:rsidR="00F40465" w:rsidRPr="00CD3A21">
        <w:t xml:space="preserve">combustion device; </w:t>
      </w:r>
      <w:r w:rsidR="00FD61E2" w:rsidRPr="00CD3A21">
        <w:t>and</w:t>
      </w:r>
    </w:p>
    <w:p w:rsidR="00F40465" w:rsidRPr="00CD3A21" w:rsidRDefault="00360B09" w:rsidP="00360B09">
      <w:pPr>
        <w:pStyle w:val="tPara"/>
      </w:pPr>
      <w:r w:rsidRPr="00CD3A21">
        <w:tab/>
      </w:r>
      <w:r w:rsidR="00273574" w:rsidRPr="00CD3A21">
        <w:t>(b)</w:t>
      </w:r>
      <w:r w:rsidRPr="00CD3A21">
        <w:tab/>
      </w:r>
      <w:proofErr w:type="gramStart"/>
      <w:r w:rsidR="00F40465" w:rsidRPr="00CD3A21">
        <w:t>the</w:t>
      </w:r>
      <w:proofErr w:type="gramEnd"/>
      <w:r w:rsidR="00F40465" w:rsidRPr="00CD3A21">
        <w:t xml:space="preserve"> project proponent elects to calculate the quantity of methane destroyed by internal combustion engine</w:t>
      </w:r>
      <w:r w:rsidR="00A97EBC" w:rsidRPr="00CD3A21">
        <w:t>s</w:t>
      </w:r>
      <w:r w:rsidR="00F40465" w:rsidRPr="00CD3A21">
        <w:t xml:space="preserve">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com</m:t>
            </m:r>
            <m:r>
              <m:rPr>
                <m:sty m:val="p"/>
              </m:rPr>
              <w:rPr>
                <w:rFonts w:ascii="Cambria Math"/>
              </w:rPr>
              <m:t>,</m:t>
            </m:r>
            <m:r>
              <m:rPr>
                <m:sty m:val="p"/>
              </m:rPr>
              <w:rPr>
                <w:rFonts w:ascii="Cambria Math" w:hAnsi="Cambria Math"/>
              </w:rPr>
              <m:t>ice</m:t>
            </m:r>
          </m:sub>
        </m:sSub>
      </m:oMath>
      <w:r w:rsidR="00B36BB5" w:rsidRPr="00CD3A21">
        <w:t>)</w:t>
      </w:r>
      <w:r w:rsidR="00F40465" w:rsidRPr="00CD3A21">
        <w:t xml:space="preserve"> from the amount of electricity produced by an internal combustion engine generator (</w:t>
      </w:r>
      <m:oMath>
        <m:sSub>
          <m:sSubPr>
            <m:ctrlPr>
              <w:rPr>
                <w:rFonts w:ascii="Cambria Math" w:hAnsi="Cambria Math"/>
              </w:rPr>
            </m:ctrlPr>
          </m:sSubPr>
          <m:e>
            <m:r>
              <m:rPr>
                <m:sty m:val="p"/>
              </m:rPr>
              <w:rPr>
                <w:rFonts w:ascii="Cambria Math"/>
              </w:rPr>
              <m:t>Ep</m:t>
            </m:r>
          </m:e>
          <m:sub>
            <m:r>
              <m:rPr>
                <m:sty m:val="p"/>
              </m:rPr>
              <w:rPr>
                <w:rFonts w:ascii="Cambria Math"/>
              </w:rPr>
              <m:t>h</m:t>
            </m:r>
          </m:sub>
        </m:sSub>
      </m:oMath>
      <w:r w:rsidR="00F40465" w:rsidRPr="00CD3A21">
        <w:t>) measured in megawatt hours); and</w:t>
      </w:r>
    </w:p>
    <w:p w:rsidR="00F40465" w:rsidRPr="00CD3A21" w:rsidRDefault="00360B09" w:rsidP="000E2783">
      <w:pPr>
        <w:pStyle w:val="tPara"/>
      </w:pPr>
      <w:r w:rsidRPr="00CD3A21">
        <w:lastRenderedPageBreak/>
        <w:tab/>
      </w:r>
      <w:r w:rsidR="00273574" w:rsidRPr="00CD3A21">
        <w:t>(c)</w:t>
      </w:r>
      <w:r w:rsidRPr="00CD3A21">
        <w:tab/>
      </w:r>
      <w:r w:rsidR="00FD61E2" w:rsidRPr="00CD3A21">
        <w:t>the quantity of methane destroyed by internal combustion engine</w:t>
      </w:r>
      <w:r w:rsidR="00A97EBC" w:rsidRPr="00CD3A21">
        <w:t>s</w:t>
      </w:r>
      <w:r w:rsidR="00FD61E2" w:rsidRPr="00CD3A21">
        <w:t xml:space="preserve"> is not included in the total volume of methane destroyed from all the remaining combustion devices for which Equation </w:t>
      </w:r>
      <w:r w:rsidR="00B21779" w:rsidRPr="00CD3A21">
        <w:t>2</w:t>
      </w:r>
      <w:r w:rsidR="00FD61E2" w:rsidRPr="00CD3A21">
        <w:t>.2 is used (</w:t>
      </w:r>
      <m:oMath>
        <m:nary>
          <m:naryPr>
            <m:chr m:val="∑"/>
            <m:limLoc m:val="undOvr"/>
            <m:ctrlPr>
              <w:rPr>
                <w:rFonts w:ascii="Cambria Math" w:hAnsi="Cambria Math"/>
              </w:rPr>
            </m:ctrlPr>
          </m:naryPr>
          <m:sub>
            <m:r>
              <m:rPr>
                <m:sty m:val="p"/>
              </m:rPr>
              <w:rPr>
                <w:rFonts w:ascii="Cambria Math" w:hAnsi="Cambria Math"/>
              </w:rPr>
              <m:t>h</m:t>
            </m:r>
            <m:r>
              <m:rPr>
                <m:sty m:val="p"/>
              </m:rPr>
              <w:rPr>
                <w:rFonts w:ascii="Cambria Math"/>
              </w:rPr>
              <m:t>=</m:t>
            </m:r>
            <m:r>
              <m:rPr>
                <m:sty m:val="p"/>
              </m:rPr>
              <w:rPr>
                <w:rFonts w:ascii="Cambria Math" w:hAnsi="Cambria Math"/>
              </w:rPr>
              <m:t>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com</m:t>
                </m:r>
                <m:r>
                  <m:rPr>
                    <m:sty m:val="p"/>
                  </m:rPr>
                  <w:rPr>
                    <w:rFonts w:ascii="Cambria Math"/>
                  </w:rPr>
                  <m:t>,</m:t>
                </m:r>
                <m:r>
                  <m:rPr>
                    <m:sty m:val="p"/>
                  </m:rPr>
                  <w:rPr>
                    <w:rFonts w:ascii="Cambria Math" w:hAnsi="Cambria Math"/>
                  </w:rPr>
                  <m:t>h</m:t>
                </m:r>
              </m:sub>
            </m:sSub>
          </m:e>
        </m:nary>
      </m:oMath>
      <w:r w:rsidR="00FD61E2" w:rsidRPr="00CD3A21">
        <w:t>)</w:t>
      </w:r>
      <w:r w:rsidR="00F40465" w:rsidRPr="00CD3A21">
        <w:t>.</w:t>
      </w:r>
    </w:p>
    <w:p w:rsidR="00360B09" w:rsidRPr="00CD3A21" w:rsidRDefault="00FD61E2" w:rsidP="007940C0">
      <w:pPr>
        <w:pStyle w:val="h6Subsec"/>
      </w:pPr>
      <w:r w:rsidRPr="00CD3A21" w:rsidDel="00FD61E2">
        <w:t xml:space="preserve"> </w:t>
      </w:r>
      <w:r w:rsidR="00360B09" w:rsidRPr="00CD3A21">
        <w:t xml:space="preserve">Alternative Calculation for </w:t>
      </w:r>
      <w:proofErr w:type="spellStart"/>
      <w:proofErr w:type="gramStart"/>
      <w:r w:rsidR="00360B09" w:rsidRPr="00CD3A21">
        <w:t>A</w:t>
      </w:r>
      <w:r w:rsidR="00360B09" w:rsidRPr="00CD3A21">
        <w:rPr>
          <w:vertAlign w:val="subscript"/>
        </w:rPr>
        <w:t>p</w:t>
      </w:r>
      <w:proofErr w:type="spellEnd"/>
      <w:proofErr w:type="gramEnd"/>
      <w:r w:rsidR="00360B09" w:rsidRPr="00CD3A21">
        <w:t xml:space="preserve"> </w:t>
      </w:r>
    </w:p>
    <w:p w:rsidR="00360B09" w:rsidRPr="00CD3A21" w:rsidRDefault="00360B09" w:rsidP="000E2783">
      <w:pPr>
        <w:pStyle w:val="tMain"/>
      </w:pPr>
      <w:r w:rsidRPr="00CD3A21">
        <w:tab/>
      </w:r>
      <w:r w:rsidR="00273574" w:rsidRPr="00CD3A21">
        <w:t>(2)</w:t>
      </w:r>
      <w:r w:rsidRPr="00CD3A21">
        <w:tab/>
        <w:t xml:space="preserve">If the conditions specified in subsection </w:t>
      </w:r>
      <w:r w:rsidR="00273574" w:rsidRPr="00CD3A21">
        <w:t>(1)</w:t>
      </w:r>
      <w:r w:rsidRPr="00CD3A21">
        <w:t xml:space="preserve"> apply and </w:t>
      </w:r>
      <m:oMath>
        <m:sSub>
          <m:sSubPr>
            <m:ctrlPr>
              <w:rPr>
                <w:rFonts w:ascii="Cambria Math" w:hAnsi="Cambria Math"/>
              </w:rPr>
            </m:ctrlPr>
          </m:sSubPr>
          <m:e>
            <m:r>
              <m:rPr>
                <m:sty m:val="p"/>
              </m:rPr>
              <w:rPr>
                <w:rFonts w:ascii="Cambria Math"/>
              </w:rPr>
              <m:t>A</m:t>
            </m:r>
          </m:e>
          <m:sub>
            <m:r>
              <m:rPr>
                <m:sty m:val="p"/>
              </m:rPr>
              <w:rPr>
                <w:rFonts w:ascii="Cambria Math"/>
              </w:rPr>
              <m:t>com,ice</m:t>
            </m:r>
          </m:sub>
        </m:sSub>
      </m:oMath>
      <w:r w:rsidRPr="00CD3A21">
        <w:t xml:space="preserve"> is to be calculated in accordance with subsection </w:t>
      </w:r>
      <w:r w:rsidR="00273574" w:rsidRPr="00CD3A21">
        <w:t>(3)</w:t>
      </w:r>
      <w:proofErr w:type="gramStart"/>
      <w:r w:rsidRPr="00CD3A21">
        <w:t>,</w:t>
      </w:r>
      <w:proofErr w:type="gramEnd"/>
      <m:oMath>
        <m:r>
          <m:rPr>
            <m:sty m:val="p"/>
          </m:rPr>
          <w:rPr>
            <w:rFonts w:ascii="Cambria Math"/>
          </w:rPr>
          <m:t xml:space="preserve"> then </m:t>
        </m:r>
      </m:oMath>
      <w:r w:rsidRPr="00CD3A21">
        <w:t>A</w:t>
      </w:r>
      <w:r w:rsidRPr="00CD3A21">
        <w:rPr>
          <w:vertAlign w:val="subscript"/>
        </w:rPr>
        <w:t>p</w:t>
      </w:r>
      <w:r w:rsidRPr="00CD3A21">
        <w:t xml:space="preserve"> is to be calculated using the following formula: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2899"/>
      </w:tblGrid>
      <w:tr w:rsidR="00360B09" w:rsidRPr="00CD3A21" w:rsidTr="00A456D9">
        <w:tc>
          <w:tcPr>
            <w:tcW w:w="5180" w:type="dxa"/>
            <w:shd w:val="clear" w:color="auto" w:fill="auto"/>
          </w:tcPr>
          <w:p w:rsidR="00360B09" w:rsidRPr="00CD3A21" w:rsidRDefault="004D69D5" w:rsidP="00062784">
            <w:pPr>
              <w:spacing w:before="120" w:after="120"/>
              <w:jc w:val="center"/>
            </w:pPr>
            <m:oMathPara>
              <m:oMathParaPr>
                <m:jc m:val="center"/>
              </m:oMathPara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r>
                  <m:rPr>
                    <m:sty m:val="b"/>
                  </m:rPr>
                  <w:rPr>
                    <w:rFonts w:ascii="Cambria Math"/>
                  </w:rPr>
                  <m:t>=</m:t>
                </m:r>
                <m:d>
                  <m:dPr>
                    <m:begChr m:val="["/>
                    <m:endChr m:val="]"/>
                    <m:ctrlPr>
                      <w:rPr>
                        <w:rFonts w:ascii="Cambria Math" w:hAnsi="Cambria Math"/>
                        <w:b/>
                      </w:rPr>
                    </m:ctrlPr>
                  </m:dPr>
                  <m:e>
                    <m:d>
                      <m:dPr>
                        <m:ctrlPr>
                          <w:rPr>
                            <w:rFonts w:ascii="Cambria Math" w:hAnsi="Cambria Math"/>
                            <w:b/>
                          </w:rPr>
                        </m:ctrlPr>
                      </m:dPr>
                      <m:e>
                        <m:r>
                          <m:rPr>
                            <m:sty m:val="b"/>
                          </m:rPr>
                          <w:rPr>
                            <w:rFonts w:ascii="Cambria Math" w:hAnsi="Cambria Math"/>
                          </w:rPr>
                          <m:t>γ</m:t>
                        </m:r>
                        <m:r>
                          <m:rPr>
                            <m:sty m:val="b"/>
                          </m:rPr>
                          <w:rPr>
                            <w:rFonts w:ascii="Cambria Math"/>
                          </w:rPr>
                          <m:t xml:space="preserve"> </m:t>
                        </m:r>
                        <m:nary>
                          <m:naryPr>
                            <m:chr m:val="∑"/>
                            <m:limLoc m:val="undOvr"/>
                            <m:ctrlPr>
                              <w:rPr>
                                <w:rFonts w:ascii="Cambria Math" w:hAnsi="Cambria Math"/>
                                <w:b/>
                              </w:rPr>
                            </m:ctrlPr>
                          </m:naryPr>
                          <m:sub>
                            <m:r>
                              <m:rPr>
                                <m:sty m:val="b"/>
                              </m:rPr>
                              <w:rPr>
                                <w:rFonts w:ascii="Cambria Math" w:hAnsi="Cambria Math"/>
                              </w:rPr>
                              <m:t>h</m:t>
                            </m:r>
                            <m:r>
                              <m:rPr>
                                <m:sty m:val="b"/>
                              </m:rPr>
                              <w:rPr>
                                <w:rFonts w:asci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e>
                        </m:nary>
                      </m:e>
                    </m:d>
                    <m:r>
                      <m:rPr>
                        <m:sty m:val="bi"/>
                      </m:rPr>
                      <w:rPr>
                        <w:rFonts w:ascii="Cambria Math"/>
                      </w:rPr>
                      <m:t xml:space="preserve">+ </m:t>
                    </m:r>
                    <m:sSub>
                      <m:sSubPr>
                        <m:ctrlPr>
                          <w:rPr>
                            <w:rFonts w:ascii="Cambria Math" w:hAnsi="Cambria Math"/>
                            <w:b/>
                            <w:i/>
                          </w:rPr>
                        </m:ctrlPr>
                      </m:sSubPr>
                      <m:e>
                        <m:r>
                          <m:rPr>
                            <m:sty m:val="b"/>
                          </m:rPr>
                          <w:rPr>
                            <w:rFonts w:ascii="Cambria Math" w:hAnsi="Cambria Math"/>
                          </w:rPr>
                          <m:t>A</m:t>
                        </m:r>
                      </m:e>
                      <m:sub>
                        <m:r>
                          <m:rPr>
                            <m:sty m:val="b"/>
                          </m:rPr>
                          <w:rPr>
                            <w:rFonts w:ascii="Cambria Math" w:hAnsi="Cambria Math"/>
                          </w:rPr>
                          <m:t>com,ice</m:t>
                        </m:r>
                      </m:sub>
                    </m:sSub>
                  </m:e>
                </m:d>
                <m:r>
                  <m:rPr>
                    <m:sty m:val="b"/>
                  </m:rPr>
                  <w:rPr>
                    <w:rFonts w:ascii="Cambria Math" w:hAnsi="Cambria Math"/>
                  </w:rPr>
                  <m:t>-</m:t>
                </m:r>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oMath>
            </m:oMathPara>
          </w:p>
        </w:tc>
        <w:tc>
          <w:tcPr>
            <w:tcW w:w="2899" w:type="dxa"/>
            <w:vAlign w:val="center"/>
          </w:tcPr>
          <w:p w:rsidR="00360B09" w:rsidRPr="00CD3A21" w:rsidRDefault="00360B09" w:rsidP="00DB5C01">
            <w:pPr>
              <w:spacing w:before="120" w:after="120"/>
              <w:jc w:val="center"/>
              <w:rPr>
                <w:b/>
              </w:rPr>
            </w:pPr>
            <w:r w:rsidRPr="00CD3A21">
              <w:rPr>
                <w:b/>
              </w:rPr>
              <w:t>Equation 3.1</w:t>
            </w:r>
          </w:p>
        </w:tc>
      </w:tr>
    </w:tbl>
    <w:p w:rsidR="00360B09" w:rsidRPr="00CD3A21" w:rsidRDefault="00360B09" w:rsidP="00360B09">
      <w:pPr>
        <w:pStyle w:val="Rc"/>
        <w:spacing w:before="120" w:after="120" w:line="240" w:lineRule="auto"/>
      </w:pPr>
      <w:r w:rsidRPr="00CD3A21">
        <w:t>Where:</w:t>
      </w:r>
    </w:p>
    <w:p w:rsidR="00360B09" w:rsidRPr="00CD3A21" w:rsidRDefault="004D69D5" w:rsidP="00F70A4E">
      <w:pPr>
        <w:pStyle w:val="definition"/>
        <w:tabs>
          <w:tab w:val="left" w:pos="1985"/>
        </w:tabs>
        <w:spacing w:before="120" w:after="120" w:line="240" w:lineRule="auto"/>
        <w:ind w:left="1985" w:hanging="1021"/>
      </w:p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p</m:t>
            </m:r>
          </m:sub>
        </m:sSub>
      </m:oMath>
      <w:r w:rsidR="00360B09" w:rsidRPr="00CD3A21">
        <w:t xml:space="preserve"> =</w:t>
      </w:r>
      <w:r w:rsidR="00360B09" w:rsidRPr="00CD3A21">
        <w:tab/>
        <w:t>quantity of methane emissions avoided as a consequence of the project, minus nitrous oxide emissions generated from the destruction of methane, in tonnes of CO</w:t>
      </w:r>
      <w:r w:rsidR="00360B09" w:rsidRPr="00CD3A21">
        <w:rPr>
          <w:vertAlign w:val="subscript"/>
        </w:rPr>
        <w:t>2</w:t>
      </w:r>
      <w:r w:rsidR="00360B09" w:rsidRPr="00CD3A21">
        <w:noBreakHyphen/>
        <w:t>e</w:t>
      </w:r>
      <w:r w:rsidR="00360B09" w:rsidRPr="00CD3A21">
        <w:rPr>
          <w:bCs/>
        </w:rPr>
        <w:t>.</w:t>
      </w:r>
    </w:p>
    <w:p w:rsidR="00360B09" w:rsidRPr="00CD3A21" w:rsidRDefault="00360B09" w:rsidP="00F70A4E">
      <w:pPr>
        <w:pStyle w:val="definition"/>
        <w:tabs>
          <w:tab w:val="left" w:pos="1985"/>
        </w:tabs>
        <w:spacing w:before="120" w:after="120" w:line="240" w:lineRule="auto"/>
        <w:ind w:left="1985" w:hanging="1021"/>
      </w:pPr>
      <m:oMath>
        <m:r>
          <m:rPr>
            <m:sty m:val="b"/>
          </m:rPr>
          <w:rPr>
            <w:rFonts w:ascii="Cambria Math" w:hAnsi="Cambria Math"/>
          </w:rPr>
          <m:t>γ</m:t>
        </m:r>
      </m:oMath>
      <w:r w:rsidRPr="00CD3A21">
        <w:rPr>
          <w:i/>
        </w:rPr>
        <w:t xml:space="preserve"> </w:t>
      </w:r>
      <w:r w:rsidRPr="00CD3A21">
        <w:t>=</w:t>
      </w:r>
      <w:r w:rsidRPr="00CD3A21">
        <w:tab/>
        <w:t>the factor 6.784 x 10</w:t>
      </w:r>
      <w:r w:rsidRPr="00CD3A21">
        <w:rPr>
          <w:vertAlign w:val="superscript"/>
        </w:rPr>
        <w:noBreakHyphen/>
        <w:t>4</w:t>
      </w:r>
      <w:r w:rsidRPr="00CD3A21">
        <w:t xml:space="preserve"> </w:t>
      </w:r>
      <w:proofErr w:type="gramStart"/>
      <w:r w:rsidRPr="00CD3A21">
        <w:t xml:space="preserve">x </w:t>
      </w:r>
      <w:proofErr w:type="gramEnd"/>
      <m:oMath>
        <m:sSub>
          <m:sSubPr>
            <m:ctrlPr>
              <w:rPr>
                <w:rFonts w:ascii="Cambria Math" w:hAnsi="Cambria Math"/>
              </w:rPr>
            </m:ctrlPr>
          </m:sSubPr>
          <m:e>
            <m:r>
              <m:rPr>
                <m:sty m:val="p"/>
              </m:rPr>
              <w:rPr>
                <w:rFonts w:ascii="Cambria Math" w:hAnsi="Cambria Math"/>
              </w:rPr>
              <m:t>GWP</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sub>
        </m:sSub>
      </m:oMath>
      <w:r w:rsidR="009D732B" w:rsidRPr="00CD3A21">
        <w:t>,</w:t>
      </w:r>
      <w:r w:rsidRPr="00CD3A21">
        <w:t xml:space="preserve"> </w:t>
      </w:r>
      <w:r w:rsidR="009D732B" w:rsidRPr="00CD3A21">
        <w:t xml:space="preserve">which </w:t>
      </w:r>
      <w:r w:rsidRPr="00CD3A21">
        <w:t>convert</w:t>
      </w:r>
      <w:r w:rsidR="009D732B" w:rsidRPr="00CD3A21">
        <w:t>s</w:t>
      </w:r>
      <w:r w:rsidRPr="00CD3A21">
        <w:t xml:space="preserve"> cubic metres of methane at standard conditions to tonnes of CO</w:t>
      </w:r>
      <w:r w:rsidRPr="00CD3A21">
        <w:rPr>
          <w:vertAlign w:val="subscript"/>
        </w:rPr>
        <w:t>2</w:t>
      </w:r>
      <w:r w:rsidRPr="00CD3A21">
        <w:noBreakHyphen/>
        <w:t>e.</w:t>
      </w:r>
    </w:p>
    <w:p w:rsidR="00360B09" w:rsidRPr="00CD3A21" w:rsidRDefault="004D69D5" w:rsidP="00F70A4E">
      <w:pPr>
        <w:pStyle w:val="definition"/>
        <w:tabs>
          <w:tab w:val="left" w:pos="1985"/>
        </w:tabs>
        <w:spacing w:before="120" w:after="120" w:line="240" w:lineRule="auto"/>
        <w:ind w:left="1985" w:hanging="1021"/>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com</m:t>
            </m:r>
            <m:r>
              <m:rPr>
                <m:sty m:val="b"/>
              </m:rPr>
              <w:rPr>
                <w:rFonts w:ascii="Cambria Math"/>
              </w:rPr>
              <m:t>,</m:t>
            </m:r>
            <m:r>
              <m:rPr>
                <m:sty m:val="b"/>
              </m:rPr>
              <w:rPr>
                <w:rFonts w:ascii="Cambria Math" w:hAnsi="Cambria Math"/>
              </w:rPr>
              <m:t>h</m:t>
            </m:r>
          </m:sub>
        </m:sSub>
      </m:oMath>
      <w:r w:rsidR="00360B09" w:rsidRPr="00CD3A21">
        <w:t xml:space="preserve"> = </w:t>
      </w:r>
      <w:r w:rsidR="00360B09" w:rsidRPr="00CD3A21">
        <w:tab/>
        <w:t xml:space="preserve">capped volume of methane destroyed by combustion device h, </w:t>
      </w:r>
      <w:r w:rsidR="00BD5F63" w:rsidRPr="00CD3A21">
        <w:t xml:space="preserve">other than internal combustion engines, </w:t>
      </w:r>
      <w:r w:rsidR="00360B09" w:rsidRPr="00CD3A21">
        <w:t>in cubic metres (m</w:t>
      </w:r>
      <w:r w:rsidR="00360B09" w:rsidRPr="00CD3A21">
        <w:rPr>
          <w:vertAlign w:val="superscript"/>
        </w:rPr>
        <w:t>3</w:t>
      </w:r>
      <w:r w:rsidR="00360B09" w:rsidRPr="00CD3A21">
        <w:t>) as calculated in Equation 2.3.</w:t>
      </w:r>
    </w:p>
    <w:p w:rsidR="00360B09" w:rsidRPr="00CD3A21" w:rsidRDefault="004D69D5" w:rsidP="00F70A4E">
      <w:pPr>
        <w:pStyle w:val="definition"/>
        <w:tabs>
          <w:tab w:val="left" w:pos="1985"/>
        </w:tabs>
        <w:spacing w:before="120" w:after="120" w:line="240" w:lineRule="auto"/>
        <w:ind w:left="1985" w:hanging="1021"/>
      </w:pPr>
      <m:oMath>
        <m:sSub>
          <m:sSubPr>
            <m:ctrlPr>
              <w:rPr>
                <w:rFonts w:ascii="Cambria Math" w:hAnsi="Cambria Math"/>
                <w:b/>
              </w:rPr>
            </m:ctrlPr>
          </m:sSubPr>
          <m:e>
            <m:r>
              <m:rPr>
                <m:sty m:val="b"/>
              </m:rPr>
              <w:rPr>
                <w:rFonts w:ascii="Cambria Math" w:hAnsi="Cambria Math"/>
              </w:rPr>
              <m:t>A</m:t>
            </m:r>
          </m:e>
          <m:sub>
            <m:r>
              <m:rPr>
                <m:sty m:val="b"/>
              </m:rPr>
              <w:rPr>
                <w:rFonts w:ascii="Cambria Math" w:hAnsi="Cambria Math"/>
              </w:rPr>
              <m:t>com</m:t>
            </m:r>
            <m:r>
              <m:rPr>
                <m:sty m:val="b"/>
              </m:rPr>
              <w:rPr>
                <w:rFonts w:ascii="Cambria Math"/>
              </w:rPr>
              <m:t>,</m:t>
            </m:r>
            <m:r>
              <m:rPr>
                <m:sty m:val="b"/>
              </m:rPr>
              <w:rPr>
                <w:rFonts w:ascii="Cambria Math" w:hAnsi="Cambria Math"/>
              </w:rPr>
              <m:t>ice</m:t>
            </m:r>
          </m:sub>
        </m:sSub>
      </m:oMath>
      <w:r w:rsidR="00360B09" w:rsidRPr="00CD3A21">
        <w:rPr>
          <w:b/>
        </w:rPr>
        <w:t xml:space="preserve"> </w:t>
      </w:r>
      <w:r w:rsidR="00360B09" w:rsidRPr="00CD3A21">
        <w:t xml:space="preserve">= amount of methane destroyed as a consequence of </w:t>
      </w:r>
      <w:r w:rsidR="00B21779" w:rsidRPr="00CD3A21">
        <w:t xml:space="preserve">one or more </w:t>
      </w:r>
      <w:r w:rsidR="00360B09" w:rsidRPr="00CD3A21">
        <w:t>internal combustion engine</w:t>
      </w:r>
      <w:r w:rsidR="00B21779" w:rsidRPr="00CD3A21">
        <w:t>s</w:t>
      </w:r>
      <w:r w:rsidR="00360B09" w:rsidRPr="00CD3A21">
        <w:t>, in tonnes</w:t>
      </w:r>
      <w:r w:rsidR="00021448" w:rsidRPr="00CD3A21">
        <w:t xml:space="preserve"> of</w:t>
      </w:r>
      <w:r w:rsidR="00360B09" w:rsidRPr="00CD3A21">
        <w:t xml:space="preserve"> CO</w:t>
      </w:r>
      <w:r w:rsidR="00360B09" w:rsidRPr="00CD3A21">
        <w:rPr>
          <w:vertAlign w:val="subscript"/>
        </w:rPr>
        <w:t>2</w:t>
      </w:r>
      <w:r w:rsidR="00360B09" w:rsidRPr="00CD3A21">
        <w:noBreakHyphen/>
        <w:t>e.</w:t>
      </w:r>
    </w:p>
    <w:p w:rsidR="00360B09" w:rsidRPr="00CD3A21" w:rsidRDefault="004D69D5" w:rsidP="00F70A4E">
      <w:pPr>
        <w:pStyle w:val="definition"/>
        <w:tabs>
          <w:tab w:val="left" w:pos="1985"/>
        </w:tabs>
        <w:spacing w:before="120" w:after="120" w:line="240" w:lineRule="auto"/>
        <w:ind w:left="1985" w:hanging="1021"/>
        <w:rPr>
          <w:bCs/>
        </w:rPr>
      </w:pPr>
      <m:oMath>
        <m:sSub>
          <m:sSubPr>
            <m:ctrlPr>
              <w:rPr>
                <w:rFonts w:ascii="Cambria Math" w:hAnsi="Cambria Math"/>
                <w:b/>
              </w:rPr>
            </m:ctrlPr>
          </m:sSubPr>
          <m:e>
            <m:r>
              <m:rPr>
                <m:sty m:val="b"/>
              </m:rPr>
              <w:rPr>
                <w:rFonts w:ascii="Cambria Math" w:hAnsi="Cambria Math"/>
              </w:rPr>
              <m:t>E</m:t>
            </m:r>
          </m:e>
          <m:sub>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2</m:t>
                </m:r>
              </m:sub>
            </m:sSub>
            <m:r>
              <m:rPr>
                <m:sty m:val="b"/>
              </m:rPr>
              <w:rPr>
                <w:rFonts w:ascii="Cambria Math" w:hAnsi="Cambria Math"/>
              </w:rPr>
              <m:t>O</m:t>
            </m:r>
          </m:sub>
        </m:sSub>
      </m:oMath>
      <w:r w:rsidR="00360B09" w:rsidRPr="00CD3A21">
        <w:t xml:space="preserve"> = </w:t>
      </w:r>
      <w:r w:rsidR="00360B09" w:rsidRPr="00CD3A21">
        <w:tab/>
        <w:t>quantity of nitrous oxide emissions released as a result of methane destruction from all combustion devices, in tonnes of CO</w:t>
      </w:r>
      <w:r w:rsidR="00360B09" w:rsidRPr="00CD3A21">
        <w:rPr>
          <w:vertAlign w:val="subscript"/>
        </w:rPr>
        <w:t>2</w:t>
      </w:r>
      <w:r w:rsidR="00360B09" w:rsidRPr="00CD3A21">
        <w:noBreakHyphen/>
        <w:t>e</w:t>
      </w:r>
      <w:r w:rsidR="00360B09" w:rsidRPr="00CD3A21">
        <w:rPr>
          <w:bCs/>
        </w:rPr>
        <w:t>.</w:t>
      </w:r>
    </w:p>
    <w:p w:rsidR="00360B09" w:rsidRPr="00CD3A21" w:rsidRDefault="00FC442E" w:rsidP="00FC442E">
      <w:pPr>
        <w:pStyle w:val="tMain"/>
      </w:pPr>
      <w:r w:rsidRPr="00CD3A21">
        <w:tab/>
      </w:r>
      <w:r w:rsidR="00273574" w:rsidRPr="00CD3A21">
        <w:t>(3)</w:t>
      </w:r>
      <w:r w:rsidRPr="00CD3A21">
        <w:tab/>
      </w:r>
      <m:oMath>
        <m:sSub>
          <m:sSubPr>
            <m:ctrlPr>
              <w:rPr>
                <w:rFonts w:ascii="Cambria Math" w:hAnsi="Cambria Math"/>
              </w:rPr>
            </m:ctrlPr>
          </m:sSubPr>
          <m:e>
            <m:r>
              <m:rPr>
                <m:sty m:val="p"/>
              </m:rPr>
              <w:rPr>
                <w:rFonts w:ascii="Cambria Math"/>
              </w:rPr>
              <m:t>A</m:t>
            </m:r>
          </m:e>
          <m:sub>
            <m:r>
              <m:rPr>
                <m:sty m:val="p"/>
              </m:rPr>
              <w:rPr>
                <w:rFonts w:ascii="Cambria Math"/>
              </w:rPr>
              <m:t>com,ice</m:t>
            </m:r>
          </m:sub>
        </m:sSub>
      </m:oMath>
      <w:r w:rsidR="00360B09" w:rsidRPr="00CD3A21">
        <w:t xml:space="preserve"> </w:t>
      </w:r>
      <w:proofErr w:type="gramStart"/>
      <w:r w:rsidR="00360B09" w:rsidRPr="00CD3A21">
        <w:t>is</w:t>
      </w:r>
      <w:proofErr w:type="gramEnd"/>
      <w:r w:rsidR="00360B09" w:rsidRPr="00CD3A21">
        <w:t xml:space="preserve"> to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275"/>
      </w:tblGrid>
      <w:tr w:rsidR="00360B09" w:rsidRPr="00CD3A21" w:rsidTr="00A456D9">
        <w:trPr>
          <w:trHeight w:val="798"/>
        </w:trPr>
        <w:tc>
          <w:tcPr>
            <w:tcW w:w="6804" w:type="dxa"/>
            <w:vAlign w:val="center"/>
          </w:tcPr>
          <w:p w:rsidR="00360B09" w:rsidRPr="00CD3A21" w:rsidRDefault="004D69D5" w:rsidP="005F532C">
            <w:pPr>
              <w:spacing w:before="120" w:after="120"/>
              <w:jc w:val="center"/>
            </w:pPr>
            <m:oMathPara>
              <m:oMath>
                <m:sSub>
                  <m:sSubPr>
                    <m:ctrlPr>
                      <w:rPr>
                        <w:rFonts w:ascii="Cambria Math" w:hAnsi="Cambria Math"/>
                        <w:b/>
                        <w:sz w:val="22"/>
                      </w:rPr>
                    </m:ctrlPr>
                  </m:sSubPr>
                  <m:e>
                    <m:r>
                      <m:rPr>
                        <m:sty m:val="b"/>
                      </m:rPr>
                      <w:rPr>
                        <w:rFonts w:ascii="Cambria Math" w:hAnsi="Cambria Math"/>
                        <w:sz w:val="22"/>
                      </w:rPr>
                      <m:t>A</m:t>
                    </m:r>
                  </m:e>
                  <m:sub>
                    <m:r>
                      <m:rPr>
                        <m:sty m:val="b"/>
                      </m:rPr>
                      <w:rPr>
                        <w:rFonts w:ascii="Cambria Math" w:hAnsi="Cambria Math"/>
                        <w:sz w:val="22"/>
                      </w:rPr>
                      <m:t>com</m:t>
                    </m:r>
                    <m:r>
                      <m:rPr>
                        <m:sty m:val="b"/>
                      </m:rPr>
                      <w:rPr>
                        <w:rFonts w:ascii="Cambria Math"/>
                        <w:sz w:val="22"/>
                      </w:rPr>
                      <m:t>,</m:t>
                    </m:r>
                    <m:r>
                      <m:rPr>
                        <m:sty m:val="b"/>
                      </m:rPr>
                      <w:rPr>
                        <w:rFonts w:ascii="Cambria Math" w:hAnsi="Cambria Math"/>
                        <w:sz w:val="22"/>
                      </w:rPr>
                      <m:t>ice</m:t>
                    </m:r>
                  </m:sub>
                </m:sSub>
                <m:r>
                  <m:rPr>
                    <m:sty m:val="b"/>
                  </m:rPr>
                  <w:rPr>
                    <w:rFonts w:ascii="Cambria Math"/>
                    <w:sz w:val="22"/>
                  </w:rPr>
                  <m:t xml:space="preserve"> = </m:t>
                </m:r>
                <m:r>
                  <m:rPr>
                    <m:sty m:val="bi"/>
                  </m:rPr>
                  <w:rPr>
                    <w:rFonts w:ascii="Cambria Math"/>
                    <w:sz w:val="22"/>
                  </w:rPr>
                  <m:t xml:space="preserve"> </m:t>
                </m:r>
                <m:d>
                  <m:dPr>
                    <m:ctrlPr>
                      <w:rPr>
                        <w:rFonts w:ascii="Cambria Math" w:hAnsi="Cambria Math"/>
                        <w:b/>
                        <w:sz w:val="22"/>
                      </w:rPr>
                    </m:ctrlPr>
                  </m:dPr>
                  <m:e>
                    <m:nary>
                      <m:naryPr>
                        <m:chr m:val="∑"/>
                        <m:limLoc m:val="undOvr"/>
                        <m:ctrlPr>
                          <w:rPr>
                            <w:rFonts w:ascii="Cambria Math" w:hAnsi="Cambria Math"/>
                            <w:b/>
                            <w:i/>
                            <w:sz w:val="22"/>
                          </w:rPr>
                        </m:ctrlPr>
                      </m:naryPr>
                      <m:sub>
                        <m:r>
                          <m:rPr>
                            <m:sty m:val="b"/>
                          </m:rPr>
                          <w:rPr>
                            <w:rFonts w:ascii="Cambria Math" w:hAnsi="Cambria Math"/>
                            <w:sz w:val="22"/>
                          </w:rPr>
                          <m:t>h</m:t>
                        </m:r>
                        <m:r>
                          <m:rPr>
                            <m:sty m:val="bi"/>
                          </m:rPr>
                          <w:rPr>
                            <w:rFonts w:ascii="Cambria Math" w:hAnsi="Cambria Math"/>
                            <w:sz w:val="22"/>
                          </w:rPr>
                          <m:t>=1</m:t>
                        </m:r>
                      </m:sub>
                      <m:sup>
                        <m:r>
                          <m:rPr>
                            <m:sty m:val="b"/>
                          </m:rPr>
                          <w:rPr>
                            <w:rFonts w:ascii="Cambria Math" w:hAnsi="Cambria Math"/>
                            <w:sz w:val="22"/>
                          </w:rPr>
                          <m:t>n</m:t>
                        </m:r>
                      </m:sup>
                      <m:e>
                        <m:sSub>
                          <m:sSubPr>
                            <m:ctrlPr>
                              <w:rPr>
                                <w:rFonts w:ascii="Cambria Math" w:hAnsi="Cambria Math"/>
                                <w:b/>
                                <w:sz w:val="22"/>
                              </w:rPr>
                            </m:ctrlPr>
                          </m:sSubPr>
                          <m:e>
                            <m:r>
                              <m:rPr>
                                <m:sty m:val="b"/>
                              </m:rPr>
                              <w:rPr>
                                <w:rFonts w:ascii="Cambria Math" w:hAnsi="Cambria Math"/>
                                <w:sz w:val="22"/>
                              </w:rPr>
                              <m:t>QE</m:t>
                            </m:r>
                          </m:e>
                          <m:sub>
                            <m:r>
                              <m:rPr>
                                <m:sty m:val="b"/>
                              </m:rPr>
                              <w:rPr>
                                <w:rFonts w:ascii="Cambria Math" w:hAnsi="Cambria Math"/>
                                <w:sz w:val="22"/>
                              </w:rPr>
                              <m:t>h</m:t>
                            </m:r>
                          </m:sub>
                        </m:sSub>
                        <m:r>
                          <m:rPr>
                            <m:sty m:val="b"/>
                          </m:rPr>
                          <w:rPr>
                            <w:rFonts w:ascii="Cambria Math"/>
                            <w:sz w:val="22"/>
                          </w:rPr>
                          <m:t xml:space="preserve"> </m:t>
                        </m:r>
                        <m:r>
                          <m:rPr>
                            <m:sty m:val="bi"/>
                          </m:rPr>
                          <w:rPr>
                            <w:rFonts w:ascii="Cambria Math"/>
                            <w:sz w:val="22"/>
                          </w:rPr>
                          <m:t>×</m:t>
                        </m:r>
                        <m:sSub>
                          <m:sSubPr>
                            <m:ctrlPr>
                              <w:rPr>
                                <w:rFonts w:ascii="Cambria Math" w:hAnsi="Cambria Math"/>
                                <w:b/>
                                <w:sz w:val="22"/>
                              </w:rPr>
                            </m:ctrlPr>
                          </m:sSubPr>
                          <m:e>
                            <m:r>
                              <m:rPr>
                                <m:sty m:val="b"/>
                              </m:rPr>
                              <w:rPr>
                                <w:rFonts w:ascii="Cambria Math" w:hAnsi="Cambria Math"/>
                                <w:sz w:val="22"/>
                              </w:rPr>
                              <m:t>DE</m:t>
                            </m:r>
                          </m:e>
                          <m:sub>
                            <m:r>
                              <m:rPr>
                                <m:sty m:val="b"/>
                              </m:rPr>
                              <w:rPr>
                                <w:rFonts w:ascii="Cambria Math" w:hAnsi="Cambria Math"/>
                                <w:sz w:val="22"/>
                              </w:rPr>
                              <m:t>h</m:t>
                            </m:r>
                          </m:sub>
                        </m:sSub>
                      </m:e>
                    </m:nary>
                  </m:e>
                </m:d>
                <m:r>
                  <m:rPr>
                    <m:sty m:val="b"/>
                  </m:rPr>
                  <w:rPr>
                    <w:rFonts w:ascii="Cambria Math"/>
                    <w:sz w:val="22"/>
                  </w:rPr>
                  <m:t>×</m:t>
                </m:r>
                <m:sSub>
                  <m:sSubPr>
                    <m:ctrlPr>
                      <w:rPr>
                        <w:rFonts w:ascii="Cambria Math" w:hAnsi="Cambria Math"/>
                        <w:b/>
                        <w:sz w:val="22"/>
                      </w:rPr>
                    </m:ctrlPr>
                  </m:sSubPr>
                  <m:e>
                    <m:r>
                      <m:rPr>
                        <m:sty m:val="b"/>
                      </m:rPr>
                      <w:rPr>
                        <w:rFonts w:ascii="Cambria Math" w:hAnsi="Cambria Math"/>
                        <w:sz w:val="22"/>
                      </w:rPr>
                      <m:t>CH</m:t>
                    </m:r>
                  </m:e>
                  <m:sub>
                    <m:r>
                      <m:rPr>
                        <m:sty m:val="b"/>
                      </m:rPr>
                      <w:rPr>
                        <w:rFonts w:ascii="Cambria Math" w:hAnsi="Cambria Math"/>
                        <w:sz w:val="22"/>
                      </w:rPr>
                      <m:t>4</m:t>
                    </m:r>
                  </m:sub>
                </m:sSub>
                <m:r>
                  <m:rPr>
                    <m:sty m:val="bi"/>
                  </m:rPr>
                  <w:rPr>
                    <w:rFonts w:ascii="Cambria Math"/>
                    <w:sz w:val="22"/>
                  </w:rPr>
                  <m:t xml:space="preserve"> </m:t>
                </m:r>
                <m:r>
                  <m:rPr>
                    <m:sty m:val="b"/>
                  </m:rPr>
                  <w:rPr>
                    <w:rFonts w:ascii="Cambria Math" w:hAnsi="Cambria Math"/>
                    <w:sz w:val="22"/>
                  </w:rPr>
                  <m:t>conversion</m:t>
                </m:r>
                <m:r>
                  <m:rPr>
                    <m:sty m:val="b"/>
                  </m:rPr>
                  <w:rPr>
                    <w:rFonts w:ascii="Cambria Math"/>
                    <w:sz w:val="22"/>
                  </w:rPr>
                  <m:t xml:space="preserve"> </m:t>
                </m:r>
                <m:r>
                  <m:rPr>
                    <m:sty m:val="b"/>
                  </m:rPr>
                  <w:rPr>
                    <w:rFonts w:ascii="Cambria Math" w:hAnsi="Cambria Math"/>
                    <w:sz w:val="22"/>
                  </w:rPr>
                  <m:t>factor</m:t>
                </m:r>
                <m:r>
                  <m:rPr>
                    <m:sty m:val="bi"/>
                  </m:rPr>
                  <w:rPr>
                    <w:rFonts w:ascii="Cambria Math"/>
                    <w:sz w:val="22"/>
                  </w:rPr>
                  <m:t>×</m:t>
                </m:r>
                <m:sSub>
                  <m:sSubPr>
                    <m:ctrlPr>
                      <w:rPr>
                        <w:rFonts w:ascii="Cambria Math" w:hAnsi="Cambria Math"/>
                        <w:b/>
                        <w:sz w:val="22"/>
                      </w:rPr>
                    </m:ctrlPr>
                  </m:sSubPr>
                  <m:e>
                    <m:r>
                      <m:rPr>
                        <m:sty m:val="b"/>
                      </m:rPr>
                      <w:rPr>
                        <w:rFonts w:ascii="Cambria Math" w:hAnsi="Cambria Math"/>
                        <w:sz w:val="22"/>
                      </w:rPr>
                      <m:t>GWP</m:t>
                    </m:r>
                  </m:e>
                  <m:sub>
                    <m:sSub>
                      <m:sSubPr>
                        <m:ctrlPr>
                          <w:rPr>
                            <w:rFonts w:ascii="Cambria Math" w:hAnsi="Cambria Math"/>
                            <w:b/>
                            <w:sz w:val="22"/>
                          </w:rPr>
                        </m:ctrlPr>
                      </m:sSubPr>
                      <m:e>
                        <m:r>
                          <m:rPr>
                            <m:sty m:val="b"/>
                          </m:rPr>
                          <w:rPr>
                            <w:rFonts w:ascii="Cambria Math" w:hAnsi="Cambria Math"/>
                            <w:sz w:val="22"/>
                          </w:rPr>
                          <m:t>CH</m:t>
                        </m:r>
                      </m:e>
                      <m:sub>
                        <m:r>
                          <m:rPr>
                            <m:sty m:val="b"/>
                          </m:rPr>
                          <w:rPr>
                            <w:rFonts w:ascii="Cambria Math" w:hAnsi="Cambria Math"/>
                            <w:sz w:val="22"/>
                          </w:rPr>
                          <m:t>4</m:t>
                        </m:r>
                      </m:sub>
                    </m:sSub>
                  </m:sub>
                </m:sSub>
              </m:oMath>
            </m:oMathPara>
          </w:p>
        </w:tc>
        <w:tc>
          <w:tcPr>
            <w:tcW w:w="1275" w:type="dxa"/>
            <w:vAlign w:val="center"/>
          </w:tcPr>
          <w:p w:rsidR="00360B09" w:rsidRPr="00CD3A21" w:rsidRDefault="00360B09" w:rsidP="00DB5C01">
            <w:pPr>
              <w:spacing w:before="120" w:after="120"/>
              <w:jc w:val="center"/>
              <w:rPr>
                <w:b/>
              </w:rPr>
            </w:pPr>
            <w:r w:rsidRPr="00CD3A21">
              <w:rPr>
                <w:b/>
              </w:rPr>
              <w:t>Equation 3.2</w:t>
            </w:r>
          </w:p>
        </w:tc>
      </w:tr>
    </w:tbl>
    <w:p w:rsidR="00360B09" w:rsidRPr="00CD3A21" w:rsidRDefault="00FC442E" w:rsidP="00FC442E">
      <w:pPr>
        <w:pStyle w:val="Rc"/>
        <w:spacing w:before="120" w:after="120" w:line="240" w:lineRule="auto"/>
      </w:pPr>
      <w:r w:rsidRPr="00CD3A21">
        <w:t>W</w:t>
      </w:r>
      <w:r w:rsidR="00360B09" w:rsidRPr="00CD3A21">
        <w:t>here:</w:t>
      </w:r>
    </w:p>
    <w:p w:rsidR="00360B09" w:rsidRPr="00CD3A21" w:rsidRDefault="004D69D5" w:rsidP="00F70A4E">
      <w:pPr>
        <w:pStyle w:val="definition"/>
        <w:spacing w:before="120" w:after="120" w:line="240" w:lineRule="auto"/>
        <w:ind w:left="3402" w:hanging="2409"/>
      </w:pPr>
      <m:oMath>
        <m:sSub>
          <m:sSubPr>
            <m:ctrlPr>
              <w:rPr>
                <w:rFonts w:ascii="Cambria Math" w:hAnsi="Cambria Math"/>
                <w:b/>
              </w:rPr>
            </m:ctrlPr>
          </m:sSubPr>
          <m:e>
            <m:r>
              <m:rPr>
                <m:sty m:val="b"/>
              </m:rPr>
              <w:rPr>
                <w:rFonts w:ascii="Cambria Math"/>
              </w:rPr>
              <m:t>A</m:t>
            </m:r>
          </m:e>
          <m:sub>
            <m:r>
              <m:rPr>
                <m:sty m:val="b"/>
              </m:rPr>
              <w:rPr>
                <w:rFonts w:ascii="Cambria Math" w:hAnsi="Cambria Math"/>
              </w:rPr>
              <m:t>com</m:t>
            </m:r>
            <m:r>
              <m:rPr>
                <m:sty m:val="b"/>
              </m:rPr>
              <w:rPr>
                <w:rFonts w:ascii="Cambria Math"/>
              </w:rPr>
              <m:t>,</m:t>
            </m:r>
            <m:r>
              <m:rPr>
                <m:sty m:val="b"/>
              </m:rPr>
              <w:rPr>
                <w:rFonts w:ascii="Cambria Math" w:hAnsi="Cambria Math"/>
              </w:rPr>
              <m:t>ice</m:t>
            </m:r>
          </m:sub>
        </m:sSub>
      </m:oMath>
      <w:r w:rsidR="00360B09" w:rsidRPr="00CD3A21">
        <w:t xml:space="preserve"> =</w:t>
      </w:r>
      <w:r w:rsidR="00360B09" w:rsidRPr="00CD3A21">
        <w:tab/>
        <w:t xml:space="preserve">amount of methane destroyed as a consequence of </w:t>
      </w:r>
      <w:r w:rsidR="00F93B24" w:rsidRPr="00CD3A21">
        <w:t xml:space="preserve">one or more </w:t>
      </w:r>
      <w:r w:rsidR="00360B09" w:rsidRPr="00CD3A21">
        <w:t>internal combustion engine</w:t>
      </w:r>
      <w:r w:rsidR="00F93B24" w:rsidRPr="00CD3A21">
        <w:t>s</w:t>
      </w:r>
      <w:r w:rsidR="00360B09" w:rsidRPr="00CD3A21">
        <w:t xml:space="preserve">, in tonnes </w:t>
      </w:r>
      <w:r w:rsidR="003A2043" w:rsidRPr="00CD3A21">
        <w:t xml:space="preserve">of </w:t>
      </w:r>
      <w:r w:rsidR="00360B09" w:rsidRPr="00CD3A21">
        <w:t>CO</w:t>
      </w:r>
      <w:r w:rsidR="00360B09" w:rsidRPr="00CD3A21">
        <w:rPr>
          <w:vertAlign w:val="subscript"/>
        </w:rPr>
        <w:t>2</w:t>
      </w:r>
      <w:r w:rsidR="00360B09" w:rsidRPr="00CD3A21">
        <w:noBreakHyphen/>
        <w:t>e.</w:t>
      </w:r>
    </w:p>
    <w:p w:rsidR="00360B09" w:rsidRPr="00CD3A21" w:rsidRDefault="004D69D5" w:rsidP="00F70A4E">
      <w:pPr>
        <w:pStyle w:val="definition"/>
        <w:spacing w:before="120" w:after="120" w:line="240" w:lineRule="auto"/>
        <w:ind w:left="3402" w:hanging="2409"/>
      </w:pPr>
      <m:oMath>
        <m:sSub>
          <m:sSubPr>
            <m:ctrlPr>
              <w:rPr>
                <w:rFonts w:ascii="Cambria Math" w:hAnsi="Cambria Math"/>
                <w:b/>
              </w:rPr>
            </m:ctrlPr>
          </m:sSubPr>
          <m:e>
            <m:r>
              <m:rPr>
                <m:sty m:val="b"/>
              </m:rPr>
              <w:rPr>
                <w:rFonts w:ascii="Cambria Math" w:hAnsi="Cambria Math"/>
              </w:rPr>
              <m:t>QE</m:t>
            </m:r>
          </m:e>
          <m:sub>
            <m:r>
              <m:rPr>
                <m:sty m:val="b"/>
              </m:rPr>
              <w:rPr>
                <w:rFonts w:ascii="Cambria Math" w:hAnsi="Cambria Math"/>
              </w:rPr>
              <m:t>h</m:t>
            </m:r>
          </m:sub>
        </m:sSub>
      </m:oMath>
      <w:r w:rsidR="00360B09" w:rsidRPr="00CD3A21">
        <w:t xml:space="preserve"> = </w:t>
      </w:r>
      <w:r w:rsidR="00360B09" w:rsidRPr="00CD3A21">
        <w:tab/>
        <w:t>energy content of the methane sent to the internal combustion engine,</w:t>
      </w:r>
      <w:r w:rsidR="005F532C" w:rsidRPr="00CD3A21">
        <w:t xml:space="preserve"> h,</w:t>
      </w:r>
      <w:r w:rsidR="00360B09" w:rsidRPr="00CD3A21">
        <w:t xml:space="preserve"> in gigajoules (GJ) calculated in accordance with Equation 3.3.</w:t>
      </w:r>
    </w:p>
    <w:p w:rsidR="00360B09" w:rsidRPr="00CD3A21" w:rsidRDefault="004D69D5" w:rsidP="00F70A4E">
      <w:pPr>
        <w:pStyle w:val="definition"/>
        <w:spacing w:before="120" w:after="120" w:line="240" w:lineRule="auto"/>
        <w:ind w:left="3402" w:hanging="2409"/>
        <w:rPr>
          <w:b/>
        </w:rPr>
      </w:pPr>
      <m:oMath>
        <m:sSub>
          <m:sSubPr>
            <m:ctrlPr>
              <w:rPr>
                <w:rFonts w:ascii="Cambria Math" w:hAnsi="Cambria Math"/>
                <w:b/>
              </w:rPr>
            </m:ctrlPr>
          </m:sSubPr>
          <m:e>
            <m:r>
              <m:rPr>
                <m:sty m:val="b"/>
              </m:rPr>
              <w:rPr>
                <w:rFonts w:ascii="Cambria Math" w:hAnsi="Cambria Math"/>
              </w:rPr>
              <m:t>DE</m:t>
            </m:r>
          </m:e>
          <m:sub>
            <m:r>
              <m:rPr>
                <m:sty m:val="b"/>
              </m:rPr>
              <w:rPr>
                <w:rFonts w:ascii="Cambria Math" w:hAnsi="Cambria Math"/>
              </w:rPr>
              <m:t>h</m:t>
            </m:r>
          </m:sub>
        </m:sSub>
      </m:oMath>
      <w:r w:rsidR="00360B09" w:rsidRPr="00CD3A21">
        <w:rPr>
          <w:b/>
        </w:rPr>
        <w:t xml:space="preserve"> </w:t>
      </w:r>
      <w:r w:rsidR="00360B09" w:rsidRPr="00CD3A21">
        <w:t xml:space="preserve">= </w:t>
      </w:r>
      <w:r w:rsidR="00360B09" w:rsidRPr="00CD3A21">
        <w:tab/>
        <w:t xml:space="preserve">methane destruction efficiency for the internal combustion engine generator, expressed as a fraction. For </w:t>
      </w:r>
      <w:r w:rsidR="00360B09" w:rsidRPr="00CD3A21">
        <w:lastRenderedPageBreak/>
        <w:t>an internal combustion engine h, the default value is 0.98</w:t>
      </w:r>
      <w:r w:rsidR="003A2043" w:rsidRPr="00CD3A21">
        <w:t>,</w:t>
      </w:r>
      <w:r w:rsidR="00360B09" w:rsidRPr="00CD3A21">
        <w:t xml:space="preserve"> or the destruction efficiency of the device can be determined in accordance with section </w:t>
      </w:r>
      <w:r w:rsidR="00273574" w:rsidRPr="00CD3A21">
        <w:t>4.17</w:t>
      </w:r>
      <w:r w:rsidR="00360B09" w:rsidRPr="00CD3A21">
        <w:t>.</w:t>
      </w:r>
    </w:p>
    <w:p w:rsidR="00360B09" w:rsidRPr="00CD3A21" w:rsidRDefault="00360B09" w:rsidP="00F70A4E">
      <w:pPr>
        <w:pStyle w:val="definition"/>
        <w:spacing w:before="120" w:after="120" w:line="240" w:lineRule="auto"/>
        <w:ind w:left="3402" w:hanging="2409"/>
      </w:pPr>
      <w:r w:rsidRPr="00CD3A21">
        <w:rPr>
          <w:b/>
        </w:rPr>
        <w:t>CH</w:t>
      </w:r>
      <w:r w:rsidRPr="00CD3A21">
        <w:rPr>
          <w:b/>
          <w:vertAlign w:val="subscript"/>
        </w:rPr>
        <w:t>4</w:t>
      </w:r>
      <w:r w:rsidR="00FC442E" w:rsidRPr="00CD3A21">
        <w:t xml:space="preserve"> </w:t>
      </w:r>
      <w:r w:rsidR="00FC442E" w:rsidRPr="00CD3A21">
        <w:rPr>
          <w:b/>
        </w:rPr>
        <w:t>conversion factor</w:t>
      </w:r>
      <w:r w:rsidR="00FC442E" w:rsidRPr="00CD3A21">
        <w:t xml:space="preserve"> = </w:t>
      </w:r>
      <w:r w:rsidRPr="00CD3A21">
        <w:t>methane conversion factor of 0.018, to convert gigajoules to tonnes of methane.</w:t>
      </w:r>
    </w:p>
    <w:p w:rsidR="00360B09" w:rsidRPr="00CD3A21" w:rsidRDefault="004D69D5" w:rsidP="00F70A4E">
      <w:pPr>
        <w:pStyle w:val="definition"/>
        <w:spacing w:after="120" w:line="240" w:lineRule="auto"/>
        <w:ind w:left="3402" w:hanging="2409"/>
      </w:pPr>
      <m:oMath>
        <m:sSub>
          <m:sSubPr>
            <m:ctrlPr>
              <w:rPr>
                <w:rFonts w:ascii="Cambria Math" w:hAnsi="Cambria Math"/>
                <w:b/>
              </w:rPr>
            </m:ctrlPr>
          </m:sSubPr>
          <m:e>
            <m:r>
              <m:rPr>
                <m:sty m:val="b"/>
              </m:rPr>
              <w:rPr>
                <w:rFonts w:ascii="Cambria Math" w:hAnsi="Cambria Math"/>
              </w:rPr>
              <m:t>GWP</m:t>
            </m:r>
          </m:e>
          <m:sub>
            <m:sSub>
              <m:sSubPr>
                <m:ctrlPr>
                  <w:rPr>
                    <w:rFonts w:ascii="Cambria Math" w:hAnsi="Cambria Math"/>
                    <w:b/>
                  </w:rPr>
                </m:ctrlPr>
              </m:sSubPr>
              <m:e>
                <m:r>
                  <m:rPr>
                    <m:sty m:val="b"/>
                  </m:rPr>
                  <w:rPr>
                    <w:rFonts w:ascii="Cambria Math" w:hAnsi="Cambria Math"/>
                  </w:rPr>
                  <m:t>CH</m:t>
                </m:r>
              </m:e>
              <m:sub>
                <m:r>
                  <m:rPr>
                    <m:sty m:val="b"/>
                  </m:rPr>
                  <w:rPr>
                    <w:rFonts w:ascii="Cambria Math" w:hAnsi="Cambria Math"/>
                  </w:rPr>
                  <m:t>4</m:t>
                </m:r>
              </m:sub>
            </m:sSub>
          </m:sub>
        </m:sSub>
      </m:oMath>
      <w:r w:rsidR="00360B09" w:rsidRPr="00CD3A21">
        <w:rPr>
          <w:b/>
        </w:rPr>
        <w:t xml:space="preserve"> </w:t>
      </w:r>
      <w:r w:rsidR="00360B09" w:rsidRPr="00CD3A21">
        <w:t>=</w:t>
      </w:r>
      <w:r w:rsidR="00360B09" w:rsidRPr="00CD3A21">
        <w:rPr>
          <w:b/>
        </w:rPr>
        <w:tab/>
      </w:r>
      <w:r w:rsidR="00A456D9" w:rsidRPr="00CD3A21">
        <w:t>means the global warming potential of methane, as prescribed in the NGER Regulations</w:t>
      </w:r>
      <w:r w:rsidR="00FC442E" w:rsidRPr="00CD3A21">
        <w:rPr>
          <w:i/>
        </w:rPr>
        <w:t>.</w:t>
      </w:r>
    </w:p>
    <w:p w:rsidR="00360B09" w:rsidRPr="00CD3A21" w:rsidRDefault="00840683" w:rsidP="00A61952">
      <w:pPr>
        <w:pStyle w:val="tMain"/>
        <w:keepNext/>
      </w:pPr>
      <w:r w:rsidRPr="00CD3A21">
        <w:tab/>
      </w:r>
      <w:r w:rsidR="00273574" w:rsidRPr="00CD3A21">
        <w:t>(4)</w:t>
      </w:r>
      <w:r w:rsidRPr="00CD3A21">
        <w:tab/>
      </w:r>
      <w:r w:rsidR="00360B09" w:rsidRPr="00CD3A21">
        <w:t>QE is to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2112"/>
      </w:tblGrid>
      <w:tr w:rsidR="00360B09" w:rsidRPr="00CD3A21" w:rsidTr="002D2FDA">
        <w:tc>
          <w:tcPr>
            <w:tcW w:w="5117" w:type="dxa"/>
          </w:tcPr>
          <w:p w:rsidR="00360B09" w:rsidRPr="00CD3A21" w:rsidRDefault="00360B09" w:rsidP="00A61952">
            <w:pPr>
              <w:keepNext/>
              <w:spacing w:before="120" w:after="120"/>
              <w:jc w:val="center"/>
            </w:pPr>
            <m:oMathPara>
              <m:oMath>
                <m:r>
                  <m:rPr>
                    <m:sty m:val="b"/>
                  </m:rPr>
                  <w:rPr>
                    <w:rFonts w:ascii="Cambria Math"/>
                  </w:rPr>
                  <m:t xml:space="preserve">QE= </m:t>
                </m:r>
                <m:f>
                  <m:fPr>
                    <m:ctrlPr>
                      <w:rPr>
                        <w:rFonts w:ascii="Cambria Math" w:hAnsi="Cambria Math"/>
                        <w:b/>
                      </w:rPr>
                    </m:ctrlPr>
                  </m:fPr>
                  <m:num>
                    <m:r>
                      <m:rPr>
                        <m:sty m:val="b"/>
                      </m:rPr>
                      <w:rPr>
                        <w:rFonts w:ascii="Cambria Math"/>
                      </w:rPr>
                      <m:t xml:space="preserve"> </m:t>
                    </m:r>
                    <m:sSub>
                      <m:sSubPr>
                        <m:ctrlPr>
                          <w:rPr>
                            <w:rFonts w:ascii="Cambria Math" w:hAnsi="Cambria Math"/>
                            <w:b/>
                          </w:rPr>
                        </m:ctrlPr>
                      </m:sSubPr>
                      <m:e>
                        <m:r>
                          <m:rPr>
                            <m:sty m:val="b"/>
                          </m:rPr>
                          <w:rPr>
                            <w:rFonts w:ascii="Cambria Math"/>
                          </w:rPr>
                          <m:t>Ep</m:t>
                        </m:r>
                      </m:e>
                      <m:sub>
                        <m:r>
                          <m:rPr>
                            <m:sty m:val="b"/>
                          </m:rPr>
                          <w:rPr>
                            <w:rFonts w:ascii="Cambria Math"/>
                          </w:rPr>
                          <m:t>h</m:t>
                        </m:r>
                      </m:sub>
                    </m:sSub>
                    <m:r>
                      <m:rPr>
                        <m:sty m:val="b"/>
                      </m:rPr>
                      <w:rPr>
                        <w:rFonts w:ascii="Cambria Math"/>
                      </w:rPr>
                      <m:t xml:space="preserve"> </m:t>
                    </m:r>
                    <m:r>
                      <m:rPr>
                        <m:sty m:val="b"/>
                      </m:rPr>
                      <w:rPr>
                        <w:rFonts w:ascii="Cambria Math"/>
                      </w:rPr>
                      <m:t>×</m:t>
                    </m:r>
                    <m:sSub>
                      <m:sSubPr>
                        <m:ctrlPr>
                          <w:rPr>
                            <w:rFonts w:ascii="Cambria Math" w:hAnsi="Cambria Math"/>
                            <w:b/>
                          </w:rPr>
                        </m:ctrlPr>
                      </m:sSubPr>
                      <m:e>
                        <m:r>
                          <m:rPr>
                            <m:sty m:val="b"/>
                          </m:rPr>
                          <w:rPr>
                            <w:rFonts w:ascii="Cambria Math"/>
                          </w:rPr>
                          <m:t>E</m:t>
                        </m:r>
                      </m:e>
                      <m:sub>
                        <m:r>
                          <m:rPr>
                            <m:sty m:val="b"/>
                          </m:rPr>
                          <w:rPr>
                            <w:rFonts w:ascii="Cambria Math"/>
                          </w:rPr>
                          <m:t>GJ</m:t>
                        </m:r>
                      </m:sub>
                    </m:sSub>
                    <m:r>
                      <m:rPr>
                        <m:sty m:val="b"/>
                      </m:rPr>
                      <w:rPr>
                        <w:rFonts w:ascii="Cambria Math"/>
                      </w:rPr>
                      <m:t xml:space="preserve"> </m:t>
                    </m:r>
                  </m:num>
                  <m:den>
                    <m:r>
                      <m:rPr>
                        <m:sty m:val="b"/>
                      </m:rPr>
                      <w:rPr>
                        <w:rFonts w:ascii="Cambria Math"/>
                      </w:rPr>
                      <m:t xml:space="preserve"> Eff</m:t>
                    </m:r>
                  </m:den>
                </m:f>
              </m:oMath>
            </m:oMathPara>
          </w:p>
        </w:tc>
        <w:tc>
          <w:tcPr>
            <w:tcW w:w="2112" w:type="dxa"/>
            <w:vAlign w:val="center"/>
          </w:tcPr>
          <w:p w:rsidR="00360B09" w:rsidRPr="00CD3A21" w:rsidRDefault="00360B09" w:rsidP="00A61952">
            <w:pPr>
              <w:keepNext/>
              <w:spacing w:before="120" w:after="120"/>
              <w:jc w:val="center"/>
              <w:rPr>
                <w:b/>
              </w:rPr>
            </w:pPr>
            <w:r w:rsidRPr="00CD3A21">
              <w:rPr>
                <w:b/>
              </w:rPr>
              <w:t>Equation 3.3</w:t>
            </w:r>
          </w:p>
        </w:tc>
      </w:tr>
    </w:tbl>
    <w:p w:rsidR="00360B09" w:rsidRPr="00CD3A21" w:rsidRDefault="008E5FAD" w:rsidP="000E2783">
      <w:pPr>
        <w:pStyle w:val="Rc"/>
        <w:spacing w:before="120" w:after="120" w:line="240" w:lineRule="auto"/>
      </w:pPr>
      <w:r w:rsidRPr="00CD3A21">
        <w:t>W</w:t>
      </w:r>
      <w:r w:rsidR="00360B09" w:rsidRPr="00CD3A21">
        <w:t>here:</w:t>
      </w:r>
    </w:p>
    <w:p w:rsidR="00360B09" w:rsidRPr="00CD3A21" w:rsidRDefault="00360B09" w:rsidP="000E2783">
      <w:pPr>
        <w:pStyle w:val="definition"/>
        <w:spacing w:before="120" w:after="120" w:line="240" w:lineRule="auto"/>
        <w:ind w:left="1843" w:hanging="879"/>
      </w:pPr>
      <w:r w:rsidRPr="00CD3A21">
        <w:rPr>
          <w:b/>
        </w:rPr>
        <w:t>QE</w:t>
      </w:r>
      <w:r w:rsidRPr="00CD3A21">
        <w:t xml:space="preserve"> = </w:t>
      </w:r>
      <w:r w:rsidRPr="00CD3A21">
        <w:tab/>
        <w:t>energy content of the methane sent to the internal combustion engine, in gigajoules</w:t>
      </w:r>
      <w:r w:rsidRPr="00CD3A21" w:rsidDel="000A4C6B">
        <w:t xml:space="preserve"> </w:t>
      </w:r>
      <w:r w:rsidRPr="00CD3A21">
        <w:t>(GJ).</w:t>
      </w:r>
    </w:p>
    <w:p w:rsidR="00360B09" w:rsidRPr="00CD3A21" w:rsidRDefault="004D69D5" w:rsidP="000E2783">
      <w:pPr>
        <w:pStyle w:val="definition"/>
        <w:spacing w:before="120" w:after="120" w:line="240" w:lineRule="auto"/>
        <w:ind w:left="1843" w:hanging="879"/>
      </w:pPr>
      <m:oMath>
        <m:sSub>
          <m:sSubPr>
            <m:ctrlPr>
              <w:rPr>
                <w:rFonts w:ascii="Cambria Math" w:hAnsi="Cambria Math"/>
                <w:b/>
              </w:rPr>
            </m:ctrlPr>
          </m:sSubPr>
          <m:e>
            <m:r>
              <m:rPr>
                <m:sty m:val="b"/>
              </m:rPr>
              <w:rPr>
                <w:rFonts w:ascii="Cambria Math"/>
              </w:rPr>
              <m:t>Ep</m:t>
            </m:r>
          </m:e>
          <m:sub>
            <m:r>
              <m:rPr>
                <m:sty m:val="b"/>
              </m:rPr>
              <w:rPr>
                <w:rFonts w:ascii="Cambria Math"/>
              </w:rPr>
              <m:t>h</m:t>
            </m:r>
          </m:sub>
        </m:sSub>
      </m:oMath>
      <w:r w:rsidR="00360B09" w:rsidRPr="00CD3A21">
        <w:t xml:space="preserve">= </w:t>
      </w:r>
      <w:r w:rsidR="00360B09" w:rsidRPr="00CD3A21">
        <w:tab/>
        <w:t>amount of electricity (supplied to the grid or used on-site) produced by the internal combustion engine, as a result of combustion</w:t>
      </w:r>
      <w:r w:rsidR="00360B09" w:rsidRPr="00CD3A21" w:rsidDel="00037E5E">
        <w:t xml:space="preserve"> </w:t>
      </w:r>
      <w:r w:rsidR="00360B09" w:rsidRPr="00CD3A21">
        <w:t>of methane, in megawatt hours (</w:t>
      </w:r>
      <w:proofErr w:type="spellStart"/>
      <w:r w:rsidR="00360B09" w:rsidRPr="00CD3A21">
        <w:t>MWh</w:t>
      </w:r>
      <w:proofErr w:type="spellEnd"/>
      <w:r w:rsidR="00360B09" w:rsidRPr="00CD3A21">
        <w:t>).</w:t>
      </w:r>
    </w:p>
    <w:p w:rsidR="00360B09" w:rsidRPr="00CD3A21" w:rsidRDefault="004D69D5" w:rsidP="000E2783">
      <w:pPr>
        <w:pStyle w:val="definition"/>
        <w:spacing w:before="120" w:after="120" w:line="240" w:lineRule="auto"/>
        <w:ind w:left="1843" w:hanging="879"/>
      </w:pPr>
      <m:oMath>
        <m:sSub>
          <m:sSubPr>
            <m:ctrlPr>
              <w:rPr>
                <w:rFonts w:ascii="Cambria Math" w:hAnsi="Cambria Math"/>
                <w:b/>
              </w:rPr>
            </m:ctrlPr>
          </m:sSubPr>
          <m:e>
            <m:r>
              <m:rPr>
                <m:sty m:val="b"/>
              </m:rPr>
              <w:rPr>
                <w:rFonts w:ascii="Cambria Math"/>
              </w:rPr>
              <m:t>E</m:t>
            </m:r>
          </m:e>
          <m:sub>
            <m:r>
              <m:rPr>
                <m:sty m:val="b"/>
              </m:rPr>
              <w:rPr>
                <w:rFonts w:ascii="Cambria Math"/>
              </w:rPr>
              <m:t>GJ</m:t>
            </m:r>
          </m:sub>
        </m:sSub>
      </m:oMath>
      <w:r w:rsidR="00360B09" w:rsidRPr="00CD3A21">
        <w:t xml:space="preserve"> = </w:t>
      </w:r>
      <w:r w:rsidR="00360B09" w:rsidRPr="00CD3A21">
        <w:tab/>
      </w:r>
      <w:r w:rsidR="008E5FAD" w:rsidRPr="00CD3A21">
        <w:t>e</w:t>
      </w:r>
      <w:r w:rsidR="00360B09" w:rsidRPr="00CD3A21">
        <w:t>nergy in GJ per megawatt hours (</w:t>
      </w:r>
      <w:proofErr w:type="spellStart"/>
      <w:r w:rsidR="00360B09" w:rsidRPr="00CD3A21">
        <w:t>MWh</w:t>
      </w:r>
      <w:proofErr w:type="spellEnd"/>
      <w:r w:rsidR="00360B09" w:rsidRPr="00CD3A21">
        <w:t>) = 3.6.</w:t>
      </w:r>
    </w:p>
    <w:p w:rsidR="000F5A92" w:rsidRPr="00CD3A21" w:rsidRDefault="00360B09" w:rsidP="000E2783">
      <w:pPr>
        <w:pStyle w:val="definition"/>
        <w:spacing w:before="120" w:after="120" w:line="240" w:lineRule="auto"/>
        <w:ind w:left="1843" w:hanging="879"/>
      </w:pPr>
      <w:r w:rsidRPr="00CD3A21">
        <w:rPr>
          <w:b/>
        </w:rPr>
        <w:t>Eff</w:t>
      </w:r>
      <w:r w:rsidRPr="00CD3A21">
        <w:rPr>
          <w:i/>
        </w:rPr>
        <w:t xml:space="preserve"> </w:t>
      </w:r>
      <w:r w:rsidRPr="00CD3A21">
        <w:t xml:space="preserve">= </w:t>
      </w:r>
      <w:r w:rsidRPr="00CD3A21">
        <w:tab/>
      </w:r>
      <w:r w:rsidR="008E5FAD" w:rsidRPr="00CD3A21">
        <w:t>e</w:t>
      </w:r>
      <w:r w:rsidRPr="00CD3A21">
        <w:t xml:space="preserve">lectrical </w:t>
      </w:r>
      <w:r w:rsidR="008E5FAD" w:rsidRPr="00CD3A21">
        <w:t>e</w:t>
      </w:r>
      <w:r w:rsidRPr="00CD3A21">
        <w:t xml:space="preserve">fficiency factor (as a fraction) for the internal combustion engine for conversion of energy to electricity as per the manufacturer’s specifications for the equipment. If there is no value specified by the manufacturer, a default value of 36% (0.36 as a fraction) must be used for inclusion in Equation 3.3 </w:t>
      </w:r>
      <w:r w:rsidR="009510AB" w:rsidRPr="00CD3A21">
        <w:t xml:space="preserve">as </w:t>
      </w:r>
      <w:r w:rsidRPr="00CD3A21">
        <w:t xml:space="preserve">outlined in the NGER </w:t>
      </w:r>
      <w:r w:rsidR="008E5FAD" w:rsidRPr="00CD3A21">
        <w:t xml:space="preserve">Measurement </w:t>
      </w:r>
      <w:r w:rsidRPr="00CD3A21">
        <w:t>Determination.</w:t>
      </w:r>
    </w:p>
    <w:p w:rsidR="008E5FAD" w:rsidRPr="00CD3A21" w:rsidRDefault="008E5FAD" w:rsidP="008E5FAD">
      <w:pPr>
        <w:pStyle w:val="h4Subdiv"/>
      </w:pPr>
      <w:bookmarkStart w:id="46" w:name="_Toc357161784"/>
      <w:r w:rsidRPr="00CD3A21">
        <w:t xml:space="preserve">Subdivision </w:t>
      </w:r>
      <w:r w:rsidR="00273574" w:rsidRPr="00CD3A21">
        <w:t>4.2.9</w:t>
      </w:r>
      <w:r w:rsidRPr="00CD3A21">
        <w:tab/>
        <w:t>Calculating emissions from fuel and grid-derived electricity used to operate the gas extraction system in the project (</w:t>
      </w:r>
      <w:proofErr w:type="spellStart"/>
      <w:r w:rsidRPr="00CD3A21">
        <w:t>Y</w:t>
      </w:r>
      <w:r w:rsidRPr="00CD3A21">
        <w:rPr>
          <w:vertAlign w:val="subscript"/>
        </w:rPr>
        <w:t>p</w:t>
      </w:r>
      <w:proofErr w:type="spellEnd"/>
      <w:r w:rsidRPr="00CD3A21">
        <w:t>)</w:t>
      </w:r>
      <w:bookmarkEnd w:id="46"/>
      <w:r w:rsidR="00650E2B" w:rsidRPr="00CD3A21">
        <w:t xml:space="preserve"> </w:t>
      </w:r>
    </w:p>
    <w:p w:rsidR="009323F3" w:rsidRPr="00CD3A21" w:rsidRDefault="000C29DD" w:rsidP="00FF0D22">
      <w:pPr>
        <w:pStyle w:val="h5Section"/>
      </w:pPr>
      <w:bookmarkStart w:id="47" w:name="_Toc357161785"/>
      <w:r w:rsidRPr="00CD3A21">
        <w:t>4.14</w:t>
      </w:r>
      <w:r w:rsidR="00FF0D22" w:rsidRPr="00CD3A21">
        <w:tab/>
      </w:r>
      <w:r w:rsidR="008E5FAD" w:rsidRPr="00CD3A21">
        <w:t>Calculating emissions from electricity and fuel use</w:t>
      </w:r>
      <w:bookmarkEnd w:id="47"/>
      <w:r w:rsidR="00650E2B" w:rsidRPr="00CD3A21">
        <w:t xml:space="preserve"> </w:t>
      </w:r>
    </w:p>
    <w:p w:rsidR="008E5FAD" w:rsidRPr="00CD3A21" w:rsidRDefault="008E5FAD" w:rsidP="008E5FAD">
      <w:pPr>
        <w:pStyle w:val="tMain"/>
      </w:pPr>
      <w:r w:rsidRPr="00CD3A21">
        <w:tab/>
      </w:r>
      <w:r w:rsidR="00273574" w:rsidRPr="00CD3A21">
        <w:t>(1)</w:t>
      </w:r>
      <w:r w:rsidRPr="00CD3A21">
        <w:tab/>
        <w:t>To calculate the total emissions from the use of fuel and electricity for the operation of gas capture and combustion equipment (</w:t>
      </w:r>
      <m:oMath>
        <m:r>
          <m:rPr>
            <m:sty m:val="p"/>
          </m:rPr>
          <w:rPr>
            <w:rFonts w:ascii="Cambria Math"/>
          </w:rPr>
          <m:t>Yp</m:t>
        </m:r>
      </m:oMath>
      <w:r w:rsidRPr="00CD3A21">
        <w:t>) the following formula must be applied:</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126"/>
      </w:tblGrid>
      <w:tr w:rsidR="008E5FAD" w:rsidRPr="00CD3A21" w:rsidTr="002D2FDA">
        <w:tc>
          <w:tcPr>
            <w:tcW w:w="5103" w:type="dxa"/>
          </w:tcPr>
          <w:p w:rsidR="008E5FAD" w:rsidRPr="00CD3A21" w:rsidRDefault="008E5FAD" w:rsidP="00DB5C01">
            <w:pPr>
              <w:spacing w:before="120" w:after="120"/>
              <w:jc w:val="center"/>
            </w:pPr>
            <m:oMathPara>
              <m:oMath>
                <m:r>
                  <m:rPr>
                    <m:sty m:val="b"/>
                  </m:rPr>
                  <w:rPr>
                    <w:rFonts w:ascii="Cambria Math" w:hAnsi="Cambria Math"/>
                  </w:rPr>
                  <m:t>Yp</m:t>
                </m:r>
                <m:r>
                  <m:rPr>
                    <m:sty m:val="b"/>
                  </m:rPr>
                  <w:rPr>
                    <w:rFonts w:ascii="Cambria Math"/>
                  </w:rPr>
                  <m:t xml:space="preserve"> = </m:t>
                </m:r>
                <m:d>
                  <m:dPr>
                    <m:ctrlPr>
                      <w:rPr>
                        <w:rFonts w:ascii="Cambria Math" w:hAnsi="Cambria Math"/>
                        <w:b/>
                        <w:bCs/>
                      </w:rPr>
                    </m:ctrlPr>
                  </m:dPr>
                  <m:e>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f</m:t>
                        </m:r>
                      </m:sub>
                    </m:sSub>
                    <m:r>
                      <m:rPr>
                        <m:sty m:val="b"/>
                      </m:rPr>
                      <w:rPr>
                        <w:rFonts w:ascii="Cambria Math"/>
                      </w:rPr>
                      <m:t xml:space="preserve">+ </m:t>
                    </m:r>
                    <m:sSub>
                      <m:sSubPr>
                        <m:ctrlPr>
                          <w:rPr>
                            <w:rFonts w:ascii="Cambria Math" w:hAnsi="Cambria Math"/>
                            <w:b/>
                            <w:bCs/>
                          </w:rPr>
                        </m:ctrlPr>
                      </m:sSubPr>
                      <m:e>
                        <m:r>
                          <m:rPr>
                            <m:sty m:val="b"/>
                          </m:rPr>
                          <w:rPr>
                            <w:rFonts w:ascii="Cambria Math" w:hAnsi="Cambria Math"/>
                          </w:rPr>
                          <m:t>E</m:t>
                        </m:r>
                      </m:e>
                      <m:sub>
                        <m:r>
                          <m:rPr>
                            <m:sty m:val="b"/>
                          </m:rPr>
                          <w:rPr>
                            <w:rFonts w:ascii="Cambria Math" w:hAnsi="Cambria Math"/>
                          </w:rPr>
                          <m:t>elec</m:t>
                        </m:r>
                      </m:sub>
                    </m:sSub>
                  </m:e>
                </m:d>
              </m:oMath>
            </m:oMathPara>
          </w:p>
        </w:tc>
        <w:tc>
          <w:tcPr>
            <w:tcW w:w="2126" w:type="dxa"/>
            <w:vAlign w:val="center"/>
          </w:tcPr>
          <w:p w:rsidR="008E5FAD" w:rsidRPr="00CD3A21" w:rsidRDefault="008E5FAD" w:rsidP="00DB5C01">
            <w:pPr>
              <w:spacing w:before="120" w:after="120"/>
              <w:jc w:val="center"/>
              <w:rPr>
                <w:b/>
              </w:rPr>
            </w:pPr>
            <w:r w:rsidRPr="00CD3A21">
              <w:rPr>
                <w:b/>
              </w:rPr>
              <w:t>Equation 4.1</w:t>
            </w:r>
          </w:p>
        </w:tc>
      </w:tr>
    </w:tbl>
    <w:p w:rsidR="008E5FAD" w:rsidRPr="00CD3A21" w:rsidRDefault="008E5FAD" w:rsidP="005B1068">
      <w:pPr>
        <w:pStyle w:val="Rc"/>
        <w:keepNext/>
        <w:spacing w:before="120" w:after="120" w:line="240" w:lineRule="auto"/>
        <w:ind w:left="993"/>
      </w:pPr>
      <w:r w:rsidRPr="00CD3A21">
        <w:lastRenderedPageBreak/>
        <w:t>Where:</w:t>
      </w:r>
    </w:p>
    <w:p w:rsidR="008E5FAD" w:rsidRPr="00CD3A21" w:rsidRDefault="008E5FAD" w:rsidP="005B1068">
      <w:pPr>
        <w:pStyle w:val="definition"/>
        <w:keepNext/>
        <w:spacing w:before="0" w:line="240" w:lineRule="auto"/>
        <w:ind w:left="2170" w:hanging="1177"/>
      </w:pPr>
      <w:proofErr w:type="spellStart"/>
      <w:r w:rsidRPr="00CD3A21">
        <w:rPr>
          <w:b/>
        </w:rPr>
        <w:t>Yp</w:t>
      </w:r>
      <w:proofErr w:type="spellEnd"/>
      <w:r w:rsidRPr="00CD3A21">
        <w:rPr>
          <w:b/>
        </w:rPr>
        <w:t xml:space="preserve"> </w:t>
      </w:r>
      <w:r w:rsidRPr="00CD3A21">
        <w:t xml:space="preserve">= </w:t>
      </w:r>
      <w:r w:rsidRPr="00CD3A21">
        <w:tab/>
        <w:t xml:space="preserve">direct and indirect emissions from </w:t>
      </w:r>
      <w:r w:rsidR="00A33352" w:rsidRPr="00CD3A21">
        <w:t xml:space="preserve">fuel and/or electricity used to </w:t>
      </w:r>
      <w:r w:rsidRPr="00CD3A21">
        <w:t>operate gas capture and combustion equipment, measured in tonnes of CO</w:t>
      </w:r>
      <w:r w:rsidRPr="00CD3A21">
        <w:rPr>
          <w:vertAlign w:val="subscript"/>
        </w:rPr>
        <w:t>2</w:t>
      </w:r>
      <w:r w:rsidRPr="00CD3A21">
        <w:noBreakHyphen/>
        <w:t>e.</w:t>
      </w:r>
    </w:p>
    <w:p w:rsidR="008E5FAD" w:rsidRPr="00CD3A21" w:rsidRDefault="008E5FAD" w:rsidP="00A33352">
      <w:pPr>
        <w:pStyle w:val="definition"/>
        <w:spacing w:before="120" w:after="120" w:line="240" w:lineRule="auto"/>
        <w:ind w:left="993"/>
      </w:pPr>
      <w:proofErr w:type="spellStart"/>
      <w:r w:rsidRPr="00CD3A21">
        <w:rPr>
          <w:b/>
        </w:rPr>
        <w:t>E</w:t>
      </w:r>
      <w:r w:rsidRPr="00CD3A21">
        <w:rPr>
          <w:b/>
          <w:vertAlign w:val="subscript"/>
        </w:rPr>
        <w:t>f</w:t>
      </w:r>
      <w:proofErr w:type="spellEnd"/>
      <w:r w:rsidRPr="00CD3A21">
        <w:t xml:space="preserve"> = </w:t>
      </w:r>
      <w:r w:rsidRPr="00CD3A21">
        <w:tab/>
        <w:t>total emissions from fuel use, measured in tonnes of CO</w:t>
      </w:r>
      <w:r w:rsidRPr="00CD3A21">
        <w:rPr>
          <w:vertAlign w:val="subscript"/>
        </w:rPr>
        <w:t>2</w:t>
      </w:r>
      <w:r w:rsidRPr="00CD3A21">
        <w:noBreakHyphen/>
        <w:t>e.</w:t>
      </w:r>
    </w:p>
    <w:p w:rsidR="008E5FAD" w:rsidRPr="00CD3A21" w:rsidRDefault="008E5FAD" w:rsidP="00A33352">
      <w:pPr>
        <w:pStyle w:val="definition"/>
        <w:spacing w:before="0" w:line="240" w:lineRule="auto"/>
        <w:ind w:left="0" w:firstLine="993"/>
      </w:pPr>
      <w:proofErr w:type="spellStart"/>
      <w:r w:rsidRPr="00CD3A21">
        <w:rPr>
          <w:b/>
        </w:rPr>
        <w:t>E</w:t>
      </w:r>
      <w:r w:rsidRPr="00CD3A21">
        <w:rPr>
          <w:b/>
          <w:vertAlign w:val="subscript"/>
        </w:rPr>
        <w:t>elec</w:t>
      </w:r>
      <w:proofErr w:type="spellEnd"/>
      <w:r w:rsidRPr="00CD3A21">
        <w:rPr>
          <w:i/>
        </w:rPr>
        <w:t xml:space="preserve"> </w:t>
      </w:r>
      <w:r w:rsidRPr="00CD3A21">
        <w:t xml:space="preserve">= </w:t>
      </w:r>
      <w:r w:rsidRPr="00CD3A21">
        <w:tab/>
        <w:t xml:space="preserve">total emissions from consumption of purchased electricity, measured in </w:t>
      </w:r>
    </w:p>
    <w:p w:rsidR="008E5FAD" w:rsidRPr="00CD3A21" w:rsidRDefault="008E5FAD" w:rsidP="00A33352">
      <w:pPr>
        <w:pStyle w:val="definition"/>
        <w:tabs>
          <w:tab w:val="left" w:pos="709"/>
        </w:tabs>
        <w:spacing w:before="0" w:line="240" w:lineRule="auto"/>
        <w:ind w:left="1418" w:hanging="709"/>
      </w:pPr>
      <w:r w:rsidRPr="00CD3A21">
        <w:rPr>
          <w:b/>
        </w:rPr>
        <w:tab/>
      </w:r>
      <w:r w:rsidRPr="00CD3A21">
        <w:rPr>
          <w:b/>
        </w:rPr>
        <w:tab/>
      </w:r>
      <w:r w:rsidRPr="00CD3A21">
        <w:rPr>
          <w:b/>
        </w:rPr>
        <w:tab/>
      </w:r>
      <w:proofErr w:type="gramStart"/>
      <w:r w:rsidRPr="00CD3A21">
        <w:t>tonnes</w:t>
      </w:r>
      <w:proofErr w:type="gramEnd"/>
      <w:r w:rsidRPr="00CD3A21">
        <w:t xml:space="preserve"> of CO</w:t>
      </w:r>
      <w:r w:rsidRPr="00CD3A21">
        <w:rPr>
          <w:vertAlign w:val="subscript"/>
        </w:rPr>
        <w:t>2</w:t>
      </w:r>
      <w:r w:rsidRPr="00CD3A21">
        <w:noBreakHyphen/>
        <w:t>e.</w:t>
      </w:r>
    </w:p>
    <w:p w:rsidR="008E5FAD" w:rsidRPr="00CD3A21" w:rsidRDefault="008E5FAD" w:rsidP="008E5FAD">
      <w:pPr>
        <w:pStyle w:val="tMain"/>
      </w:pPr>
      <w:r w:rsidRPr="00CD3A21">
        <w:tab/>
      </w:r>
      <w:r w:rsidR="00273574" w:rsidRPr="00CD3A21">
        <w:t>(2)</w:t>
      </w:r>
      <w:r w:rsidRPr="00CD3A21">
        <w:tab/>
        <w:t xml:space="preserve">Emissions from fuel and electricity use must be estimated using the energy content and emission factors prescribed in Schedule 1 of the NGER Measurement Determination. </w:t>
      </w:r>
    </w:p>
    <w:p w:rsidR="008E5FAD" w:rsidRPr="00CD3A21" w:rsidRDefault="008E5FAD" w:rsidP="008E5FAD">
      <w:pPr>
        <w:pStyle w:val="notePara"/>
      </w:pPr>
      <w:r w:rsidRPr="00CD3A21">
        <w:tab/>
      </w:r>
      <w:r w:rsidRPr="00CD3A21">
        <w:rPr>
          <w:b/>
          <w:i/>
        </w:rPr>
        <w:t>Note</w:t>
      </w:r>
      <w:r w:rsidRPr="00CD3A21">
        <w:tab/>
        <w:t xml:space="preserve">These factors are also included, with worked examples, in the National Greenhouse Accounts Factors and are available at </w:t>
      </w:r>
      <w:r w:rsidRPr="00CD3A21">
        <w:rPr>
          <w:szCs w:val="20"/>
        </w:rPr>
        <w:t>www.climatechange.gov.au</w:t>
      </w:r>
    </w:p>
    <w:p w:rsidR="008E5FAD" w:rsidRPr="00CD3A21" w:rsidRDefault="000C29DD" w:rsidP="00FF0D22">
      <w:pPr>
        <w:pStyle w:val="h5Section"/>
      </w:pPr>
      <w:bookmarkStart w:id="48" w:name="_Toc357161786"/>
      <w:r w:rsidRPr="00CD3A21">
        <w:t>4.15</w:t>
      </w:r>
      <w:r w:rsidR="00FF0D22" w:rsidRPr="00CD3A21">
        <w:tab/>
      </w:r>
      <w:r w:rsidR="008E5FAD" w:rsidRPr="00CD3A21">
        <w:t>Calculating total emissions from fuel use (</w:t>
      </w:r>
      <w:proofErr w:type="spellStart"/>
      <w:r w:rsidR="008E5FAD" w:rsidRPr="00CD3A21">
        <w:t>E</w:t>
      </w:r>
      <w:r w:rsidR="008E5FAD" w:rsidRPr="00CD3A21">
        <w:rPr>
          <w:vertAlign w:val="subscript"/>
        </w:rPr>
        <w:t>f</w:t>
      </w:r>
      <w:proofErr w:type="spellEnd"/>
      <w:r w:rsidR="008E5FAD" w:rsidRPr="00CD3A21">
        <w:t>)</w:t>
      </w:r>
      <w:bookmarkEnd w:id="48"/>
      <w:r w:rsidR="00650E2B" w:rsidRPr="00CD3A21">
        <w:t xml:space="preserve"> </w:t>
      </w:r>
    </w:p>
    <w:p w:rsidR="008E5FAD" w:rsidRPr="00CD3A21" w:rsidRDefault="008E5FAD" w:rsidP="008E5FAD">
      <w:pPr>
        <w:pStyle w:val="tMain"/>
      </w:pPr>
      <w:r w:rsidRPr="00CD3A21">
        <w:tab/>
      </w:r>
      <w:r w:rsidR="00273574" w:rsidRPr="00CD3A21">
        <w:t>(1)</w:t>
      </w:r>
      <w:r w:rsidRPr="00CD3A21">
        <w:tab/>
        <w:t>Emissions from fuel use (</w:t>
      </w:r>
      <w:proofErr w:type="spellStart"/>
      <w:r w:rsidRPr="00CD3A21">
        <w:t>E</w:t>
      </w:r>
      <w:r w:rsidRPr="00CD3A21">
        <w:rPr>
          <w:vertAlign w:val="subscript"/>
        </w:rPr>
        <w:t>ij</w:t>
      </w:r>
      <w:proofErr w:type="spellEnd"/>
      <w:r w:rsidRPr="00CD3A21">
        <w:t>) must be calculated for each fuel type (</w:t>
      </w:r>
      <w:proofErr w:type="spellStart"/>
      <w:r w:rsidRPr="00CD3A21">
        <w:t>i</w:t>
      </w:r>
      <w:proofErr w:type="spellEnd"/>
      <w:r w:rsidRPr="00CD3A21">
        <w:t>) and each greenhouse gas (j) (CO</w:t>
      </w:r>
      <w:r w:rsidRPr="00CD3A21">
        <w:rPr>
          <w:vertAlign w:val="subscript"/>
        </w:rPr>
        <w:t>2</w:t>
      </w:r>
      <w:r w:rsidRPr="00CD3A21">
        <w:t>,</w:t>
      </w:r>
      <w:r w:rsidR="00FB586F" w:rsidRPr="00CD3A21">
        <w:t xml:space="preserve"> </w:t>
      </w:r>
      <w:r w:rsidRPr="00CD3A21">
        <w:t>N</w:t>
      </w:r>
      <w:r w:rsidRPr="00CD3A21">
        <w:rPr>
          <w:vertAlign w:val="subscript"/>
        </w:rPr>
        <w:t>2</w:t>
      </w:r>
      <w:r w:rsidRPr="00CD3A21">
        <w:t xml:space="preserve">O, </w:t>
      </w:r>
      <w:proofErr w:type="gramStart"/>
      <w:r w:rsidRPr="00CD3A21">
        <w:t>CH</w:t>
      </w:r>
      <w:r w:rsidRPr="00CD3A21">
        <w:rPr>
          <w:vertAlign w:val="subscript"/>
        </w:rPr>
        <w:t>4</w:t>
      </w:r>
      <w:proofErr w:type="gramEnd"/>
      <w:r w:rsidRPr="00CD3A21">
        <w:t>)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325"/>
      </w:tblGrid>
      <w:tr w:rsidR="00FB586F" w:rsidRPr="00CD3A21" w:rsidTr="00FB586F">
        <w:tc>
          <w:tcPr>
            <w:tcW w:w="5103" w:type="dxa"/>
          </w:tcPr>
          <w:p w:rsidR="008E5FAD" w:rsidRPr="00CD3A21" w:rsidRDefault="004D69D5" w:rsidP="00DB5C01">
            <w:pPr>
              <w:spacing w:before="120" w:after="120"/>
              <w:jc w:val="center"/>
            </w:pPr>
            <m:oMathPara>
              <m:oMath>
                <m:sSub>
                  <m:sSubPr>
                    <m:ctrlPr>
                      <w:rPr>
                        <w:rFonts w:ascii="Cambria Math" w:hAnsi="Cambria Math"/>
                        <w:b/>
                        <w:bCs/>
                        <w:iCs/>
                      </w:rPr>
                    </m:ctrlPr>
                  </m:sSubPr>
                  <m:e>
                    <m:r>
                      <m:rPr>
                        <m:sty m:val="b"/>
                      </m:rPr>
                      <w:rPr>
                        <w:rFonts w:ascii="Cambria Math" w:hAnsi="Cambria Math"/>
                      </w:rPr>
                      <m:t>E</m:t>
                    </m:r>
                  </m:e>
                  <m:sub>
                    <m:r>
                      <m:rPr>
                        <m:sty m:val="b"/>
                      </m:rPr>
                      <w:rPr>
                        <w:rFonts w:ascii="Cambria Math" w:hAnsi="Cambria Math"/>
                      </w:rPr>
                      <m:t>ij</m:t>
                    </m:r>
                  </m:sub>
                </m:sSub>
                <m:r>
                  <m:rPr>
                    <m:sty m:val="b"/>
                  </m:rPr>
                  <w:rPr>
                    <w:rFonts w:ascii="Cambria Math"/>
                  </w:rPr>
                  <m:t xml:space="preserve">=  </m:t>
                </m:r>
                <m:f>
                  <m:fPr>
                    <m:ctrlPr>
                      <w:rPr>
                        <w:rFonts w:ascii="Cambria Math" w:hAnsi="Cambria Math"/>
                        <w:b/>
                        <w:bCs/>
                        <w:iCs/>
                      </w:rPr>
                    </m:ctrlPr>
                  </m:fPr>
                  <m:num>
                    <m:sSub>
                      <m:sSubPr>
                        <m:ctrlPr>
                          <w:rPr>
                            <w:rFonts w:ascii="Cambria Math" w:hAnsi="Cambria Math"/>
                            <w:b/>
                            <w:bCs/>
                            <w:iCs/>
                          </w:rPr>
                        </m:ctrlPr>
                      </m:sSubPr>
                      <m:e>
                        <m:r>
                          <m:rPr>
                            <m:sty m:val="b"/>
                          </m:rPr>
                          <w:rPr>
                            <w:rFonts w:ascii="Cambria Math" w:hAnsi="Cambria Math"/>
                          </w:rPr>
                          <m:t>Q</m:t>
                        </m:r>
                      </m:e>
                      <m:sub>
                        <m:r>
                          <m:rPr>
                            <m:sty m:val="b"/>
                          </m:rPr>
                          <w:rPr>
                            <w:rFonts w:ascii="Cambria Math" w:hAnsi="Cambria Math"/>
                          </w:rPr>
                          <m:t>i</m:t>
                        </m:r>
                        <m:r>
                          <m:rPr>
                            <m:sty m:val="b"/>
                          </m:rPr>
                          <w:rPr>
                            <w:rFonts w:ascii="Cambria Math"/>
                          </w:rPr>
                          <m:t xml:space="preserve"> </m:t>
                        </m:r>
                      </m:sub>
                    </m:sSub>
                    <m:sSub>
                      <m:sSubPr>
                        <m:ctrlPr>
                          <w:rPr>
                            <w:rFonts w:ascii="Cambria Math" w:hAnsi="Cambria Math"/>
                            <w:b/>
                            <w:bCs/>
                            <w:iCs/>
                          </w:rPr>
                        </m:ctrlPr>
                      </m:sSubPr>
                      <m:e>
                        <m:r>
                          <m:rPr>
                            <m:sty m:val="b"/>
                          </m:rPr>
                          <w:rPr>
                            <w:rFonts w:ascii="Cambria Math"/>
                          </w:rPr>
                          <m:t xml:space="preserve"> </m:t>
                        </m:r>
                        <m:r>
                          <m:rPr>
                            <m:sty m:val="b"/>
                          </m:rPr>
                          <w:rPr>
                            <w:rFonts w:ascii="Cambria Math"/>
                          </w:rPr>
                          <m:t>×</m:t>
                        </m:r>
                        <m:r>
                          <m:rPr>
                            <m:sty m:val="b"/>
                          </m:rPr>
                          <w:rPr>
                            <w:rFonts w:ascii="Cambria Math" w:hAnsi="Cambria Math"/>
                          </w:rPr>
                          <m:t>EC</m:t>
                        </m:r>
                      </m:e>
                      <m:sub>
                        <m:r>
                          <m:rPr>
                            <m:sty m:val="b"/>
                          </m:rPr>
                          <w:rPr>
                            <w:rFonts w:ascii="Cambria Math" w:hAnsi="Cambria Math"/>
                          </w:rPr>
                          <m:t>i</m:t>
                        </m:r>
                        <m:r>
                          <m:rPr>
                            <m:sty m:val="b"/>
                          </m:rPr>
                          <w:rPr>
                            <w:rFonts w:ascii="Cambria Math"/>
                          </w:rPr>
                          <m:t xml:space="preserve"> </m:t>
                        </m:r>
                      </m:sub>
                    </m:sSub>
                    <m:sSub>
                      <m:sSubPr>
                        <m:ctrlPr>
                          <w:rPr>
                            <w:rFonts w:ascii="Cambria Math" w:hAnsi="Cambria Math"/>
                            <w:b/>
                            <w:bCs/>
                            <w:iCs/>
                          </w:rPr>
                        </m:ctrlPr>
                      </m:sSubPr>
                      <m:e>
                        <m:r>
                          <m:rPr>
                            <m:sty m:val="b"/>
                          </m:rPr>
                          <w:rPr>
                            <w:rFonts w:ascii="Cambria Math"/>
                          </w:rPr>
                          <m:t>×</m:t>
                        </m:r>
                        <m:r>
                          <m:rPr>
                            <m:sty m:val="b"/>
                          </m:rPr>
                          <w:rPr>
                            <w:rFonts w:ascii="Cambria Math" w:hAnsi="Cambria Math"/>
                          </w:rPr>
                          <m:t>EF</m:t>
                        </m:r>
                      </m:e>
                      <m:sub>
                        <m:r>
                          <m:rPr>
                            <m:sty m:val="b"/>
                          </m:rPr>
                          <w:rPr>
                            <w:rFonts w:ascii="Cambria Math" w:hAnsi="Cambria Math"/>
                          </w:rPr>
                          <m:t>ijoxec</m:t>
                        </m:r>
                        <m:r>
                          <m:rPr>
                            <m:sty m:val="b"/>
                          </m:rPr>
                          <w:rPr>
                            <w:rFonts w:ascii="Cambria Math"/>
                          </w:rPr>
                          <m:t xml:space="preserve"> </m:t>
                        </m:r>
                      </m:sub>
                    </m:sSub>
                  </m:num>
                  <m:den>
                    <m:r>
                      <m:rPr>
                        <m:sty m:val="b"/>
                      </m:rPr>
                      <w:rPr>
                        <w:rFonts w:ascii="Cambria Math" w:hAnsi="Cambria Math"/>
                      </w:rPr>
                      <m:t>1000</m:t>
                    </m:r>
                  </m:den>
                </m:f>
              </m:oMath>
            </m:oMathPara>
          </w:p>
        </w:tc>
        <w:tc>
          <w:tcPr>
            <w:tcW w:w="2325" w:type="dxa"/>
            <w:vAlign w:val="center"/>
          </w:tcPr>
          <w:p w:rsidR="008E5FAD" w:rsidRPr="00CD3A21" w:rsidRDefault="008E5FAD" w:rsidP="00DB5C01">
            <w:pPr>
              <w:spacing w:before="120" w:after="120"/>
              <w:jc w:val="center"/>
              <w:rPr>
                <w:b/>
              </w:rPr>
            </w:pPr>
            <w:r w:rsidRPr="00CD3A21">
              <w:rPr>
                <w:b/>
              </w:rPr>
              <w:t>Equation 4.2</w:t>
            </w:r>
          </w:p>
        </w:tc>
      </w:tr>
    </w:tbl>
    <w:p w:rsidR="008E5FAD" w:rsidRPr="00CD3A21" w:rsidRDefault="00FB586F" w:rsidP="000E2783">
      <w:pPr>
        <w:pStyle w:val="R2"/>
        <w:spacing w:before="120" w:after="120" w:line="240" w:lineRule="auto"/>
        <w:ind w:firstLine="29"/>
      </w:pPr>
      <w:r w:rsidRPr="00CD3A21">
        <w:t>W</w:t>
      </w:r>
      <w:r w:rsidR="008E5FAD" w:rsidRPr="00CD3A21">
        <w:t>here:</w:t>
      </w:r>
    </w:p>
    <w:p w:rsidR="008E5FAD" w:rsidRPr="00CD3A21" w:rsidRDefault="004D69D5" w:rsidP="000E2783">
      <w:pPr>
        <w:spacing w:before="120" w:after="120"/>
        <w:ind w:left="993"/>
        <w:jc w:val="both"/>
      </w:pPr>
      <m:oMath>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ij</m:t>
            </m:r>
          </m:sub>
        </m:sSub>
      </m:oMath>
      <w:r w:rsidR="008E5FAD" w:rsidRPr="00CD3A21">
        <w:rPr>
          <w:b/>
          <w:iCs/>
        </w:rPr>
        <w:t xml:space="preserve"> </w:t>
      </w:r>
      <w:r w:rsidR="008E5FAD" w:rsidRPr="00CD3A21">
        <w:t>=</w:t>
      </w:r>
      <w:r w:rsidR="008E5FAD" w:rsidRPr="00CD3A21">
        <w:rPr>
          <w:b/>
          <w:iCs/>
        </w:rPr>
        <w:t xml:space="preserve"> </w:t>
      </w:r>
      <w:r w:rsidR="008E5FAD" w:rsidRPr="00CD3A21">
        <w:rPr>
          <w:b/>
          <w:iCs/>
        </w:rPr>
        <w:tab/>
      </w:r>
      <w:r w:rsidR="008E5FAD" w:rsidRPr="00CD3A21">
        <w:t>emissions from fuel type (</w:t>
      </w:r>
      <w:proofErr w:type="spellStart"/>
      <w:r w:rsidR="008E5FAD" w:rsidRPr="00CD3A21">
        <w:t>i</w:t>
      </w:r>
      <w:proofErr w:type="spellEnd"/>
      <w:r w:rsidR="008E5FAD" w:rsidRPr="00CD3A21">
        <w:t>) of greenhouse gas (j) in tonnes of CO</w:t>
      </w:r>
      <w:r w:rsidR="008E5FAD" w:rsidRPr="00CD3A21">
        <w:rPr>
          <w:vertAlign w:val="subscript"/>
        </w:rPr>
        <w:t>2</w:t>
      </w:r>
      <w:r w:rsidR="008E5FAD" w:rsidRPr="00CD3A21">
        <w:t>-e.</w:t>
      </w:r>
    </w:p>
    <w:p w:rsidR="008E5FAD" w:rsidRPr="00CD3A21" w:rsidRDefault="004D69D5" w:rsidP="000E2783">
      <w:pPr>
        <w:spacing w:before="120" w:after="120"/>
        <w:ind w:left="2160" w:hanging="1167"/>
        <w:jc w:val="both"/>
        <w:rPr>
          <w:b/>
        </w:rPr>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i</m:t>
            </m:r>
            <m:r>
              <m:rPr>
                <m:sty m:val="b"/>
              </m:rPr>
              <w:rPr>
                <w:rFonts w:ascii="Cambria Math"/>
                <w:lang w:val="de-DE"/>
              </w:rPr>
              <m:t xml:space="preserve"> </m:t>
            </m:r>
          </m:sub>
        </m:sSub>
      </m:oMath>
      <w:r w:rsidR="008E5FAD" w:rsidRPr="00CD3A21">
        <w:rPr>
          <w:b/>
        </w:rPr>
        <w:t xml:space="preserve">  </w:t>
      </w:r>
      <w:r w:rsidR="008E5FAD" w:rsidRPr="00CD3A21">
        <w:rPr>
          <w:iCs/>
        </w:rPr>
        <w:t xml:space="preserve">= </w:t>
      </w:r>
      <w:r w:rsidR="008E5FAD" w:rsidRPr="00CD3A21">
        <w:rPr>
          <w:iCs/>
        </w:rPr>
        <w:tab/>
      </w:r>
      <w:r w:rsidR="008E5FAD" w:rsidRPr="00CD3A21">
        <w:t>quantity of fuel type (</w:t>
      </w:r>
      <w:proofErr w:type="spellStart"/>
      <w:r w:rsidR="008E5FAD" w:rsidRPr="00CD3A21">
        <w:t>i</w:t>
      </w:r>
      <w:proofErr w:type="spellEnd"/>
      <w:r w:rsidR="008E5FAD" w:rsidRPr="00CD3A21">
        <w:t>), measured in cubic metres, kilolitres or gigajoules.</w:t>
      </w:r>
    </w:p>
    <w:p w:rsidR="008E5FAD" w:rsidRPr="00CD3A21" w:rsidRDefault="004D69D5" w:rsidP="000E2783">
      <w:pPr>
        <w:spacing w:before="120" w:after="120"/>
        <w:ind w:left="2160" w:hanging="1167"/>
        <w:jc w:val="both"/>
      </w:pPr>
      <m:oMath>
        <m:sSub>
          <m:sSubPr>
            <m:ctrlPr>
              <w:rPr>
                <w:rFonts w:ascii="Cambria Math" w:hAnsi="Cambria Math"/>
                <w:b/>
              </w:rPr>
            </m:ctrlPr>
          </m:sSubPr>
          <m:e>
            <m:r>
              <m:rPr>
                <m:sty m:val="b"/>
              </m:rPr>
              <w:rPr>
                <w:rFonts w:ascii="Cambria Math"/>
                <w:lang w:val="de-DE"/>
              </w:rPr>
              <m:t xml:space="preserve"> </m:t>
            </m:r>
            <m:r>
              <m:rPr>
                <m:sty m:val="b"/>
              </m:rPr>
              <w:rPr>
                <w:rFonts w:ascii="Cambria Math" w:hAnsi="Cambria Math"/>
              </w:rPr>
              <m:t>EC</m:t>
            </m:r>
          </m:e>
          <m:sub>
            <m:r>
              <m:rPr>
                <m:sty m:val="b"/>
              </m:rPr>
              <w:rPr>
                <w:rFonts w:ascii="Cambria Math" w:hAnsi="Cambria Math"/>
              </w:rPr>
              <m:t>i</m:t>
            </m:r>
            <m:r>
              <m:rPr>
                <m:sty m:val="b"/>
              </m:rPr>
              <w:rPr>
                <w:rFonts w:ascii="Cambria Math"/>
                <w:lang w:val="de-DE"/>
              </w:rPr>
              <m:t xml:space="preserve"> </m:t>
            </m:r>
          </m:sub>
        </m:sSub>
      </m:oMath>
      <w:r w:rsidR="008E5FAD" w:rsidRPr="00CD3A21">
        <w:rPr>
          <w:b/>
          <w:iCs/>
        </w:rPr>
        <w:t xml:space="preserve"> </w:t>
      </w:r>
      <w:r w:rsidR="008E5FAD" w:rsidRPr="00CD3A21">
        <w:rPr>
          <w:iCs/>
        </w:rPr>
        <w:t xml:space="preserve">= </w:t>
      </w:r>
      <w:r w:rsidR="008E5FAD" w:rsidRPr="00CD3A21">
        <w:rPr>
          <w:iCs/>
        </w:rPr>
        <w:tab/>
        <w:t>energy</w:t>
      </w:r>
      <w:r w:rsidR="008E5FAD" w:rsidRPr="00CD3A21">
        <w:t xml:space="preserve"> content factor of fuel type (</w:t>
      </w:r>
      <w:proofErr w:type="spellStart"/>
      <w:r w:rsidR="008E5FAD" w:rsidRPr="00CD3A21">
        <w:t>i</w:t>
      </w:r>
      <w:proofErr w:type="spellEnd"/>
      <w:r w:rsidR="008E5FAD" w:rsidRPr="00CD3A21">
        <w:t>) (gigajoules per kilolitre or gigajoules per cubic metres), as prescribed in Schedule 1 of the NGER Measurement Determination</w:t>
      </w:r>
      <w:r w:rsidR="008E5FAD" w:rsidRPr="00CD3A21">
        <w:rPr>
          <w:i/>
        </w:rPr>
        <w:t>.</w:t>
      </w:r>
      <w:r w:rsidR="008E5FAD" w:rsidRPr="00CD3A21">
        <w:t xml:space="preserve"> </w:t>
      </w:r>
    </w:p>
    <w:p w:rsidR="008E5FAD" w:rsidRPr="00CD3A21" w:rsidRDefault="004D69D5" w:rsidP="000E2783">
      <w:pPr>
        <w:spacing w:before="120" w:after="120"/>
        <w:ind w:left="2160" w:hanging="1167"/>
        <w:jc w:val="both"/>
      </w:pPr>
      <m:oMath>
        <m:sSub>
          <m:sSubPr>
            <m:ctrlPr>
              <w:rPr>
                <w:rFonts w:ascii="Cambria Math" w:hAnsi="Cambria Math"/>
                <w:b/>
              </w:rPr>
            </m:ctrlPr>
          </m:sSubPr>
          <m:e>
            <m:r>
              <m:rPr>
                <m:sty m:val="b"/>
              </m:rPr>
              <w:rPr>
                <w:rFonts w:ascii="Cambria Math" w:hAnsi="Cambria Math"/>
              </w:rPr>
              <m:t>EF</m:t>
            </m:r>
          </m:e>
          <m:sub>
            <m:r>
              <m:rPr>
                <m:sty m:val="b"/>
              </m:rPr>
              <w:rPr>
                <w:rFonts w:ascii="Cambria Math" w:hAnsi="Cambria Math"/>
              </w:rPr>
              <m:t>ijoxec</m:t>
            </m:r>
            <m:r>
              <m:rPr>
                <m:sty m:val="b"/>
              </m:rPr>
              <w:rPr>
                <w:rFonts w:ascii="Cambria Math"/>
                <w:lang w:val="de-DE"/>
              </w:rPr>
              <m:t xml:space="preserve"> </m:t>
            </m:r>
          </m:sub>
        </m:sSub>
      </m:oMath>
      <w:r w:rsidR="008E5FAD" w:rsidRPr="00CD3A21">
        <w:rPr>
          <w:iCs/>
        </w:rPr>
        <w:t xml:space="preserve"> = </w:t>
      </w:r>
      <w:r w:rsidR="008E5FAD" w:rsidRPr="00CD3A21">
        <w:rPr>
          <w:iCs/>
        </w:rPr>
        <w:tab/>
      </w:r>
      <w:r w:rsidR="008E5FAD" w:rsidRPr="00CD3A21">
        <w:t xml:space="preserve">emission factor for each gas type (j) (which includes the effect of an oxidation factor) </w:t>
      </w:r>
      <w:r w:rsidR="008E5FAD" w:rsidRPr="00CD3A21">
        <w:rPr>
          <w:iCs/>
        </w:rPr>
        <w:t>for</w:t>
      </w:r>
      <w:r w:rsidR="008E5FAD" w:rsidRPr="00CD3A21">
        <w:t xml:space="preserve"> fuel type (</w:t>
      </w:r>
      <w:proofErr w:type="spellStart"/>
      <w:r w:rsidR="008E5FAD" w:rsidRPr="00CD3A21">
        <w:t>i</w:t>
      </w:r>
      <w:proofErr w:type="spellEnd"/>
      <w:r w:rsidR="008E5FAD" w:rsidRPr="00CD3A21">
        <w:t>) (in kilograms of CO</w:t>
      </w:r>
      <w:r w:rsidR="008E5FAD" w:rsidRPr="00CD3A21">
        <w:rPr>
          <w:vertAlign w:val="subscript"/>
        </w:rPr>
        <w:t>2</w:t>
      </w:r>
      <w:r w:rsidR="008E5FAD" w:rsidRPr="00CD3A21">
        <w:t xml:space="preserve">-e per gigajoule), calculated using the relevant emission factor set out in Schedule 1 of the NGER Measurement Determination. </w:t>
      </w:r>
    </w:p>
    <w:p w:rsidR="008E5FAD" w:rsidRPr="00CD3A21" w:rsidRDefault="00FB586F" w:rsidP="000E2783">
      <w:pPr>
        <w:pStyle w:val="notePara"/>
      </w:pPr>
      <w:r w:rsidRPr="00CD3A21">
        <w:tab/>
      </w:r>
      <w:r w:rsidRPr="00CD3A21">
        <w:rPr>
          <w:b/>
          <w:i/>
        </w:rPr>
        <w:t>Note</w:t>
      </w:r>
      <w:r w:rsidRPr="00CD3A21">
        <w:tab/>
      </w:r>
      <w:r w:rsidR="008E5FAD" w:rsidRPr="00CD3A21">
        <w:t xml:space="preserve">If </w:t>
      </w:r>
      <m:oMath>
        <m:sSub>
          <m:sSubPr>
            <m:ctrlPr>
              <w:rPr>
                <w:rFonts w:ascii="Cambria Math" w:hAnsi="Cambria Math"/>
              </w:rPr>
            </m:ctrlPr>
          </m:sSubPr>
          <m:e>
            <m:r>
              <w:rPr>
                <w:rFonts w:ascii="Cambria Math" w:hAnsi="Cambria Math"/>
              </w:rPr>
              <m:t>Q</m:t>
            </m:r>
          </m:e>
          <m:sub>
            <m:r>
              <w:rPr>
                <w:rFonts w:ascii="Cambria Math" w:hAnsi="Cambria Math"/>
              </w:rPr>
              <m:t>i</m:t>
            </m:r>
            <m:r>
              <m:rPr>
                <m:sty m:val="p"/>
              </m:rPr>
              <w:rPr>
                <w:rFonts w:ascii="Cambria Math"/>
                <w:lang w:val="de-DE"/>
              </w:rPr>
              <m:t xml:space="preserve"> </m:t>
            </m:r>
          </m:sub>
        </m:sSub>
      </m:oMath>
      <w:r w:rsidR="008E5FAD" w:rsidRPr="00CD3A21">
        <w:t xml:space="preserve"> is measured in gigajoules, </w:t>
      </w:r>
      <w:proofErr w:type="gramStart"/>
      <w:r w:rsidR="008E5FAD" w:rsidRPr="00CD3A21">
        <w:t>then</w:t>
      </w:r>
      <w:proofErr w:type="gramEnd"/>
      <w:r w:rsidR="008E5FAD" w:rsidRPr="00CD3A21">
        <w:t xml:space="preserve"> </w:t>
      </w:r>
      <m:oMath>
        <m:sSub>
          <m:sSubPr>
            <m:ctrlPr>
              <w:rPr>
                <w:rFonts w:ascii="Cambria Math" w:hAnsi="Cambria Math"/>
              </w:rPr>
            </m:ctrlPr>
          </m:sSubPr>
          <m:e>
            <m:r>
              <m:rPr>
                <m:sty m:val="p"/>
              </m:rPr>
              <w:rPr>
                <w:rFonts w:ascii="Cambria Math"/>
                <w:lang w:val="de-DE"/>
              </w:rPr>
              <m:t xml:space="preserve"> </m:t>
            </m:r>
            <m:r>
              <w:rPr>
                <w:rFonts w:ascii="Cambria Math" w:hAnsi="Cambria Math"/>
              </w:rPr>
              <m:t>EC</m:t>
            </m:r>
          </m:e>
          <m:sub>
            <m:r>
              <w:rPr>
                <w:rFonts w:ascii="Cambria Math" w:hAnsi="Cambria Math"/>
              </w:rPr>
              <m:t>i</m:t>
            </m:r>
            <m:r>
              <m:rPr>
                <m:sty m:val="p"/>
              </m:rPr>
              <w:rPr>
                <w:rFonts w:ascii="Cambria Math"/>
                <w:lang w:val="de-DE"/>
              </w:rPr>
              <m:t xml:space="preserve"> </m:t>
            </m:r>
          </m:sub>
        </m:sSub>
      </m:oMath>
      <w:r w:rsidR="008E5FAD" w:rsidRPr="00CD3A21">
        <w:t>is not required</w:t>
      </w:r>
      <w:r w:rsidRPr="00CD3A21">
        <w:t>.</w:t>
      </w:r>
      <w:r w:rsidR="008E5FAD" w:rsidRPr="00CD3A21">
        <w:t xml:space="preserve"> </w:t>
      </w:r>
    </w:p>
    <w:p w:rsidR="008E5FAD" w:rsidRPr="00CD3A21" w:rsidRDefault="00FB586F" w:rsidP="009510AB">
      <w:pPr>
        <w:pStyle w:val="tMain"/>
        <w:keepNext/>
      </w:pPr>
      <w:r w:rsidRPr="00CD3A21">
        <w:lastRenderedPageBreak/>
        <w:tab/>
      </w:r>
      <w:r w:rsidR="00273574" w:rsidRPr="00CD3A21">
        <w:t>(2)</w:t>
      </w:r>
      <w:r w:rsidRPr="00CD3A21">
        <w:tab/>
      </w:r>
      <w:r w:rsidR="008E5FAD" w:rsidRPr="00CD3A21">
        <w:t xml:space="preserve">Total emissions from fuel used (including supplemental natural gas) to operate the gas capture and combustion system </w:t>
      </w:r>
      <m:oMath>
        <m:r>
          <w:rPr>
            <w:rFonts w:ascii="Cambria Math"/>
          </w:rPr>
          <m:t>(</m:t>
        </m:r>
        <m:sSub>
          <m:sSubPr>
            <m:ctrlPr>
              <w:rPr>
                <w:rFonts w:ascii="Cambria Math" w:hAnsi="Cambria Math"/>
                <w:iCs/>
              </w:rPr>
            </m:ctrlPr>
          </m:sSubPr>
          <m:e>
            <m:r>
              <m:rPr>
                <m:sty m:val="p"/>
              </m:rPr>
              <w:rPr>
                <w:rFonts w:ascii="Cambria Math"/>
              </w:rPr>
              <m:t>E</m:t>
            </m:r>
          </m:e>
          <m:sub>
            <m:r>
              <m:rPr>
                <m:sty m:val="p"/>
              </m:rPr>
              <w:rPr>
                <w:rFonts w:ascii="Cambria Math"/>
              </w:rPr>
              <m:t>f</m:t>
            </m:r>
          </m:sub>
        </m:sSub>
        <m:r>
          <m:rPr>
            <m:sty m:val="b"/>
          </m:rPr>
          <w:rPr>
            <w:rFonts w:ascii="Cambria Math"/>
          </w:rPr>
          <m:t>)</m:t>
        </m:r>
      </m:oMath>
      <w:r w:rsidR="008E5FAD" w:rsidRPr="00CD3A21">
        <w:t xml:space="preserve"> is to be calculated using the following formula:</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325"/>
      </w:tblGrid>
      <w:tr w:rsidR="00FB586F" w:rsidRPr="00CD3A21" w:rsidTr="00FB586F">
        <w:tc>
          <w:tcPr>
            <w:tcW w:w="5103" w:type="dxa"/>
          </w:tcPr>
          <w:p w:rsidR="008E5FAD" w:rsidRPr="00CD3A21" w:rsidRDefault="004D69D5" w:rsidP="009510AB">
            <w:pPr>
              <w:keepNext/>
              <w:spacing w:before="120" w:after="120"/>
              <w:jc w:val="center"/>
            </w:pPr>
            <m:oMathPara>
              <m:oMath>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f</m:t>
                    </m:r>
                  </m:sub>
                </m:sSub>
                <m:r>
                  <m:rPr>
                    <m:sty m:val="b"/>
                  </m:rPr>
                  <w:rPr>
                    <w:rFonts w:ascii="Cambria Math"/>
                  </w:rPr>
                  <m:t xml:space="preserve">=  </m:t>
                </m:r>
                <m:nary>
                  <m:naryPr>
                    <m:chr m:val="∑"/>
                    <m:limLoc m:val="undOvr"/>
                    <m:ctrlPr>
                      <w:rPr>
                        <w:rFonts w:ascii="Cambria Math" w:hAnsi="Cambria Math"/>
                        <w:b/>
                        <w:iCs/>
                      </w:rPr>
                    </m:ctrlPr>
                  </m:naryPr>
                  <m:sub>
                    <m:r>
                      <m:rPr>
                        <m:sty m:val="b"/>
                      </m:rPr>
                      <w:rPr>
                        <w:rFonts w:ascii="Cambria Math" w:hAnsi="Cambria Math"/>
                      </w:rPr>
                      <m:t>i</m:t>
                    </m:r>
                    <m:r>
                      <m:rPr>
                        <m:sty m:val="b"/>
                      </m:rPr>
                      <w:rPr>
                        <w:rFonts w:ascii="Cambria Math"/>
                      </w:rPr>
                      <m:t>=</m:t>
                    </m:r>
                    <m:r>
                      <m:rPr>
                        <m:sty m:val="b"/>
                      </m:rPr>
                      <w:rPr>
                        <w:rFonts w:ascii="Cambria Math" w:hAnsi="Cambria Math"/>
                      </w:rPr>
                      <m:t>1</m:t>
                    </m:r>
                  </m:sub>
                  <m:sup>
                    <m:r>
                      <m:rPr>
                        <m:sty m:val="b"/>
                      </m:rPr>
                      <w:rPr>
                        <w:rFonts w:ascii="Cambria Math" w:hAnsi="Cambria Math"/>
                      </w:rPr>
                      <m:t>n</m:t>
                    </m:r>
                  </m:sup>
                  <m:e>
                    <m:nary>
                      <m:naryPr>
                        <m:chr m:val="∑"/>
                        <m:limLoc m:val="undOvr"/>
                        <m:ctrlPr>
                          <w:rPr>
                            <w:rFonts w:ascii="Cambria Math" w:hAnsi="Cambria Math"/>
                            <w:b/>
                            <w:iCs/>
                          </w:rPr>
                        </m:ctrlPr>
                      </m:naryPr>
                      <m:sub>
                        <m:r>
                          <m:rPr>
                            <m:sty m:val="b"/>
                          </m:rPr>
                          <w:rPr>
                            <w:rFonts w:ascii="Cambria Math" w:hAnsi="Cambria Math"/>
                          </w:rPr>
                          <m:t>j</m:t>
                        </m:r>
                        <m:r>
                          <m:rPr>
                            <m:sty m:val="b"/>
                          </m:rPr>
                          <w:rPr>
                            <w:rFonts w:ascii="Cambria Math"/>
                          </w:rPr>
                          <m:t>=</m:t>
                        </m:r>
                        <m:r>
                          <m:rPr>
                            <m:sty m:val="b"/>
                          </m:rPr>
                          <w:rPr>
                            <w:rFonts w:ascii="Cambria Math" w:hAnsi="Cambria Math"/>
                          </w:rPr>
                          <m:t>1</m:t>
                        </m:r>
                      </m:sub>
                      <m:sup>
                        <m:r>
                          <m:rPr>
                            <m:sty m:val="b"/>
                          </m:rPr>
                          <w:rPr>
                            <w:rFonts w:ascii="Cambria Math" w:hAnsi="Cambria Math"/>
                          </w:rPr>
                          <m:t>N</m:t>
                        </m:r>
                      </m:sup>
                      <m:e>
                        <m:sSub>
                          <m:sSubPr>
                            <m:ctrlPr>
                              <w:rPr>
                                <w:rFonts w:ascii="Cambria Math" w:hAnsi="Cambria Math"/>
                                <w:b/>
                                <w:iCs/>
                              </w:rPr>
                            </m:ctrlPr>
                          </m:sSubPr>
                          <m:e>
                            <m:r>
                              <m:rPr>
                                <m:sty m:val="b"/>
                              </m:rPr>
                              <w:rPr>
                                <w:rFonts w:ascii="Cambria Math" w:hAnsi="Cambria Math"/>
                              </w:rPr>
                              <m:t>E</m:t>
                            </m:r>
                          </m:e>
                          <m:sub>
                            <m:r>
                              <m:rPr>
                                <m:sty m:val="b"/>
                              </m:rPr>
                              <w:rPr>
                                <w:rFonts w:ascii="Cambria Math" w:hAnsi="Cambria Math"/>
                              </w:rPr>
                              <m:t>i</m:t>
                            </m:r>
                            <m:r>
                              <m:rPr>
                                <m:sty m:val="b"/>
                              </m:rPr>
                              <w:rPr>
                                <w:rFonts w:ascii="Cambria Math"/>
                              </w:rPr>
                              <m:t>,</m:t>
                            </m:r>
                            <m:r>
                              <m:rPr>
                                <m:sty m:val="b"/>
                              </m:rPr>
                              <w:rPr>
                                <w:rFonts w:ascii="Cambria Math" w:hAnsi="Cambria Math"/>
                              </w:rPr>
                              <m:t>j</m:t>
                            </m:r>
                          </m:sub>
                        </m:sSub>
                      </m:e>
                    </m:nary>
                  </m:e>
                </m:nary>
              </m:oMath>
            </m:oMathPara>
          </w:p>
        </w:tc>
        <w:tc>
          <w:tcPr>
            <w:tcW w:w="2325" w:type="dxa"/>
            <w:vAlign w:val="center"/>
          </w:tcPr>
          <w:p w:rsidR="008E5FAD" w:rsidRPr="00CD3A21" w:rsidRDefault="008E5FAD" w:rsidP="009510AB">
            <w:pPr>
              <w:keepNext/>
              <w:spacing w:before="120" w:after="120"/>
              <w:jc w:val="center"/>
              <w:rPr>
                <w:b/>
              </w:rPr>
            </w:pPr>
            <w:r w:rsidRPr="00CD3A21">
              <w:rPr>
                <w:b/>
              </w:rPr>
              <w:t>Equation 4.3</w:t>
            </w:r>
          </w:p>
        </w:tc>
      </w:tr>
    </w:tbl>
    <w:p w:rsidR="008E5FAD" w:rsidRPr="00CD3A21" w:rsidRDefault="00FB586F" w:rsidP="00FB586F">
      <w:pPr>
        <w:pStyle w:val="Rc"/>
        <w:spacing w:before="120" w:after="120" w:line="240" w:lineRule="auto"/>
      </w:pPr>
      <w:r w:rsidRPr="00CD3A21">
        <w:t>W</w:t>
      </w:r>
      <w:r w:rsidR="008E5FAD" w:rsidRPr="00CD3A21">
        <w:t>here:</w:t>
      </w:r>
    </w:p>
    <w:p w:rsidR="008E5FAD" w:rsidRPr="00CD3A21" w:rsidRDefault="008E5FAD" w:rsidP="008E5FAD">
      <w:pPr>
        <w:pStyle w:val="definition"/>
        <w:spacing w:before="120" w:after="120" w:line="240" w:lineRule="auto"/>
        <w:ind w:left="1741" w:hanging="777"/>
      </w:pPr>
      <w:proofErr w:type="spellStart"/>
      <w:r w:rsidRPr="00CD3A21">
        <w:rPr>
          <w:b/>
        </w:rPr>
        <w:t>E</w:t>
      </w:r>
      <w:r w:rsidRPr="00CD3A21">
        <w:rPr>
          <w:b/>
          <w:vertAlign w:val="subscript"/>
        </w:rPr>
        <w:t>f</w:t>
      </w:r>
      <w:proofErr w:type="spellEnd"/>
      <w:r w:rsidRPr="00CD3A21">
        <w:rPr>
          <w:b/>
        </w:rPr>
        <w:t xml:space="preserve"> </w:t>
      </w:r>
      <w:r w:rsidRPr="00CD3A21">
        <w:t xml:space="preserve">= </w:t>
      </w:r>
      <w:r w:rsidRPr="00CD3A21">
        <w:tab/>
        <w:t>total emissions from fuel use, in tonnes of CO</w:t>
      </w:r>
      <w:r w:rsidRPr="00CD3A21">
        <w:rPr>
          <w:vertAlign w:val="subscript"/>
        </w:rPr>
        <w:t>2</w:t>
      </w:r>
      <w:r w:rsidRPr="00CD3A21">
        <w:noBreakHyphen/>
        <w:t>e.</w:t>
      </w:r>
    </w:p>
    <w:p w:rsidR="008E5FAD" w:rsidRPr="00CD3A21" w:rsidRDefault="008E5FAD" w:rsidP="008E5FAD">
      <w:pPr>
        <w:pStyle w:val="definition"/>
        <w:spacing w:before="120" w:after="120" w:line="240" w:lineRule="auto"/>
        <w:ind w:left="1741" w:hanging="777"/>
      </w:pPr>
      <w:r w:rsidRPr="00CD3A21">
        <w:rPr>
          <w:b/>
        </w:rPr>
        <w:t>j</w:t>
      </w:r>
      <w:r w:rsidRPr="00CD3A21">
        <w:t xml:space="preserve"> =</w:t>
      </w:r>
      <w:r w:rsidRPr="00CD3A21">
        <w:tab/>
        <w:t>greenhouse gas type (CO</w:t>
      </w:r>
      <w:r w:rsidRPr="00CD3A21">
        <w:rPr>
          <w:vertAlign w:val="subscript"/>
        </w:rPr>
        <w:t>2</w:t>
      </w:r>
      <w:r w:rsidRPr="00CD3A21">
        <w:t>, N</w:t>
      </w:r>
      <w:r w:rsidRPr="00CD3A21">
        <w:rPr>
          <w:vertAlign w:val="subscript"/>
        </w:rPr>
        <w:t>2</w:t>
      </w:r>
      <w:r w:rsidRPr="00CD3A21">
        <w:t>O, CH</w:t>
      </w:r>
      <w:r w:rsidRPr="00CD3A21">
        <w:rPr>
          <w:vertAlign w:val="subscript"/>
        </w:rPr>
        <w:t>4</w:t>
      </w:r>
      <w:r w:rsidRPr="00CD3A21">
        <w:t>).</w:t>
      </w:r>
    </w:p>
    <w:p w:rsidR="008E5FAD" w:rsidRPr="00CD3A21" w:rsidRDefault="008E5FAD" w:rsidP="008E5FAD">
      <w:pPr>
        <w:pStyle w:val="definition"/>
        <w:spacing w:before="120" w:after="120" w:line="240" w:lineRule="auto"/>
        <w:ind w:left="1741" w:hanging="777"/>
      </w:pPr>
      <w:proofErr w:type="spellStart"/>
      <w:r w:rsidRPr="00CD3A21">
        <w:rPr>
          <w:b/>
        </w:rPr>
        <w:t>i</w:t>
      </w:r>
      <w:proofErr w:type="spellEnd"/>
      <w:r w:rsidRPr="00CD3A21">
        <w:t xml:space="preserve"> = </w:t>
      </w:r>
      <w:r w:rsidRPr="00CD3A21">
        <w:tab/>
        <w:t xml:space="preserve">fuel </w:t>
      </w:r>
      <w:r w:rsidRPr="00CD3A21">
        <w:rPr>
          <w:iCs/>
        </w:rPr>
        <w:t>type.</w:t>
      </w:r>
    </w:p>
    <w:p w:rsidR="008E5FAD" w:rsidRPr="00CD3A21" w:rsidRDefault="000C29DD" w:rsidP="00FF0D22">
      <w:pPr>
        <w:pStyle w:val="h5Section"/>
      </w:pPr>
      <w:bookmarkStart w:id="49" w:name="_Toc357161787"/>
      <w:r w:rsidRPr="00CD3A21">
        <w:t>4.16</w:t>
      </w:r>
      <w:r w:rsidR="00FF0D22" w:rsidRPr="00CD3A21">
        <w:tab/>
      </w:r>
      <w:r w:rsidR="008E5FAD" w:rsidRPr="00CD3A21">
        <w:t>Emissions from the consumption of purchased electricity</w:t>
      </w:r>
      <w:r w:rsidR="002D2FDA" w:rsidRPr="00CD3A21">
        <w:t xml:space="preserve"> (</w:t>
      </w:r>
      <w:proofErr w:type="spellStart"/>
      <w:r w:rsidR="002D2FDA" w:rsidRPr="00CD3A21">
        <w:t>E</w:t>
      </w:r>
      <w:r w:rsidR="002D2FDA" w:rsidRPr="00CD3A21">
        <w:rPr>
          <w:vertAlign w:val="subscript"/>
        </w:rPr>
        <w:t>elec</w:t>
      </w:r>
      <w:proofErr w:type="spellEnd"/>
      <w:r w:rsidR="002D2FDA" w:rsidRPr="00CD3A21">
        <w:t>)</w:t>
      </w:r>
      <w:bookmarkEnd w:id="49"/>
      <w:r w:rsidR="00650E2B" w:rsidRPr="00CD3A21">
        <w:t xml:space="preserve"> </w:t>
      </w:r>
    </w:p>
    <w:p w:rsidR="008E5FAD" w:rsidRPr="00CD3A21" w:rsidRDefault="003E41E1" w:rsidP="003E41E1">
      <w:pPr>
        <w:pStyle w:val="tMain"/>
      </w:pPr>
      <w:r w:rsidRPr="00CD3A21">
        <w:tab/>
      </w:r>
      <w:r w:rsidR="00273574" w:rsidRPr="00CD3A21">
        <w:t>(1)</w:t>
      </w:r>
      <w:r w:rsidRPr="00CD3A21">
        <w:tab/>
      </w:r>
      <w:r w:rsidR="008E5FAD" w:rsidRPr="00CD3A21">
        <w:t xml:space="preserve">Total emissions from the consumption of purchased electricity used to operate the gas capture and combustion </w:t>
      </w:r>
      <w:proofErr w:type="gramStart"/>
      <w:r w:rsidR="008E5FAD" w:rsidRPr="00CD3A21">
        <w:t xml:space="preserve">system </w:t>
      </w:r>
      <w:proofErr w:type="gramEnd"/>
      <m:oMath>
        <m:sSub>
          <m:sSubPr>
            <m:ctrlPr>
              <w:rPr>
                <w:rFonts w:ascii="Cambria Math" w:hAnsi="Cambria Math"/>
              </w:rPr>
            </m:ctrlPr>
          </m:sSubPr>
          <m:e>
            <m:r>
              <m:rPr>
                <m:sty m:val="p"/>
              </m:rPr>
              <w:rPr>
                <w:rFonts w:ascii="Cambria Math"/>
              </w:rPr>
              <m:t>(E</m:t>
            </m:r>
          </m:e>
          <m:sub>
            <m:r>
              <m:rPr>
                <m:sty m:val="p"/>
              </m:rPr>
              <w:rPr>
                <w:rFonts w:ascii="Cambria Math"/>
              </w:rPr>
              <m:t>elec</m:t>
            </m:r>
          </m:sub>
        </m:sSub>
      </m:oMath>
      <w:r w:rsidR="008E5FAD" w:rsidRPr="00CD3A21">
        <w:t xml:space="preserve">) is to be calculated </w:t>
      </w:r>
      <w:r w:rsidRPr="00CD3A21">
        <w:t>as follows</w:t>
      </w:r>
      <w:r w:rsidR="008E5FAD" w:rsidRPr="00CD3A21">
        <w:t>:</w:t>
      </w:r>
    </w:p>
    <w:p w:rsidR="003E41E1" w:rsidRPr="00CD3A21" w:rsidRDefault="003E41E1" w:rsidP="003E41E1">
      <w:pPr>
        <w:pStyle w:val="tPara"/>
      </w:pPr>
      <w:r w:rsidRPr="00CD3A21">
        <w:tab/>
      </w:r>
      <w:r w:rsidR="00273574" w:rsidRPr="00CD3A21">
        <w:t>(a)</w:t>
      </w:r>
      <w:r w:rsidRPr="00CD3A21">
        <w:tab/>
        <w:t>for the consumption of grid derived electricity that occurred before</w:t>
      </w:r>
      <w:r w:rsidR="00EF1261" w:rsidRPr="00CD3A21">
        <w:t xml:space="preserve"> 1 </w:t>
      </w:r>
      <w:r w:rsidRPr="00CD3A21">
        <w:t>July</w:t>
      </w:r>
      <w:r w:rsidR="00E65080" w:rsidRPr="00CD3A21">
        <w:t> </w:t>
      </w:r>
      <w:r w:rsidRPr="00CD3A21">
        <w:t>2012—in accordance with Equation 4.4; and</w:t>
      </w:r>
    </w:p>
    <w:p w:rsidR="003E41E1" w:rsidRPr="00CD3A21" w:rsidRDefault="003E41E1" w:rsidP="003E41E1">
      <w:pPr>
        <w:pStyle w:val="tPara"/>
      </w:pPr>
      <w:r w:rsidRPr="00CD3A21">
        <w:tab/>
      </w:r>
      <w:r w:rsidR="00273574" w:rsidRPr="00CD3A21">
        <w:t>(b)</w:t>
      </w:r>
      <w:r w:rsidRPr="00CD3A21">
        <w:tab/>
      </w:r>
      <w:proofErr w:type="gramStart"/>
      <w:r w:rsidR="00F93B24" w:rsidRPr="00CD3A21">
        <w:t>where</w:t>
      </w:r>
      <w:proofErr w:type="gramEnd"/>
      <w:r w:rsidR="00F93B24" w:rsidRPr="00CD3A21">
        <w:t xml:space="preserve"> the project uses grid derived electricity after 1 July 2012—</w:t>
      </w:r>
      <m:oMath>
        <m:sSub>
          <m:sSubPr>
            <m:ctrlPr>
              <w:rPr>
                <w:rFonts w:ascii="Cambria Math" w:hAnsi="Cambria Math"/>
              </w:rPr>
            </m:ctrlPr>
          </m:sSubPr>
          <m:e>
            <m:r>
              <m:rPr>
                <m:sty m:val="p"/>
              </m:rPr>
              <w:rPr>
                <w:rFonts w:ascii="Cambria Math"/>
              </w:rPr>
              <m:t>E</m:t>
            </m:r>
          </m:e>
          <m:sub>
            <m:r>
              <m:rPr>
                <m:sty m:val="p"/>
              </m:rPr>
              <w:rPr>
                <w:rFonts w:ascii="Cambria Math"/>
              </w:rPr>
              <m:t>elec</m:t>
            </m:r>
          </m:sub>
        </m:sSub>
      </m:oMath>
      <w:r w:rsidR="00F93B24" w:rsidRPr="00CD3A21">
        <w:t xml:space="preserve"> is taken to be zero</w:t>
      </w:r>
      <w:r w:rsidRPr="00CD3A21">
        <w:t>.</w:t>
      </w:r>
    </w:p>
    <w:p w:rsidR="003E41E1" w:rsidRPr="00CD3A21" w:rsidRDefault="003E41E1" w:rsidP="003E41E1">
      <w:pPr>
        <w:pStyle w:val="tMain"/>
      </w:pPr>
      <w:r w:rsidRPr="00CD3A21">
        <w:tab/>
      </w:r>
      <w:r w:rsidR="00273574" w:rsidRPr="00CD3A21">
        <w:t>(2)</w:t>
      </w:r>
      <w:r w:rsidRPr="00CD3A21">
        <w:tab/>
      </w:r>
      <w:r w:rsidR="00BD5F63" w:rsidRPr="00CD3A21">
        <w:t>For paragraph</w:t>
      </w:r>
      <w:r w:rsidRPr="00CD3A21">
        <w:t xml:space="preserve"> </w:t>
      </w:r>
      <w:r w:rsidR="00273574" w:rsidRPr="00CD3A21">
        <w:t>(1</w:t>
      </w:r>
      <w:proofErr w:type="gramStart"/>
      <w:r w:rsidR="00273574" w:rsidRPr="00CD3A21">
        <w:t>)</w:t>
      </w:r>
      <w:r w:rsidR="00BD5F63" w:rsidRPr="00CD3A21">
        <w:t>(</w:t>
      </w:r>
      <w:proofErr w:type="gramEnd"/>
      <w:r w:rsidR="00BD5F63" w:rsidRPr="00CD3A21">
        <w:t>a)</w:t>
      </w:r>
      <w:r w:rsidRPr="00CD3A21">
        <w:t xml:space="preserve">, </w:t>
      </w:r>
      <m:oMath>
        <m:sSub>
          <m:sSubPr>
            <m:ctrlPr>
              <w:rPr>
                <w:rFonts w:ascii="Cambria Math" w:hAnsi="Cambria Math"/>
              </w:rPr>
            </m:ctrlPr>
          </m:sSubPr>
          <m:e>
            <m:r>
              <m:rPr>
                <m:sty m:val="p"/>
              </m:rPr>
              <w:rPr>
                <w:rFonts w:ascii="Cambria Math"/>
              </w:rPr>
              <m:t>E</m:t>
            </m:r>
          </m:e>
          <m:sub>
            <m:r>
              <m:rPr>
                <m:sty m:val="p"/>
              </m:rPr>
              <w:rPr>
                <w:rFonts w:ascii="Cambria Math"/>
              </w:rPr>
              <m:t>elec</m:t>
            </m:r>
          </m:sub>
        </m:sSub>
      </m:oMath>
      <w:r w:rsidRPr="00CD3A21">
        <w:t xml:space="preserve"> must be calculated as follows:</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909"/>
      </w:tblGrid>
      <w:tr w:rsidR="00FB586F" w:rsidRPr="00CD3A21" w:rsidTr="00FB586F">
        <w:tc>
          <w:tcPr>
            <w:tcW w:w="4519" w:type="dxa"/>
          </w:tcPr>
          <w:p w:rsidR="008E5FAD" w:rsidRPr="00CD3A21" w:rsidRDefault="004D69D5" w:rsidP="00DB5C01">
            <w:pPr>
              <w:spacing w:before="120" w:after="120"/>
              <w:jc w:val="center"/>
              <w:rPr>
                <w:b/>
              </w:rPr>
            </w:pPr>
            <m:oMathPara>
              <m:oMath>
                <m:sSub>
                  <m:sSubPr>
                    <m:ctrlPr>
                      <w:rPr>
                        <w:rFonts w:ascii="Cambria Math" w:hAnsi="Cambria Math"/>
                        <w:b/>
                        <w:bCs/>
                      </w:rPr>
                    </m:ctrlPr>
                  </m:sSubPr>
                  <m:e>
                    <m:r>
                      <m:rPr>
                        <m:sty m:val="b"/>
                      </m:rPr>
                      <w:rPr>
                        <w:rFonts w:ascii="Cambria Math"/>
                      </w:rPr>
                      <m:t>E</m:t>
                    </m:r>
                  </m:e>
                  <m:sub>
                    <m:r>
                      <m:rPr>
                        <m:sty m:val="b"/>
                      </m:rPr>
                      <w:rPr>
                        <w:rFonts w:ascii="Cambria Math"/>
                      </w:rPr>
                      <m:t>elec</m:t>
                    </m:r>
                  </m:sub>
                </m:sSub>
                <m:r>
                  <m:rPr>
                    <m:sty m:val="b"/>
                  </m:rPr>
                  <w:rPr>
                    <w:rFonts w:ascii="Cambria Math"/>
                  </w:rPr>
                  <m:t>=</m:t>
                </m:r>
                <m:sSub>
                  <m:sSubPr>
                    <m:ctrlPr>
                      <w:rPr>
                        <w:rFonts w:ascii="Cambria Math" w:hAnsi="Cambria Math"/>
                        <w:b/>
                      </w:rPr>
                    </m:ctrlPr>
                  </m:sSubPr>
                  <m:e>
                    <m:r>
                      <m:rPr>
                        <m:sty m:val="b"/>
                      </m:rPr>
                      <w:rPr>
                        <w:rFonts w:ascii="Cambria Math"/>
                      </w:rPr>
                      <m:t>Q</m:t>
                    </m:r>
                  </m:e>
                  <m:sub>
                    <m:r>
                      <m:rPr>
                        <m:sty m:val="b"/>
                      </m:rPr>
                      <w:rPr>
                        <w:rFonts w:ascii="Cambria Math"/>
                      </w:rPr>
                      <m:t>elec</m:t>
                    </m:r>
                  </m:sub>
                </m:sSub>
                <m:r>
                  <m:rPr>
                    <m:sty m:val="b"/>
                  </m:rPr>
                  <w:rPr>
                    <w:rFonts w:ascii="Cambria Math"/>
                  </w:rPr>
                  <m:t xml:space="preserve"> </m:t>
                </m:r>
                <m:r>
                  <m:rPr>
                    <m:sty m:val="b"/>
                  </m:rPr>
                  <w:rPr>
                    <w:rFonts w:ascii="Cambria Math"/>
                  </w:rPr>
                  <m:t>×</m:t>
                </m:r>
                <m:r>
                  <m:rPr>
                    <m:sty m:val="b"/>
                  </m:rPr>
                  <w:rPr>
                    <w:rFonts w:ascii="Cambria Math"/>
                  </w:rPr>
                  <m:t xml:space="preserve"> </m:t>
                </m:r>
                <m:f>
                  <m:fPr>
                    <m:ctrlPr>
                      <w:rPr>
                        <w:rFonts w:ascii="Cambria Math" w:hAnsi="Cambria Math"/>
                        <w:b/>
                        <w:bCs/>
                      </w:rPr>
                    </m:ctrlPr>
                  </m:fPr>
                  <m:num>
                    <m:r>
                      <m:rPr>
                        <m:sty m:val="b"/>
                      </m:rPr>
                      <w:rPr>
                        <w:rFonts w:ascii="Cambria Math"/>
                      </w:rPr>
                      <m:t>EF</m:t>
                    </m:r>
                  </m:num>
                  <m:den>
                    <m:r>
                      <m:rPr>
                        <m:sty m:val="b"/>
                      </m:rPr>
                      <w:rPr>
                        <w:rFonts w:ascii="Cambria Math"/>
                      </w:rPr>
                      <m:t>1000</m:t>
                    </m:r>
                  </m:den>
                </m:f>
              </m:oMath>
            </m:oMathPara>
          </w:p>
        </w:tc>
        <w:tc>
          <w:tcPr>
            <w:tcW w:w="2909" w:type="dxa"/>
            <w:vAlign w:val="center"/>
          </w:tcPr>
          <w:p w:rsidR="008E5FAD" w:rsidRPr="00CD3A21" w:rsidRDefault="008E5FAD" w:rsidP="00DB5C01">
            <w:pPr>
              <w:spacing w:before="120" w:after="120"/>
              <w:jc w:val="center"/>
              <w:rPr>
                <w:b/>
              </w:rPr>
            </w:pPr>
            <w:r w:rsidRPr="00CD3A21">
              <w:rPr>
                <w:b/>
              </w:rPr>
              <w:t>Equation 4.4</w:t>
            </w:r>
          </w:p>
        </w:tc>
      </w:tr>
    </w:tbl>
    <w:p w:rsidR="008E5FAD" w:rsidRPr="00CD3A21" w:rsidRDefault="00FB586F" w:rsidP="000E2783">
      <w:pPr>
        <w:spacing w:before="120" w:after="120"/>
        <w:ind w:left="273" w:firstLine="720"/>
        <w:jc w:val="both"/>
      </w:pPr>
      <w:r w:rsidRPr="00CD3A21">
        <w:t>W</w:t>
      </w:r>
      <w:r w:rsidR="008E5FAD" w:rsidRPr="00CD3A21">
        <w:t>here:</w:t>
      </w:r>
    </w:p>
    <w:p w:rsidR="008E5FAD" w:rsidRPr="00CD3A21" w:rsidRDefault="004D69D5" w:rsidP="000E2783">
      <w:pPr>
        <w:spacing w:before="120" w:after="120"/>
        <w:ind w:left="1843" w:hanging="850"/>
        <w:jc w:val="both"/>
      </w:pPr>
      <m:oMath>
        <m:sSub>
          <m:sSubPr>
            <m:ctrlPr>
              <w:rPr>
                <w:rFonts w:ascii="Cambria Math" w:hAnsi="Cambria Math"/>
                <w:b/>
                <w:bCs/>
              </w:rPr>
            </m:ctrlPr>
          </m:sSubPr>
          <m:e>
            <m:r>
              <m:rPr>
                <m:sty m:val="b"/>
              </m:rPr>
              <w:rPr>
                <w:rFonts w:ascii="Cambria Math"/>
              </w:rPr>
              <m:t>E</m:t>
            </m:r>
          </m:e>
          <m:sub>
            <m:r>
              <m:rPr>
                <m:sty m:val="b"/>
              </m:rPr>
              <w:rPr>
                <w:rFonts w:ascii="Cambria Math"/>
              </w:rPr>
              <m:t>elec</m:t>
            </m:r>
          </m:sub>
        </m:sSub>
      </m:oMath>
      <w:r w:rsidR="008E5FAD" w:rsidRPr="00CD3A21">
        <w:t xml:space="preserve">= </w:t>
      </w:r>
      <w:r w:rsidR="008E5FAD" w:rsidRPr="00CD3A21">
        <w:tab/>
        <w:t>total emissions from consumption of purchased electricity used to operate the landfill gas extraction system, in tonnes of CO</w:t>
      </w:r>
      <w:r w:rsidR="008E5FAD" w:rsidRPr="00CD3A21">
        <w:rPr>
          <w:vertAlign w:val="subscript"/>
        </w:rPr>
        <w:t>2</w:t>
      </w:r>
      <w:r w:rsidR="008E5FAD" w:rsidRPr="00CD3A21">
        <w:t>-e.</w:t>
      </w:r>
    </w:p>
    <w:p w:rsidR="008E5FAD" w:rsidRPr="00CD3A21" w:rsidRDefault="004D69D5" w:rsidP="000E2783">
      <w:pPr>
        <w:spacing w:before="120" w:after="120"/>
        <w:ind w:left="1843" w:hanging="850"/>
        <w:jc w:val="both"/>
      </w:pPr>
      <m:oMath>
        <m:sSub>
          <m:sSubPr>
            <m:ctrlPr>
              <w:rPr>
                <w:rFonts w:ascii="Cambria Math" w:hAnsi="Cambria Math"/>
                <w:b/>
              </w:rPr>
            </m:ctrlPr>
          </m:sSubPr>
          <m:e>
            <m:r>
              <m:rPr>
                <m:sty m:val="b"/>
              </m:rPr>
              <w:rPr>
                <w:rFonts w:ascii="Cambria Math" w:hAnsi="Cambria Math"/>
              </w:rPr>
              <m:t>Q</m:t>
            </m:r>
          </m:e>
          <m:sub>
            <m:r>
              <m:rPr>
                <m:sty m:val="b"/>
              </m:rPr>
              <w:rPr>
                <w:rFonts w:ascii="Cambria Math" w:hAnsi="Cambria Math"/>
              </w:rPr>
              <m:t>elec</m:t>
            </m:r>
          </m:sub>
        </m:sSub>
      </m:oMath>
      <w:r w:rsidR="008E5FAD" w:rsidRPr="00CD3A21">
        <w:t xml:space="preserve"> = </w:t>
      </w:r>
      <w:r w:rsidR="00FB586F" w:rsidRPr="00CD3A21">
        <w:tab/>
      </w:r>
      <w:r w:rsidR="008E5FAD" w:rsidRPr="00CD3A21">
        <w:rPr>
          <w:iCs/>
        </w:rPr>
        <w:t>quantity</w:t>
      </w:r>
      <w:r w:rsidR="008E5FAD" w:rsidRPr="00CD3A21">
        <w:t xml:space="preserve"> of electricity purchased from the electricity grid (kilowatt hours). If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elec</m:t>
            </m:r>
          </m:sub>
        </m:sSub>
      </m:oMath>
      <w:r w:rsidR="008E5FAD" w:rsidRPr="00CD3A21">
        <w:t xml:space="preserve"> is measured in gigajoules, the quantity of kilowatt hours must be calculated by dividing the amount of gigajoules by the conversion factor of 0.0036.</w:t>
      </w:r>
    </w:p>
    <w:p w:rsidR="008E5FAD" w:rsidRPr="00CD3A21" w:rsidRDefault="008E5FAD" w:rsidP="000E2783">
      <w:pPr>
        <w:spacing w:before="120" w:after="120"/>
        <w:ind w:left="1843" w:hanging="850"/>
        <w:jc w:val="both"/>
      </w:pPr>
      <m:oMath>
        <m:r>
          <m:rPr>
            <m:sty m:val="b"/>
          </m:rPr>
          <w:rPr>
            <w:rFonts w:ascii="Cambria Math" w:hAnsi="Cambria Math"/>
          </w:rPr>
          <m:t>EF</m:t>
        </m:r>
      </m:oMath>
      <w:r w:rsidRPr="00CD3A21">
        <w:rPr>
          <w:b/>
        </w:rPr>
        <w:t xml:space="preserve"> </w:t>
      </w:r>
      <w:r w:rsidRPr="00CD3A21">
        <w:t xml:space="preserve">= </w:t>
      </w:r>
      <w:r w:rsidRPr="00CD3A21">
        <w:tab/>
        <w:t xml:space="preserve">the </w:t>
      </w:r>
      <w:r w:rsidRPr="00CD3A21">
        <w:rPr>
          <w:iCs/>
        </w:rPr>
        <w:t>scope</w:t>
      </w:r>
      <w:r w:rsidRPr="00CD3A21">
        <w:t xml:space="preserve"> 2 emissions factor for the State, Territory or electricity grid in which consumption occurs as prescribed in Part 6 of Schedule 1 of the NGER Measurement Determination, in kg CO</w:t>
      </w:r>
      <w:r w:rsidRPr="00CD3A21">
        <w:rPr>
          <w:vertAlign w:val="subscript"/>
        </w:rPr>
        <w:t>2</w:t>
      </w:r>
      <w:r w:rsidRPr="00CD3A21">
        <w:t>-e per kilowatt hour.</w:t>
      </w:r>
      <w:r w:rsidRPr="00CD3A21">
        <w:rPr>
          <w:color w:val="808080" w:themeColor="background1" w:themeShade="80"/>
        </w:rPr>
        <w:tab/>
      </w:r>
    </w:p>
    <w:p w:rsidR="00E47935" w:rsidRPr="00CD3A21" w:rsidRDefault="00E47935" w:rsidP="00E47935">
      <w:pPr>
        <w:pStyle w:val="h3Div"/>
      </w:pPr>
      <w:bookmarkStart w:id="50" w:name="_Toc357161788"/>
      <w:r w:rsidRPr="00CD3A21">
        <w:lastRenderedPageBreak/>
        <w:t xml:space="preserve">Division </w:t>
      </w:r>
      <w:r w:rsidR="00273574" w:rsidRPr="00CD3A21">
        <w:t>4.3</w:t>
      </w:r>
      <w:r w:rsidRPr="00CD3A21">
        <w:tab/>
        <w:t>Data collection</w:t>
      </w:r>
      <w:bookmarkEnd w:id="50"/>
      <w:r w:rsidR="00650E2B" w:rsidRPr="00CD3A21">
        <w:t xml:space="preserve"> </w:t>
      </w:r>
    </w:p>
    <w:p w:rsidR="00FB586F" w:rsidRPr="00CD3A21" w:rsidRDefault="000C29DD" w:rsidP="00FF0D22">
      <w:pPr>
        <w:pStyle w:val="h5Section"/>
      </w:pPr>
      <w:bookmarkStart w:id="51" w:name="_Toc357161789"/>
      <w:r w:rsidRPr="00CD3A21">
        <w:t>4.17</w:t>
      </w:r>
      <w:r w:rsidR="00FF0D22" w:rsidRPr="00CD3A21">
        <w:tab/>
      </w:r>
      <w:r w:rsidR="00FB586F" w:rsidRPr="00CD3A21">
        <w:t>Data collection procedures and measurement frequency</w:t>
      </w:r>
      <w:bookmarkEnd w:id="51"/>
      <w:r w:rsidR="00840B17" w:rsidRPr="00CD3A21">
        <w:t xml:space="preserve"> </w:t>
      </w:r>
    </w:p>
    <w:p w:rsidR="00FB586F" w:rsidRPr="00CD3A21" w:rsidRDefault="00FB586F" w:rsidP="00FB586F">
      <w:pPr>
        <w:pStyle w:val="tMain"/>
      </w:pPr>
      <w:r w:rsidRPr="00CD3A21">
        <w:tab/>
      </w:r>
      <w:r w:rsidRPr="00CD3A21">
        <w:tab/>
        <w:t>A project proponent must measure the matters specified in the following table, in the manner and frequency specified, for the purposes of calculating baseline emissions and removals and project emissions.</w:t>
      </w:r>
    </w:p>
    <w:p w:rsidR="006C4557" w:rsidRPr="00CD3A21" w:rsidRDefault="00EF1261" w:rsidP="00EF1261">
      <w:pPr>
        <w:pStyle w:val="h6Subsec"/>
        <w:spacing w:after="120"/>
      </w:pPr>
      <w:r w:rsidRPr="00CD3A21">
        <w:t>Table of parameters to be measured</w:t>
      </w:r>
    </w:p>
    <w:tbl>
      <w:tblPr>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559"/>
        <w:gridCol w:w="1701"/>
        <w:gridCol w:w="2551"/>
        <w:gridCol w:w="1737"/>
      </w:tblGrid>
      <w:tr w:rsidR="00FB586F" w:rsidRPr="00CD3A21" w:rsidTr="00EF1261">
        <w:trPr>
          <w:trHeight w:val="463"/>
          <w:tblHeader/>
        </w:trPr>
        <w:tc>
          <w:tcPr>
            <w:tcW w:w="1560" w:type="dxa"/>
            <w:tcBorders>
              <w:bottom w:val="single" w:sz="4" w:space="0" w:color="000000"/>
            </w:tcBorders>
            <w:shd w:val="clear" w:color="auto" w:fill="auto"/>
          </w:tcPr>
          <w:p w:rsidR="00FB586F" w:rsidRPr="00CD3A21" w:rsidRDefault="00FB586F" w:rsidP="00DB5C01">
            <w:pPr>
              <w:pStyle w:val="TableColHead"/>
              <w:spacing w:after="120" w:line="240" w:lineRule="auto"/>
              <w:rPr>
                <w:rFonts w:ascii="Times New Roman" w:hAnsi="Times New Roman"/>
                <w:sz w:val="24"/>
              </w:rPr>
            </w:pPr>
            <w:r w:rsidRPr="00CD3A21">
              <w:rPr>
                <w:rFonts w:ascii="Times New Roman" w:hAnsi="Times New Roman"/>
                <w:sz w:val="24"/>
              </w:rPr>
              <w:t>Parameter</w:t>
            </w:r>
          </w:p>
        </w:tc>
        <w:tc>
          <w:tcPr>
            <w:tcW w:w="1559" w:type="dxa"/>
            <w:tcBorders>
              <w:bottom w:val="single" w:sz="4" w:space="0" w:color="000000"/>
            </w:tcBorders>
            <w:shd w:val="clear" w:color="auto" w:fill="auto"/>
          </w:tcPr>
          <w:p w:rsidR="00FB586F" w:rsidRPr="00CD3A21" w:rsidRDefault="00FB586F" w:rsidP="00DB5C01">
            <w:pPr>
              <w:pStyle w:val="TableColHead"/>
              <w:spacing w:after="120" w:line="240" w:lineRule="auto"/>
              <w:rPr>
                <w:rFonts w:ascii="Times New Roman" w:hAnsi="Times New Roman"/>
                <w:sz w:val="24"/>
              </w:rPr>
            </w:pPr>
            <w:r w:rsidRPr="00CD3A21">
              <w:rPr>
                <w:rFonts w:ascii="Times New Roman" w:hAnsi="Times New Roman"/>
                <w:sz w:val="24"/>
              </w:rPr>
              <w:t>Description</w:t>
            </w:r>
          </w:p>
        </w:tc>
        <w:tc>
          <w:tcPr>
            <w:tcW w:w="1701" w:type="dxa"/>
            <w:tcBorders>
              <w:bottom w:val="single" w:sz="4" w:space="0" w:color="000000"/>
            </w:tcBorders>
            <w:shd w:val="clear" w:color="auto" w:fill="auto"/>
          </w:tcPr>
          <w:p w:rsidR="00FB586F" w:rsidRPr="00CD3A21" w:rsidRDefault="00FB586F" w:rsidP="00DB5C01">
            <w:pPr>
              <w:pStyle w:val="TableColHead"/>
              <w:spacing w:after="120" w:line="240" w:lineRule="auto"/>
              <w:rPr>
                <w:rFonts w:ascii="Times New Roman" w:hAnsi="Times New Roman"/>
                <w:sz w:val="24"/>
              </w:rPr>
            </w:pPr>
            <w:r w:rsidRPr="00CD3A21">
              <w:rPr>
                <w:rFonts w:ascii="Times New Roman" w:hAnsi="Times New Roman"/>
                <w:sz w:val="24"/>
              </w:rPr>
              <w:t>Unit</w:t>
            </w:r>
          </w:p>
        </w:tc>
        <w:tc>
          <w:tcPr>
            <w:tcW w:w="2551" w:type="dxa"/>
            <w:tcBorders>
              <w:bottom w:val="single" w:sz="4" w:space="0" w:color="000000"/>
            </w:tcBorders>
            <w:shd w:val="clear" w:color="auto" w:fill="auto"/>
          </w:tcPr>
          <w:p w:rsidR="00FB586F" w:rsidRPr="00CD3A21" w:rsidRDefault="00FB586F" w:rsidP="00DB5C01">
            <w:pPr>
              <w:pStyle w:val="TableColHead"/>
              <w:spacing w:after="120" w:line="240" w:lineRule="auto"/>
              <w:rPr>
                <w:rFonts w:ascii="Times New Roman" w:hAnsi="Times New Roman"/>
                <w:sz w:val="24"/>
              </w:rPr>
            </w:pPr>
            <w:r w:rsidRPr="00CD3A21">
              <w:rPr>
                <w:rFonts w:ascii="Times New Roman" w:hAnsi="Times New Roman"/>
                <w:sz w:val="24"/>
              </w:rPr>
              <w:t>Measurement Procedure</w:t>
            </w:r>
          </w:p>
        </w:tc>
        <w:tc>
          <w:tcPr>
            <w:tcW w:w="1737" w:type="dxa"/>
            <w:tcBorders>
              <w:bottom w:val="single" w:sz="4" w:space="0" w:color="000000"/>
            </w:tcBorders>
            <w:shd w:val="clear" w:color="auto" w:fill="auto"/>
          </w:tcPr>
          <w:p w:rsidR="00FB586F" w:rsidRPr="00CD3A21" w:rsidRDefault="00FB586F" w:rsidP="00DB5C01">
            <w:pPr>
              <w:pStyle w:val="TableColHead"/>
              <w:spacing w:after="120" w:line="240" w:lineRule="auto"/>
              <w:rPr>
                <w:rFonts w:ascii="Times New Roman" w:hAnsi="Times New Roman"/>
                <w:sz w:val="24"/>
              </w:rPr>
            </w:pPr>
            <w:r w:rsidRPr="00CD3A21">
              <w:rPr>
                <w:rFonts w:ascii="Times New Roman" w:hAnsi="Times New Roman"/>
                <w:sz w:val="24"/>
              </w:rPr>
              <w:t>Measurement Frequency</w:t>
            </w:r>
          </w:p>
        </w:tc>
      </w:tr>
      <w:tr w:rsidR="00FB586F" w:rsidRPr="00CD3A21" w:rsidTr="00EF1261">
        <w:trPr>
          <w:trHeight w:val="250"/>
        </w:trPr>
        <w:tc>
          <w:tcPr>
            <w:tcW w:w="9108" w:type="dxa"/>
            <w:gridSpan w:val="5"/>
          </w:tcPr>
          <w:p w:rsidR="00FB586F" w:rsidRPr="00CD3A21" w:rsidRDefault="00FB586F" w:rsidP="00DB5C01">
            <w:pPr>
              <w:pStyle w:val="TableColHead"/>
              <w:spacing w:after="120" w:line="240" w:lineRule="auto"/>
              <w:rPr>
                <w:rFonts w:ascii="Times New Roman" w:hAnsi="Times New Roman"/>
                <w:sz w:val="24"/>
              </w:rPr>
            </w:pPr>
            <w:proofErr w:type="spellStart"/>
            <w:r w:rsidRPr="00CD3A21">
              <w:rPr>
                <w:rFonts w:ascii="Times New Roman" w:hAnsi="Times New Roman"/>
                <w:sz w:val="24"/>
              </w:rPr>
              <w:t>PigBal</w:t>
            </w:r>
            <w:proofErr w:type="spellEnd"/>
            <w:r w:rsidRPr="00CD3A21">
              <w:rPr>
                <w:rFonts w:ascii="Times New Roman" w:hAnsi="Times New Roman"/>
                <w:sz w:val="24"/>
              </w:rPr>
              <w:t xml:space="preserve"> inputs to determine VS </w:t>
            </w:r>
          </w:p>
        </w:tc>
      </w:tr>
      <w:tr w:rsidR="00FB586F" w:rsidRPr="00CD3A21" w:rsidTr="00EF1261">
        <w:trPr>
          <w:trHeight w:val="463"/>
        </w:trPr>
        <w:tc>
          <w:tcPr>
            <w:tcW w:w="1560" w:type="dxa"/>
          </w:tcPr>
          <w:p w:rsidR="00FB586F" w:rsidRPr="00CD3A21" w:rsidRDefault="00FB586F" w:rsidP="00DB5C01">
            <w:pPr>
              <w:pStyle w:val="TableText"/>
              <w:spacing w:before="120" w:after="120" w:line="240" w:lineRule="auto"/>
            </w:pPr>
            <w:r w:rsidRPr="00CD3A21">
              <w:t>Pig numbers</w:t>
            </w:r>
          </w:p>
          <w:p w:rsidR="00FB586F" w:rsidRPr="00CD3A21" w:rsidRDefault="00FB586F" w:rsidP="00DB5C01">
            <w:pPr>
              <w:pStyle w:val="TableText"/>
              <w:spacing w:before="120" w:after="120" w:line="240" w:lineRule="auto"/>
            </w:pPr>
          </w:p>
        </w:tc>
        <w:tc>
          <w:tcPr>
            <w:tcW w:w="1559" w:type="dxa"/>
          </w:tcPr>
          <w:p w:rsidR="00FB586F" w:rsidRPr="00CD3A21" w:rsidRDefault="00FB586F" w:rsidP="006C4557">
            <w:pPr>
              <w:pStyle w:val="TableText"/>
              <w:spacing w:before="120" w:after="120" w:line="240" w:lineRule="auto"/>
            </w:pPr>
            <w:r w:rsidRPr="00CD3A21">
              <w:t>Th</w:t>
            </w:r>
            <w:r w:rsidR="006C4557" w:rsidRPr="00CD3A21">
              <w:t>e</w:t>
            </w:r>
            <w:r w:rsidRPr="00CD3A21">
              <w:t xml:space="preserve"> number of pigs in each class housed in the shed.</w:t>
            </w:r>
          </w:p>
        </w:tc>
        <w:tc>
          <w:tcPr>
            <w:tcW w:w="1701" w:type="dxa"/>
            <w:shd w:val="clear" w:color="auto" w:fill="auto"/>
          </w:tcPr>
          <w:p w:rsidR="00FB586F" w:rsidRPr="00CD3A21" w:rsidRDefault="00FB586F" w:rsidP="00DB5C01">
            <w:pPr>
              <w:pStyle w:val="TableText"/>
              <w:spacing w:before="120" w:after="120" w:line="240" w:lineRule="auto"/>
            </w:pPr>
            <w:r w:rsidRPr="00CD3A21">
              <w:t>Number per class</w:t>
            </w:r>
          </w:p>
          <w:p w:rsidR="00FB586F" w:rsidRPr="00CD3A21" w:rsidRDefault="00FB586F" w:rsidP="00DB5C01">
            <w:pPr>
              <w:pStyle w:val="TableText"/>
              <w:spacing w:before="120" w:after="120" w:line="240" w:lineRule="auto"/>
            </w:pPr>
            <w:r w:rsidRPr="00CD3A21">
              <w:t>(</w:t>
            </w:r>
            <w:proofErr w:type="gramStart"/>
            <w:r w:rsidRPr="00CD3A21">
              <w:t>class</w:t>
            </w:r>
            <w:proofErr w:type="gramEnd"/>
            <w:r w:rsidRPr="00CD3A21">
              <w:t xml:space="preserve"> as defined within the worksheet entitled “Herd Input Data” in the </w:t>
            </w:r>
            <w:proofErr w:type="spellStart"/>
            <w:r w:rsidRPr="00CD3A21">
              <w:t>PigBal</w:t>
            </w:r>
            <w:proofErr w:type="spellEnd"/>
            <w:r w:rsidRPr="00CD3A21">
              <w:t xml:space="preserve"> workbook).</w:t>
            </w:r>
          </w:p>
        </w:tc>
        <w:tc>
          <w:tcPr>
            <w:tcW w:w="2551" w:type="dxa"/>
          </w:tcPr>
          <w:p w:rsidR="00FB586F" w:rsidRPr="00CD3A21" w:rsidRDefault="00FB586F" w:rsidP="00DB5C01">
            <w:pPr>
              <w:pStyle w:val="TableText"/>
              <w:spacing w:before="120" w:after="120" w:line="240" w:lineRule="auto"/>
            </w:pPr>
            <w:r w:rsidRPr="00CD3A21">
              <w:t>From shed records</w:t>
            </w:r>
            <w:r w:rsidR="003E41E1" w:rsidRPr="00CD3A21">
              <w:t>.</w:t>
            </w:r>
            <w:r w:rsidRPr="00CD3A21">
              <w:t xml:space="preserve"> </w:t>
            </w:r>
          </w:p>
        </w:tc>
        <w:tc>
          <w:tcPr>
            <w:tcW w:w="1737" w:type="dxa"/>
          </w:tcPr>
          <w:p w:rsidR="00FB586F" w:rsidRPr="00CD3A21" w:rsidRDefault="00062784" w:rsidP="00DB5C01">
            <w:pPr>
              <w:pStyle w:val="TableText"/>
              <w:spacing w:before="120" w:after="120" w:line="240" w:lineRule="auto"/>
            </w:pPr>
            <w:r w:rsidRPr="00CD3A21">
              <w:t>Monthly</w:t>
            </w:r>
            <w:r w:rsidR="00B21779" w:rsidRPr="00CD3A21">
              <w:t>;</w:t>
            </w:r>
            <w:r w:rsidRPr="00CD3A21">
              <w:t xml:space="preserve"> or following destocking, herd expansion or herd mix changes, weekly until numbers stabilise</w:t>
            </w:r>
            <w:r w:rsidR="003E41E1" w:rsidRPr="00CD3A21">
              <w:t>.</w:t>
            </w:r>
          </w:p>
          <w:p w:rsidR="003E41E1" w:rsidRPr="00CD3A21" w:rsidRDefault="003E41E1" w:rsidP="00DB5C01">
            <w:pPr>
              <w:pStyle w:val="TableText"/>
              <w:spacing w:before="120" w:after="120" w:line="240" w:lineRule="auto"/>
              <w:rPr>
                <w:sz w:val="18"/>
                <w:szCs w:val="18"/>
              </w:rPr>
            </w:pPr>
          </w:p>
        </w:tc>
      </w:tr>
      <w:tr w:rsidR="00FB586F" w:rsidRPr="00CD3A21" w:rsidTr="00EF1261">
        <w:trPr>
          <w:trHeight w:val="463"/>
        </w:trPr>
        <w:tc>
          <w:tcPr>
            <w:tcW w:w="1560" w:type="dxa"/>
          </w:tcPr>
          <w:p w:rsidR="00FB586F" w:rsidRPr="00CD3A21" w:rsidRDefault="00FB586F" w:rsidP="00DB5C01">
            <w:pPr>
              <w:pStyle w:val="TableText"/>
              <w:spacing w:before="120" w:after="120" w:line="240" w:lineRule="auto"/>
            </w:pPr>
            <w:r w:rsidRPr="00CD3A21">
              <w:t>Feed used</w:t>
            </w:r>
          </w:p>
          <w:p w:rsidR="00FB586F" w:rsidRPr="00CD3A21" w:rsidRDefault="00FB586F" w:rsidP="00DB5C01">
            <w:pPr>
              <w:pStyle w:val="TableText"/>
              <w:spacing w:before="120" w:after="120" w:line="240" w:lineRule="auto"/>
            </w:pPr>
          </w:p>
        </w:tc>
        <w:tc>
          <w:tcPr>
            <w:tcW w:w="1559" w:type="dxa"/>
          </w:tcPr>
          <w:p w:rsidR="00FB586F" w:rsidRPr="00CD3A21" w:rsidRDefault="00FB586F" w:rsidP="00DB5C01">
            <w:pPr>
              <w:pStyle w:val="TableText"/>
              <w:spacing w:before="120" w:after="120" w:line="240" w:lineRule="auto"/>
            </w:pPr>
            <w:r w:rsidRPr="00CD3A21">
              <w:t xml:space="preserve">For each type of feed mix used, the weight delivered to the facility minus the stockpile </w:t>
            </w:r>
            <w:proofErr w:type="gramStart"/>
            <w:r w:rsidRPr="00CD3A21">
              <w:t>remaining  each</w:t>
            </w:r>
            <w:proofErr w:type="gramEnd"/>
            <w:r w:rsidRPr="00CD3A21">
              <w:t xml:space="preserve"> year.</w:t>
            </w:r>
          </w:p>
        </w:tc>
        <w:tc>
          <w:tcPr>
            <w:tcW w:w="1701" w:type="dxa"/>
          </w:tcPr>
          <w:p w:rsidR="00FB586F" w:rsidRPr="00CD3A21" w:rsidRDefault="00FB586F" w:rsidP="00DB5C01">
            <w:pPr>
              <w:pStyle w:val="TableText"/>
              <w:spacing w:before="120" w:after="120" w:line="240" w:lineRule="auto"/>
            </w:pPr>
            <w:r w:rsidRPr="00CD3A21">
              <w:t xml:space="preserve">Kg feed type as defined within the worksheet entitled “Feed Details” in the </w:t>
            </w:r>
            <w:proofErr w:type="spellStart"/>
            <w:r w:rsidRPr="00CD3A21">
              <w:t>PigBal</w:t>
            </w:r>
            <w:proofErr w:type="spellEnd"/>
            <w:r w:rsidRPr="00CD3A21">
              <w:t xml:space="preserve"> workbook.</w:t>
            </w:r>
          </w:p>
        </w:tc>
        <w:tc>
          <w:tcPr>
            <w:tcW w:w="2551" w:type="dxa"/>
          </w:tcPr>
          <w:p w:rsidR="00FB586F" w:rsidRPr="00CD3A21" w:rsidRDefault="00FB586F" w:rsidP="00DB5C01">
            <w:pPr>
              <w:pStyle w:val="TableText"/>
              <w:spacing w:before="120" w:after="120" w:line="240" w:lineRule="auto"/>
            </w:pPr>
            <w:r w:rsidRPr="00CD3A21">
              <w:t>From delivery records</w:t>
            </w:r>
            <w:r w:rsidR="003E41E1" w:rsidRPr="00CD3A21">
              <w:t>.</w:t>
            </w:r>
          </w:p>
        </w:tc>
        <w:tc>
          <w:tcPr>
            <w:tcW w:w="1737" w:type="dxa"/>
          </w:tcPr>
          <w:p w:rsidR="00FB586F" w:rsidRPr="00CD3A21" w:rsidRDefault="00062784" w:rsidP="00DB5C01">
            <w:pPr>
              <w:pStyle w:val="TableText"/>
              <w:spacing w:before="120" w:after="120" w:line="240" w:lineRule="auto"/>
            </w:pPr>
            <w:r w:rsidRPr="00CD3A21">
              <w:t>Monthly</w:t>
            </w:r>
            <w:r w:rsidR="003E41E1" w:rsidRPr="00CD3A21">
              <w:t>.</w:t>
            </w:r>
          </w:p>
          <w:p w:rsidR="003E41E1" w:rsidRPr="00CD3A21" w:rsidRDefault="003E41E1" w:rsidP="00DB5C01">
            <w:pPr>
              <w:pStyle w:val="TableText"/>
              <w:spacing w:before="120" w:after="120" w:line="240" w:lineRule="auto"/>
            </w:pPr>
          </w:p>
        </w:tc>
      </w:tr>
      <w:tr w:rsidR="00FB586F" w:rsidRPr="00CD3A21" w:rsidTr="00EF1261">
        <w:trPr>
          <w:trHeight w:val="463"/>
        </w:trPr>
        <w:tc>
          <w:tcPr>
            <w:tcW w:w="1560" w:type="dxa"/>
          </w:tcPr>
          <w:p w:rsidR="00FB586F" w:rsidRPr="00CD3A21" w:rsidRDefault="00FB586F" w:rsidP="00DB5C01">
            <w:pPr>
              <w:pStyle w:val="TableText"/>
              <w:spacing w:before="120" w:after="120" w:line="240" w:lineRule="auto"/>
            </w:pPr>
            <w:r w:rsidRPr="00CD3A21">
              <w:t>Pre</w:t>
            </w:r>
            <w:r w:rsidRPr="00CD3A21">
              <w:noBreakHyphen/>
              <w:t>treatment screening</w:t>
            </w:r>
          </w:p>
        </w:tc>
        <w:tc>
          <w:tcPr>
            <w:tcW w:w="1559" w:type="dxa"/>
          </w:tcPr>
          <w:p w:rsidR="00FB586F" w:rsidRPr="00CD3A21" w:rsidRDefault="00FB586F" w:rsidP="00DB5C01">
            <w:pPr>
              <w:pStyle w:val="TableText"/>
              <w:spacing w:before="120" w:after="120" w:line="240" w:lineRule="auto"/>
            </w:pPr>
            <w:r w:rsidRPr="00CD3A21">
              <w:t>Presence or absence of screens.</w:t>
            </w:r>
          </w:p>
        </w:tc>
        <w:tc>
          <w:tcPr>
            <w:tcW w:w="1701" w:type="dxa"/>
          </w:tcPr>
          <w:p w:rsidR="00FB586F" w:rsidRPr="00CD3A21" w:rsidRDefault="00FB586F" w:rsidP="00DB5C01">
            <w:pPr>
              <w:pStyle w:val="TableText"/>
              <w:spacing w:before="120" w:after="120" w:line="240" w:lineRule="auto"/>
            </w:pPr>
            <w:r w:rsidRPr="00CD3A21">
              <w:t xml:space="preserve">As defined within the worksheet entitled “Assumptions” in the </w:t>
            </w:r>
            <w:proofErr w:type="spellStart"/>
            <w:r w:rsidRPr="00CD3A21">
              <w:t>PigBal</w:t>
            </w:r>
            <w:proofErr w:type="spellEnd"/>
            <w:r w:rsidRPr="00CD3A21">
              <w:t xml:space="preserve"> workbook.</w:t>
            </w:r>
          </w:p>
        </w:tc>
        <w:tc>
          <w:tcPr>
            <w:tcW w:w="2551" w:type="dxa"/>
          </w:tcPr>
          <w:p w:rsidR="00FB586F" w:rsidRPr="00CD3A21" w:rsidRDefault="00FB586F" w:rsidP="00DB5C01">
            <w:pPr>
              <w:pStyle w:val="TableText"/>
              <w:spacing w:before="120" w:after="120" w:line="240" w:lineRule="auto"/>
            </w:pPr>
            <w:r w:rsidRPr="00CD3A21">
              <w:t>From shed maintenance records</w:t>
            </w:r>
            <w:r w:rsidR="003E41E1" w:rsidRPr="00CD3A21">
              <w:t>.</w:t>
            </w:r>
          </w:p>
        </w:tc>
        <w:tc>
          <w:tcPr>
            <w:tcW w:w="1737" w:type="dxa"/>
          </w:tcPr>
          <w:p w:rsidR="00FB586F" w:rsidRPr="00CD3A21" w:rsidRDefault="00FB586F" w:rsidP="00DB5C01">
            <w:pPr>
              <w:pStyle w:val="TableText"/>
              <w:spacing w:before="120" w:after="120" w:line="240" w:lineRule="auto"/>
            </w:pPr>
            <w:r w:rsidRPr="00CD3A21">
              <w:t>Addition or removal</w:t>
            </w:r>
            <w:r w:rsidR="003E41E1" w:rsidRPr="00CD3A21">
              <w:t>.</w:t>
            </w:r>
          </w:p>
        </w:tc>
      </w:tr>
      <w:tr w:rsidR="00FB586F" w:rsidRPr="00CD3A21" w:rsidTr="00EF1261">
        <w:trPr>
          <w:trHeight w:val="252"/>
        </w:trPr>
        <w:tc>
          <w:tcPr>
            <w:tcW w:w="9108" w:type="dxa"/>
            <w:gridSpan w:val="5"/>
          </w:tcPr>
          <w:p w:rsidR="00FB586F" w:rsidRPr="00CD3A21" w:rsidRDefault="00FB586F" w:rsidP="00DB5C01">
            <w:pPr>
              <w:pStyle w:val="TableColHead"/>
              <w:spacing w:after="120" w:line="240" w:lineRule="auto"/>
              <w:rPr>
                <w:rFonts w:ascii="Times New Roman" w:hAnsi="Times New Roman"/>
              </w:rPr>
            </w:pPr>
            <w:r w:rsidRPr="00CD3A21">
              <w:rPr>
                <w:rFonts w:ascii="Times New Roman" w:hAnsi="Times New Roman"/>
                <w:sz w:val="24"/>
              </w:rPr>
              <w:lastRenderedPageBreak/>
              <w:t>Data collection for abatement calculations</w:t>
            </w:r>
          </w:p>
        </w:tc>
      </w:tr>
      <w:tr w:rsidR="00FB586F" w:rsidRPr="00CD3A21" w:rsidTr="00EF1261">
        <w:trPr>
          <w:trHeight w:val="463"/>
        </w:trPr>
        <w:tc>
          <w:tcPr>
            <w:tcW w:w="1560" w:type="dxa"/>
          </w:tcPr>
          <w:p w:rsidR="00FB586F" w:rsidRPr="00CD3A21" w:rsidRDefault="00FB586F" w:rsidP="00DB5C01">
            <w:pPr>
              <w:pStyle w:val="TableText"/>
              <w:spacing w:before="120" w:after="120" w:line="240" w:lineRule="auto"/>
            </w:pPr>
            <w:proofErr w:type="spellStart"/>
            <w:r w:rsidRPr="00CD3A21">
              <w:t>Q</w:t>
            </w:r>
            <w:r w:rsidRPr="00CD3A21">
              <w:rPr>
                <w:vertAlign w:val="subscript"/>
              </w:rPr>
              <w:t>biogas,h</w:t>
            </w:r>
            <w:proofErr w:type="spellEnd"/>
          </w:p>
        </w:tc>
        <w:tc>
          <w:tcPr>
            <w:tcW w:w="1559" w:type="dxa"/>
          </w:tcPr>
          <w:p w:rsidR="00FB586F" w:rsidRPr="00CD3A21" w:rsidRDefault="00FB586F" w:rsidP="00DB5C01">
            <w:pPr>
              <w:pStyle w:val="TableText"/>
              <w:spacing w:before="120" w:after="120" w:line="240" w:lineRule="auto"/>
            </w:pPr>
            <w:r w:rsidRPr="00CD3A21">
              <w:t>Quantity of biogas sent to  combustion  device h.</w:t>
            </w:r>
          </w:p>
        </w:tc>
        <w:tc>
          <w:tcPr>
            <w:tcW w:w="1701" w:type="dxa"/>
          </w:tcPr>
          <w:p w:rsidR="00FB586F" w:rsidRPr="00CD3A21" w:rsidRDefault="00334087" w:rsidP="00DB5C01">
            <w:pPr>
              <w:pStyle w:val="TableText"/>
              <w:spacing w:before="120" w:after="120" w:line="240" w:lineRule="auto"/>
            </w:pPr>
            <w:r w:rsidRPr="00CD3A21">
              <w:t>Cubic metres (</w:t>
            </w:r>
            <w:r w:rsidR="00FB586F" w:rsidRPr="00CD3A21">
              <w:t>m</w:t>
            </w:r>
            <w:r w:rsidR="00FB586F" w:rsidRPr="00CD3A21">
              <w:rPr>
                <w:vertAlign w:val="superscript"/>
              </w:rPr>
              <w:t>3</w:t>
            </w:r>
            <w:r w:rsidRPr="00CD3A21">
              <w:t>)</w:t>
            </w:r>
            <w:r w:rsidR="00EF1261" w:rsidRPr="00CD3A21">
              <w:t>.</w:t>
            </w:r>
          </w:p>
        </w:tc>
        <w:tc>
          <w:tcPr>
            <w:tcW w:w="2551" w:type="dxa"/>
          </w:tcPr>
          <w:p w:rsidR="00FB586F" w:rsidRPr="00CD3A21" w:rsidRDefault="00FB586F" w:rsidP="00334087">
            <w:pPr>
              <w:pStyle w:val="TableText"/>
              <w:spacing w:before="120" w:after="120" w:line="240" w:lineRule="auto"/>
            </w:pPr>
            <w:r w:rsidRPr="00CD3A21">
              <w:t xml:space="preserve">The standards and protocol for measurement are outlined at </w:t>
            </w:r>
            <w:r w:rsidR="00076E88" w:rsidRPr="00CD3A21">
              <w:t>section </w:t>
            </w:r>
            <w:r w:rsidR="00273574" w:rsidRPr="00CD3A21">
              <w:t>4.18</w:t>
            </w:r>
            <w:r w:rsidRPr="00CD3A21">
              <w:t>.</w:t>
            </w:r>
          </w:p>
        </w:tc>
        <w:tc>
          <w:tcPr>
            <w:tcW w:w="1737" w:type="dxa"/>
          </w:tcPr>
          <w:p w:rsidR="00FB586F" w:rsidRPr="00CD3A21" w:rsidRDefault="003966C6" w:rsidP="00DB5C01">
            <w:pPr>
              <w:pStyle w:val="TableText"/>
              <w:spacing w:before="120" w:after="120" w:line="240" w:lineRule="auto"/>
            </w:pPr>
            <w:r w:rsidRPr="00CD3A21">
              <w:t>Continuous monitoring—</w:t>
            </w:r>
            <w:r w:rsidR="00FB586F" w:rsidRPr="00CD3A21">
              <w:t>an average value in a time interval not greater than 1 hour.</w:t>
            </w:r>
          </w:p>
        </w:tc>
      </w:tr>
      <w:tr w:rsidR="003E41E1" w:rsidRPr="00CD3A21" w:rsidTr="00EF1261">
        <w:trPr>
          <w:trHeight w:val="3066"/>
        </w:trPr>
        <w:tc>
          <w:tcPr>
            <w:tcW w:w="1560" w:type="dxa"/>
          </w:tcPr>
          <w:p w:rsidR="003E41E1" w:rsidRPr="00CD3A21" w:rsidRDefault="003E41E1" w:rsidP="00DB5C01">
            <w:pPr>
              <w:pStyle w:val="TableText"/>
              <w:spacing w:before="120" w:after="120" w:line="240" w:lineRule="auto"/>
            </w:pPr>
            <w:r w:rsidRPr="00CD3A21">
              <w:t>Flare operating conditions</w:t>
            </w:r>
          </w:p>
        </w:tc>
        <w:tc>
          <w:tcPr>
            <w:tcW w:w="1559" w:type="dxa"/>
          </w:tcPr>
          <w:p w:rsidR="003E41E1" w:rsidRPr="00CD3A21" w:rsidRDefault="00C364E8" w:rsidP="003E41E1">
            <w:pPr>
              <w:pStyle w:val="TableText"/>
              <w:spacing w:before="120" w:after="120" w:line="240" w:lineRule="auto"/>
            </w:pPr>
            <w:r w:rsidRPr="00CD3A21">
              <w:t>Flare operation detection</w:t>
            </w:r>
            <w:r w:rsidR="00125738" w:rsidRPr="00CD3A21">
              <w:t>,</w:t>
            </w:r>
            <w:r w:rsidRPr="00CD3A21">
              <w:t xml:space="preserve"> and for enclosed flares</w:t>
            </w:r>
            <w:r w:rsidR="00125738" w:rsidRPr="00CD3A21">
              <w:t>,</w:t>
            </w:r>
            <w:r w:rsidRPr="00CD3A21">
              <w:t xml:space="preserve"> the flame temperature</w:t>
            </w:r>
            <w:r w:rsidR="003E41E1" w:rsidRPr="00CD3A21">
              <w:t>.</w:t>
            </w:r>
          </w:p>
        </w:tc>
        <w:tc>
          <w:tcPr>
            <w:tcW w:w="1701" w:type="dxa"/>
          </w:tcPr>
          <w:p w:rsidR="003E41E1" w:rsidRPr="00CD3A21" w:rsidRDefault="00C364E8" w:rsidP="008A1E2B">
            <w:pPr>
              <w:pStyle w:val="TableText"/>
              <w:spacing w:before="120" w:after="120" w:line="240" w:lineRule="auto"/>
            </w:pPr>
            <w:r w:rsidRPr="00CD3A21">
              <w:t>All</w:t>
            </w:r>
            <w:r w:rsidR="003E41E1" w:rsidRPr="00CD3A21">
              <w:t xml:space="preserve"> flare</w:t>
            </w:r>
            <w:r w:rsidRPr="00CD3A21">
              <w:t>s</w:t>
            </w:r>
            <w:r w:rsidR="003E41E1" w:rsidRPr="00CD3A21">
              <w:t>—on or off;</w:t>
            </w:r>
          </w:p>
          <w:p w:rsidR="003E41E1" w:rsidRPr="00CD3A21" w:rsidRDefault="00C364E8" w:rsidP="008A1E2B">
            <w:pPr>
              <w:pStyle w:val="TableText"/>
              <w:spacing w:before="120" w:after="120" w:line="240" w:lineRule="auto"/>
            </w:pPr>
            <w:r w:rsidRPr="00CD3A21">
              <w:t>and</w:t>
            </w:r>
          </w:p>
          <w:p w:rsidR="003E41E1" w:rsidRPr="00CD3A21" w:rsidRDefault="003E41E1" w:rsidP="003E41E1">
            <w:pPr>
              <w:pStyle w:val="TableText"/>
              <w:spacing w:before="120" w:after="120" w:line="240" w:lineRule="auto"/>
            </w:pPr>
            <w:proofErr w:type="gramStart"/>
            <w:r w:rsidRPr="00CD3A21">
              <w:t>enclosed</w:t>
            </w:r>
            <w:proofErr w:type="gramEnd"/>
            <w:r w:rsidRPr="00CD3A21">
              <w:t xml:space="preserve"> flare</w:t>
            </w:r>
            <w:r w:rsidR="00C364E8" w:rsidRPr="00CD3A21">
              <w:t>s</w:t>
            </w:r>
            <w:r w:rsidRPr="00CD3A21">
              <w:t>—degrees Celsius</w:t>
            </w:r>
            <w:r w:rsidR="00C364E8" w:rsidRPr="00CD3A21">
              <w:t>.</w:t>
            </w:r>
          </w:p>
        </w:tc>
        <w:tc>
          <w:tcPr>
            <w:tcW w:w="2551" w:type="dxa"/>
          </w:tcPr>
          <w:p w:rsidR="003E41E1" w:rsidRPr="00CD3A21" w:rsidRDefault="00B21779" w:rsidP="00A35D36">
            <w:pPr>
              <w:pStyle w:val="TableText"/>
              <w:spacing w:before="120" w:after="120" w:line="240" w:lineRule="auto"/>
            </w:pPr>
            <w:r w:rsidRPr="00CD3A21">
              <w:t>All</w:t>
            </w:r>
            <w:r w:rsidR="003E41E1" w:rsidRPr="00CD3A21">
              <w:t xml:space="preserve"> flare</w:t>
            </w:r>
            <w:r w:rsidRPr="00CD3A21">
              <w:t>s</w:t>
            </w:r>
            <w:r w:rsidR="003E41E1" w:rsidRPr="00CD3A21">
              <w:t>—automated flame detection using an ultraviolet beam sensor, thermocouple</w:t>
            </w:r>
            <w:r w:rsidR="00A35D36" w:rsidRPr="00CD3A21">
              <w:t>,</w:t>
            </w:r>
            <w:r w:rsidR="003E41E1" w:rsidRPr="00CD3A21">
              <w:t xml:space="preserve"> </w:t>
            </w:r>
            <w:r w:rsidR="00F93B24" w:rsidRPr="00CD3A21">
              <w:t>temperature sensor</w:t>
            </w:r>
            <w:r w:rsidR="00A35D36" w:rsidRPr="00CD3A21">
              <w:t>,</w:t>
            </w:r>
            <w:r w:rsidR="00F93B24" w:rsidRPr="00CD3A21">
              <w:t xml:space="preserve"> </w:t>
            </w:r>
            <w:r w:rsidR="003E41E1" w:rsidRPr="00CD3A21">
              <w:t>or equivalent device.</w:t>
            </w:r>
          </w:p>
        </w:tc>
        <w:tc>
          <w:tcPr>
            <w:tcW w:w="1737" w:type="dxa"/>
          </w:tcPr>
          <w:p w:rsidR="003E41E1" w:rsidRPr="00CD3A21" w:rsidRDefault="003E41E1" w:rsidP="00EF1261">
            <w:pPr>
              <w:pStyle w:val="TableText"/>
              <w:spacing w:before="120" w:after="120" w:line="240" w:lineRule="auto"/>
            </w:pPr>
            <w:r w:rsidRPr="00CD3A21">
              <w:t>Continuous monitoring</w:t>
            </w:r>
            <w:r w:rsidR="00C364E8" w:rsidRPr="00CD3A21">
              <w:t xml:space="preserve"> with at least one record every 20</w:t>
            </w:r>
            <w:r w:rsidR="00EF1261" w:rsidRPr="00CD3A21">
              <w:t> </w:t>
            </w:r>
            <w:r w:rsidR="00C364E8" w:rsidRPr="00CD3A21">
              <w:t>minutes</w:t>
            </w:r>
            <w:r w:rsidRPr="00CD3A21">
              <w:t xml:space="preserve">. </w:t>
            </w:r>
          </w:p>
        </w:tc>
      </w:tr>
      <w:tr w:rsidR="00FB586F" w:rsidRPr="00CD3A21" w:rsidTr="00EF1261">
        <w:trPr>
          <w:trHeight w:val="3319"/>
        </w:trPr>
        <w:tc>
          <w:tcPr>
            <w:tcW w:w="1560" w:type="dxa"/>
          </w:tcPr>
          <w:p w:rsidR="00FB586F" w:rsidRPr="00CD3A21" w:rsidRDefault="00FB586F" w:rsidP="00DB5C01">
            <w:pPr>
              <w:pStyle w:val="TableText"/>
              <w:spacing w:before="120" w:after="120" w:line="240" w:lineRule="auto"/>
            </w:pPr>
            <w:proofErr w:type="spellStart"/>
            <w:r w:rsidRPr="00CD3A21">
              <w:t>DE</w:t>
            </w:r>
            <w:r w:rsidRPr="00CD3A21">
              <w:rPr>
                <w:vertAlign w:val="subscript"/>
              </w:rPr>
              <w:t>h</w:t>
            </w:r>
            <w:proofErr w:type="spellEnd"/>
          </w:p>
        </w:tc>
        <w:tc>
          <w:tcPr>
            <w:tcW w:w="1559" w:type="dxa"/>
          </w:tcPr>
          <w:p w:rsidR="00FB586F" w:rsidRPr="00CD3A21" w:rsidRDefault="00FB586F" w:rsidP="00DB5C01">
            <w:pPr>
              <w:pStyle w:val="TableText"/>
              <w:spacing w:before="120" w:after="120" w:line="240" w:lineRule="auto"/>
            </w:pPr>
            <w:r w:rsidRPr="00CD3A21">
              <w:t>Methane destruction efficiency for device h.</w:t>
            </w:r>
          </w:p>
        </w:tc>
        <w:tc>
          <w:tcPr>
            <w:tcW w:w="1701" w:type="dxa"/>
          </w:tcPr>
          <w:p w:rsidR="00FB586F" w:rsidRPr="00CD3A21" w:rsidRDefault="00FB586F" w:rsidP="00DB5C01">
            <w:pPr>
              <w:pStyle w:val="TableText"/>
              <w:spacing w:before="120" w:after="120" w:line="240" w:lineRule="auto"/>
            </w:pPr>
            <w:r w:rsidRPr="00CD3A21">
              <w:t>%</w:t>
            </w:r>
          </w:p>
        </w:tc>
        <w:tc>
          <w:tcPr>
            <w:tcW w:w="2551" w:type="dxa"/>
          </w:tcPr>
          <w:p w:rsidR="00FB586F" w:rsidRPr="00CD3A21" w:rsidRDefault="00FB586F" w:rsidP="00DB5C01">
            <w:pPr>
              <w:pStyle w:val="TableText"/>
              <w:spacing w:before="120" w:after="120" w:line="240" w:lineRule="auto"/>
            </w:pPr>
            <w:r w:rsidRPr="00CD3A21">
              <w:t xml:space="preserve">Open flares: </w:t>
            </w:r>
          </w:p>
          <w:p w:rsidR="002C0132" w:rsidRPr="00CD3A21" w:rsidRDefault="007F017E" w:rsidP="002C0132">
            <w:pPr>
              <w:pStyle w:val="TableText"/>
              <w:spacing w:before="120" w:after="120" w:line="240" w:lineRule="auto"/>
            </w:pPr>
            <w:r w:rsidRPr="00CD3A21">
              <w:t xml:space="preserve">- </w:t>
            </w:r>
            <w:r w:rsidR="00FB586F" w:rsidRPr="00CD3A21">
              <w:t>Default: 98% (factor of 0.98)</w:t>
            </w:r>
            <w:r w:rsidRPr="00CD3A21">
              <w:t>.</w:t>
            </w:r>
          </w:p>
          <w:p w:rsidR="00FB586F" w:rsidRPr="00CD3A21" w:rsidRDefault="00FB586F" w:rsidP="00DB5C01">
            <w:pPr>
              <w:pStyle w:val="TableText"/>
              <w:spacing w:before="120" w:after="120" w:line="240" w:lineRule="auto"/>
            </w:pPr>
            <w:r w:rsidRPr="00CD3A21">
              <w:t>Enclosed flares:</w:t>
            </w:r>
          </w:p>
          <w:p w:rsidR="00FB586F" w:rsidRPr="00CD3A21" w:rsidRDefault="00FB586F" w:rsidP="00DB5C01">
            <w:pPr>
              <w:pStyle w:val="TableText"/>
              <w:spacing w:before="120" w:after="120" w:line="240" w:lineRule="auto"/>
            </w:pPr>
            <w:r w:rsidRPr="00CD3A21">
              <w:noBreakHyphen/>
              <w:t xml:space="preserve"> Measured efficiency. Duplicate compliance testing, measured every   6 months, by a NATA accredited emission stack testing company, using a method based on US EPA Method 18 or US EPA Method 3C</w:t>
            </w:r>
            <w:r w:rsidR="002C0132" w:rsidRPr="00CD3A21">
              <w:t>.</w:t>
            </w:r>
          </w:p>
          <w:p w:rsidR="00FB586F" w:rsidRPr="00CD3A21" w:rsidRDefault="00FB586F" w:rsidP="00DB5C01">
            <w:pPr>
              <w:pStyle w:val="TableText"/>
              <w:spacing w:before="120" w:after="120" w:line="240" w:lineRule="auto"/>
            </w:pPr>
            <w:r w:rsidRPr="00CD3A21">
              <w:noBreakHyphen/>
              <w:t xml:space="preserve"> Default: 98% (factor of 0.98).</w:t>
            </w:r>
          </w:p>
          <w:p w:rsidR="00FB586F" w:rsidRPr="00CD3A21" w:rsidRDefault="00FB586F" w:rsidP="00DB5C01">
            <w:pPr>
              <w:pStyle w:val="TableText"/>
              <w:spacing w:before="120" w:after="120" w:line="240" w:lineRule="auto"/>
            </w:pPr>
            <w:r w:rsidRPr="00CD3A21">
              <w:t>Internal combustion engine:</w:t>
            </w:r>
          </w:p>
          <w:p w:rsidR="002C0132" w:rsidRPr="00CD3A21" w:rsidRDefault="00FB586F" w:rsidP="00DB5C01">
            <w:pPr>
              <w:pStyle w:val="TableText"/>
              <w:spacing w:before="120" w:after="120" w:line="240" w:lineRule="auto"/>
            </w:pPr>
            <w:r w:rsidRPr="00CD3A21">
              <w:noBreakHyphen/>
              <w:t xml:space="preserve"> Measured efficiency. Duplicate compliance </w:t>
            </w:r>
            <w:r w:rsidRPr="00CD3A21">
              <w:lastRenderedPageBreak/>
              <w:t>testing, measured every 6 months, by a NATA accredited emission stack testing company, using a method based on US EPA Method 18 or US EPA Method 3C</w:t>
            </w:r>
            <w:r w:rsidR="002C0132" w:rsidRPr="00CD3A21">
              <w:t xml:space="preserve">; </w:t>
            </w:r>
          </w:p>
          <w:p w:rsidR="00FB586F" w:rsidRPr="00CD3A21" w:rsidRDefault="002C0132" w:rsidP="00DB5C01">
            <w:pPr>
              <w:pStyle w:val="TableText"/>
              <w:spacing w:before="120" w:after="120" w:line="240" w:lineRule="auto"/>
            </w:pPr>
            <w:r w:rsidRPr="00CD3A21">
              <w:t>or</w:t>
            </w:r>
            <w:r w:rsidR="00FB586F" w:rsidRPr="00CD3A21">
              <w:t xml:space="preserve">  </w:t>
            </w:r>
          </w:p>
          <w:p w:rsidR="00FB586F" w:rsidRPr="00CD3A21" w:rsidRDefault="00FB586F" w:rsidP="00DB5C01">
            <w:pPr>
              <w:pStyle w:val="TableText"/>
              <w:spacing w:before="120" w:after="120" w:line="240" w:lineRule="auto"/>
            </w:pPr>
            <w:r w:rsidRPr="00CD3A21">
              <w:noBreakHyphen/>
              <w:t xml:space="preserve"> Not measured if amount of methane combusted is calculated from amount of electricity (</w:t>
            </w:r>
            <w:proofErr w:type="spellStart"/>
            <w:r w:rsidRPr="00CD3A21">
              <w:t>MWh</w:t>
            </w:r>
            <w:proofErr w:type="spellEnd"/>
            <w:r w:rsidRPr="00CD3A21">
              <w:t xml:space="preserve">) produced in accordance with section </w:t>
            </w:r>
            <w:r w:rsidR="00273574" w:rsidRPr="00CD3A21">
              <w:t>4.13</w:t>
            </w:r>
            <w:r w:rsidRPr="00CD3A21">
              <w:t>.</w:t>
            </w:r>
          </w:p>
          <w:p w:rsidR="00FB586F" w:rsidRPr="00CD3A21" w:rsidRDefault="00FB586F" w:rsidP="00DB5C01">
            <w:pPr>
              <w:pStyle w:val="TableText"/>
              <w:spacing w:before="120" w:after="120" w:line="240" w:lineRule="auto"/>
            </w:pPr>
            <w:r w:rsidRPr="00CD3A21">
              <w:t>- Default: 98% (factor of 0.98).</w:t>
            </w:r>
          </w:p>
          <w:p w:rsidR="00FB586F" w:rsidRPr="00CD3A21" w:rsidRDefault="00FB586F" w:rsidP="00DB5C01">
            <w:pPr>
              <w:pStyle w:val="TableText"/>
              <w:spacing w:before="120" w:after="120" w:line="240" w:lineRule="auto"/>
            </w:pPr>
            <w:r w:rsidRPr="00CD3A21">
              <w:t>Gas boiler:</w:t>
            </w:r>
          </w:p>
          <w:p w:rsidR="00FB586F" w:rsidRPr="00CD3A21" w:rsidRDefault="00FB586F" w:rsidP="00DB5C01">
            <w:pPr>
              <w:pStyle w:val="TableText"/>
              <w:spacing w:before="120" w:after="120" w:line="240" w:lineRule="auto"/>
            </w:pPr>
            <w:r w:rsidRPr="00CD3A21">
              <w:t>- Default: 98% (factor of 0.98).</w:t>
            </w:r>
          </w:p>
        </w:tc>
        <w:tc>
          <w:tcPr>
            <w:tcW w:w="1737" w:type="dxa"/>
          </w:tcPr>
          <w:p w:rsidR="00FB586F" w:rsidRPr="00CD3A21" w:rsidRDefault="00FB586F" w:rsidP="00DB5C01">
            <w:pPr>
              <w:pStyle w:val="TableText"/>
              <w:spacing w:before="120" w:after="120" w:line="240" w:lineRule="auto"/>
            </w:pPr>
            <w:r w:rsidRPr="00CD3A21">
              <w:lastRenderedPageBreak/>
              <w:t>Every 6 months if using measured efficiency by a testing company, or not applicable if using the default value.</w:t>
            </w:r>
          </w:p>
        </w:tc>
      </w:tr>
      <w:tr w:rsidR="00FB586F" w:rsidRPr="00CD3A21" w:rsidTr="00EF1261">
        <w:trPr>
          <w:trHeight w:val="463"/>
        </w:trPr>
        <w:tc>
          <w:tcPr>
            <w:tcW w:w="1560" w:type="dxa"/>
          </w:tcPr>
          <w:p w:rsidR="00FB586F" w:rsidRPr="00CD3A21" w:rsidRDefault="004D69D5" w:rsidP="00DB5C01">
            <w:pPr>
              <w:pStyle w:val="TableText"/>
              <w:spacing w:before="120" w:after="120" w:line="240" w:lineRule="auto"/>
            </w:pPr>
            <m:oMath>
              <m:sSub>
                <m:sSubPr>
                  <m:ctrlPr>
                    <w:rPr>
                      <w:rFonts w:ascii="Cambria Math" w:hAnsi="Cambria Math"/>
                    </w:rPr>
                  </m:ctrlPr>
                </m:sSubPr>
                <m:e>
                  <m:r>
                    <m:rPr>
                      <m:sty m:val="p"/>
                    </m:rPr>
                    <w:rPr>
                      <w:rFonts w:ascii="Cambria Math"/>
                    </w:rPr>
                    <m:t>W</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r w:rsidR="00FB586F" w:rsidRPr="00CD3A21">
              <w:rPr>
                <w:vertAlign w:val="subscript"/>
              </w:rPr>
              <w:t xml:space="preserve"> </w:t>
            </w:r>
          </w:p>
        </w:tc>
        <w:tc>
          <w:tcPr>
            <w:tcW w:w="1559" w:type="dxa"/>
          </w:tcPr>
          <w:p w:rsidR="00FB586F" w:rsidRPr="00CD3A21" w:rsidRDefault="00FB586F" w:rsidP="00DB5C01">
            <w:pPr>
              <w:pStyle w:val="TableText"/>
              <w:spacing w:before="120" w:after="120" w:line="240" w:lineRule="auto"/>
            </w:pPr>
            <w:r w:rsidRPr="00CD3A21">
              <w:t xml:space="preserve">The proportion of the volume of biogas that is methane, as a percentage.  </w:t>
            </w:r>
          </w:p>
        </w:tc>
        <w:tc>
          <w:tcPr>
            <w:tcW w:w="1701" w:type="dxa"/>
          </w:tcPr>
          <w:p w:rsidR="00795C2D" w:rsidRPr="00CD3A21" w:rsidRDefault="00F03153" w:rsidP="00795C2D">
            <w:pPr>
              <w:pStyle w:val="TableText"/>
              <w:spacing w:before="120" w:after="0" w:line="240" w:lineRule="auto"/>
            </w:pPr>
            <w:r w:rsidRPr="00CD3A21">
              <w:t xml:space="preserve">The fraction of cubic metres of methane in the cubic metres of biogas </w:t>
            </w:r>
          </w:p>
          <w:p w:rsidR="00FB586F" w:rsidRPr="00CD3A21" w:rsidRDefault="00F03153" w:rsidP="00795C2D">
            <w:pPr>
              <w:pStyle w:val="TableText"/>
              <w:spacing w:before="0" w:after="120" w:line="240" w:lineRule="auto"/>
            </w:pPr>
            <w:r w:rsidRPr="00CD3A21">
              <w:t>(</w:t>
            </w:r>
            <w:proofErr w:type="gramStart"/>
            <w:r w:rsidR="00FB586F" w:rsidRPr="00CD3A21">
              <w:t>m</w:t>
            </w:r>
            <w:r w:rsidR="00FB586F" w:rsidRPr="00CD3A21">
              <w:rPr>
                <w:vertAlign w:val="superscript"/>
              </w:rPr>
              <w:t>3</w:t>
            </w:r>
            <w:r w:rsidR="00FB586F" w:rsidRPr="00CD3A21">
              <w:t>CH</w:t>
            </w:r>
            <w:r w:rsidR="00FB586F" w:rsidRPr="00CD3A21">
              <w:rPr>
                <w:vertAlign w:val="subscript"/>
              </w:rPr>
              <w:t>4</w:t>
            </w:r>
            <w:r w:rsidR="00FB586F" w:rsidRPr="00CD3A21">
              <w:t>/m</w:t>
            </w:r>
            <w:r w:rsidR="00FB586F" w:rsidRPr="00CD3A21">
              <w:rPr>
                <w:vertAlign w:val="superscript"/>
              </w:rPr>
              <w:t>3</w:t>
            </w:r>
            <w:proofErr w:type="gramEnd"/>
            <w:r w:rsidRPr="00CD3A21">
              <w:t>)</w:t>
            </w:r>
            <w:r w:rsidR="00795C2D" w:rsidRPr="00CD3A21">
              <w:t>.</w:t>
            </w:r>
          </w:p>
          <w:p w:rsidR="00FB586F" w:rsidRPr="00CD3A21" w:rsidRDefault="00FB586F" w:rsidP="00DB5C01">
            <w:pPr>
              <w:pStyle w:val="TableText"/>
              <w:spacing w:before="120" w:after="120" w:line="240" w:lineRule="auto"/>
            </w:pPr>
          </w:p>
        </w:tc>
        <w:tc>
          <w:tcPr>
            <w:tcW w:w="2551" w:type="dxa"/>
          </w:tcPr>
          <w:p w:rsidR="00FB586F" w:rsidRPr="00CD3A21" w:rsidRDefault="00FB586F" w:rsidP="00DB5C01">
            <w:pPr>
              <w:pStyle w:val="TableText"/>
              <w:spacing w:before="120" w:after="120" w:line="240" w:lineRule="auto"/>
            </w:pPr>
            <w:r w:rsidRPr="00CD3A21">
              <w:t>A default methane proportion of the gas may be used. This default proportion is 70%.</w:t>
            </w:r>
          </w:p>
          <w:p w:rsidR="00FB586F" w:rsidRPr="00CD3A21" w:rsidRDefault="00FB586F" w:rsidP="00DB5C01">
            <w:pPr>
              <w:pStyle w:val="TableText"/>
              <w:spacing w:before="120" w:after="120" w:line="240" w:lineRule="auto"/>
            </w:pPr>
          </w:p>
          <w:p w:rsidR="00FB586F" w:rsidRPr="00CD3A21" w:rsidRDefault="00FB586F" w:rsidP="00DB5C01">
            <w:pPr>
              <w:pStyle w:val="TableText"/>
              <w:spacing w:before="120" w:after="120" w:line="240" w:lineRule="auto"/>
            </w:pPr>
            <w:r w:rsidRPr="00CD3A21">
              <w:t>Otherwise the methane fraction must be measured, as  described below:</w:t>
            </w:r>
          </w:p>
          <w:p w:rsidR="00EF1261" w:rsidRPr="00CD3A21" w:rsidRDefault="00EF1261" w:rsidP="00DB5C01">
            <w:pPr>
              <w:pStyle w:val="TableText"/>
              <w:spacing w:before="120" w:after="120" w:line="240" w:lineRule="auto"/>
            </w:pPr>
            <w:r w:rsidRPr="00CD3A21">
              <w:t>-</w:t>
            </w:r>
            <w:r w:rsidR="00FB586F" w:rsidRPr="00CD3A21">
              <w:t xml:space="preserve"> using an inline gas analyser; or</w:t>
            </w:r>
          </w:p>
          <w:p w:rsidR="00FB586F" w:rsidRPr="00CD3A21" w:rsidRDefault="00EF1261" w:rsidP="00DB5C01">
            <w:pPr>
              <w:pStyle w:val="TableText"/>
              <w:spacing w:before="120" w:after="120" w:line="240" w:lineRule="auto"/>
            </w:pPr>
            <w:r w:rsidRPr="00CD3A21">
              <w:t>-</w:t>
            </w:r>
            <w:r w:rsidR="00FB586F" w:rsidRPr="00CD3A21">
              <w:t xml:space="preserve"> </w:t>
            </w:r>
            <w:proofErr w:type="gramStart"/>
            <w:r w:rsidR="00FB586F" w:rsidRPr="00CD3A21">
              <w:t>samples</w:t>
            </w:r>
            <w:proofErr w:type="gramEnd"/>
            <w:r w:rsidR="00FB586F" w:rsidRPr="00CD3A21">
              <w:t xml:space="preserve"> of the biogas are collected and sent to a laboratory for analysis. </w:t>
            </w:r>
          </w:p>
          <w:p w:rsidR="00FB586F" w:rsidRPr="00CD3A21" w:rsidRDefault="00FB586F" w:rsidP="00DB5C01">
            <w:pPr>
              <w:pStyle w:val="TableText"/>
              <w:spacing w:before="120" w:after="120" w:line="240" w:lineRule="auto"/>
            </w:pPr>
          </w:p>
          <w:p w:rsidR="00FB586F" w:rsidRPr="00CD3A21" w:rsidRDefault="00FB586F" w:rsidP="003966C6">
            <w:pPr>
              <w:pStyle w:val="TableText"/>
              <w:spacing w:before="120" w:after="120" w:line="240" w:lineRule="auto"/>
            </w:pPr>
            <w:r w:rsidRPr="00CD3A21">
              <w:t xml:space="preserve">See section </w:t>
            </w:r>
            <w:r w:rsidR="00273574" w:rsidRPr="00CD3A21">
              <w:t>4.19</w:t>
            </w:r>
            <w:r w:rsidRPr="00CD3A21">
              <w:t xml:space="preserve"> for further details.</w:t>
            </w:r>
          </w:p>
        </w:tc>
        <w:tc>
          <w:tcPr>
            <w:tcW w:w="1737" w:type="dxa"/>
          </w:tcPr>
          <w:p w:rsidR="00FB586F" w:rsidRPr="00CD3A21" w:rsidRDefault="00FB586F" w:rsidP="00DB5C01">
            <w:pPr>
              <w:pStyle w:val="TableText"/>
              <w:spacing w:before="120" w:after="120" w:line="240" w:lineRule="auto"/>
            </w:pPr>
            <w:r w:rsidRPr="00CD3A21">
              <w:t xml:space="preserve">Continuous, if using inline gas analyser; </w:t>
            </w:r>
          </w:p>
          <w:p w:rsidR="00FB586F" w:rsidRPr="00CD3A21" w:rsidRDefault="00FB586F" w:rsidP="00DB5C01">
            <w:pPr>
              <w:pStyle w:val="TableText"/>
              <w:spacing w:before="120" w:after="120" w:line="240" w:lineRule="auto"/>
            </w:pPr>
            <w:r w:rsidRPr="00CD3A21">
              <w:t xml:space="preserve">or </w:t>
            </w:r>
          </w:p>
          <w:p w:rsidR="00EF1261" w:rsidRPr="00CD3A21" w:rsidRDefault="00EF1261" w:rsidP="00DB5C01">
            <w:pPr>
              <w:pStyle w:val="TableText"/>
              <w:spacing w:before="120" w:after="120" w:line="240" w:lineRule="auto"/>
            </w:pPr>
          </w:p>
          <w:p w:rsidR="00FB586F" w:rsidRPr="00CD3A21" w:rsidRDefault="007C7866" w:rsidP="00DB5C01">
            <w:pPr>
              <w:pStyle w:val="TableText"/>
              <w:spacing w:before="120" w:after="120" w:line="240" w:lineRule="auto"/>
            </w:pPr>
            <w:proofErr w:type="gramStart"/>
            <w:r w:rsidRPr="00CD3A21">
              <w:t>m</w:t>
            </w:r>
            <w:r w:rsidR="00FB586F" w:rsidRPr="00CD3A21">
              <w:t>onthly</w:t>
            </w:r>
            <w:proofErr w:type="gramEnd"/>
            <w:r w:rsidR="00FB586F" w:rsidRPr="00CD3A21">
              <w:t>, if sampling (laboratory analysis).</w:t>
            </w:r>
          </w:p>
        </w:tc>
      </w:tr>
      <w:tr w:rsidR="00FB586F" w:rsidRPr="00CD3A21" w:rsidTr="00EF1261">
        <w:trPr>
          <w:trHeight w:val="463"/>
        </w:trPr>
        <w:tc>
          <w:tcPr>
            <w:tcW w:w="1560" w:type="dxa"/>
          </w:tcPr>
          <w:p w:rsidR="00FB586F" w:rsidRPr="00CD3A21" w:rsidRDefault="00FB586F" w:rsidP="00DB5C01">
            <w:pPr>
              <w:pStyle w:val="TableText"/>
              <w:spacing w:before="120" w:after="120" w:line="240" w:lineRule="auto"/>
            </w:pPr>
            <w:r w:rsidRPr="00CD3A21">
              <w:lastRenderedPageBreak/>
              <w:t>Electricity used</w:t>
            </w:r>
          </w:p>
          <w:p w:rsidR="00FB586F" w:rsidRPr="00CD3A21" w:rsidRDefault="00FB586F" w:rsidP="00DB5C01">
            <w:pPr>
              <w:pStyle w:val="TableText"/>
              <w:spacing w:before="120" w:after="120" w:line="240" w:lineRule="auto"/>
            </w:pPr>
            <w:proofErr w:type="spellStart"/>
            <w:r w:rsidRPr="00CD3A21">
              <w:t>Q</w:t>
            </w:r>
            <w:r w:rsidRPr="00CD3A21">
              <w:rPr>
                <w:vertAlign w:val="subscript"/>
              </w:rPr>
              <w:t>elec</w:t>
            </w:r>
            <w:proofErr w:type="spellEnd"/>
          </w:p>
        </w:tc>
        <w:tc>
          <w:tcPr>
            <w:tcW w:w="1559" w:type="dxa"/>
          </w:tcPr>
          <w:p w:rsidR="00FB586F" w:rsidRPr="00CD3A21" w:rsidRDefault="00FB586F" w:rsidP="00DB5C01">
            <w:pPr>
              <w:pStyle w:val="TableText"/>
              <w:spacing w:before="120" w:after="120" w:line="240" w:lineRule="auto"/>
            </w:pPr>
            <w:r w:rsidRPr="00CD3A21">
              <w:t>Quantity of electricity used for the operation of gas capture and combustion equipment.</w:t>
            </w:r>
          </w:p>
        </w:tc>
        <w:tc>
          <w:tcPr>
            <w:tcW w:w="1701" w:type="dxa"/>
          </w:tcPr>
          <w:p w:rsidR="00FB586F" w:rsidRPr="00CD3A21" w:rsidRDefault="00FB586F" w:rsidP="00DB5C01">
            <w:pPr>
              <w:pStyle w:val="TableText"/>
              <w:spacing w:before="120" w:after="120" w:line="240" w:lineRule="auto"/>
            </w:pPr>
            <w:r w:rsidRPr="00CD3A21">
              <w:t>Kilowatt hours (kWh).</w:t>
            </w:r>
          </w:p>
        </w:tc>
        <w:tc>
          <w:tcPr>
            <w:tcW w:w="2551" w:type="dxa"/>
          </w:tcPr>
          <w:p w:rsidR="00FB586F" w:rsidRPr="00CD3A21" w:rsidRDefault="00FB586F" w:rsidP="00DB5C01">
            <w:pPr>
              <w:pStyle w:val="TableText"/>
              <w:spacing w:before="120" w:after="120" w:line="240" w:lineRule="auto"/>
            </w:pPr>
            <w:r w:rsidRPr="00CD3A21">
              <w:t>Meter measuring the electricity used by equipment installed, the electricity usage is the value from that meter.</w:t>
            </w:r>
          </w:p>
          <w:p w:rsidR="00FB586F" w:rsidRPr="00CD3A21" w:rsidRDefault="00FB586F" w:rsidP="00DB5C01">
            <w:pPr>
              <w:pStyle w:val="TableText"/>
              <w:spacing w:before="120" w:after="120" w:line="240" w:lineRule="auto"/>
            </w:pPr>
          </w:p>
          <w:p w:rsidR="00FB586F" w:rsidRPr="00CD3A21" w:rsidRDefault="00FB586F" w:rsidP="00DB5C01">
            <w:pPr>
              <w:pStyle w:val="TableText"/>
              <w:spacing w:before="120" w:after="120" w:line="240" w:lineRule="auto"/>
            </w:pPr>
            <w:r w:rsidRPr="00CD3A21">
              <w:t xml:space="preserve">Electricity used to operate the biogas capture and combustion equipment can be estimated as a proportion of the total electricity used on the property. Project proponents must provide a justification for the estimates. </w:t>
            </w:r>
          </w:p>
        </w:tc>
        <w:tc>
          <w:tcPr>
            <w:tcW w:w="1737" w:type="dxa"/>
          </w:tcPr>
          <w:p w:rsidR="00FB586F" w:rsidRPr="00CD3A21" w:rsidRDefault="00FB586F" w:rsidP="00DB5C01">
            <w:pPr>
              <w:pStyle w:val="TableText"/>
              <w:spacing w:before="120" w:after="120" w:line="240" w:lineRule="auto"/>
            </w:pPr>
            <w:r w:rsidRPr="00CD3A21">
              <w:t xml:space="preserve">If </w:t>
            </w:r>
            <w:proofErr w:type="spellStart"/>
            <w:r w:rsidRPr="00CD3A21">
              <w:t>submetering</w:t>
            </w:r>
            <w:proofErr w:type="spellEnd"/>
            <w:r w:rsidRPr="00CD3A21">
              <w:t xml:space="preserve"> is used, then monthly.</w:t>
            </w:r>
          </w:p>
          <w:p w:rsidR="00FB586F" w:rsidRPr="00CD3A21" w:rsidRDefault="00FB586F" w:rsidP="00DB5C01">
            <w:pPr>
              <w:pStyle w:val="TableText"/>
              <w:spacing w:before="120" w:after="120" w:line="240" w:lineRule="auto"/>
            </w:pPr>
          </w:p>
          <w:p w:rsidR="00FB586F" w:rsidRPr="00CD3A21" w:rsidRDefault="00FB586F" w:rsidP="00DB5C01">
            <w:pPr>
              <w:pStyle w:val="TableText"/>
              <w:spacing w:before="120" w:after="120" w:line="240" w:lineRule="auto"/>
            </w:pPr>
          </w:p>
          <w:p w:rsidR="00FB586F" w:rsidRPr="00CD3A21" w:rsidRDefault="00FB586F" w:rsidP="00DB5C01">
            <w:pPr>
              <w:pStyle w:val="TableText"/>
              <w:spacing w:before="120" w:after="120" w:line="240" w:lineRule="auto"/>
            </w:pPr>
          </w:p>
          <w:p w:rsidR="00FB586F" w:rsidRPr="00CD3A21" w:rsidRDefault="00FB586F" w:rsidP="00DB5C01">
            <w:pPr>
              <w:pStyle w:val="TableText"/>
              <w:spacing w:before="120" w:after="120" w:line="240" w:lineRule="auto"/>
            </w:pPr>
            <w:r w:rsidRPr="00CD3A21">
              <w:t xml:space="preserve">If estimated from invoices, then estimate from total electricity used for the reporting period. </w:t>
            </w:r>
          </w:p>
          <w:p w:rsidR="00FB586F" w:rsidRPr="00CD3A21" w:rsidRDefault="00FB586F" w:rsidP="00DB5C01">
            <w:pPr>
              <w:pStyle w:val="TableText"/>
              <w:spacing w:before="120" w:after="120" w:line="240" w:lineRule="auto"/>
            </w:pPr>
          </w:p>
        </w:tc>
      </w:tr>
      <w:tr w:rsidR="00FB586F" w:rsidRPr="00CD3A21" w:rsidTr="00EF1261">
        <w:trPr>
          <w:trHeight w:val="463"/>
        </w:trPr>
        <w:tc>
          <w:tcPr>
            <w:tcW w:w="1560" w:type="dxa"/>
          </w:tcPr>
          <w:p w:rsidR="00FB586F" w:rsidRPr="00CD3A21" w:rsidRDefault="00FB586F" w:rsidP="00DB5C01">
            <w:pPr>
              <w:pStyle w:val="TableText"/>
              <w:spacing w:before="120" w:after="120" w:line="240" w:lineRule="auto"/>
              <w:rPr>
                <w:rFonts w:ascii="Arial" w:hAnsi="Arial"/>
              </w:rPr>
            </w:pPr>
            <w:r w:rsidRPr="00CD3A21">
              <w:t xml:space="preserve">Fuel used </w:t>
            </w:r>
          </w:p>
          <w:p w:rsidR="00FB586F" w:rsidRPr="00CD3A21" w:rsidRDefault="00FB586F" w:rsidP="00DB5C01">
            <w:pPr>
              <w:pStyle w:val="TableText"/>
              <w:spacing w:before="120" w:after="120" w:line="240" w:lineRule="auto"/>
              <w:rPr>
                <w:rFonts w:ascii="Arial" w:hAnsi="Arial"/>
              </w:rPr>
            </w:pPr>
            <w:r w:rsidRPr="00CD3A21">
              <w:t>Q</w:t>
            </w:r>
            <w:r w:rsidRPr="00CD3A21">
              <w:rPr>
                <w:vertAlign w:val="subscript"/>
              </w:rPr>
              <w:t>i</w:t>
            </w:r>
            <w:r w:rsidRPr="00CD3A21">
              <w:t xml:space="preserve"> </w:t>
            </w:r>
          </w:p>
        </w:tc>
        <w:tc>
          <w:tcPr>
            <w:tcW w:w="1559" w:type="dxa"/>
          </w:tcPr>
          <w:p w:rsidR="00FB586F" w:rsidRPr="00CD3A21" w:rsidRDefault="00FB586F" w:rsidP="00DB5C01">
            <w:pPr>
              <w:pStyle w:val="TableText"/>
              <w:spacing w:before="120" w:after="120" w:line="240" w:lineRule="auto"/>
              <w:rPr>
                <w:rFonts w:ascii="Arial" w:hAnsi="Arial"/>
              </w:rPr>
            </w:pPr>
            <w:r w:rsidRPr="00CD3A21">
              <w:t>Quantity of fuel type (</w:t>
            </w:r>
            <w:proofErr w:type="spellStart"/>
            <w:r w:rsidRPr="00CD3A21">
              <w:t>i</w:t>
            </w:r>
            <w:proofErr w:type="spellEnd"/>
            <w:r w:rsidRPr="00CD3A21">
              <w:t>).</w:t>
            </w:r>
          </w:p>
        </w:tc>
        <w:tc>
          <w:tcPr>
            <w:tcW w:w="1701" w:type="dxa"/>
          </w:tcPr>
          <w:p w:rsidR="00FB586F" w:rsidRPr="00CD3A21" w:rsidRDefault="00FB586F" w:rsidP="00DB5C01">
            <w:pPr>
              <w:pStyle w:val="TableText"/>
              <w:spacing w:before="120" w:after="120" w:line="240" w:lineRule="auto"/>
              <w:rPr>
                <w:rFonts w:ascii="Arial" w:hAnsi="Arial"/>
              </w:rPr>
            </w:pPr>
            <w:r w:rsidRPr="00CD3A21">
              <w:t>For liquid fuels, measured in kilolitres (</w:t>
            </w:r>
            <w:proofErr w:type="spellStart"/>
            <w:r w:rsidRPr="00CD3A21">
              <w:t>kL</w:t>
            </w:r>
            <w:proofErr w:type="spellEnd"/>
            <w:r w:rsidRPr="00CD3A21">
              <w:t>), or for gaseous fuels, measured in m</w:t>
            </w:r>
            <w:r w:rsidRPr="00CD3A21">
              <w:rPr>
                <w:vertAlign w:val="superscript"/>
              </w:rPr>
              <w:t>3</w:t>
            </w:r>
            <w:r w:rsidRPr="00CD3A21">
              <w:t xml:space="preserve"> unless otherwise specified in the NGER</w:t>
            </w:r>
            <w:r w:rsidR="007C7866" w:rsidRPr="00CD3A21">
              <w:t xml:space="preserve"> Measurement</w:t>
            </w:r>
            <w:r w:rsidRPr="00CD3A21">
              <w:t xml:space="preserve"> Determination.</w:t>
            </w:r>
          </w:p>
        </w:tc>
        <w:tc>
          <w:tcPr>
            <w:tcW w:w="2551" w:type="dxa"/>
          </w:tcPr>
          <w:p w:rsidR="00FB586F" w:rsidRPr="00CD3A21" w:rsidRDefault="00FB586F" w:rsidP="00DB5C01">
            <w:pPr>
              <w:pStyle w:val="TableText"/>
              <w:spacing w:before="120" w:after="120" w:line="240" w:lineRule="auto"/>
            </w:pPr>
            <w:r w:rsidRPr="00CD3A21">
              <w:t xml:space="preserve">For </w:t>
            </w:r>
            <w:r w:rsidR="00125738" w:rsidRPr="00CD3A21">
              <w:t>each fuel used (for example, diesel or LPG</w:t>
            </w:r>
            <w:r w:rsidRPr="00CD3A21">
              <w:t xml:space="preserve">) the amount must be estimated as a proportion of totals for the project activities.  </w:t>
            </w:r>
          </w:p>
          <w:p w:rsidR="00FB586F" w:rsidRPr="00CD3A21" w:rsidRDefault="00FB586F" w:rsidP="00DB5C01">
            <w:pPr>
              <w:pStyle w:val="TableText"/>
              <w:spacing w:before="120" w:after="120" w:line="240" w:lineRule="auto"/>
            </w:pPr>
            <w:r w:rsidRPr="00CD3A21">
              <w:rPr>
                <w:szCs w:val="22"/>
              </w:rPr>
              <w:t>The estimation can be made from a reading from a meter or from invoices.</w:t>
            </w:r>
          </w:p>
          <w:p w:rsidR="00FB586F" w:rsidRPr="00CD3A21" w:rsidRDefault="00FB586F" w:rsidP="00DB5C01">
            <w:pPr>
              <w:pStyle w:val="TableText"/>
              <w:spacing w:before="120" w:after="120" w:line="240" w:lineRule="auto"/>
            </w:pPr>
            <w:r w:rsidRPr="00CD3A21">
              <w:t>Manufacturer’s specifications will assist with these estimates for the gas capture and combustion component.</w:t>
            </w:r>
          </w:p>
        </w:tc>
        <w:tc>
          <w:tcPr>
            <w:tcW w:w="1737" w:type="dxa"/>
          </w:tcPr>
          <w:p w:rsidR="00FB586F" w:rsidRPr="00CD3A21" w:rsidRDefault="00FB586F" w:rsidP="00DB5C01">
            <w:pPr>
              <w:pStyle w:val="TableText"/>
              <w:spacing w:before="120" w:after="120" w:line="240" w:lineRule="auto"/>
            </w:pPr>
            <w:r w:rsidRPr="00CD3A21">
              <w:t xml:space="preserve">At least once during the reporting period.  </w:t>
            </w:r>
          </w:p>
        </w:tc>
      </w:tr>
      <w:tr w:rsidR="00FB586F" w:rsidRPr="00CD3A21" w:rsidTr="00EF1261">
        <w:trPr>
          <w:trHeight w:val="463"/>
        </w:trPr>
        <w:tc>
          <w:tcPr>
            <w:tcW w:w="1560" w:type="dxa"/>
          </w:tcPr>
          <w:p w:rsidR="00FB586F" w:rsidRPr="00CD3A21" w:rsidRDefault="004D69D5" w:rsidP="00DB5C01">
            <w:pPr>
              <w:pStyle w:val="TableText"/>
              <w:spacing w:before="120" w:after="120" w:line="240" w:lineRule="auto"/>
            </w:pPr>
            <m:oMathPara>
              <m:oMathParaPr>
                <m:jc m:val="left"/>
              </m:oMathParaPr>
              <m:oMath>
                <m:sSub>
                  <m:sSubPr>
                    <m:ctrlPr>
                      <w:rPr>
                        <w:rFonts w:ascii="Cambria Math" w:hAnsi="Cambria Math"/>
                      </w:rPr>
                    </m:ctrlPr>
                  </m:sSubPr>
                  <m:e>
                    <m:r>
                      <m:rPr>
                        <m:sty m:val="p"/>
                      </m:rPr>
                      <w:rPr>
                        <w:rFonts w:ascii="Cambria Math"/>
                      </w:rPr>
                      <m:t>Ep</m:t>
                    </m:r>
                  </m:e>
                  <m:sub>
                    <m:r>
                      <m:rPr>
                        <m:sty m:val="p"/>
                      </m:rPr>
                      <w:rPr>
                        <w:rFonts w:ascii="Cambria Math"/>
                      </w:rPr>
                      <m:t>h</m:t>
                    </m:r>
                  </m:sub>
                </m:sSub>
              </m:oMath>
            </m:oMathPara>
          </w:p>
        </w:tc>
        <w:tc>
          <w:tcPr>
            <w:tcW w:w="1559" w:type="dxa"/>
          </w:tcPr>
          <w:p w:rsidR="00FB586F" w:rsidRPr="00CD3A21" w:rsidRDefault="00FB586F" w:rsidP="00DB5C01">
            <w:pPr>
              <w:pStyle w:val="TableText"/>
              <w:spacing w:before="120" w:after="120" w:line="240" w:lineRule="auto"/>
            </w:pPr>
            <w:r w:rsidRPr="00CD3A21">
              <w:rPr>
                <w:szCs w:val="22"/>
              </w:rPr>
              <w:t xml:space="preserve">Quantity of electricity produced by methane combustion in the internal combustion engine generator. </w:t>
            </w:r>
          </w:p>
        </w:tc>
        <w:tc>
          <w:tcPr>
            <w:tcW w:w="1701" w:type="dxa"/>
          </w:tcPr>
          <w:p w:rsidR="00FB586F" w:rsidRPr="00CD3A21" w:rsidRDefault="00FB586F" w:rsidP="00DB5C01">
            <w:pPr>
              <w:pStyle w:val="TableText"/>
              <w:spacing w:before="120" w:after="120" w:line="240" w:lineRule="auto"/>
            </w:pPr>
            <w:proofErr w:type="spellStart"/>
            <w:r w:rsidRPr="00CD3A21">
              <w:t>MWh</w:t>
            </w:r>
            <w:proofErr w:type="spellEnd"/>
          </w:p>
        </w:tc>
        <w:tc>
          <w:tcPr>
            <w:tcW w:w="2551" w:type="dxa"/>
          </w:tcPr>
          <w:p w:rsidR="00FB586F" w:rsidRPr="00CD3A21" w:rsidRDefault="00FB586F" w:rsidP="00DB5C01">
            <w:pPr>
              <w:pStyle w:val="TableText"/>
              <w:spacing w:before="120" w:after="120" w:line="240" w:lineRule="auto"/>
            </w:pPr>
            <w:r w:rsidRPr="00CD3A21">
              <w:t xml:space="preserve">Meter data, </w:t>
            </w:r>
            <w:r w:rsidRPr="00CD3A21">
              <w:rPr>
                <w:szCs w:val="22"/>
              </w:rPr>
              <w:t xml:space="preserve">recording electricity sent to the grid; meter data </w:t>
            </w:r>
            <w:r w:rsidRPr="00CD3A21">
              <w:t xml:space="preserve">recording electricity produced by internal combustion engine generator (for electricity used on site). The accuracy of the meter used must be equivalent </w:t>
            </w:r>
            <w:r w:rsidRPr="00CD3A21">
              <w:lastRenderedPageBreak/>
              <w:t>of a revenue meter; or meter data recording electricity sent to the grid.</w:t>
            </w:r>
          </w:p>
        </w:tc>
        <w:tc>
          <w:tcPr>
            <w:tcW w:w="1737" w:type="dxa"/>
          </w:tcPr>
          <w:p w:rsidR="00FB586F" w:rsidRPr="00CD3A21" w:rsidRDefault="00FB586F" w:rsidP="00DB5C01">
            <w:pPr>
              <w:pStyle w:val="TableText"/>
              <w:spacing w:before="120" w:after="120" w:line="240" w:lineRule="auto"/>
            </w:pPr>
            <w:r w:rsidRPr="00CD3A21">
              <w:lastRenderedPageBreak/>
              <w:t>Total amount of electricity produced during the reporting period.</w:t>
            </w:r>
          </w:p>
        </w:tc>
      </w:tr>
      <w:tr w:rsidR="00FB586F" w:rsidRPr="00CD3A21" w:rsidTr="00EF1261">
        <w:trPr>
          <w:trHeight w:val="463"/>
        </w:trPr>
        <w:tc>
          <w:tcPr>
            <w:tcW w:w="1560" w:type="dxa"/>
          </w:tcPr>
          <w:p w:rsidR="00FB586F" w:rsidRPr="00CD3A21" w:rsidRDefault="00FB586F" w:rsidP="00DB5C01">
            <w:pPr>
              <w:pStyle w:val="TableText"/>
              <w:spacing w:before="120" w:after="120" w:line="240" w:lineRule="auto"/>
              <w:rPr>
                <w:rFonts w:ascii="Arial" w:hAnsi="Arial"/>
                <w:b/>
                <w:sz w:val="18"/>
                <w:szCs w:val="18"/>
                <w:lang w:eastAsia="en-US"/>
              </w:rPr>
            </w:pPr>
            <w:r w:rsidRPr="00CD3A21">
              <w:lastRenderedPageBreak/>
              <w:t>Electrical Efficiency Factor</w:t>
            </w:r>
            <w:r w:rsidRPr="00CD3A21">
              <w:rPr>
                <w:szCs w:val="18"/>
              </w:rPr>
              <w:t xml:space="preserve"> (Eff)</w:t>
            </w:r>
          </w:p>
        </w:tc>
        <w:tc>
          <w:tcPr>
            <w:tcW w:w="1559" w:type="dxa"/>
          </w:tcPr>
          <w:p w:rsidR="00FB586F" w:rsidRPr="00CD3A21" w:rsidRDefault="00FB586F" w:rsidP="00DB5C01">
            <w:pPr>
              <w:pStyle w:val="TableText"/>
              <w:spacing w:before="120" w:after="120" w:line="240" w:lineRule="auto"/>
            </w:pPr>
            <w:r w:rsidRPr="00CD3A21">
              <w:t>The electrical efficiency factor of the internal combustion engine generator.</w:t>
            </w:r>
          </w:p>
        </w:tc>
        <w:tc>
          <w:tcPr>
            <w:tcW w:w="1701" w:type="dxa"/>
          </w:tcPr>
          <w:p w:rsidR="00FB586F" w:rsidRPr="00CD3A21" w:rsidRDefault="00FB586F" w:rsidP="00DB5C01">
            <w:pPr>
              <w:pStyle w:val="TableText"/>
              <w:spacing w:before="120" w:after="120" w:line="240" w:lineRule="auto"/>
              <w:rPr>
                <w:sz w:val="18"/>
                <w:szCs w:val="18"/>
              </w:rPr>
            </w:pPr>
            <w:r w:rsidRPr="00CD3A21">
              <w:rPr>
                <w:sz w:val="18"/>
                <w:szCs w:val="18"/>
              </w:rPr>
              <w:t>%</w:t>
            </w:r>
          </w:p>
        </w:tc>
        <w:tc>
          <w:tcPr>
            <w:tcW w:w="2551" w:type="dxa"/>
          </w:tcPr>
          <w:p w:rsidR="00FB586F" w:rsidRPr="00CD3A21" w:rsidRDefault="00FB586F" w:rsidP="00B03816">
            <w:pPr>
              <w:pStyle w:val="TableText"/>
              <w:spacing w:before="120" w:after="120" w:line="240" w:lineRule="auto"/>
            </w:pPr>
            <w:r w:rsidRPr="00CD3A21">
              <w:t xml:space="preserve">As specified by the manufacturer of the generator in the technical manual for the equipment or the default value of 36% (as outlined in the </w:t>
            </w:r>
            <w:r w:rsidRPr="00CD3A21">
              <w:rPr>
                <w:i/>
              </w:rPr>
              <w:t>Greenhouse Gas Benchmark Rule (Generation) No.</w:t>
            </w:r>
            <w:r w:rsidR="00B03816" w:rsidRPr="00CD3A21">
              <w:rPr>
                <w:i/>
              </w:rPr>
              <w:t xml:space="preserve"> </w:t>
            </w:r>
            <w:r w:rsidRPr="00CD3A21">
              <w:rPr>
                <w:i/>
              </w:rPr>
              <w:t>2 of 2003</w:t>
            </w:r>
            <w:r w:rsidR="00B03816" w:rsidRPr="00CD3A21">
              <w:rPr>
                <w:i/>
              </w:rPr>
              <w:t xml:space="preserve"> </w:t>
            </w:r>
            <w:r w:rsidR="00B03816" w:rsidRPr="00CD3A21">
              <w:t>(NSW)</w:t>
            </w:r>
            <w:r w:rsidRPr="00CD3A21">
              <w:t xml:space="preserve"> as amended).</w:t>
            </w:r>
          </w:p>
        </w:tc>
        <w:tc>
          <w:tcPr>
            <w:tcW w:w="1737" w:type="dxa"/>
          </w:tcPr>
          <w:p w:rsidR="00FB586F" w:rsidRPr="00CD3A21" w:rsidRDefault="00FB586F" w:rsidP="00DB5C01">
            <w:pPr>
              <w:pStyle w:val="TableText"/>
              <w:spacing w:before="120" w:after="120" w:line="240" w:lineRule="auto"/>
            </w:pPr>
            <w:r w:rsidRPr="00CD3A21">
              <w:t>Set value as per manufacturer’s specification or default.</w:t>
            </w:r>
          </w:p>
        </w:tc>
      </w:tr>
    </w:tbl>
    <w:p w:rsidR="00FB586F" w:rsidRPr="00CD3A21" w:rsidRDefault="00FB586F" w:rsidP="00FB586F"/>
    <w:p w:rsidR="00B03816" w:rsidRPr="00CD3A21" w:rsidRDefault="00B03816" w:rsidP="00B03816">
      <w:pPr>
        <w:pStyle w:val="noteMain"/>
      </w:pPr>
      <w:r w:rsidRPr="00CD3A21">
        <w:tab/>
      </w:r>
      <w:r w:rsidRPr="00CD3A21">
        <w:rPr>
          <w:b/>
          <w:i/>
        </w:rPr>
        <w:t>Note</w:t>
      </w:r>
      <w:r w:rsidRPr="00CD3A21">
        <w:tab/>
        <w:t xml:space="preserve">The </w:t>
      </w:r>
      <w:r w:rsidRPr="00CD3A21">
        <w:rPr>
          <w:i/>
        </w:rPr>
        <w:t xml:space="preserve">Greenhouse Gas Benchmark Rule (Generation) No. 2 of 2003 </w:t>
      </w:r>
      <w:r w:rsidRPr="00CD3A21">
        <w:t xml:space="preserve">is available at www.greenhousegas.nsw.gov.au/documents/syn62.asp. </w:t>
      </w:r>
    </w:p>
    <w:p w:rsidR="007C7866" w:rsidRPr="00CD3A21" w:rsidRDefault="000C29DD" w:rsidP="00FF0D22">
      <w:pPr>
        <w:pStyle w:val="h5Section"/>
      </w:pPr>
      <w:bookmarkStart w:id="52" w:name="_Toc357161790"/>
      <w:r w:rsidRPr="00CD3A21">
        <w:t>4.18</w:t>
      </w:r>
      <w:r w:rsidR="00FF0D22" w:rsidRPr="00CD3A21">
        <w:tab/>
      </w:r>
      <w:r w:rsidR="007C7866" w:rsidRPr="00CD3A21">
        <w:t>Volumetric measurement—quantity of biogas sent to combustion device h</w:t>
      </w:r>
      <w:r w:rsidR="007C7866" w:rsidRPr="00CD3A21">
        <w:rPr>
          <w:i/>
        </w:rPr>
        <w:t xml:space="preserve"> </w:t>
      </w:r>
      <w:r w:rsidR="007C7866" w:rsidRPr="00CD3A21">
        <w:t>(</w:t>
      </w:r>
      <w:proofErr w:type="spellStart"/>
      <w:r w:rsidR="007C7866" w:rsidRPr="00CD3A21">
        <w:t>Q</w:t>
      </w:r>
      <w:r w:rsidR="007C7866" w:rsidRPr="00CD3A21">
        <w:rPr>
          <w:vertAlign w:val="subscript"/>
        </w:rPr>
        <w:t>biogas</w:t>
      </w:r>
      <w:proofErr w:type="spellEnd"/>
      <w:r w:rsidR="007C7866" w:rsidRPr="00CD3A21">
        <w:rPr>
          <w:vertAlign w:val="subscript"/>
        </w:rPr>
        <w:t>, h</w:t>
      </w:r>
      <w:r w:rsidR="007C7866" w:rsidRPr="00CD3A21">
        <w:t>)</w:t>
      </w:r>
      <w:bookmarkEnd w:id="52"/>
      <w:r w:rsidR="00840B17" w:rsidRPr="00CD3A21">
        <w:rPr>
          <w:i/>
        </w:rPr>
        <w:t xml:space="preserve"> </w:t>
      </w:r>
    </w:p>
    <w:p w:rsidR="007C7866" w:rsidRPr="00CD3A21" w:rsidRDefault="00DB5C01" w:rsidP="00DB5C01">
      <w:pPr>
        <w:pStyle w:val="tMain"/>
      </w:pPr>
      <w:r w:rsidRPr="00CD3A21">
        <w:tab/>
      </w:r>
      <w:r w:rsidR="00273574" w:rsidRPr="00CD3A21">
        <w:t>(1)</w:t>
      </w:r>
      <w:r w:rsidRPr="00CD3A21">
        <w:tab/>
      </w:r>
      <w:r w:rsidR="007C7866" w:rsidRPr="00CD3A21">
        <w:t xml:space="preserve">When measuring </w:t>
      </w:r>
      <w:proofErr w:type="spellStart"/>
      <w:r w:rsidR="007C7866" w:rsidRPr="00CD3A21">
        <w:t>Q</w:t>
      </w:r>
      <w:r w:rsidR="007C7866" w:rsidRPr="00CD3A21">
        <w:rPr>
          <w:vertAlign w:val="subscript"/>
        </w:rPr>
        <w:t>biogas</w:t>
      </w:r>
      <w:proofErr w:type="spellEnd"/>
      <w:r w:rsidR="007C7866" w:rsidRPr="00CD3A21">
        <w:rPr>
          <w:vertAlign w:val="subscript"/>
        </w:rPr>
        <w:t>,</w:t>
      </w:r>
      <w:r w:rsidR="007C7866" w:rsidRPr="00CD3A21">
        <w:rPr>
          <w:i/>
          <w:vertAlign w:val="subscript"/>
        </w:rPr>
        <w:t xml:space="preserve"> </w:t>
      </w:r>
      <w:r w:rsidR="007C7866" w:rsidRPr="00CD3A21">
        <w:rPr>
          <w:vertAlign w:val="subscript"/>
        </w:rPr>
        <w:t>h</w:t>
      </w:r>
      <w:r w:rsidR="007C7866" w:rsidRPr="00CD3A21">
        <w:rPr>
          <w:b/>
          <w:vertAlign w:val="subscript"/>
        </w:rPr>
        <w:t xml:space="preserve"> </w:t>
      </w:r>
      <w:r w:rsidR="007C7866" w:rsidRPr="00CD3A21">
        <w:t xml:space="preserve">the requirements </w:t>
      </w:r>
      <w:r w:rsidRPr="00CD3A21">
        <w:t>set out in this section apply.</w:t>
      </w:r>
    </w:p>
    <w:p w:rsidR="007C7866" w:rsidRPr="00CD3A21" w:rsidRDefault="00DB5C01" w:rsidP="00DB5C01">
      <w:pPr>
        <w:pStyle w:val="tMain"/>
      </w:pPr>
      <w:r w:rsidRPr="00CD3A21">
        <w:tab/>
      </w:r>
      <w:r w:rsidR="00273574" w:rsidRPr="00CD3A21">
        <w:t>(2)</w:t>
      </w:r>
      <w:r w:rsidRPr="00CD3A21">
        <w:tab/>
      </w:r>
      <w:r w:rsidR="007C7866" w:rsidRPr="00CD3A21">
        <w:t>Gas flow must be measured:</w:t>
      </w:r>
    </w:p>
    <w:p w:rsidR="007C7866" w:rsidRPr="00CD3A21" w:rsidRDefault="00DB5C01" w:rsidP="00DB5C01">
      <w:pPr>
        <w:pStyle w:val="tPara"/>
      </w:pPr>
      <w:r w:rsidRPr="00CD3A21">
        <w:tab/>
      </w:r>
      <w:r w:rsidR="00273574" w:rsidRPr="00CD3A21">
        <w:t>(a)</w:t>
      </w:r>
      <w:r w:rsidRPr="00CD3A21">
        <w:tab/>
      </w:r>
      <w:proofErr w:type="gramStart"/>
      <w:r w:rsidR="007C7866" w:rsidRPr="00CD3A21">
        <w:t>at</w:t>
      </w:r>
      <w:proofErr w:type="gramEnd"/>
      <w:r w:rsidR="007C7866" w:rsidRPr="00CD3A21">
        <w:t xml:space="preserve"> the delivery location of the gaseous fuel;</w:t>
      </w:r>
    </w:p>
    <w:p w:rsidR="007C7866" w:rsidRPr="00CD3A21" w:rsidRDefault="00DB5C01" w:rsidP="00DB5C01">
      <w:pPr>
        <w:pStyle w:val="tPara"/>
      </w:pPr>
      <w:r w:rsidRPr="00CD3A21">
        <w:tab/>
      </w:r>
      <w:r w:rsidR="00273574" w:rsidRPr="00CD3A21">
        <w:t>(b)</w:t>
      </w:r>
      <w:r w:rsidRPr="00CD3A21">
        <w:tab/>
      </w:r>
      <w:proofErr w:type="gramStart"/>
      <w:r w:rsidR="007C7866" w:rsidRPr="00CD3A21">
        <w:t>using</w:t>
      </w:r>
      <w:proofErr w:type="gramEnd"/>
      <w:r w:rsidR="007C7866" w:rsidRPr="00CD3A21">
        <w:t xml:space="preserve"> a gas volumetric flow meter that uses a continuous monitoring system; and</w:t>
      </w:r>
    </w:p>
    <w:p w:rsidR="007C7866" w:rsidRPr="00CD3A21" w:rsidRDefault="00DB5C01" w:rsidP="00DB5C01">
      <w:pPr>
        <w:pStyle w:val="tPara"/>
      </w:pPr>
      <w:r w:rsidRPr="00CD3A21">
        <w:tab/>
      </w:r>
      <w:r w:rsidR="00273574" w:rsidRPr="00CD3A21">
        <w:t>(c)</w:t>
      </w:r>
      <w:r w:rsidRPr="00CD3A21">
        <w:tab/>
      </w:r>
      <w:proofErr w:type="gramStart"/>
      <w:r w:rsidR="007C7866" w:rsidRPr="00CD3A21">
        <w:t>in</w:t>
      </w:r>
      <w:proofErr w:type="gramEnd"/>
      <w:r w:rsidR="007C7866" w:rsidRPr="00CD3A21">
        <w:t xml:space="preserve"> cubic metres per hour (m</w:t>
      </w:r>
      <w:r w:rsidR="007C7866" w:rsidRPr="00CD3A21">
        <w:rPr>
          <w:vertAlign w:val="superscript"/>
        </w:rPr>
        <w:t>3</w:t>
      </w:r>
      <w:r w:rsidR="007C7866" w:rsidRPr="00CD3A21">
        <w:t xml:space="preserve"> per hour).</w:t>
      </w:r>
    </w:p>
    <w:p w:rsidR="007C7866" w:rsidRPr="00CD3A21" w:rsidRDefault="00DB5C01" w:rsidP="00DB5C01">
      <w:pPr>
        <w:pStyle w:val="tMain"/>
      </w:pPr>
      <w:r w:rsidRPr="00CD3A21">
        <w:tab/>
      </w:r>
      <w:r w:rsidR="00273574" w:rsidRPr="00CD3A21">
        <w:t>(3)</w:t>
      </w:r>
      <w:r w:rsidRPr="00CD3A21">
        <w:tab/>
        <w:t xml:space="preserve">Subject to subsection </w:t>
      </w:r>
      <w:r w:rsidR="00273574" w:rsidRPr="00CD3A21">
        <w:t>(2)</w:t>
      </w:r>
      <w:r w:rsidR="007C7866" w:rsidRPr="00CD3A21">
        <w:t>, gas flow must be measured using equipment that:</w:t>
      </w:r>
    </w:p>
    <w:p w:rsidR="007C7866" w:rsidRPr="00CD3A21" w:rsidRDefault="00DB5C01" w:rsidP="00DB5C01">
      <w:pPr>
        <w:pStyle w:val="tPara"/>
      </w:pPr>
      <w:r w:rsidRPr="00CD3A21">
        <w:tab/>
      </w:r>
      <w:r w:rsidR="00273574" w:rsidRPr="00CD3A21">
        <w:t>(a)</w:t>
      </w:r>
      <w:r w:rsidRPr="00CD3A21">
        <w:tab/>
      </w:r>
      <w:proofErr w:type="gramStart"/>
      <w:r w:rsidR="007C7866" w:rsidRPr="00CD3A21">
        <w:t>is</w:t>
      </w:r>
      <w:proofErr w:type="gramEnd"/>
      <w:r w:rsidR="007C7866" w:rsidRPr="00CD3A21">
        <w:t xml:space="preserve"> rated for use with a process gas/biogas/dirty stream;</w:t>
      </w:r>
    </w:p>
    <w:p w:rsidR="007C7866" w:rsidRPr="00CD3A21" w:rsidRDefault="00DB5C01" w:rsidP="00DB5C01">
      <w:pPr>
        <w:pStyle w:val="tPara"/>
      </w:pPr>
      <w:r w:rsidRPr="00CD3A21">
        <w:tab/>
      </w:r>
      <w:r w:rsidR="00273574" w:rsidRPr="00CD3A21">
        <w:t>(b)</w:t>
      </w:r>
      <w:r w:rsidRPr="00CD3A21">
        <w:tab/>
      </w:r>
      <w:proofErr w:type="gramStart"/>
      <w:r w:rsidR="007C7866" w:rsidRPr="00CD3A21">
        <w:t>is</w:t>
      </w:r>
      <w:proofErr w:type="gramEnd"/>
      <w:r w:rsidR="007C7866" w:rsidRPr="00CD3A21">
        <w:t xml:space="preserve"> rated for use at the expected flow rate and pressure;</w:t>
      </w:r>
    </w:p>
    <w:p w:rsidR="007C7866" w:rsidRPr="00CD3A21" w:rsidRDefault="00DB5C01" w:rsidP="00DB5C01">
      <w:pPr>
        <w:pStyle w:val="tPara"/>
      </w:pPr>
      <w:r w:rsidRPr="00CD3A21">
        <w:tab/>
      </w:r>
      <w:r w:rsidR="00273574" w:rsidRPr="00CD3A21">
        <w:t>(c)</w:t>
      </w:r>
      <w:r w:rsidRPr="00CD3A21">
        <w:tab/>
      </w:r>
      <w:proofErr w:type="gramStart"/>
      <w:r w:rsidR="007C7866" w:rsidRPr="00CD3A21">
        <w:t>is</w:t>
      </w:r>
      <w:proofErr w:type="gramEnd"/>
      <w:r w:rsidR="007C7866" w:rsidRPr="00CD3A21">
        <w:t xml:space="preserve"> designed for use in the anticipated operating temperature range; and</w:t>
      </w:r>
    </w:p>
    <w:p w:rsidR="007C7866" w:rsidRPr="00CD3A21" w:rsidRDefault="00DB5C01" w:rsidP="00DB5C01">
      <w:pPr>
        <w:pStyle w:val="tPara"/>
      </w:pPr>
      <w:r w:rsidRPr="00CD3A21">
        <w:tab/>
      </w:r>
      <w:r w:rsidR="00273574" w:rsidRPr="00CD3A21">
        <w:t>(d)</w:t>
      </w:r>
      <w:r w:rsidRPr="00CD3A21">
        <w:tab/>
      </w:r>
      <w:proofErr w:type="gramStart"/>
      <w:r w:rsidRPr="00CD3A21">
        <w:t>has</w:t>
      </w:r>
      <w:proofErr w:type="gramEnd"/>
      <w:r w:rsidRPr="00CD3A21">
        <w:t xml:space="preserve"> a </w:t>
      </w:r>
      <w:r w:rsidR="007C7866" w:rsidRPr="00CD3A21">
        <w:t xml:space="preserve">meter </w:t>
      </w:r>
      <w:r w:rsidRPr="00CD3A21">
        <w:t>that is</w:t>
      </w:r>
      <w:r w:rsidR="007C7866" w:rsidRPr="00CD3A21">
        <w:t xml:space="preserve"> accurate to +/</w:t>
      </w:r>
      <w:r w:rsidR="007C7866" w:rsidRPr="00CD3A21">
        <w:noBreakHyphen/>
        <w:t>5% for flow measurement.</w:t>
      </w:r>
    </w:p>
    <w:p w:rsidR="007C7866" w:rsidRPr="00CD3A21" w:rsidRDefault="00DB5C01" w:rsidP="00DB5C01">
      <w:pPr>
        <w:pStyle w:val="tMain"/>
      </w:pPr>
      <w:r w:rsidRPr="00CD3A21">
        <w:tab/>
      </w:r>
      <w:r w:rsidR="00273574" w:rsidRPr="00CD3A21">
        <w:t>(4)</w:t>
      </w:r>
      <w:r w:rsidRPr="00CD3A21">
        <w:tab/>
      </w:r>
      <w:r w:rsidR="007C7866" w:rsidRPr="00CD3A21">
        <w:t xml:space="preserve">Gas flow must be continuously recorded and integrated using an integration device that is isolated from the flow computer in such a way that if the computer fails, the integration device will retain the last reading, or the previously stored information, that was on the computer immediately before the failure. </w:t>
      </w:r>
    </w:p>
    <w:p w:rsidR="007C7866" w:rsidRPr="00CD3A21" w:rsidRDefault="000C29DD" w:rsidP="00FF0D22">
      <w:pPr>
        <w:pStyle w:val="h5Section"/>
      </w:pPr>
      <w:bookmarkStart w:id="53" w:name="_Toc357161791"/>
      <w:r w:rsidRPr="00CD3A21">
        <w:lastRenderedPageBreak/>
        <w:t>4.19</w:t>
      </w:r>
      <w:r w:rsidR="00FF0D22" w:rsidRPr="00CD3A21">
        <w:tab/>
      </w:r>
      <w:r w:rsidR="007C7866" w:rsidRPr="00CD3A21">
        <w:t>Measurement of</w:t>
      </w:r>
      <w:r w:rsidR="00775EC7" w:rsidRPr="00CD3A21">
        <w:t xml:space="preserve"> W</w:t>
      </w:r>
      <w:r w:rsidR="00775EC7" w:rsidRPr="00CD3A21">
        <w:rPr>
          <w:vertAlign w:val="subscript"/>
        </w:rPr>
        <w:t>CH</w:t>
      </w:r>
      <w:r w:rsidR="00775EC7" w:rsidRPr="00CD3A21">
        <w:rPr>
          <w:position w:val="-6"/>
          <w:vertAlign w:val="subscript"/>
        </w:rPr>
        <w:t>4</w:t>
      </w:r>
      <w:r w:rsidR="007C7866" w:rsidRPr="00CD3A21">
        <w:t xml:space="preserve"> methane percentage in biogas</w:t>
      </w:r>
      <w:bookmarkEnd w:id="53"/>
      <w:r w:rsidR="00840B17" w:rsidRPr="00CD3A21">
        <w:t xml:space="preserve"> </w:t>
      </w:r>
    </w:p>
    <w:p w:rsidR="007C7866" w:rsidRPr="00CD3A21" w:rsidRDefault="00DB5C01" w:rsidP="00E07665">
      <w:pPr>
        <w:pStyle w:val="tMain"/>
        <w:spacing w:line="247" w:lineRule="auto"/>
      </w:pPr>
      <w:r w:rsidRPr="00CD3A21">
        <w:tab/>
      </w:r>
      <w:r w:rsidR="00273574" w:rsidRPr="00CD3A21">
        <w:t>(1)</w:t>
      </w:r>
      <w:r w:rsidRPr="00CD3A21">
        <w:tab/>
      </w:r>
      <w:r w:rsidR="007C7866" w:rsidRPr="00CD3A21">
        <w:t>To measure the percentage of methane in biogas (</w:t>
      </w:r>
      <m:oMath>
        <m:sSub>
          <m:sSubPr>
            <m:ctrlPr>
              <w:rPr>
                <w:rFonts w:ascii="Cambria Math" w:hAnsi="Cambria Math"/>
              </w:rPr>
            </m:ctrlPr>
          </m:sSubPr>
          <m:e>
            <m:r>
              <m:rPr>
                <m:sty m:val="p"/>
              </m:rPr>
              <w:rPr>
                <w:rFonts w:ascii="Cambria Math"/>
              </w:rPr>
              <m:t>W</m:t>
            </m:r>
          </m:e>
          <m:sub>
            <m:sSub>
              <m:sSubPr>
                <m:ctrlPr>
                  <w:rPr>
                    <w:rFonts w:ascii="Cambria Math" w:hAnsi="Cambria Math"/>
                  </w:rPr>
                </m:ctrlPr>
              </m:sSubPr>
              <m:e>
                <m:r>
                  <m:rPr>
                    <m:sty m:val="p"/>
                  </m:rPr>
                  <w:rPr>
                    <w:rFonts w:ascii="Cambria Math"/>
                  </w:rPr>
                  <m:t>CH</m:t>
                </m:r>
              </m:e>
              <m:sub>
                <m:r>
                  <m:rPr>
                    <m:sty m:val="p"/>
                  </m:rPr>
                  <w:rPr>
                    <w:rFonts w:ascii="Cambria Math"/>
                  </w:rPr>
                  <m:t>4</m:t>
                </m:r>
              </m:sub>
            </m:sSub>
          </m:sub>
        </m:sSub>
      </m:oMath>
      <w:r w:rsidR="007C7866" w:rsidRPr="00CD3A21">
        <w:t>) a project proponent must either:</w:t>
      </w:r>
    </w:p>
    <w:p w:rsidR="007C7866" w:rsidRPr="00CD3A21" w:rsidRDefault="00DB5C01" w:rsidP="00DB5C01">
      <w:pPr>
        <w:pStyle w:val="tPara"/>
      </w:pPr>
      <w:r w:rsidRPr="00CD3A21">
        <w:tab/>
      </w:r>
      <w:r w:rsidR="00273574" w:rsidRPr="00CD3A21">
        <w:t>(a)</w:t>
      </w:r>
      <w:r w:rsidRPr="00CD3A21">
        <w:tab/>
      </w:r>
      <w:proofErr w:type="gramStart"/>
      <w:r w:rsidR="007C7866" w:rsidRPr="00CD3A21">
        <w:t>use</w:t>
      </w:r>
      <w:proofErr w:type="gramEnd"/>
      <w:r w:rsidR="007C7866" w:rsidRPr="00CD3A21">
        <w:t xml:space="preserve"> the default value of 70% as specified in the NGER Measurement Determination; or</w:t>
      </w:r>
    </w:p>
    <w:p w:rsidR="007C7866" w:rsidRPr="00CD3A21" w:rsidRDefault="00DB5C01" w:rsidP="00DB5C01">
      <w:pPr>
        <w:pStyle w:val="tPara"/>
      </w:pPr>
      <w:r w:rsidRPr="00CD3A21">
        <w:tab/>
      </w:r>
      <w:r w:rsidR="00273574" w:rsidRPr="00CD3A21">
        <w:t>(b)</w:t>
      </w:r>
      <w:r w:rsidRPr="00CD3A21">
        <w:tab/>
      </w:r>
      <w:proofErr w:type="gramStart"/>
      <w:r w:rsidR="007C7866" w:rsidRPr="00CD3A21">
        <w:t>measure</w:t>
      </w:r>
      <w:proofErr w:type="gramEnd"/>
      <w:r w:rsidR="007C7866" w:rsidRPr="00CD3A21">
        <w:t xml:space="preserve"> the composition of biogas at the project site using an inline gas analyser or by analysis in a laboratory.</w:t>
      </w:r>
    </w:p>
    <w:p w:rsidR="007C7866" w:rsidRPr="00CD3A21" w:rsidRDefault="00DB5C01" w:rsidP="00DB5C01">
      <w:pPr>
        <w:pStyle w:val="tMain"/>
      </w:pPr>
      <w:r w:rsidRPr="00CD3A21">
        <w:tab/>
      </w:r>
      <w:r w:rsidR="00273574" w:rsidRPr="00CD3A21">
        <w:t>(2)</w:t>
      </w:r>
      <w:r w:rsidRPr="00CD3A21">
        <w:tab/>
      </w:r>
      <w:r w:rsidR="007C7866" w:rsidRPr="00CD3A21">
        <w:t xml:space="preserve">Where a project proponent elects to measure the composition of biogas in accordance with paragraph </w:t>
      </w:r>
      <w:r w:rsidR="00273574" w:rsidRPr="00CD3A21">
        <w:t>(1</w:t>
      </w:r>
      <w:proofErr w:type="gramStart"/>
      <w:r w:rsidR="00273574" w:rsidRPr="00CD3A21">
        <w:t>)(</w:t>
      </w:r>
      <w:proofErr w:type="gramEnd"/>
      <w:r w:rsidR="00273574" w:rsidRPr="00CD3A21">
        <w:t>b)</w:t>
      </w:r>
      <w:r w:rsidR="007C7866" w:rsidRPr="00CD3A21">
        <w:t xml:space="preserve"> the following requirements apply:</w:t>
      </w:r>
    </w:p>
    <w:p w:rsidR="007C7866" w:rsidRPr="00CD3A21" w:rsidRDefault="00DB5C01" w:rsidP="007940C0">
      <w:pPr>
        <w:pStyle w:val="tPara"/>
      </w:pPr>
      <w:r w:rsidRPr="00CD3A21">
        <w:tab/>
      </w:r>
      <w:r w:rsidR="00273574" w:rsidRPr="00CD3A21">
        <w:t>(a)</w:t>
      </w:r>
      <w:r w:rsidRPr="00CD3A21">
        <w:tab/>
      </w:r>
      <w:proofErr w:type="gramStart"/>
      <w:r w:rsidR="007C7866" w:rsidRPr="00CD3A21">
        <w:t>where</w:t>
      </w:r>
      <w:proofErr w:type="gramEnd"/>
      <w:r w:rsidR="007C7866" w:rsidRPr="00CD3A21">
        <w:t xml:space="preserve"> an inline gas analyser is used to measure gas composition:</w:t>
      </w:r>
    </w:p>
    <w:p w:rsidR="007C7866" w:rsidRPr="00CD3A21" w:rsidRDefault="00DB5C01" w:rsidP="007940C0">
      <w:pPr>
        <w:pStyle w:val="tSubpara"/>
      </w:pPr>
      <w:r w:rsidRPr="00CD3A21">
        <w:tab/>
      </w:r>
      <w:r w:rsidR="00273574" w:rsidRPr="00CD3A21">
        <w:t>(</w:t>
      </w:r>
      <w:proofErr w:type="spellStart"/>
      <w:r w:rsidR="00273574" w:rsidRPr="00CD3A21">
        <w:t>i</w:t>
      </w:r>
      <w:proofErr w:type="spellEnd"/>
      <w:r w:rsidR="00273574" w:rsidRPr="00CD3A21">
        <w:t>)</w:t>
      </w:r>
      <w:r w:rsidRPr="00CD3A21">
        <w:tab/>
      </w:r>
      <w:proofErr w:type="gramStart"/>
      <w:r w:rsidR="007C7866" w:rsidRPr="00CD3A21">
        <w:t>paired</w:t>
      </w:r>
      <w:proofErr w:type="gramEnd"/>
      <w:r w:rsidR="007C7866" w:rsidRPr="00CD3A21">
        <w:t xml:space="preserve"> values of the methane fraction of the gas and gas flow that are averaged for the same time interval must be used in the calculation of emission reductions; and</w:t>
      </w:r>
    </w:p>
    <w:p w:rsidR="007C7866" w:rsidRPr="00CD3A21" w:rsidRDefault="00DB5C01" w:rsidP="007940C0">
      <w:pPr>
        <w:pStyle w:val="tSubpara"/>
      </w:pPr>
      <w:r w:rsidRPr="00CD3A21">
        <w:tab/>
      </w:r>
      <w:r w:rsidR="00273574" w:rsidRPr="00CD3A21">
        <w:t>(ii)</w:t>
      </w:r>
      <w:r w:rsidRPr="00CD3A21">
        <w:tab/>
      </w:r>
      <w:proofErr w:type="gramStart"/>
      <w:r w:rsidR="007C7866" w:rsidRPr="00CD3A21">
        <w:t>measurement</w:t>
      </w:r>
      <w:proofErr w:type="gramEnd"/>
      <w:r w:rsidR="007C7866" w:rsidRPr="00CD3A21">
        <w:t xml:space="preserve"> of the methane fraction must occur at the same time as flow measurement</w:t>
      </w:r>
      <w:r w:rsidRPr="00CD3A21">
        <w:t>;</w:t>
      </w:r>
      <w:r w:rsidR="007C7866" w:rsidRPr="00CD3A21">
        <w:t xml:space="preserve"> </w:t>
      </w:r>
    </w:p>
    <w:p w:rsidR="007C7866" w:rsidRPr="00CD3A21" w:rsidRDefault="00DB5C01" w:rsidP="007940C0">
      <w:pPr>
        <w:pStyle w:val="tPara"/>
      </w:pPr>
      <w:r w:rsidRPr="00CD3A21">
        <w:tab/>
      </w:r>
      <w:r w:rsidR="00273574" w:rsidRPr="00CD3A21">
        <w:t>(b)</w:t>
      </w:r>
      <w:r w:rsidRPr="00CD3A21">
        <w:tab/>
      </w:r>
      <w:proofErr w:type="gramStart"/>
      <w:r w:rsidR="007C7866" w:rsidRPr="00CD3A21">
        <w:t>where</w:t>
      </w:r>
      <w:proofErr w:type="gramEnd"/>
      <w:r w:rsidR="007C7866" w:rsidRPr="00CD3A21">
        <w:t xml:space="preserve"> the composition of biogas is measured using biogas samples analysed in a laboratory:</w:t>
      </w:r>
    </w:p>
    <w:p w:rsidR="007C7866" w:rsidRPr="00CD3A21" w:rsidRDefault="00DB5C01" w:rsidP="007940C0">
      <w:pPr>
        <w:pStyle w:val="tSubpara"/>
      </w:pPr>
      <w:r w:rsidRPr="00CD3A21">
        <w:tab/>
      </w:r>
      <w:r w:rsidR="00273574" w:rsidRPr="00CD3A21">
        <w:t>(</w:t>
      </w:r>
      <w:proofErr w:type="spellStart"/>
      <w:r w:rsidR="00273574" w:rsidRPr="00CD3A21">
        <w:t>i</w:t>
      </w:r>
      <w:proofErr w:type="spellEnd"/>
      <w:r w:rsidR="00273574" w:rsidRPr="00CD3A21">
        <w:t>)</w:t>
      </w:r>
      <w:r w:rsidRPr="00CD3A21">
        <w:tab/>
      </w:r>
      <w:proofErr w:type="gramStart"/>
      <w:r w:rsidR="007C7866" w:rsidRPr="00CD3A21">
        <w:t>gas</w:t>
      </w:r>
      <w:proofErr w:type="gramEnd"/>
      <w:r w:rsidR="007C7866" w:rsidRPr="00CD3A21">
        <w:t xml:space="preserve"> composition samples must be taken at the delivery location of the gaseous fuel;</w:t>
      </w:r>
    </w:p>
    <w:p w:rsidR="007C7866" w:rsidRPr="00CD3A21" w:rsidRDefault="00DB5C01" w:rsidP="007940C0">
      <w:pPr>
        <w:pStyle w:val="tSubpara"/>
      </w:pPr>
      <w:r w:rsidRPr="00CD3A21">
        <w:tab/>
      </w:r>
      <w:r w:rsidR="00273574" w:rsidRPr="00CD3A21">
        <w:t>(ii)</w:t>
      </w:r>
      <w:r w:rsidRPr="00CD3A21">
        <w:tab/>
      </w:r>
      <w:proofErr w:type="gramStart"/>
      <w:r w:rsidR="007C7866" w:rsidRPr="00CD3A21">
        <w:t>gas</w:t>
      </w:r>
      <w:proofErr w:type="gramEnd"/>
      <w:r w:rsidR="007C7866" w:rsidRPr="00CD3A21">
        <w:t xml:space="preserve"> composition samples must be taken on a regular basis, occurring no less than once per month;</w:t>
      </w:r>
    </w:p>
    <w:p w:rsidR="007C7866" w:rsidRPr="00CD3A21" w:rsidRDefault="00DB5C01" w:rsidP="007940C0">
      <w:pPr>
        <w:pStyle w:val="tSubpara"/>
      </w:pPr>
      <w:r w:rsidRPr="00CD3A21">
        <w:tab/>
      </w:r>
      <w:r w:rsidR="00273574" w:rsidRPr="00CD3A21">
        <w:t>(iii)</w:t>
      </w:r>
      <w:r w:rsidRPr="00CD3A21">
        <w:tab/>
      </w:r>
      <w:r w:rsidR="007C7866" w:rsidRPr="00CD3A21">
        <w:t xml:space="preserve">the sampling vessel must be set up to provide a time period for the instrument to stabilise and carry out initial checks in accordance with the instrument provided by the manufacturer; </w:t>
      </w:r>
    </w:p>
    <w:p w:rsidR="007C7866" w:rsidRPr="00CD3A21" w:rsidRDefault="00DB5C01" w:rsidP="007940C0">
      <w:pPr>
        <w:pStyle w:val="tSubpara"/>
      </w:pPr>
      <w:r w:rsidRPr="00CD3A21">
        <w:tab/>
      </w:r>
      <w:r w:rsidR="00273574" w:rsidRPr="00CD3A21">
        <w:t>(iv)</w:t>
      </w:r>
      <w:r w:rsidRPr="00CD3A21">
        <w:tab/>
      </w:r>
      <w:proofErr w:type="gramStart"/>
      <w:r w:rsidR="007C7866" w:rsidRPr="00CD3A21">
        <w:t>there</w:t>
      </w:r>
      <w:proofErr w:type="gramEnd"/>
      <w:r w:rsidR="007C7866" w:rsidRPr="00CD3A21">
        <w:t xml:space="preserve"> must be no leaks in the sampling train or between the sampling train and the instrument;</w:t>
      </w:r>
      <w:r w:rsidRPr="00CD3A21">
        <w:t xml:space="preserve"> and</w:t>
      </w:r>
    </w:p>
    <w:p w:rsidR="007C7866" w:rsidRPr="00CD3A21" w:rsidRDefault="00DB5C01" w:rsidP="007940C0">
      <w:pPr>
        <w:pStyle w:val="tSubpara"/>
      </w:pPr>
      <w:r w:rsidRPr="00CD3A21">
        <w:tab/>
      </w:r>
      <w:r w:rsidR="00273574" w:rsidRPr="00CD3A21">
        <w:t>(v)</w:t>
      </w:r>
      <w:r w:rsidRPr="00CD3A21">
        <w:tab/>
      </w:r>
      <w:proofErr w:type="gramStart"/>
      <w:r w:rsidR="007C7866" w:rsidRPr="00CD3A21">
        <w:t>gas</w:t>
      </w:r>
      <w:proofErr w:type="gramEnd"/>
      <w:r w:rsidR="007C7866" w:rsidRPr="00CD3A21">
        <w:t xml:space="preserve"> samples must be analysed:</w:t>
      </w:r>
    </w:p>
    <w:p w:rsidR="007C7866" w:rsidRPr="00CD3A21" w:rsidRDefault="00DB5C01" w:rsidP="007940C0">
      <w:pPr>
        <w:pStyle w:val="tSubsub"/>
        <w:rPr>
          <w:b/>
        </w:rPr>
      </w:pPr>
      <w:r w:rsidRPr="00CD3A21">
        <w:tab/>
      </w:r>
      <w:r w:rsidR="00273574" w:rsidRPr="00CD3A21">
        <w:t>(A)</w:t>
      </w:r>
      <w:r w:rsidRPr="00CD3A21">
        <w:tab/>
      </w:r>
      <w:r w:rsidR="007C7866" w:rsidRPr="00CD3A21">
        <w:t xml:space="preserve">using </w:t>
      </w:r>
      <w:r w:rsidR="002040CB" w:rsidRPr="00CD3A21">
        <w:t xml:space="preserve">US EPA Method 18 or </w:t>
      </w:r>
      <w:r w:rsidR="007C7866" w:rsidRPr="00CD3A21">
        <w:t>US EPA Method 3</w:t>
      </w:r>
      <w:r w:rsidR="00FF0D22" w:rsidRPr="00CD3A21">
        <w:t>C using</w:t>
      </w:r>
      <w:r w:rsidR="007C7866" w:rsidRPr="00CD3A21">
        <w:t xml:space="preserve"> gas chromatography</w:t>
      </w:r>
      <w:r w:rsidR="0019035B" w:rsidRPr="00CD3A21">
        <w:t>,</w:t>
      </w:r>
      <w:r w:rsidR="007C7866" w:rsidRPr="00CD3A21">
        <w:t xml:space="preserve"> or </w:t>
      </w:r>
      <w:r w:rsidR="00F93B24" w:rsidRPr="00CD3A21">
        <w:t>an equivalent Australian or international standard</w:t>
      </w:r>
      <w:r w:rsidR="007C7866" w:rsidRPr="00CD3A21">
        <w:t>;</w:t>
      </w:r>
      <w:r w:rsidRPr="00CD3A21">
        <w:t xml:space="preserve"> and</w:t>
      </w:r>
    </w:p>
    <w:p w:rsidR="007C7866" w:rsidRPr="00CD3A21" w:rsidRDefault="00DB5C01" w:rsidP="007940C0">
      <w:pPr>
        <w:pStyle w:val="tSubsub"/>
      </w:pPr>
      <w:r w:rsidRPr="00CD3A21">
        <w:tab/>
      </w:r>
      <w:r w:rsidR="00273574" w:rsidRPr="00CD3A21">
        <w:t>(B)</w:t>
      </w:r>
      <w:r w:rsidRPr="00CD3A21">
        <w:tab/>
      </w:r>
      <w:proofErr w:type="gramStart"/>
      <w:r w:rsidR="007C7866" w:rsidRPr="00CD3A21">
        <w:t>in</w:t>
      </w:r>
      <w:proofErr w:type="gramEnd"/>
      <w:r w:rsidR="007C7866" w:rsidRPr="00CD3A21">
        <w:t xml:space="preserve"> a NATA accredited laboratory;</w:t>
      </w:r>
    </w:p>
    <w:p w:rsidR="007C7866" w:rsidRPr="00CD3A21" w:rsidRDefault="007C7866" w:rsidP="007940C0">
      <w:pPr>
        <w:pStyle w:val="R2"/>
        <w:keepNext/>
        <w:tabs>
          <w:tab w:val="clear" w:pos="794"/>
          <w:tab w:val="right" w:pos="567"/>
        </w:tabs>
        <w:spacing w:before="0" w:after="100"/>
        <w:ind w:left="2268" w:firstLine="0"/>
        <w:rPr>
          <w:b/>
        </w:rPr>
      </w:pPr>
      <w:proofErr w:type="gramStart"/>
      <w:r w:rsidRPr="00CD3A21">
        <w:t>based</w:t>
      </w:r>
      <w:proofErr w:type="gramEnd"/>
      <w:r w:rsidRPr="00CD3A21">
        <w:t xml:space="preserve"> on triplicate samples collected </w:t>
      </w:r>
      <w:r w:rsidR="00DB5C01" w:rsidRPr="00CD3A21">
        <w:t>in accordance with subparagraph </w:t>
      </w:r>
      <w:r w:rsidR="00273574" w:rsidRPr="00CD3A21">
        <w:t>(ii)</w:t>
      </w:r>
      <w:r w:rsidR="00DB5C01" w:rsidRPr="00CD3A21">
        <w:t>; and</w:t>
      </w:r>
    </w:p>
    <w:p w:rsidR="007C7866" w:rsidRPr="00CD3A21" w:rsidRDefault="00DB5C01" w:rsidP="007940C0">
      <w:pPr>
        <w:pStyle w:val="tPara"/>
      </w:pPr>
      <w:r w:rsidRPr="00CD3A21">
        <w:tab/>
      </w:r>
      <w:r w:rsidR="00273574" w:rsidRPr="00CD3A21">
        <w:t>(c)</w:t>
      </w:r>
      <w:r w:rsidRPr="00CD3A21">
        <w:tab/>
      </w:r>
      <w:proofErr w:type="gramStart"/>
      <w:r w:rsidR="007C7866" w:rsidRPr="00CD3A21">
        <w:t>all</w:t>
      </w:r>
      <w:proofErr w:type="gramEnd"/>
      <w:r w:rsidR="007C7866" w:rsidRPr="00CD3A21">
        <w:t xml:space="preserve"> measurements must be taken in accordance with the instrument manufacturer’s instructions and the Australian and New Zealand standards.</w:t>
      </w:r>
    </w:p>
    <w:p w:rsidR="00FB586F" w:rsidRPr="00CD3A21" w:rsidRDefault="00FB586F" w:rsidP="00FB586F"/>
    <w:p w:rsidR="00E47935" w:rsidRPr="00CD3A21" w:rsidRDefault="00FF0D22" w:rsidP="00FF0D22">
      <w:pPr>
        <w:pStyle w:val="h2Part"/>
      </w:pPr>
      <w:bookmarkStart w:id="54" w:name="_Toc357161792"/>
      <w:r w:rsidRPr="00CD3A21">
        <w:lastRenderedPageBreak/>
        <w:t xml:space="preserve">Part </w:t>
      </w:r>
      <w:r w:rsidR="000C29DD" w:rsidRPr="00CD3A21">
        <w:t>5</w:t>
      </w:r>
      <w:r w:rsidRPr="00CD3A21">
        <w:tab/>
      </w:r>
      <w:r w:rsidR="00E47935" w:rsidRPr="00CD3A21">
        <w:t>Monitoring, record-keeping and reporting requirements</w:t>
      </w:r>
      <w:bookmarkEnd w:id="54"/>
      <w:r w:rsidR="00840B17" w:rsidRPr="00CD3A21">
        <w:t xml:space="preserve"> </w:t>
      </w:r>
    </w:p>
    <w:p w:rsidR="00E47935" w:rsidRPr="00CD3A21" w:rsidRDefault="0033655F" w:rsidP="0033655F">
      <w:pPr>
        <w:pStyle w:val="noteMain"/>
      </w:pPr>
      <w:r w:rsidRPr="00CD3A21">
        <w:tab/>
      </w:r>
      <w:r w:rsidRPr="00CD3A21">
        <w:rPr>
          <w:b/>
          <w:i/>
        </w:rPr>
        <w:t>Note</w:t>
      </w:r>
      <w:r w:rsidRPr="00CD3A21">
        <w:tab/>
      </w:r>
      <w:r w:rsidR="00E47935" w:rsidRPr="00CD3A21">
        <w:t>See subsection 106(3) of the Act.</w:t>
      </w:r>
    </w:p>
    <w:p w:rsidR="00E47935" w:rsidRPr="00CD3A21" w:rsidRDefault="00FF0D22" w:rsidP="00FF0D22">
      <w:pPr>
        <w:pStyle w:val="h3Div"/>
      </w:pPr>
      <w:bookmarkStart w:id="55" w:name="_Toc357161793"/>
      <w:r w:rsidRPr="00CD3A21">
        <w:t xml:space="preserve">Division </w:t>
      </w:r>
      <w:r w:rsidR="000C29DD" w:rsidRPr="00CD3A21">
        <w:t>5.1</w:t>
      </w:r>
      <w:r w:rsidRPr="00CD3A21">
        <w:tab/>
      </w:r>
      <w:r w:rsidR="00E47935" w:rsidRPr="00CD3A21">
        <w:t>General</w:t>
      </w:r>
      <w:bookmarkEnd w:id="55"/>
      <w:r w:rsidR="00840B17" w:rsidRPr="00CD3A21">
        <w:t xml:space="preserve"> </w:t>
      </w:r>
    </w:p>
    <w:p w:rsidR="00DB5C01" w:rsidRPr="00CD3A21" w:rsidRDefault="000C29DD" w:rsidP="00FF0D22">
      <w:pPr>
        <w:pStyle w:val="h5Section"/>
      </w:pPr>
      <w:bookmarkStart w:id="56" w:name="_Toc357161794"/>
      <w:r w:rsidRPr="00CD3A21">
        <w:t>5.1</w:t>
      </w:r>
      <w:r w:rsidR="00FF0D22" w:rsidRPr="00CD3A21">
        <w:tab/>
      </w:r>
      <w:r w:rsidR="00DB5C01" w:rsidRPr="00CD3A21">
        <w:t>Application</w:t>
      </w:r>
      <w:bookmarkEnd w:id="56"/>
      <w:r w:rsidR="00840B17" w:rsidRPr="00CD3A21">
        <w:t xml:space="preserve"> </w:t>
      </w:r>
    </w:p>
    <w:p w:rsidR="00DB5C01" w:rsidRPr="00CD3A21" w:rsidRDefault="00DB5C01" w:rsidP="00DB5C01">
      <w:pPr>
        <w:pStyle w:val="tMain"/>
      </w:pPr>
      <w:r w:rsidRPr="00CD3A21">
        <w:tab/>
      </w:r>
      <w:r w:rsidRPr="00CD3A21">
        <w:tab/>
        <w:t>For the purposes of subsection 106(3) of the Act, a project proponent of an offsets project to which this Determination applies must comply with the monitoring, record-keeping and reporting requirements of this Part.</w:t>
      </w:r>
    </w:p>
    <w:p w:rsidR="00E47935" w:rsidRPr="00CD3A21" w:rsidRDefault="00FF0D22" w:rsidP="00FF0D22">
      <w:pPr>
        <w:pStyle w:val="h3Div"/>
      </w:pPr>
      <w:bookmarkStart w:id="57" w:name="_Toc357161795"/>
      <w:r w:rsidRPr="00CD3A21">
        <w:t xml:space="preserve">Division </w:t>
      </w:r>
      <w:r w:rsidR="000C29DD" w:rsidRPr="00CD3A21">
        <w:t>5.2</w:t>
      </w:r>
      <w:r w:rsidRPr="00CD3A21">
        <w:tab/>
      </w:r>
      <w:r w:rsidR="00E47935" w:rsidRPr="00CD3A21">
        <w:t>Monitoring requirements</w:t>
      </w:r>
      <w:bookmarkEnd w:id="57"/>
      <w:r w:rsidR="00840B17" w:rsidRPr="00CD3A21">
        <w:t xml:space="preserve"> </w:t>
      </w:r>
    </w:p>
    <w:p w:rsidR="00CA65DB" w:rsidRPr="00CD3A21" w:rsidRDefault="000C29DD" w:rsidP="00FF0D22">
      <w:pPr>
        <w:pStyle w:val="h5Section"/>
      </w:pPr>
      <w:bookmarkStart w:id="58" w:name="_Toc357161796"/>
      <w:r w:rsidRPr="00CD3A21">
        <w:t>5.2</w:t>
      </w:r>
      <w:r w:rsidR="00FF0D22" w:rsidRPr="00CD3A21">
        <w:tab/>
      </w:r>
      <w:r w:rsidR="00CA65DB" w:rsidRPr="00CD3A21">
        <w:t>Monitoring requirements</w:t>
      </w:r>
      <w:bookmarkEnd w:id="58"/>
      <w:r w:rsidR="00840B17" w:rsidRPr="00CD3A21">
        <w:t xml:space="preserve"> </w:t>
      </w:r>
    </w:p>
    <w:p w:rsidR="00CA65DB" w:rsidRPr="00CD3A21" w:rsidRDefault="00CA65DB" w:rsidP="00CA65DB">
      <w:pPr>
        <w:pStyle w:val="h6Subsec"/>
      </w:pPr>
      <w:r w:rsidRPr="00CD3A21">
        <w:t xml:space="preserve">Frequency of recording of </w:t>
      </w:r>
      <w:proofErr w:type="spellStart"/>
      <w:r w:rsidRPr="00CD3A21">
        <w:t>PigBal</w:t>
      </w:r>
      <w:proofErr w:type="spellEnd"/>
      <w:r w:rsidRPr="00CD3A21">
        <w:t xml:space="preserve"> inputs</w:t>
      </w:r>
    </w:p>
    <w:p w:rsidR="00CA65DB" w:rsidRPr="00CD3A21" w:rsidRDefault="00CA65DB" w:rsidP="00113852">
      <w:pPr>
        <w:pStyle w:val="tMain"/>
      </w:pPr>
      <w:r w:rsidRPr="00CD3A21">
        <w:tab/>
      </w:r>
      <w:r w:rsidR="00273574" w:rsidRPr="00CD3A21">
        <w:t>(1)</w:t>
      </w:r>
      <w:r w:rsidRPr="00CD3A21">
        <w:tab/>
      </w:r>
      <w:r w:rsidR="002C1DD4" w:rsidRPr="00CD3A21">
        <w:t xml:space="preserve">Subject to subsection </w:t>
      </w:r>
      <w:r w:rsidR="00273574" w:rsidRPr="00CD3A21">
        <w:t>(2)</w:t>
      </w:r>
      <w:r w:rsidR="002C1DD4" w:rsidRPr="00CD3A21">
        <w:t>, a</w:t>
      </w:r>
      <w:r w:rsidRPr="00CD3A21">
        <w:t xml:space="preserve"> project proponent must monitor and record the following data, as set out in the </w:t>
      </w:r>
      <w:proofErr w:type="spellStart"/>
      <w:r w:rsidRPr="00CD3A21">
        <w:t>PigBal</w:t>
      </w:r>
      <w:proofErr w:type="spellEnd"/>
      <w:r w:rsidRPr="00CD3A21">
        <w:t xml:space="preserve"> Manual, no less than once per </w:t>
      </w:r>
      <w:r w:rsidR="00F03153" w:rsidRPr="00CD3A21">
        <w:t>month</w:t>
      </w:r>
      <w:r w:rsidRPr="00CD3A21">
        <w:t>:</w:t>
      </w:r>
    </w:p>
    <w:p w:rsidR="00CA65DB" w:rsidRPr="00CD3A21" w:rsidRDefault="00CA65DB" w:rsidP="00113852">
      <w:pPr>
        <w:pStyle w:val="tPara"/>
      </w:pPr>
      <w:r w:rsidRPr="00CD3A21">
        <w:tab/>
      </w:r>
      <w:r w:rsidR="00273574" w:rsidRPr="00CD3A21">
        <w:t>(a)</w:t>
      </w:r>
      <w:r w:rsidRPr="00CD3A21">
        <w:tab/>
      </w:r>
      <w:proofErr w:type="gramStart"/>
      <w:r w:rsidRPr="00CD3A21">
        <w:t>herd</w:t>
      </w:r>
      <w:proofErr w:type="gramEnd"/>
      <w:r w:rsidRPr="00CD3A21">
        <w:t xml:space="preserve"> data;</w:t>
      </w:r>
    </w:p>
    <w:p w:rsidR="00CA65DB" w:rsidRPr="00CD3A21" w:rsidRDefault="00CA65DB" w:rsidP="00113852">
      <w:pPr>
        <w:pStyle w:val="tPara"/>
      </w:pPr>
      <w:r w:rsidRPr="00CD3A21">
        <w:tab/>
      </w:r>
      <w:r w:rsidR="00273574" w:rsidRPr="00CD3A21">
        <w:t>(b)</w:t>
      </w:r>
      <w:r w:rsidRPr="00CD3A21">
        <w:tab/>
      </w:r>
      <w:proofErr w:type="gramStart"/>
      <w:r w:rsidRPr="00CD3A21">
        <w:t>herd</w:t>
      </w:r>
      <w:proofErr w:type="gramEnd"/>
      <w:r w:rsidRPr="00CD3A21">
        <w:t xml:space="preserve"> performance data where this data is necessary in accordance with the conditions set out in the </w:t>
      </w:r>
      <w:proofErr w:type="spellStart"/>
      <w:r w:rsidRPr="00CD3A21">
        <w:t>PigBal</w:t>
      </w:r>
      <w:proofErr w:type="spellEnd"/>
      <w:r w:rsidRPr="00CD3A21">
        <w:t xml:space="preserve"> Manual;</w:t>
      </w:r>
    </w:p>
    <w:p w:rsidR="00CA65DB" w:rsidRPr="00CD3A21" w:rsidRDefault="00CA65DB" w:rsidP="00113852">
      <w:pPr>
        <w:pStyle w:val="tPara"/>
      </w:pPr>
      <w:r w:rsidRPr="00CD3A21">
        <w:tab/>
      </w:r>
      <w:r w:rsidR="00273574" w:rsidRPr="00CD3A21">
        <w:t>(c)</w:t>
      </w:r>
      <w:r w:rsidRPr="00CD3A21">
        <w:tab/>
      </w:r>
      <w:proofErr w:type="gramStart"/>
      <w:r w:rsidRPr="00CD3A21">
        <w:t>piggery</w:t>
      </w:r>
      <w:proofErr w:type="gramEnd"/>
      <w:r w:rsidRPr="00CD3A21">
        <w:t xml:space="preserve"> feed usage data; and</w:t>
      </w:r>
    </w:p>
    <w:p w:rsidR="00CA65DB" w:rsidRPr="00CD3A21" w:rsidRDefault="00CA65DB" w:rsidP="00113852">
      <w:pPr>
        <w:pStyle w:val="tPara"/>
      </w:pPr>
      <w:r w:rsidRPr="00CD3A21">
        <w:tab/>
      </w:r>
      <w:r w:rsidR="00273574" w:rsidRPr="00CD3A21">
        <w:t>(d)</w:t>
      </w:r>
      <w:r w:rsidRPr="00CD3A21">
        <w:tab/>
      </w:r>
      <w:proofErr w:type="gramStart"/>
      <w:r w:rsidRPr="00CD3A21">
        <w:t>diet</w:t>
      </w:r>
      <w:proofErr w:type="gramEnd"/>
      <w:r w:rsidRPr="00CD3A21">
        <w:t xml:space="preserve"> analysis.</w:t>
      </w:r>
    </w:p>
    <w:p w:rsidR="00EE6353" w:rsidRPr="00CD3A21" w:rsidRDefault="00A3412A" w:rsidP="00113852">
      <w:pPr>
        <w:pStyle w:val="tMain"/>
      </w:pPr>
      <w:r w:rsidRPr="00CD3A21">
        <w:tab/>
      </w:r>
      <w:r w:rsidR="00273574" w:rsidRPr="00CD3A21">
        <w:t>(2)</w:t>
      </w:r>
      <w:r w:rsidRPr="00CD3A21">
        <w:tab/>
        <w:t>Where destocking, herd expansion</w:t>
      </w:r>
      <w:r w:rsidR="002C1DD4" w:rsidRPr="00CD3A21">
        <w:t>,</w:t>
      </w:r>
      <w:r w:rsidRPr="00CD3A21">
        <w:t xml:space="preserve"> or herd mix changes have occurred, </w:t>
      </w:r>
      <w:r w:rsidR="002C1DD4" w:rsidRPr="00CD3A21">
        <w:t xml:space="preserve">the </w:t>
      </w:r>
      <w:r w:rsidRPr="00CD3A21">
        <w:t xml:space="preserve">herd data </w:t>
      </w:r>
      <w:r w:rsidR="002C1DD4" w:rsidRPr="00CD3A21">
        <w:t xml:space="preserve">specified in paragraphs </w:t>
      </w:r>
      <w:r w:rsidR="00273574" w:rsidRPr="00CD3A21">
        <w:t>(1</w:t>
      </w:r>
      <w:proofErr w:type="gramStart"/>
      <w:r w:rsidR="00273574" w:rsidRPr="00CD3A21">
        <w:t>)(</w:t>
      </w:r>
      <w:proofErr w:type="gramEnd"/>
      <w:r w:rsidR="00273574" w:rsidRPr="00CD3A21">
        <w:t>a)</w:t>
      </w:r>
      <w:r w:rsidR="002C1DD4" w:rsidRPr="00CD3A21">
        <w:t xml:space="preserve"> and </w:t>
      </w:r>
      <w:r w:rsidR="00273574" w:rsidRPr="00CD3A21">
        <w:t>(1)(b)</w:t>
      </w:r>
      <w:r w:rsidR="002C1DD4" w:rsidRPr="00CD3A21">
        <w:t xml:space="preserve"> </w:t>
      </w:r>
      <w:r w:rsidRPr="00CD3A21">
        <w:t>must be monitored and recorded weekly until numbers stabilise.</w:t>
      </w:r>
    </w:p>
    <w:p w:rsidR="00CA65DB" w:rsidRPr="00CD3A21" w:rsidRDefault="00CA65DB" w:rsidP="00CA65DB">
      <w:pPr>
        <w:pStyle w:val="h6Subsec"/>
      </w:pPr>
      <w:r w:rsidRPr="00CD3A21">
        <w:t>Gas measurement error margins</w:t>
      </w:r>
    </w:p>
    <w:p w:rsidR="00CA65DB" w:rsidRPr="00CD3A21" w:rsidRDefault="00CA65DB" w:rsidP="00CA65DB">
      <w:pPr>
        <w:pStyle w:val="tMain"/>
      </w:pPr>
      <w:r w:rsidRPr="00CD3A21">
        <w:tab/>
      </w:r>
      <w:r w:rsidR="00273574" w:rsidRPr="00CD3A21">
        <w:t>(3)</w:t>
      </w:r>
      <w:r w:rsidRPr="00CD3A21">
        <w:tab/>
        <w:t>The measurement of gas pressures must be carried out using equipment that complies with the following accuracy requirements:</w:t>
      </w:r>
    </w:p>
    <w:p w:rsidR="00CA65DB" w:rsidRPr="00CD3A21" w:rsidRDefault="00CA65DB" w:rsidP="00CA65DB">
      <w:pPr>
        <w:pStyle w:val="tPara"/>
      </w:pPr>
      <w:r w:rsidRPr="00CD3A21">
        <w:tab/>
      </w:r>
      <w:r w:rsidR="00273574" w:rsidRPr="00CD3A21">
        <w:t>(a)</w:t>
      </w:r>
      <w:r w:rsidRPr="00CD3A21">
        <w:tab/>
      </w:r>
      <w:proofErr w:type="gramStart"/>
      <w:r w:rsidRPr="00CD3A21">
        <w:t>pressure</w:t>
      </w:r>
      <w:proofErr w:type="gramEnd"/>
      <w:r w:rsidRPr="00CD3A21">
        <w:t xml:space="preserve"> &lt;±0.5%; and</w:t>
      </w:r>
    </w:p>
    <w:p w:rsidR="00CA65DB" w:rsidRPr="00CD3A21" w:rsidRDefault="00CA65DB" w:rsidP="00CA65DB">
      <w:pPr>
        <w:pStyle w:val="tPara"/>
      </w:pPr>
      <w:r w:rsidRPr="00CD3A21">
        <w:tab/>
      </w:r>
      <w:r w:rsidR="00273574" w:rsidRPr="00CD3A21">
        <w:t>(b)</w:t>
      </w:r>
      <w:r w:rsidRPr="00CD3A21">
        <w:tab/>
      </w:r>
      <w:proofErr w:type="gramStart"/>
      <w:r w:rsidRPr="00CD3A21">
        <w:t>differential</w:t>
      </w:r>
      <w:proofErr w:type="gramEnd"/>
      <w:r w:rsidRPr="00CD3A21">
        <w:t xml:space="preserve"> pressure &lt;±0.5%.</w:t>
      </w:r>
    </w:p>
    <w:p w:rsidR="00CA65DB" w:rsidRPr="00CD3A21" w:rsidRDefault="000C29DD" w:rsidP="00FF0D22">
      <w:pPr>
        <w:pStyle w:val="h5Section"/>
      </w:pPr>
      <w:bookmarkStart w:id="59" w:name="_Toc357161797"/>
      <w:r w:rsidRPr="00CD3A21">
        <w:lastRenderedPageBreak/>
        <w:t>5.3</w:t>
      </w:r>
      <w:r w:rsidR="00FF0D22" w:rsidRPr="00CD3A21">
        <w:tab/>
      </w:r>
      <w:r w:rsidR="00CA65DB" w:rsidRPr="00CD3A21">
        <w:t>Quality assurance and quality control</w:t>
      </w:r>
      <w:bookmarkEnd w:id="59"/>
      <w:r w:rsidR="00840B17" w:rsidRPr="00CD3A21">
        <w:t xml:space="preserve"> </w:t>
      </w:r>
    </w:p>
    <w:p w:rsidR="00CA65DB" w:rsidRPr="00CD3A21" w:rsidRDefault="005D5F1F" w:rsidP="00A61952">
      <w:pPr>
        <w:pStyle w:val="tMain"/>
        <w:keepNext/>
      </w:pPr>
      <w:r w:rsidRPr="00CD3A21">
        <w:tab/>
      </w:r>
      <w:r w:rsidR="00273574" w:rsidRPr="00CD3A21">
        <w:t>(1)</w:t>
      </w:r>
      <w:r w:rsidRPr="00CD3A21">
        <w:tab/>
      </w:r>
      <w:r w:rsidR="00CA65DB" w:rsidRPr="00CD3A21">
        <w:t>All monitoring instruments must be:</w:t>
      </w:r>
    </w:p>
    <w:p w:rsidR="00CA65DB" w:rsidRPr="00CD3A21" w:rsidRDefault="005D5F1F" w:rsidP="00A61952">
      <w:pPr>
        <w:pStyle w:val="tPara"/>
        <w:keepNext/>
      </w:pPr>
      <w:r w:rsidRPr="00CD3A21">
        <w:tab/>
      </w:r>
      <w:r w:rsidR="00273574" w:rsidRPr="00CD3A21">
        <w:t>(a)</w:t>
      </w:r>
      <w:r w:rsidRPr="00CD3A21">
        <w:tab/>
      </w:r>
      <w:proofErr w:type="gramStart"/>
      <w:r w:rsidR="00CA65DB" w:rsidRPr="00CD3A21">
        <w:t>cleaned</w:t>
      </w:r>
      <w:proofErr w:type="gramEnd"/>
      <w:r w:rsidR="00CA65DB" w:rsidRPr="00CD3A21">
        <w:t xml:space="preserve"> and inspected on a regular basis to ensure the equipment operates with</w:t>
      </w:r>
      <w:r w:rsidR="00291C53" w:rsidRPr="00CD3A21">
        <w:t>in an accuracy threshold of +/-</w:t>
      </w:r>
      <w:r w:rsidR="00CA65DB" w:rsidRPr="00CD3A21">
        <w:t>5%, with the activities performed and the “as found/as left” condition of the equipment documented;</w:t>
      </w:r>
    </w:p>
    <w:p w:rsidR="00CA65DB" w:rsidRPr="00CD3A21" w:rsidRDefault="005D5F1F" w:rsidP="005D5F1F">
      <w:pPr>
        <w:pStyle w:val="tPara"/>
      </w:pPr>
      <w:r w:rsidRPr="00CD3A21">
        <w:tab/>
      </w:r>
      <w:r w:rsidR="00273574" w:rsidRPr="00CD3A21">
        <w:t>(b)</w:t>
      </w:r>
      <w:r w:rsidRPr="00CD3A21">
        <w:tab/>
      </w:r>
      <w:proofErr w:type="gramStart"/>
      <w:r w:rsidR="00CA65DB" w:rsidRPr="00CD3A21">
        <w:t>field</w:t>
      </w:r>
      <w:proofErr w:type="gramEnd"/>
      <w:r w:rsidR="00CA65DB" w:rsidRPr="00CD3A21">
        <w:t xml:space="preserve"> checked for calibration accuracy, with the per</w:t>
      </w:r>
      <w:r w:rsidR="00291C53" w:rsidRPr="00CD3A21">
        <w:t xml:space="preserve"> </w:t>
      </w:r>
      <w:r w:rsidR="00CA65DB" w:rsidRPr="00CD3A21">
        <w:t xml:space="preserve">cent drift documented, within </w:t>
      </w:r>
      <w:r w:rsidR="009510AB" w:rsidRPr="00CD3A21">
        <w:t xml:space="preserve">2 </w:t>
      </w:r>
      <w:r w:rsidR="00CA65DB" w:rsidRPr="00CD3A21">
        <w:t>months before the end of the reporting period by a third-party technician:</w:t>
      </w:r>
    </w:p>
    <w:p w:rsidR="00CA65DB" w:rsidRPr="00CD3A21" w:rsidRDefault="005D5F1F" w:rsidP="005D5F1F">
      <w:pPr>
        <w:pStyle w:val="tSubpara"/>
      </w:pPr>
      <w:r w:rsidRPr="00CD3A21">
        <w:tab/>
      </w:r>
      <w:r w:rsidR="00273574" w:rsidRPr="00CD3A21">
        <w:t>(</w:t>
      </w:r>
      <w:proofErr w:type="spellStart"/>
      <w:r w:rsidR="00273574" w:rsidRPr="00CD3A21">
        <w:t>i</w:t>
      </w:r>
      <w:proofErr w:type="spellEnd"/>
      <w:r w:rsidR="00273574" w:rsidRPr="00CD3A21">
        <w:t>)</w:t>
      </w:r>
      <w:r w:rsidRPr="00CD3A21">
        <w:tab/>
      </w:r>
      <w:proofErr w:type="gramStart"/>
      <w:r w:rsidR="00CA65DB" w:rsidRPr="00CD3A21">
        <w:t>using</w:t>
      </w:r>
      <w:proofErr w:type="gramEnd"/>
      <w:r w:rsidR="00CA65DB" w:rsidRPr="00CD3A21">
        <w:t xml:space="preserve"> an appropriate instrument or apparatus; or</w:t>
      </w:r>
    </w:p>
    <w:p w:rsidR="00CA65DB" w:rsidRPr="00CD3A21" w:rsidRDefault="005D5F1F" w:rsidP="005D5F1F">
      <w:pPr>
        <w:pStyle w:val="tSubpara"/>
      </w:pPr>
      <w:r w:rsidRPr="00CD3A21">
        <w:tab/>
      </w:r>
      <w:r w:rsidR="00273574" w:rsidRPr="00CD3A21">
        <w:t>(ii)</w:t>
      </w:r>
      <w:r w:rsidRPr="00CD3A21">
        <w:tab/>
      </w:r>
      <w:proofErr w:type="gramStart"/>
      <w:r w:rsidR="00CA65DB" w:rsidRPr="00CD3A21">
        <w:t>as</w:t>
      </w:r>
      <w:proofErr w:type="gramEnd"/>
      <w:r w:rsidR="00CA65DB" w:rsidRPr="00CD3A21">
        <w:t xml:space="preserve"> per the manufacturer’s guidance; </w:t>
      </w:r>
    </w:p>
    <w:p w:rsidR="00CA65DB" w:rsidRPr="00CD3A21" w:rsidRDefault="005D5F1F" w:rsidP="005D5F1F">
      <w:pPr>
        <w:pStyle w:val="tPara"/>
      </w:pPr>
      <w:r w:rsidRPr="00CD3A21">
        <w:tab/>
      </w:r>
      <w:r w:rsidR="00273574" w:rsidRPr="00CD3A21">
        <w:t>(c)</w:t>
      </w:r>
      <w:r w:rsidRPr="00CD3A21">
        <w:tab/>
      </w:r>
      <w:proofErr w:type="gramStart"/>
      <w:r w:rsidR="00CA65DB" w:rsidRPr="00CD3A21">
        <w:t>calibrated</w:t>
      </w:r>
      <w:proofErr w:type="gramEnd"/>
      <w:r w:rsidR="00CA65DB" w:rsidRPr="00CD3A21">
        <w:t xml:space="preserve"> by the manufacturer or an accredited third-party calibration service as per the manufacturer’s guidance, or every 5 years, whichever occurs with greater frequency.</w:t>
      </w:r>
    </w:p>
    <w:p w:rsidR="00CA65DB" w:rsidRPr="00CD3A21" w:rsidRDefault="005D5F1F" w:rsidP="005D5F1F">
      <w:pPr>
        <w:pStyle w:val="tMain"/>
      </w:pPr>
      <w:r w:rsidRPr="00CD3A21">
        <w:tab/>
      </w:r>
      <w:r w:rsidR="00273574" w:rsidRPr="00CD3A21">
        <w:t>(2)</w:t>
      </w:r>
      <w:r w:rsidRPr="00CD3A21">
        <w:tab/>
      </w:r>
      <w:r w:rsidR="00CA65DB" w:rsidRPr="00CD3A21">
        <w:t>Field checks of monitoring instruments must determine whether the instrument reads measurement within the accuracy threshold of +/-5%.</w:t>
      </w:r>
    </w:p>
    <w:p w:rsidR="00CA65DB" w:rsidRPr="00CD3A21" w:rsidRDefault="005D5F1F" w:rsidP="005D5F1F">
      <w:pPr>
        <w:pStyle w:val="tMain"/>
      </w:pPr>
      <w:r w:rsidRPr="00CD3A21">
        <w:tab/>
      </w:r>
      <w:r w:rsidR="00273574" w:rsidRPr="00CD3A21">
        <w:t>(3)</w:t>
      </w:r>
      <w:r w:rsidRPr="00CD3A21">
        <w:tab/>
      </w:r>
      <w:r w:rsidR="00CA65DB" w:rsidRPr="00CD3A21">
        <w:t>If a field check of a monitoring instrument determines that its accuracy is outside of the accuracy threshold of +/-5% then the instrument must be calibrated by the manufacturer or an accredited third-party calibration service. The calibration must ensure that the instrument reads measurement within the accuracy threshold of +/</w:t>
      </w:r>
      <w:r w:rsidR="000F5A92" w:rsidRPr="00CD3A21">
        <w:noBreakHyphen/>
      </w:r>
      <w:r w:rsidR="00CA65DB" w:rsidRPr="00CD3A21">
        <w:t>5%.</w:t>
      </w:r>
    </w:p>
    <w:p w:rsidR="00CA65DB" w:rsidRPr="00CD3A21" w:rsidRDefault="005D5F1F" w:rsidP="005D5F1F">
      <w:pPr>
        <w:pStyle w:val="tMain"/>
      </w:pPr>
      <w:r w:rsidRPr="00CD3A21">
        <w:tab/>
      </w:r>
      <w:r w:rsidR="00273574" w:rsidRPr="00CD3A21">
        <w:t>(4)</w:t>
      </w:r>
      <w:r w:rsidRPr="00CD3A21">
        <w:tab/>
      </w:r>
      <w:r w:rsidR="00CA65DB" w:rsidRPr="00CD3A21">
        <w:t>All combustion devices must be installed, operated and maintained in accordance with the manufacturer’s guidance.</w:t>
      </w:r>
    </w:p>
    <w:p w:rsidR="00E47935" w:rsidRPr="00CD3A21" w:rsidRDefault="00E47935" w:rsidP="00E47935">
      <w:pPr>
        <w:pStyle w:val="h3Div"/>
      </w:pPr>
      <w:bookmarkStart w:id="60" w:name="_Toc357161798"/>
      <w:r w:rsidRPr="00CD3A21">
        <w:t xml:space="preserve">Division </w:t>
      </w:r>
      <w:r w:rsidR="00273574" w:rsidRPr="00CD3A21">
        <w:t>5.3</w:t>
      </w:r>
      <w:r w:rsidRPr="00CD3A21">
        <w:tab/>
        <w:t>Record-keeping requirements</w:t>
      </w:r>
      <w:bookmarkEnd w:id="60"/>
      <w:r w:rsidR="00840B17" w:rsidRPr="00CD3A21">
        <w:t xml:space="preserve"> </w:t>
      </w:r>
    </w:p>
    <w:p w:rsidR="000477DE" w:rsidRPr="00CD3A21" w:rsidRDefault="000C29DD" w:rsidP="00FF0D22">
      <w:pPr>
        <w:pStyle w:val="h5Section"/>
      </w:pPr>
      <w:bookmarkStart w:id="61" w:name="_Toc357161799"/>
      <w:r w:rsidRPr="00CD3A21">
        <w:t>5.4</w:t>
      </w:r>
      <w:r w:rsidR="00FF0D22" w:rsidRPr="00CD3A21">
        <w:tab/>
      </w:r>
      <w:r w:rsidR="000477DE" w:rsidRPr="00CD3A21">
        <w:t>Records that must be kept</w:t>
      </w:r>
      <w:bookmarkEnd w:id="61"/>
      <w:r w:rsidR="00840B17" w:rsidRPr="00CD3A21">
        <w:t xml:space="preserve"> </w:t>
      </w:r>
    </w:p>
    <w:p w:rsidR="000477DE" w:rsidRPr="00CD3A21" w:rsidRDefault="000477DE" w:rsidP="000477DE">
      <w:pPr>
        <w:pStyle w:val="tMain"/>
      </w:pPr>
      <w:r w:rsidRPr="00CD3A21">
        <w:tab/>
      </w:r>
      <w:r w:rsidRPr="00CD3A21">
        <w:tab/>
        <w:t>The project proponent must make and keep records of the information specified in this Division.</w:t>
      </w:r>
    </w:p>
    <w:p w:rsidR="000477DE" w:rsidRPr="00CD3A21" w:rsidRDefault="000C29DD" w:rsidP="00FF0D22">
      <w:pPr>
        <w:pStyle w:val="h5Section"/>
      </w:pPr>
      <w:bookmarkStart w:id="62" w:name="_Toc357161800"/>
      <w:r w:rsidRPr="00CD3A21">
        <w:t>5.5</w:t>
      </w:r>
      <w:r w:rsidR="00FF0D22" w:rsidRPr="00CD3A21">
        <w:tab/>
      </w:r>
      <w:r w:rsidR="000477DE" w:rsidRPr="00CD3A21">
        <w:t>General information</w:t>
      </w:r>
      <w:bookmarkEnd w:id="62"/>
    </w:p>
    <w:p w:rsidR="000477DE" w:rsidRPr="00CD3A21" w:rsidRDefault="000477DE" w:rsidP="000477DE">
      <w:pPr>
        <w:pStyle w:val="tMain"/>
      </w:pPr>
      <w:r w:rsidRPr="00CD3A21">
        <w:tab/>
      </w:r>
      <w:r w:rsidRPr="00CD3A21">
        <w:tab/>
        <w:t xml:space="preserve">The following information must be recorded and kept for general purposes: </w:t>
      </w:r>
    </w:p>
    <w:p w:rsidR="000477DE" w:rsidRPr="00CD3A21" w:rsidRDefault="000477DE" w:rsidP="000477DE">
      <w:pPr>
        <w:pStyle w:val="tPara"/>
      </w:pPr>
      <w:r w:rsidRPr="00CD3A21">
        <w:tab/>
      </w:r>
      <w:r w:rsidR="00273574" w:rsidRPr="00CD3A21">
        <w:t>(a)</w:t>
      </w:r>
      <w:r w:rsidRPr="00CD3A21">
        <w:tab/>
      </w:r>
      <w:proofErr w:type="gramStart"/>
      <w:r w:rsidRPr="00CD3A21">
        <w:t>all</w:t>
      </w:r>
      <w:proofErr w:type="gramEnd"/>
      <w:r w:rsidRPr="00CD3A21">
        <w:t xml:space="preserve"> maintenance records for monitoring instruments and combustion devices;</w:t>
      </w:r>
    </w:p>
    <w:p w:rsidR="000477DE" w:rsidRPr="00CD3A21" w:rsidRDefault="000477DE" w:rsidP="000477DE">
      <w:pPr>
        <w:pStyle w:val="tPara"/>
      </w:pPr>
      <w:r w:rsidRPr="00CD3A21">
        <w:tab/>
      </w:r>
      <w:r w:rsidR="00273574" w:rsidRPr="00CD3A21">
        <w:t>(b)</w:t>
      </w:r>
      <w:r w:rsidRPr="00CD3A21">
        <w:tab/>
      </w:r>
      <w:proofErr w:type="gramStart"/>
      <w:r w:rsidRPr="00CD3A21">
        <w:t>logs</w:t>
      </w:r>
      <w:proofErr w:type="gramEnd"/>
      <w:r w:rsidRPr="00CD3A21">
        <w:t xml:space="preserve"> of operations of the combustion device including notation of all shut</w:t>
      </w:r>
      <w:r w:rsidRPr="00CD3A21">
        <w:noBreakHyphen/>
        <w:t>downs, start</w:t>
      </w:r>
      <w:r w:rsidRPr="00CD3A21">
        <w:noBreakHyphen/>
        <w:t xml:space="preserve">ups, process adjustments; </w:t>
      </w:r>
    </w:p>
    <w:p w:rsidR="000477DE" w:rsidRPr="00CD3A21" w:rsidRDefault="000477DE" w:rsidP="000477DE">
      <w:pPr>
        <w:pStyle w:val="tPara"/>
      </w:pPr>
      <w:r w:rsidRPr="00CD3A21">
        <w:tab/>
      </w:r>
      <w:r w:rsidR="00273574" w:rsidRPr="00CD3A21">
        <w:t>(c)</w:t>
      </w:r>
      <w:r w:rsidRPr="00CD3A21">
        <w:tab/>
      </w:r>
      <w:proofErr w:type="gramStart"/>
      <w:r w:rsidRPr="00CD3A21">
        <w:t>evidence</w:t>
      </w:r>
      <w:proofErr w:type="gramEnd"/>
      <w:r w:rsidRPr="00CD3A21">
        <w:t xml:space="preserve"> of corrective measures taken if monitoring instruments do not meet the accuracy threshold specified in section </w:t>
      </w:r>
      <w:r w:rsidR="00273574" w:rsidRPr="00CD3A21">
        <w:t>5.2</w:t>
      </w:r>
      <w:r w:rsidRPr="00CD3A21">
        <w:t>; and</w:t>
      </w:r>
    </w:p>
    <w:p w:rsidR="000477DE" w:rsidRPr="00CD3A21" w:rsidRDefault="000477DE" w:rsidP="000477DE">
      <w:pPr>
        <w:pStyle w:val="tPara"/>
      </w:pPr>
      <w:r w:rsidRPr="00CD3A21">
        <w:lastRenderedPageBreak/>
        <w:tab/>
      </w:r>
      <w:r w:rsidR="00273574" w:rsidRPr="00CD3A21">
        <w:t>(d)</w:t>
      </w:r>
      <w:r w:rsidRPr="00CD3A21">
        <w:tab/>
      </w:r>
      <w:proofErr w:type="gramStart"/>
      <w:r w:rsidRPr="00CD3A21">
        <w:t>if</w:t>
      </w:r>
      <w:proofErr w:type="gramEnd"/>
      <w:r w:rsidRPr="00CD3A21">
        <w:t xml:space="preserve"> default values are not used for methane destruction efficiency—certificates from the stack testing laboratory showing measured methane destruction efficiency.</w:t>
      </w:r>
    </w:p>
    <w:p w:rsidR="000477DE" w:rsidRPr="00CD3A21" w:rsidRDefault="000C29DD" w:rsidP="00FF0D22">
      <w:pPr>
        <w:pStyle w:val="h5Section"/>
      </w:pPr>
      <w:bookmarkStart w:id="63" w:name="_Toc357161801"/>
      <w:r w:rsidRPr="00CD3A21">
        <w:t>5.6</w:t>
      </w:r>
      <w:r w:rsidR="00FF0D22" w:rsidRPr="00CD3A21">
        <w:tab/>
      </w:r>
      <w:r w:rsidR="000477DE" w:rsidRPr="00CD3A21">
        <w:t>Project information</w:t>
      </w:r>
      <w:bookmarkEnd w:id="63"/>
    </w:p>
    <w:p w:rsidR="000477DE" w:rsidRPr="00CD3A21" w:rsidRDefault="000477DE" w:rsidP="000477DE">
      <w:pPr>
        <w:pStyle w:val="tMain"/>
      </w:pPr>
      <w:r w:rsidRPr="00CD3A21">
        <w:tab/>
      </w:r>
      <w:r w:rsidRPr="00CD3A21">
        <w:tab/>
        <w:t>The following information must be recorded and kept for calculating and verifying emissions:</w:t>
      </w:r>
    </w:p>
    <w:p w:rsidR="000477DE" w:rsidRPr="00CD3A21" w:rsidRDefault="000477DE" w:rsidP="000477DE">
      <w:pPr>
        <w:pStyle w:val="tPara"/>
      </w:pPr>
      <w:r w:rsidRPr="00CD3A21">
        <w:tab/>
      </w:r>
      <w:r w:rsidR="00273574" w:rsidRPr="00CD3A21">
        <w:t>(a)</w:t>
      </w:r>
      <w:r w:rsidRPr="00CD3A21">
        <w:tab/>
      </w:r>
      <w:proofErr w:type="gramStart"/>
      <w:r w:rsidRPr="00CD3A21">
        <w:t>pig</w:t>
      </w:r>
      <w:proofErr w:type="gramEnd"/>
      <w:r w:rsidRPr="00CD3A21">
        <w:t xml:space="preserve"> number and classes;</w:t>
      </w:r>
    </w:p>
    <w:p w:rsidR="000477DE" w:rsidRPr="00CD3A21" w:rsidRDefault="000477DE" w:rsidP="000477DE">
      <w:pPr>
        <w:pStyle w:val="tPara"/>
      </w:pPr>
      <w:bookmarkStart w:id="64" w:name="OLE_LINK1"/>
      <w:bookmarkStart w:id="65" w:name="OLE_LINK2"/>
      <w:r w:rsidRPr="00CD3A21">
        <w:tab/>
      </w:r>
      <w:r w:rsidR="00273574" w:rsidRPr="00CD3A21">
        <w:t>(b)</w:t>
      </w:r>
      <w:r w:rsidRPr="00CD3A21">
        <w:tab/>
      </w:r>
      <w:proofErr w:type="gramStart"/>
      <w:r w:rsidRPr="00CD3A21">
        <w:t>type</w:t>
      </w:r>
      <w:proofErr w:type="gramEnd"/>
      <w:r w:rsidRPr="00CD3A21">
        <w:t xml:space="preserve"> and quantity of feed;</w:t>
      </w:r>
    </w:p>
    <w:p w:rsidR="000477DE" w:rsidRPr="00CD3A21" w:rsidRDefault="000477DE" w:rsidP="000477DE">
      <w:pPr>
        <w:pStyle w:val="tPara"/>
      </w:pPr>
      <w:r w:rsidRPr="00CD3A21">
        <w:tab/>
      </w:r>
      <w:r w:rsidR="00273574" w:rsidRPr="00CD3A21">
        <w:t>(c)</w:t>
      </w:r>
      <w:r w:rsidRPr="00CD3A21">
        <w:tab/>
      </w:r>
      <w:proofErr w:type="gramStart"/>
      <w:r w:rsidRPr="00CD3A21">
        <w:t>pre</w:t>
      </w:r>
      <w:r w:rsidRPr="00CD3A21">
        <w:noBreakHyphen/>
        <w:t>screening</w:t>
      </w:r>
      <w:proofErr w:type="gramEnd"/>
      <w:r w:rsidRPr="00CD3A21">
        <w:t xml:space="preserve"> of waste;</w:t>
      </w:r>
    </w:p>
    <w:p w:rsidR="000477DE" w:rsidRPr="00CD3A21" w:rsidRDefault="000477DE" w:rsidP="000477DE">
      <w:pPr>
        <w:pStyle w:val="tPara"/>
      </w:pPr>
      <w:r w:rsidRPr="00CD3A21">
        <w:tab/>
      </w:r>
      <w:r w:rsidR="00273574" w:rsidRPr="00CD3A21">
        <w:t>(d)</w:t>
      </w:r>
      <w:r w:rsidRPr="00CD3A21">
        <w:tab/>
      </w:r>
      <w:proofErr w:type="gramStart"/>
      <w:r w:rsidRPr="00CD3A21">
        <w:t>number</w:t>
      </w:r>
      <w:proofErr w:type="gramEnd"/>
      <w:r w:rsidRPr="00CD3A21">
        <w:t xml:space="preserve"> of project lagoons;</w:t>
      </w:r>
    </w:p>
    <w:p w:rsidR="000477DE" w:rsidRPr="00CD3A21" w:rsidRDefault="000477DE" w:rsidP="000477DE">
      <w:pPr>
        <w:pStyle w:val="tPara"/>
      </w:pPr>
      <w:r w:rsidRPr="00CD3A21">
        <w:tab/>
      </w:r>
      <w:r w:rsidR="00273574" w:rsidRPr="00CD3A21">
        <w:t>(e)</w:t>
      </w:r>
      <w:r w:rsidRPr="00CD3A21">
        <w:tab/>
      </w:r>
      <w:proofErr w:type="gramStart"/>
      <w:r w:rsidRPr="00CD3A21">
        <w:t>lagoon</w:t>
      </w:r>
      <w:proofErr w:type="gramEnd"/>
      <w:r w:rsidRPr="00CD3A21">
        <w:t xml:space="preserve"> dimensions; </w:t>
      </w:r>
    </w:p>
    <w:p w:rsidR="000477DE" w:rsidRPr="00CD3A21" w:rsidRDefault="000477DE" w:rsidP="000477DE">
      <w:pPr>
        <w:pStyle w:val="tPara"/>
      </w:pPr>
      <w:r w:rsidRPr="00CD3A21">
        <w:tab/>
      </w:r>
      <w:r w:rsidR="00273574" w:rsidRPr="00CD3A21">
        <w:t>(f)</w:t>
      </w:r>
      <w:r w:rsidRPr="00CD3A21">
        <w:tab/>
      </w:r>
      <w:proofErr w:type="gramStart"/>
      <w:r w:rsidRPr="00CD3A21">
        <w:t>climate</w:t>
      </w:r>
      <w:proofErr w:type="gramEnd"/>
      <w:r w:rsidRPr="00CD3A21">
        <w:t xml:space="preserve"> data (within the meaning provided in the </w:t>
      </w:r>
      <w:proofErr w:type="spellStart"/>
      <w:r w:rsidRPr="00CD3A21">
        <w:t>PigBal</w:t>
      </w:r>
      <w:proofErr w:type="spellEnd"/>
      <w:r w:rsidRPr="00CD3A21">
        <w:t xml:space="preserve"> model);</w:t>
      </w:r>
      <w:r w:rsidR="003E41E1" w:rsidRPr="00CD3A21">
        <w:t xml:space="preserve"> and</w:t>
      </w:r>
    </w:p>
    <w:p w:rsidR="000477DE" w:rsidRPr="00CD3A21" w:rsidRDefault="000477DE" w:rsidP="000477DE">
      <w:pPr>
        <w:pStyle w:val="tPara"/>
      </w:pPr>
      <w:r w:rsidRPr="00CD3A21">
        <w:tab/>
      </w:r>
      <w:r w:rsidR="00273574" w:rsidRPr="00CD3A21">
        <w:t>(g)</w:t>
      </w:r>
      <w:r w:rsidRPr="00CD3A21">
        <w:tab/>
      </w:r>
      <w:proofErr w:type="gramStart"/>
      <w:r w:rsidRPr="00CD3A21">
        <w:t>calculations</w:t>
      </w:r>
      <w:proofErr w:type="gramEnd"/>
      <w:r w:rsidRPr="00CD3A21">
        <w:t xml:space="preserve"> of VS</w:t>
      </w:r>
      <w:r w:rsidR="003E41E1" w:rsidRPr="00CD3A21">
        <w:t>.</w:t>
      </w:r>
    </w:p>
    <w:p w:rsidR="000477DE" w:rsidRPr="00CD3A21" w:rsidRDefault="000C29DD" w:rsidP="00FF0D22">
      <w:pPr>
        <w:pStyle w:val="h5Section"/>
      </w:pPr>
      <w:bookmarkStart w:id="66" w:name="_Toc357161802"/>
      <w:r w:rsidRPr="00CD3A21">
        <w:t>5.7</w:t>
      </w:r>
      <w:r w:rsidR="00FF0D22" w:rsidRPr="00CD3A21">
        <w:tab/>
      </w:r>
      <w:r w:rsidR="000477DE" w:rsidRPr="00CD3A21">
        <w:t>Combustion devices</w:t>
      </w:r>
      <w:bookmarkEnd w:id="66"/>
    </w:p>
    <w:bookmarkEnd w:id="64"/>
    <w:bookmarkEnd w:id="65"/>
    <w:p w:rsidR="000477DE" w:rsidRPr="00CD3A21" w:rsidRDefault="000477DE" w:rsidP="000477DE">
      <w:pPr>
        <w:pStyle w:val="tMain"/>
      </w:pPr>
      <w:r w:rsidRPr="00CD3A21">
        <w:tab/>
      </w:r>
      <w:r w:rsidRPr="00CD3A21">
        <w:tab/>
        <w:t>The following information must be recorded and kept in relation to combustion devices:</w:t>
      </w:r>
    </w:p>
    <w:p w:rsidR="000477DE" w:rsidRPr="00CD3A21" w:rsidRDefault="00FF0D22" w:rsidP="00FF0D22">
      <w:pPr>
        <w:pStyle w:val="tPara"/>
      </w:pPr>
      <w:r w:rsidRPr="00CD3A21">
        <w:tab/>
      </w:r>
      <w:r w:rsidR="000C29DD" w:rsidRPr="00CD3A21">
        <w:t>(a)</w:t>
      </w:r>
      <w:r w:rsidRPr="00CD3A21">
        <w:tab/>
      </w:r>
      <w:proofErr w:type="gramStart"/>
      <w:r w:rsidR="000477DE" w:rsidRPr="00CD3A21">
        <w:t>combustion</w:t>
      </w:r>
      <w:proofErr w:type="gramEnd"/>
      <w:r w:rsidR="000477DE" w:rsidRPr="00CD3A21">
        <w:t xml:space="preserve"> device information including the model, serial number, and calibration procedures for the device; </w:t>
      </w:r>
    </w:p>
    <w:p w:rsidR="00FF0D22" w:rsidRPr="00CD3A21" w:rsidRDefault="00FF0D22" w:rsidP="00FF0D22">
      <w:pPr>
        <w:pStyle w:val="tPara"/>
      </w:pPr>
      <w:r w:rsidRPr="00CD3A21">
        <w:tab/>
      </w:r>
      <w:r w:rsidR="000C29DD" w:rsidRPr="00CD3A21">
        <w:t>(b)</w:t>
      </w:r>
      <w:r w:rsidRPr="00CD3A21">
        <w:tab/>
      </w:r>
      <w:proofErr w:type="gramStart"/>
      <w:r w:rsidR="000477DE" w:rsidRPr="00CD3A21">
        <w:t>combustion</w:t>
      </w:r>
      <w:proofErr w:type="gramEnd"/>
      <w:r w:rsidR="000477DE" w:rsidRPr="00CD3A21">
        <w:t xml:space="preserve"> device monitoring data for each device; </w:t>
      </w:r>
    </w:p>
    <w:p w:rsidR="00FF0D22" w:rsidRPr="00CD3A21" w:rsidRDefault="00FF0D22" w:rsidP="00FF0D22">
      <w:pPr>
        <w:pStyle w:val="tPara"/>
      </w:pPr>
      <w:r w:rsidRPr="00CD3A21">
        <w:tab/>
      </w:r>
      <w:r w:rsidR="000C29DD" w:rsidRPr="00CD3A21">
        <w:t>(c)</w:t>
      </w:r>
      <w:r w:rsidRPr="00CD3A21">
        <w:tab/>
      </w:r>
      <w:proofErr w:type="gramStart"/>
      <w:r w:rsidR="00CC181B" w:rsidRPr="00CD3A21">
        <w:t>f</w:t>
      </w:r>
      <w:r w:rsidRPr="00CD3A21">
        <w:t>or</w:t>
      </w:r>
      <w:proofErr w:type="gramEnd"/>
      <w:r w:rsidRPr="00CD3A21">
        <w:t xml:space="preserve"> combustion device failures:</w:t>
      </w:r>
    </w:p>
    <w:p w:rsidR="00FF0D22" w:rsidRPr="00CD3A21" w:rsidRDefault="00FF0D22" w:rsidP="00FF0D22">
      <w:pPr>
        <w:pStyle w:val="tSubpara"/>
      </w:pPr>
      <w:r w:rsidRPr="00CD3A21">
        <w:tab/>
      </w:r>
      <w:r w:rsidR="000C29DD" w:rsidRPr="00CD3A21">
        <w:t>(</w:t>
      </w:r>
      <w:proofErr w:type="spellStart"/>
      <w:r w:rsidR="000C29DD" w:rsidRPr="00CD3A21">
        <w:t>i</w:t>
      </w:r>
      <w:proofErr w:type="spellEnd"/>
      <w:r w:rsidR="000C29DD" w:rsidRPr="00CD3A21">
        <w:t>)</w:t>
      </w:r>
      <w:r w:rsidRPr="00CD3A21">
        <w:tab/>
      </w:r>
      <w:proofErr w:type="gramStart"/>
      <w:r w:rsidR="00CC181B" w:rsidRPr="00CD3A21">
        <w:t>t</w:t>
      </w:r>
      <w:r w:rsidRPr="00CD3A21">
        <w:t>he</w:t>
      </w:r>
      <w:proofErr w:type="gramEnd"/>
      <w:r w:rsidRPr="00CD3A21">
        <w:t xml:space="preserve"> number of failures;</w:t>
      </w:r>
    </w:p>
    <w:p w:rsidR="00FF0D22" w:rsidRPr="00CD3A21" w:rsidRDefault="00FF0D22" w:rsidP="00FF0D22">
      <w:pPr>
        <w:pStyle w:val="tSubpara"/>
      </w:pPr>
      <w:r w:rsidRPr="00CD3A21">
        <w:tab/>
      </w:r>
      <w:r w:rsidR="000C29DD" w:rsidRPr="00CD3A21">
        <w:t>(ii)</w:t>
      </w:r>
      <w:r w:rsidRPr="00CD3A21">
        <w:tab/>
      </w:r>
      <w:proofErr w:type="gramStart"/>
      <w:r w:rsidR="00CC181B" w:rsidRPr="00CD3A21">
        <w:t>t</w:t>
      </w:r>
      <w:r w:rsidRPr="00CD3A21">
        <w:t>he</w:t>
      </w:r>
      <w:proofErr w:type="gramEnd"/>
      <w:r w:rsidRPr="00CD3A21">
        <w:t xml:space="preserve"> date and duration of the failures; and</w:t>
      </w:r>
    </w:p>
    <w:p w:rsidR="000477DE" w:rsidRPr="00CD3A21" w:rsidRDefault="00FF0D22" w:rsidP="00FF0D22">
      <w:pPr>
        <w:pStyle w:val="tSubpara"/>
      </w:pPr>
      <w:r w:rsidRPr="00CD3A21">
        <w:tab/>
      </w:r>
      <w:r w:rsidR="000C29DD" w:rsidRPr="00CD3A21">
        <w:t>(iii)</w:t>
      </w:r>
      <w:r w:rsidRPr="00CD3A21">
        <w:tab/>
      </w:r>
      <w:proofErr w:type="gramStart"/>
      <w:r w:rsidR="00CC181B" w:rsidRPr="00CD3A21">
        <w:t>a</w:t>
      </w:r>
      <w:r w:rsidRPr="00CD3A21">
        <w:t>djustments</w:t>
      </w:r>
      <w:proofErr w:type="gramEnd"/>
      <w:r w:rsidRPr="00CD3A21">
        <w:t xml:space="preserve"> and calculations made to account for methane not combusted; </w:t>
      </w:r>
      <w:r w:rsidR="000477DE" w:rsidRPr="00CD3A21">
        <w:t>and</w:t>
      </w:r>
    </w:p>
    <w:p w:rsidR="000477DE" w:rsidRPr="00CD3A21" w:rsidRDefault="00FF0D22" w:rsidP="00FF0D22">
      <w:pPr>
        <w:pStyle w:val="tPara"/>
      </w:pPr>
      <w:r w:rsidRPr="00CD3A21">
        <w:tab/>
      </w:r>
      <w:r w:rsidR="000C29DD" w:rsidRPr="00CD3A21">
        <w:t>(d)</w:t>
      </w:r>
      <w:r w:rsidRPr="00CD3A21">
        <w:tab/>
      </w:r>
      <w:proofErr w:type="gramStart"/>
      <w:r w:rsidR="000477DE" w:rsidRPr="00CD3A21">
        <w:t>combustion</w:t>
      </w:r>
      <w:proofErr w:type="gramEnd"/>
      <w:r w:rsidR="000477DE" w:rsidRPr="00CD3A21">
        <w:t xml:space="preserve"> device calibration data for each device.</w:t>
      </w:r>
    </w:p>
    <w:p w:rsidR="000477DE" w:rsidRPr="00CD3A21" w:rsidRDefault="000C29DD" w:rsidP="00FF0D22">
      <w:pPr>
        <w:pStyle w:val="h5Section"/>
      </w:pPr>
      <w:bookmarkStart w:id="67" w:name="_Toc357161803"/>
      <w:r w:rsidRPr="00CD3A21">
        <w:t>5.8</w:t>
      </w:r>
      <w:r w:rsidR="00FF0D22" w:rsidRPr="00CD3A21">
        <w:tab/>
      </w:r>
      <w:r w:rsidR="000477DE" w:rsidRPr="00CD3A21">
        <w:t>Monitoring equipment</w:t>
      </w:r>
      <w:bookmarkEnd w:id="67"/>
    </w:p>
    <w:p w:rsidR="000477DE" w:rsidRPr="00CD3A21" w:rsidRDefault="000477DE" w:rsidP="000477DE">
      <w:pPr>
        <w:pStyle w:val="tMain"/>
      </w:pPr>
      <w:r w:rsidRPr="00CD3A21">
        <w:tab/>
      </w:r>
      <w:r w:rsidRPr="00CD3A21">
        <w:tab/>
        <w:t>The following information must be kept in relation to monitoring instruments:</w:t>
      </w:r>
    </w:p>
    <w:p w:rsidR="000477DE" w:rsidRPr="00CD3A21" w:rsidRDefault="000477DE" w:rsidP="000477DE">
      <w:pPr>
        <w:pStyle w:val="tPara"/>
      </w:pPr>
      <w:r w:rsidRPr="00CD3A21">
        <w:tab/>
      </w:r>
      <w:r w:rsidR="00273574" w:rsidRPr="00CD3A21">
        <w:t>(a)</w:t>
      </w:r>
      <w:r w:rsidRPr="00CD3A21">
        <w:tab/>
      </w:r>
      <w:proofErr w:type="gramStart"/>
      <w:r w:rsidRPr="00CD3A21">
        <w:t>gas</w:t>
      </w:r>
      <w:proofErr w:type="gramEnd"/>
      <w:r w:rsidRPr="00CD3A21">
        <w:t xml:space="preserve"> flow meter information including the model, serial number and calibration procedures for the instrument; and</w:t>
      </w:r>
    </w:p>
    <w:p w:rsidR="000477DE" w:rsidRPr="00CD3A21" w:rsidRDefault="000477DE" w:rsidP="000477DE">
      <w:pPr>
        <w:pStyle w:val="tPara"/>
      </w:pPr>
      <w:r w:rsidRPr="00CD3A21">
        <w:tab/>
      </w:r>
      <w:r w:rsidR="00273574" w:rsidRPr="00CD3A21">
        <w:t>(b)</w:t>
      </w:r>
      <w:r w:rsidRPr="00CD3A21">
        <w:tab/>
      </w:r>
      <w:proofErr w:type="gramStart"/>
      <w:r w:rsidRPr="00CD3A21">
        <w:t>gas</w:t>
      </w:r>
      <w:proofErr w:type="gramEnd"/>
      <w:r w:rsidRPr="00CD3A21">
        <w:t xml:space="preserve"> flow meter calibration data for each flow meter.</w:t>
      </w:r>
    </w:p>
    <w:p w:rsidR="000477DE" w:rsidRPr="00CD3A21" w:rsidRDefault="000C29DD" w:rsidP="00FF0D22">
      <w:pPr>
        <w:pStyle w:val="h5Section"/>
      </w:pPr>
      <w:bookmarkStart w:id="68" w:name="_Toc357161804"/>
      <w:r w:rsidRPr="00CD3A21">
        <w:lastRenderedPageBreak/>
        <w:t>5.9</w:t>
      </w:r>
      <w:r w:rsidR="00FF0D22" w:rsidRPr="00CD3A21">
        <w:tab/>
      </w:r>
      <w:r w:rsidR="000477DE" w:rsidRPr="00CD3A21">
        <w:t xml:space="preserve">Gas </w:t>
      </w:r>
      <w:r w:rsidR="00D72603" w:rsidRPr="00CD3A21">
        <w:t>c</w:t>
      </w:r>
      <w:r w:rsidR="000477DE" w:rsidRPr="00CD3A21">
        <w:t>omposition</w:t>
      </w:r>
      <w:bookmarkEnd w:id="68"/>
    </w:p>
    <w:p w:rsidR="000477DE" w:rsidRPr="00CD3A21" w:rsidRDefault="000477DE" w:rsidP="000477DE">
      <w:pPr>
        <w:pStyle w:val="tMain"/>
      </w:pPr>
      <w:r w:rsidRPr="00CD3A21">
        <w:tab/>
      </w:r>
      <w:r w:rsidRPr="00CD3A21">
        <w:tab/>
        <w:t>The following information must be kept in relation to site determination of gas composition:</w:t>
      </w:r>
    </w:p>
    <w:p w:rsidR="000477DE" w:rsidRPr="00CD3A21" w:rsidRDefault="000477DE" w:rsidP="000477DE">
      <w:pPr>
        <w:pStyle w:val="tPara"/>
      </w:pPr>
      <w:r w:rsidRPr="00CD3A21">
        <w:tab/>
      </w:r>
      <w:r w:rsidR="00273574" w:rsidRPr="00CD3A21">
        <w:t>(a)</w:t>
      </w:r>
      <w:r w:rsidRPr="00CD3A21">
        <w:tab/>
      </w:r>
      <w:proofErr w:type="gramStart"/>
      <w:r w:rsidRPr="00CD3A21">
        <w:t>gas</w:t>
      </w:r>
      <w:proofErr w:type="gramEnd"/>
      <w:r w:rsidRPr="00CD3A21">
        <w:t xml:space="preserve"> analyser information if used, including the model, serial number and calibration procedures for the instrument; </w:t>
      </w:r>
    </w:p>
    <w:p w:rsidR="000477DE" w:rsidRPr="00CD3A21" w:rsidRDefault="000477DE" w:rsidP="000477DE">
      <w:pPr>
        <w:pStyle w:val="tPara"/>
      </w:pPr>
      <w:r w:rsidRPr="00CD3A21">
        <w:tab/>
      </w:r>
      <w:r w:rsidR="00273574" w:rsidRPr="00CD3A21">
        <w:t>(b)</w:t>
      </w:r>
      <w:r w:rsidRPr="00CD3A21">
        <w:tab/>
      </w:r>
      <w:proofErr w:type="gramStart"/>
      <w:r w:rsidRPr="00CD3A21">
        <w:t>gas</w:t>
      </w:r>
      <w:proofErr w:type="gramEnd"/>
      <w:r w:rsidRPr="00CD3A21">
        <w:t xml:space="preserve"> analyser calibration data for each gas analyser; and</w:t>
      </w:r>
    </w:p>
    <w:p w:rsidR="000477DE" w:rsidRPr="00CD3A21" w:rsidRDefault="000477DE" w:rsidP="000477DE">
      <w:pPr>
        <w:pStyle w:val="tPara"/>
      </w:pPr>
      <w:r w:rsidRPr="00CD3A21">
        <w:tab/>
      </w:r>
      <w:r w:rsidR="00273574" w:rsidRPr="00CD3A21">
        <w:t>(c)</w:t>
      </w:r>
      <w:r w:rsidRPr="00CD3A21">
        <w:tab/>
      </w:r>
      <w:proofErr w:type="gramStart"/>
      <w:r w:rsidRPr="00CD3A21">
        <w:t>gas</w:t>
      </w:r>
      <w:proofErr w:type="gramEnd"/>
      <w:r w:rsidRPr="00CD3A21">
        <w:t xml:space="preserve"> quality data (including particulate content and humidity).</w:t>
      </w:r>
    </w:p>
    <w:p w:rsidR="000477DE" w:rsidRPr="00CD3A21" w:rsidRDefault="000C29DD" w:rsidP="00C719F1">
      <w:pPr>
        <w:pStyle w:val="h5Section"/>
      </w:pPr>
      <w:bookmarkStart w:id="69" w:name="_Toc357161805"/>
      <w:r w:rsidRPr="00CD3A21">
        <w:t>5.10</w:t>
      </w:r>
      <w:r w:rsidR="00C719F1" w:rsidRPr="00CD3A21">
        <w:tab/>
      </w:r>
      <w:r w:rsidR="000477DE" w:rsidRPr="00CD3A21">
        <w:t>Direct and indirect measurement</w:t>
      </w:r>
      <w:bookmarkEnd w:id="69"/>
    </w:p>
    <w:p w:rsidR="000477DE" w:rsidRPr="00CD3A21" w:rsidRDefault="000477DE" w:rsidP="000F5A92">
      <w:pPr>
        <w:pStyle w:val="tMain"/>
        <w:keepNext/>
      </w:pPr>
      <w:r w:rsidRPr="00CD3A21">
        <w:tab/>
      </w:r>
      <w:r w:rsidRPr="00CD3A21">
        <w:tab/>
        <w:t>The following information must be kept in</w:t>
      </w:r>
      <w:r w:rsidR="00291C53" w:rsidRPr="00CD3A21">
        <w:t xml:space="preserve"> an auditable form in</w:t>
      </w:r>
      <w:r w:rsidRPr="00CD3A21">
        <w:t xml:space="preserve"> relation to direct and indirect measurement:</w:t>
      </w:r>
    </w:p>
    <w:p w:rsidR="000477DE" w:rsidRPr="00CD3A21" w:rsidRDefault="00C719F1" w:rsidP="00C719F1">
      <w:pPr>
        <w:pStyle w:val="tPara"/>
      </w:pPr>
      <w:r w:rsidRPr="00CD3A21">
        <w:tab/>
      </w:r>
      <w:r w:rsidR="000C29DD" w:rsidRPr="00CD3A21">
        <w:t>(a)</w:t>
      </w:r>
      <w:r w:rsidRPr="00CD3A21">
        <w:tab/>
      </w:r>
      <w:proofErr w:type="gramStart"/>
      <w:r w:rsidR="000477DE" w:rsidRPr="00CD3A21">
        <w:t>records</w:t>
      </w:r>
      <w:proofErr w:type="gramEnd"/>
      <w:r w:rsidR="000477DE" w:rsidRPr="00CD3A21">
        <w:t xml:space="preserve"> of any raw data and site observations relating to the gas capture and combustion system and parameters entered into </w:t>
      </w:r>
      <w:proofErr w:type="spellStart"/>
      <w:r w:rsidR="000477DE" w:rsidRPr="00CD3A21">
        <w:t>PigBal</w:t>
      </w:r>
      <w:proofErr w:type="spellEnd"/>
      <w:r w:rsidR="000477DE" w:rsidRPr="00CD3A21">
        <w:t>;</w:t>
      </w:r>
    </w:p>
    <w:p w:rsidR="000477DE" w:rsidRPr="00CD3A21" w:rsidRDefault="00C719F1" w:rsidP="00C719F1">
      <w:pPr>
        <w:pStyle w:val="tPara"/>
      </w:pPr>
      <w:r w:rsidRPr="00CD3A21">
        <w:tab/>
      </w:r>
      <w:r w:rsidR="000C29DD" w:rsidRPr="00CD3A21">
        <w:t>(b)</w:t>
      </w:r>
      <w:r w:rsidRPr="00CD3A21">
        <w:tab/>
      </w:r>
      <w:proofErr w:type="gramStart"/>
      <w:r w:rsidR="000477DE" w:rsidRPr="00CD3A21">
        <w:t>all</w:t>
      </w:r>
      <w:proofErr w:type="gramEnd"/>
      <w:r w:rsidR="000477DE" w:rsidRPr="00CD3A21">
        <w:t xml:space="preserve"> values and calculations used in baseline calculations;</w:t>
      </w:r>
    </w:p>
    <w:p w:rsidR="000477DE" w:rsidRPr="00CD3A21" w:rsidRDefault="00C719F1" w:rsidP="00C719F1">
      <w:pPr>
        <w:pStyle w:val="tPara"/>
      </w:pPr>
      <w:r w:rsidRPr="00CD3A21">
        <w:tab/>
      </w:r>
      <w:r w:rsidR="000C29DD" w:rsidRPr="00CD3A21">
        <w:t>(c)</w:t>
      </w:r>
      <w:r w:rsidRPr="00CD3A21">
        <w:tab/>
      </w:r>
      <w:proofErr w:type="gramStart"/>
      <w:r w:rsidR="000477DE" w:rsidRPr="00CD3A21">
        <w:t>all</w:t>
      </w:r>
      <w:proofErr w:type="gramEnd"/>
      <w:r w:rsidR="000477DE" w:rsidRPr="00CD3A21">
        <w:t xml:space="preserve"> values and calculations used to calculate net greenhouse gas abatement;</w:t>
      </w:r>
    </w:p>
    <w:p w:rsidR="000477DE" w:rsidRPr="00CD3A21" w:rsidRDefault="00C719F1" w:rsidP="00C719F1">
      <w:pPr>
        <w:pStyle w:val="tPara"/>
      </w:pPr>
      <w:r w:rsidRPr="00CD3A21">
        <w:tab/>
      </w:r>
      <w:r w:rsidR="000C29DD" w:rsidRPr="00CD3A21">
        <w:t>(d)</w:t>
      </w:r>
      <w:r w:rsidRPr="00CD3A21">
        <w:tab/>
      </w:r>
      <w:proofErr w:type="gramStart"/>
      <w:r w:rsidR="000477DE" w:rsidRPr="00CD3A21">
        <w:t>monthly</w:t>
      </w:r>
      <w:proofErr w:type="gramEnd"/>
      <w:r w:rsidR="000477DE" w:rsidRPr="00CD3A21">
        <w:t xml:space="preserve"> and annual CO</w:t>
      </w:r>
      <w:r w:rsidR="000477DE" w:rsidRPr="00CD3A21">
        <w:rPr>
          <w:vertAlign w:val="subscript"/>
        </w:rPr>
        <w:t>2</w:t>
      </w:r>
      <w:r w:rsidR="000477DE" w:rsidRPr="00CD3A21">
        <w:noBreakHyphen/>
        <w:t>e tonnage calculations; and</w:t>
      </w:r>
    </w:p>
    <w:p w:rsidR="000477DE" w:rsidRPr="00CD3A21" w:rsidRDefault="00C719F1" w:rsidP="00C719F1">
      <w:pPr>
        <w:pStyle w:val="tPara"/>
      </w:pPr>
      <w:r w:rsidRPr="00CD3A21">
        <w:tab/>
      </w:r>
      <w:r w:rsidR="000C29DD" w:rsidRPr="00CD3A21">
        <w:t>(e)</w:t>
      </w:r>
      <w:r w:rsidRPr="00CD3A21">
        <w:tab/>
      </w:r>
      <w:proofErr w:type="gramStart"/>
      <w:r w:rsidR="000477DE" w:rsidRPr="00CD3A21">
        <w:t>electronic</w:t>
      </w:r>
      <w:proofErr w:type="gramEnd"/>
      <w:r w:rsidR="000477DE" w:rsidRPr="00CD3A21">
        <w:t xml:space="preserve"> recording of values of logged primary parameters for each measurement interval, for each meter, including:</w:t>
      </w:r>
    </w:p>
    <w:p w:rsidR="000477DE" w:rsidRPr="00CD3A21" w:rsidRDefault="00C719F1" w:rsidP="00C719F1">
      <w:pPr>
        <w:pStyle w:val="tSubpara"/>
      </w:pPr>
      <w:r w:rsidRPr="00CD3A21">
        <w:tab/>
      </w:r>
      <w:r w:rsidR="000C29DD" w:rsidRPr="00CD3A21">
        <w:t>(</w:t>
      </w:r>
      <w:proofErr w:type="spellStart"/>
      <w:proofErr w:type="gramStart"/>
      <w:r w:rsidR="000C29DD" w:rsidRPr="00CD3A21">
        <w:t>i</w:t>
      </w:r>
      <w:proofErr w:type="spellEnd"/>
      <w:proofErr w:type="gramEnd"/>
      <w:r w:rsidR="000C29DD" w:rsidRPr="00CD3A21">
        <w:t>)</w:t>
      </w:r>
      <w:r w:rsidRPr="00CD3A21">
        <w:tab/>
      </w:r>
      <w:r w:rsidR="000477DE" w:rsidRPr="00CD3A21">
        <w:t xml:space="preserve">gas flow data for each flow meter; </w:t>
      </w:r>
    </w:p>
    <w:p w:rsidR="00C719F1" w:rsidRPr="00CD3A21" w:rsidRDefault="00C719F1" w:rsidP="00C719F1">
      <w:pPr>
        <w:pStyle w:val="tSubpara"/>
      </w:pPr>
      <w:r w:rsidRPr="00CD3A21">
        <w:tab/>
      </w:r>
      <w:r w:rsidR="000C29DD" w:rsidRPr="00CD3A21">
        <w:t>(ii)</w:t>
      </w:r>
      <w:r w:rsidRPr="00CD3A21">
        <w:tab/>
      </w:r>
      <w:proofErr w:type="gramStart"/>
      <w:r w:rsidR="000477DE" w:rsidRPr="00CD3A21">
        <w:t>temperature</w:t>
      </w:r>
      <w:proofErr w:type="gramEnd"/>
      <w:r w:rsidR="000477DE" w:rsidRPr="00CD3A21">
        <w:t xml:space="preserve"> data from </w:t>
      </w:r>
      <w:r w:rsidR="00997A8B" w:rsidRPr="00CD3A21">
        <w:t xml:space="preserve">the </w:t>
      </w:r>
      <w:r w:rsidR="000477DE" w:rsidRPr="00CD3A21">
        <w:t>temperature measurement device for each device</w:t>
      </w:r>
      <w:r w:rsidR="00997A8B" w:rsidRPr="00CD3A21">
        <w:t>,</w:t>
      </w:r>
      <w:r w:rsidR="005F532C" w:rsidRPr="00CD3A21">
        <w:t xml:space="preserve"> if the device us</w:t>
      </w:r>
      <w:r w:rsidR="00997A8B" w:rsidRPr="00CD3A21">
        <w:t>es</w:t>
      </w:r>
      <w:r w:rsidR="005F532C" w:rsidRPr="00CD3A21">
        <w:t xml:space="preserve"> a temperature system to detect performance and failure</w:t>
      </w:r>
      <w:r w:rsidR="000477DE" w:rsidRPr="00CD3A21">
        <w:t>;</w:t>
      </w:r>
    </w:p>
    <w:p w:rsidR="000477DE" w:rsidRPr="00CD3A21" w:rsidRDefault="00C719F1" w:rsidP="00C719F1">
      <w:pPr>
        <w:pStyle w:val="tSubpara"/>
      </w:pPr>
      <w:r w:rsidRPr="00CD3A21">
        <w:tab/>
      </w:r>
      <w:r w:rsidR="000C29DD" w:rsidRPr="00CD3A21">
        <w:t>(iii)</w:t>
      </w:r>
      <w:r w:rsidRPr="00CD3A21">
        <w:tab/>
      </w:r>
      <w:proofErr w:type="gramStart"/>
      <w:r w:rsidRPr="00CD3A21">
        <w:t>operation</w:t>
      </w:r>
      <w:proofErr w:type="gramEnd"/>
      <w:r w:rsidRPr="00CD3A21">
        <w:t xml:space="preserve"> and non-operation data for flares</w:t>
      </w:r>
      <w:r w:rsidR="00C26192" w:rsidRPr="00CD3A21">
        <w:t>, as required under section 3.2</w:t>
      </w:r>
      <w:r w:rsidRPr="00CD3A21">
        <w:t>;</w:t>
      </w:r>
      <w:r w:rsidR="000477DE" w:rsidRPr="00CD3A21">
        <w:t xml:space="preserve"> </w:t>
      </w:r>
    </w:p>
    <w:p w:rsidR="000477DE" w:rsidRPr="00CD3A21" w:rsidRDefault="00C719F1" w:rsidP="00C719F1">
      <w:pPr>
        <w:pStyle w:val="tSubpara"/>
      </w:pPr>
      <w:r w:rsidRPr="00CD3A21">
        <w:tab/>
      </w:r>
      <w:r w:rsidR="000C29DD" w:rsidRPr="00CD3A21">
        <w:t>(iv)</w:t>
      </w:r>
      <w:r w:rsidRPr="00CD3A21">
        <w:tab/>
      </w:r>
      <w:proofErr w:type="gramStart"/>
      <w:r w:rsidR="000477DE" w:rsidRPr="00CD3A21">
        <w:t>methane</w:t>
      </w:r>
      <w:proofErr w:type="gramEnd"/>
      <w:r w:rsidR="000477DE" w:rsidRPr="00CD3A21">
        <w:t xml:space="preserve"> content of gas (% by volume) for each measurement (if default value not used) including date, time and location of measurement, notes of non</w:t>
      </w:r>
      <w:r w:rsidR="000477DE" w:rsidRPr="00CD3A21">
        <w:noBreakHyphen/>
        <w:t>compliance to performance specifications, remedial actions taken to correct instrument;</w:t>
      </w:r>
    </w:p>
    <w:p w:rsidR="000477DE" w:rsidRPr="00CD3A21" w:rsidRDefault="00C719F1" w:rsidP="00C719F1">
      <w:pPr>
        <w:pStyle w:val="tSubpara"/>
      </w:pPr>
      <w:r w:rsidRPr="00CD3A21">
        <w:tab/>
      </w:r>
      <w:r w:rsidR="000C29DD" w:rsidRPr="00CD3A21">
        <w:t>(v)</w:t>
      </w:r>
      <w:r w:rsidRPr="00CD3A21">
        <w:tab/>
      </w:r>
      <w:proofErr w:type="gramStart"/>
      <w:r w:rsidR="00291C53" w:rsidRPr="00CD3A21">
        <w:t>auditable</w:t>
      </w:r>
      <w:proofErr w:type="gramEnd"/>
      <w:r w:rsidR="00291C53" w:rsidRPr="00CD3A21">
        <w:t xml:space="preserve"> </w:t>
      </w:r>
      <w:r w:rsidR="000477DE" w:rsidRPr="00CD3A21">
        <w:t>evidence of fuel use;</w:t>
      </w:r>
    </w:p>
    <w:p w:rsidR="000477DE" w:rsidRPr="00CD3A21" w:rsidRDefault="00C719F1" w:rsidP="00C719F1">
      <w:pPr>
        <w:pStyle w:val="tSubpara"/>
      </w:pPr>
      <w:r w:rsidRPr="00CD3A21">
        <w:tab/>
      </w:r>
      <w:r w:rsidR="000C29DD" w:rsidRPr="00CD3A21">
        <w:t>(vi)</w:t>
      </w:r>
      <w:r w:rsidRPr="00CD3A21">
        <w:tab/>
      </w:r>
      <w:proofErr w:type="gramStart"/>
      <w:r w:rsidR="00291C53" w:rsidRPr="00CD3A21">
        <w:t>auditable</w:t>
      </w:r>
      <w:proofErr w:type="gramEnd"/>
      <w:r w:rsidR="00291C53" w:rsidRPr="00CD3A21">
        <w:t xml:space="preserve"> </w:t>
      </w:r>
      <w:r w:rsidR="000477DE" w:rsidRPr="00CD3A21">
        <w:t xml:space="preserve">evidence of </w:t>
      </w:r>
      <w:r w:rsidR="00291C53" w:rsidRPr="00CD3A21">
        <w:t xml:space="preserve">the </w:t>
      </w:r>
      <w:r w:rsidR="000477DE" w:rsidRPr="00CD3A21">
        <w:t>grid</w:t>
      </w:r>
      <w:r w:rsidR="000477DE" w:rsidRPr="00CD3A21">
        <w:noBreakHyphen/>
        <w:t>delivered electricity use; and</w:t>
      </w:r>
    </w:p>
    <w:p w:rsidR="000477DE" w:rsidRPr="00CD3A21" w:rsidRDefault="00C719F1" w:rsidP="00C719F1">
      <w:pPr>
        <w:pStyle w:val="tSubpara"/>
      </w:pPr>
      <w:r w:rsidRPr="00CD3A21">
        <w:tab/>
      </w:r>
      <w:r w:rsidR="000C29DD" w:rsidRPr="00CD3A21">
        <w:t>(vii)</w:t>
      </w:r>
      <w:r w:rsidRPr="00CD3A21">
        <w:tab/>
      </w:r>
      <w:proofErr w:type="gramStart"/>
      <w:r w:rsidR="00291C53" w:rsidRPr="00CD3A21">
        <w:t>auditable</w:t>
      </w:r>
      <w:proofErr w:type="gramEnd"/>
      <w:r w:rsidR="00291C53" w:rsidRPr="00CD3A21">
        <w:t xml:space="preserve"> </w:t>
      </w:r>
      <w:r w:rsidR="000477DE" w:rsidRPr="00CD3A21">
        <w:t xml:space="preserve">evidence of amount of electricity produced by the internal combustion engine generator if section </w:t>
      </w:r>
      <w:r w:rsidR="00273574" w:rsidRPr="00CD3A21">
        <w:t>4.13</w:t>
      </w:r>
      <w:r w:rsidR="000477DE" w:rsidRPr="00CD3A21">
        <w:t xml:space="preserve"> applies.</w:t>
      </w:r>
    </w:p>
    <w:p w:rsidR="00E47935" w:rsidRPr="00CD3A21" w:rsidRDefault="00E47935" w:rsidP="00CD3A21">
      <w:pPr>
        <w:pStyle w:val="h3Div"/>
      </w:pPr>
      <w:bookmarkStart w:id="70" w:name="_Toc357161806"/>
      <w:r w:rsidRPr="00CD3A21">
        <w:lastRenderedPageBreak/>
        <w:t xml:space="preserve">Division </w:t>
      </w:r>
      <w:r w:rsidR="00273574" w:rsidRPr="00CD3A21">
        <w:t>5.4</w:t>
      </w:r>
      <w:r w:rsidRPr="00CD3A21">
        <w:tab/>
        <w:t>Offsets report requirements</w:t>
      </w:r>
      <w:bookmarkEnd w:id="70"/>
      <w:r w:rsidR="00840B17" w:rsidRPr="00CD3A21">
        <w:t xml:space="preserve"> </w:t>
      </w:r>
    </w:p>
    <w:p w:rsidR="000477DE" w:rsidRPr="00CD3A21" w:rsidRDefault="000C29DD" w:rsidP="00CD3A21">
      <w:pPr>
        <w:pStyle w:val="h5Section"/>
      </w:pPr>
      <w:bookmarkStart w:id="71" w:name="_Toc357161807"/>
      <w:r w:rsidRPr="00CD3A21">
        <w:t>5.11</w:t>
      </w:r>
      <w:r w:rsidR="00C719F1" w:rsidRPr="00CD3A21">
        <w:tab/>
      </w:r>
      <w:r w:rsidR="000477DE" w:rsidRPr="00CD3A21">
        <w:t>Report requirements</w:t>
      </w:r>
      <w:bookmarkEnd w:id="71"/>
      <w:r w:rsidR="00840B17" w:rsidRPr="00CD3A21">
        <w:t xml:space="preserve"> </w:t>
      </w:r>
    </w:p>
    <w:p w:rsidR="000477DE" w:rsidRPr="00CD3A21" w:rsidRDefault="000477DE" w:rsidP="00CD3A21">
      <w:pPr>
        <w:pStyle w:val="tMain"/>
        <w:keepNext/>
      </w:pPr>
      <w:r w:rsidRPr="00CD3A21">
        <w:tab/>
      </w:r>
      <w:r w:rsidRPr="00CD3A21">
        <w:tab/>
        <w:t xml:space="preserve">Project proponents must submit: </w:t>
      </w:r>
    </w:p>
    <w:p w:rsidR="000477DE" w:rsidRPr="00CD3A21" w:rsidRDefault="00C719F1" w:rsidP="00CD3A21">
      <w:pPr>
        <w:pStyle w:val="tPara"/>
        <w:keepNext/>
      </w:pPr>
      <w:r w:rsidRPr="00CD3A21">
        <w:tab/>
      </w:r>
      <w:r w:rsidR="000C29DD" w:rsidRPr="00CD3A21">
        <w:t>(a)</w:t>
      </w:r>
      <w:r w:rsidRPr="00CD3A21">
        <w:tab/>
      </w:r>
      <w:proofErr w:type="gramStart"/>
      <w:r w:rsidR="000477DE" w:rsidRPr="00CD3A21">
        <w:t>a</w:t>
      </w:r>
      <w:proofErr w:type="gramEnd"/>
      <w:r w:rsidR="000477DE" w:rsidRPr="00CD3A21">
        <w:t xml:space="preserve"> report for the first reporting period; and </w:t>
      </w:r>
    </w:p>
    <w:p w:rsidR="00E47935" w:rsidRPr="00CD3A21" w:rsidRDefault="00C719F1" w:rsidP="00CD3A21">
      <w:pPr>
        <w:pStyle w:val="tPara"/>
        <w:keepNext/>
      </w:pPr>
      <w:r w:rsidRPr="00CD3A21">
        <w:tab/>
      </w:r>
      <w:r w:rsidR="000C29DD" w:rsidRPr="00CD3A21">
        <w:t>(b)</w:t>
      </w:r>
      <w:r w:rsidRPr="00CD3A21">
        <w:tab/>
      </w:r>
      <w:proofErr w:type="gramStart"/>
      <w:r w:rsidR="000477DE" w:rsidRPr="00CD3A21">
        <w:t>further</w:t>
      </w:r>
      <w:proofErr w:type="gramEnd"/>
      <w:r w:rsidR="000477DE" w:rsidRPr="00CD3A21">
        <w:t xml:space="preserve"> reports for subsequent reporting periods.</w:t>
      </w:r>
    </w:p>
    <w:p w:rsidR="000477DE" w:rsidRPr="00CD3A21" w:rsidRDefault="000C29DD" w:rsidP="00C719F1">
      <w:pPr>
        <w:pStyle w:val="h5Section"/>
      </w:pPr>
      <w:bookmarkStart w:id="72" w:name="_Toc357161808"/>
      <w:r w:rsidRPr="00CD3A21">
        <w:t>5.12</w:t>
      </w:r>
      <w:r w:rsidR="00C719F1" w:rsidRPr="00CD3A21">
        <w:tab/>
      </w:r>
      <w:r w:rsidR="000477DE" w:rsidRPr="00CD3A21">
        <w:t>First reporting period</w:t>
      </w:r>
      <w:bookmarkEnd w:id="72"/>
      <w:r w:rsidR="00840B17" w:rsidRPr="00CD3A21">
        <w:t xml:space="preserve"> </w:t>
      </w:r>
    </w:p>
    <w:p w:rsidR="000477DE" w:rsidRPr="00CD3A21" w:rsidRDefault="00C719F1" w:rsidP="00C719F1">
      <w:pPr>
        <w:pStyle w:val="tMain"/>
      </w:pPr>
      <w:r w:rsidRPr="00CD3A21">
        <w:tab/>
      </w:r>
      <w:r w:rsidR="000C29DD" w:rsidRPr="00CD3A21">
        <w:t>(1)</w:t>
      </w:r>
      <w:r w:rsidRPr="00CD3A21">
        <w:tab/>
      </w:r>
      <w:r w:rsidR="000477DE" w:rsidRPr="00CD3A21">
        <w:t xml:space="preserve">The first report must be submitted at the end of the first reporting period. </w:t>
      </w:r>
    </w:p>
    <w:p w:rsidR="000477DE" w:rsidRPr="00CD3A21" w:rsidRDefault="00C719F1" w:rsidP="00C719F1">
      <w:pPr>
        <w:pStyle w:val="tMain"/>
      </w:pPr>
      <w:r w:rsidRPr="00CD3A21">
        <w:tab/>
      </w:r>
      <w:r w:rsidR="000C29DD" w:rsidRPr="00CD3A21">
        <w:t>(2)</w:t>
      </w:r>
      <w:r w:rsidRPr="00CD3A21">
        <w:tab/>
      </w:r>
      <w:r w:rsidR="000477DE" w:rsidRPr="00CD3A21">
        <w:t>The following information is required to be provided in the first report:</w:t>
      </w:r>
    </w:p>
    <w:p w:rsidR="000477DE" w:rsidRPr="00CD3A21" w:rsidRDefault="00C719F1" w:rsidP="00C719F1">
      <w:pPr>
        <w:pStyle w:val="tPara"/>
      </w:pPr>
      <w:r w:rsidRPr="00CD3A21">
        <w:tab/>
      </w:r>
      <w:r w:rsidR="000C29DD" w:rsidRPr="00CD3A21">
        <w:t>(a)</w:t>
      </w:r>
      <w:r w:rsidRPr="00CD3A21">
        <w:tab/>
      </w:r>
      <w:proofErr w:type="gramStart"/>
      <w:r w:rsidR="000477DE" w:rsidRPr="00CD3A21">
        <w:t>net</w:t>
      </w:r>
      <w:proofErr w:type="gramEnd"/>
      <w:r w:rsidR="000477DE" w:rsidRPr="00CD3A21">
        <w:t xml:space="preserve"> greenhouse gas abatement number;</w:t>
      </w:r>
    </w:p>
    <w:p w:rsidR="000477DE" w:rsidRPr="00CD3A21" w:rsidRDefault="00C719F1" w:rsidP="00C719F1">
      <w:pPr>
        <w:pStyle w:val="tPara"/>
      </w:pPr>
      <w:r w:rsidRPr="00CD3A21">
        <w:tab/>
      </w:r>
      <w:r w:rsidR="000C29DD" w:rsidRPr="00CD3A21">
        <w:t>(b)</w:t>
      </w:r>
      <w:r w:rsidRPr="00CD3A21">
        <w:tab/>
      </w:r>
      <w:proofErr w:type="gramStart"/>
      <w:r w:rsidR="000477DE" w:rsidRPr="00CD3A21">
        <w:t>independent</w:t>
      </w:r>
      <w:proofErr w:type="gramEnd"/>
      <w:r w:rsidR="000477DE" w:rsidRPr="00CD3A21">
        <w:t xml:space="preserve"> audit report;</w:t>
      </w:r>
    </w:p>
    <w:p w:rsidR="000477DE" w:rsidRPr="00CD3A21" w:rsidRDefault="00C719F1" w:rsidP="00C719F1">
      <w:pPr>
        <w:pStyle w:val="tPara"/>
      </w:pPr>
      <w:r w:rsidRPr="00CD3A21">
        <w:tab/>
      </w:r>
      <w:r w:rsidR="000C29DD" w:rsidRPr="00CD3A21">
        <w:t>(c)</w:t>
      </w:r>
      <w:r w:rsidRPr="00CD3A21">
        <w:tab/>
      </w:r>
      <w:proofErr w:type="gramStart"/>
      <w:r w:rsidR="000477DE" w:rsidRPr="00CD3A21">
        <w:t>quantity</w:t>
      </w:r>
      <w:proofErr w:type="gramEnd"/>
      <w:r w:rsidR="000477DE" w:rsidRPr="00CD3A21">
        <w:t xml:space="preserve"> of methane generated under baseline conditions in tonnes of CO</w:t>
      </w:r>
      <w:r w:rsidR="000477DE" w:rsidRPr="00CD3A21">
        <w:rPr>
          <w:vertAlign w:val="subscript"/>
        </w:rPr>
        <w:t>2</w:t>
      </w:r>
      <w:r w:rsidR="000477DE" w:rsidRPr="00CD3A21">
        <w:noBreakHyphen/>
        <w:t xml:space="preserve">e; </w:t>
      </w:r>
    </w:p>
    <w:p w:rsidR="000477DE" w:rsidRPr="00CD3A21" w:rsidRDefault="00C719F1" w:rsidP="00C719F1">
      <w:pPr>
        <w:pStyle w:val="tPara"/>
      </w:pPr>
      <w:r w:rsidRPr="00CD3A21">
        <w:tab/>
      </w:r>
      <w:r w:rsidR="000C29DD" w:rsidRPr="00CD3A21">
        <w:t>(d)</w:t>
      </w:r>
      <w:r w:rsidRPr="00CD3A21">
        <w:tab/>
      </w:r>
      <w:proofErr w:type="gramStart"/>
      <w:r w:rsidR="000477DE" w:rsidRPr="00CD3A21">
        <w:t>total</w:t>
      </w:r>
      <w:proofErr w:type="gramEnd"/>
      <w:r w:rsidR="000477DE" w:rsidRPr="00CD3A21">
        <w:t xml:space="preserve"> volume of methane sent to combustion devices, in cubic metres (sum of </w:t>
      </w: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rPr>
              <m:t xml:space="preserve">, </m:t>
            </m:r>
            <m:r>
              <m:rPr>
                <m:sty m:val="p"/>
              </m:rPr>
              <w:rPr>
                <w:rFonts w:ascii="Cambria Math" w:hAnsi="Cambria Math"/>
              </w:rPr>
              <m:t>h</m:t>
            </m:r>
          </m:sub>
        </m:sSub>
      </m:oMath>
      <w:r w:rsidR="000477DE" w:rsidRPr="00CD3A21">
        <w:t>);</w:t>
      </w:r>
    </w:p>
    <w:p w:rsidR="000477DE" w:rsidRPr="00CD3A21" w:rsidRDefault="00C719F1" w:rsidP="00C719F1">
      <w:pPr>
        <w:pStyle w:val="tPara"/>
      </w:pPr>
      <w:r w:rsidRPr="00CD3A21">
        <w:tab/>
      </w:r>
      <w:r w:rsidR="000C29DD" w:rsidRPr="00CD3A21">
        <w:t>(e)</w:t>
      </w:r>
      <w:r w:rsidRPr="00CD3A21">
        <w:tab/>
      </w:r>
      <w:proofErr w:type="gramStart"/>
      <w:r w:rsidR="000477DE" w:rsidRPr="00CD3A21">
        <w:t>destruction</w:t>
      </w:r>
      <w:proofErr w:type="gramEnd"/>
      <w:r w:rsidR="000477DE" w:rsidRPr="00CD3A21">
        <w:t xml:space="preserve"> efficiencies of combustion devices (if default values not used);</w:t>
      </w:r>
    </w:p>
    <w:p w:rsidR="00C719F1" w:rsidRPr="00CD3A21" w:rsidRDefault="00C719F1" w:rsidP="00C719F1">
      <w:pPr>
        <w:pStyle w:val="tPara"/>
      </w:pPr>
      <w:r w:rsidRPr="00CD3A21">
        <w:tab/>
      </w:r>
      <w:r w:rsidR="000C29DD" w:rsidRPr="00CD3A21">
        <w:t>(f)</w:t>
      </w:r>
      <w:r w:rsidRPr="00CD3A21">
        <w:tab/>
      </w:r>
      <w:proofErr w:type="gramStart"/>
      <w:r w:rsidRPr="00CD3A21">
        <w:t>the</w:t>
      </w:r>
      <w:proofErr w:type="gramEnd"/>
      <w:r w:rsidRPr="00CD3A21">
        <w:t xml:space="preserve"> number of combustion device failures that exceeded 20 minutes duration</w:t>
      </w:r>
      <w:r w:rsidR="00997A8B" w:rsidRPr="00CD3A21">
        <w:t xml:space="preserve"> and any periods where there were no records of operation</w:t>
      </w:r>
      <w:r w:rsidRPr="00CD3A21">
        <w:t>;</w:t>
      </w:r>
    </w:p>
    <w:p w:rsidR="000477DE" w:rsidRPr="00CD3A21" w:rsidRDefault="00C719F1" w:rsidP="00C719F1">
      <w:pPr>
        <w:pStyle w:val="tPara"/>
      </w:pPr>
      <w:r w:rsidRPr="00CD3A21">
        <w:tab/>
      </w:r>
      <w:r w:rsidR="000C29DD" w:rsidRPr="00CD3A21">
        <w:t>(g)</w:t>
      </w:r>
      <w:r w:rsidRPr="00CD3A21">
        <w:tab/>
      </w:r>
      <w:proofErr w:type="gramStart"/>
      <w:r w:rsidR="000477DE" w:rsidRPr="00CD3A21">
        <w:t>total</w:t>
      </w:r>
      <w:proofErr w:type="gramEnd"/>
      <w:r w:rsidR="000477DE" w:rsidRPr="00CD3A21">
        <w:t xml:space="preserve"> amount of fuel and/or electricity used by the project, in kilolitres (</w:t>
      </w:r>
      <w:proofErr w:type="spellStart"/>
      <w:r w:rsidR="000477DE" w:rsidRPr="00CD3A21">
        <w:t>kL</w:t>
      </w:r>
      <w:proofErr w:type="spellEnd"/>
      <w:r w:rsidR="000477DE" w:rsidRPr="00CD3A21">
        <w:t>), cubic metres (m</w:t>
      </w:r>
      <w:r w:rsidR="000477DE" w:rsidRPr="00CD3A21">
        <w:rPr>
          <w:vertAlign w:val="superscript"/>
        </w:rPr>
        <w:t>3</w:t>
      </w:r>
      <w:r w:rsidR="000477DE" w:rsidRPr="00CD3A21">
        <w:t>), or kilowatt hours (kWh); and</w:t>
      </w:r>
    </w:p>
    <w:p w:rsidR="000477DE" w:rsidRPr="00CD3A21" w:rsidRDefault="00C719F1" w:rsidP="00C719F1">
      <w:pPr>
        <w:pStyle w:val="tPara"/>
      </w:pPr>
      <w:r w:rsidRPr="00CD3A21">
        <w:tab/>
      </w:r>
      <w:r w:rsidR="000C29DD" w:rsidRPr="00CD3A21">
        <w:t>(h)</w:t>
      </w:r>
      <w:r w:rsidRPr="00CD3A21">
        <w:tab/>
      </w:r>
      <w:proofErr w:type="gramStart"/>
      <w:r w:rsidR="000477DE" w:rsidRPr="00CD3A21">
        <w:t>electrical</w:t>
      </w:r>
      <w:proofErr w:type="gramEnd"/>
      <w:r w:rsidR="000477DE" w:rsidRPr="00CD3A21">
        <w:t xml:space="preserve"> efficiency (Eff) of the internal combustion engine generator.</w:t>
      </w:r>
    </w:p>
    <w:p w:rsidR="000477DE" w:rsidRPr="00CD3A21" w:rsidRDefault="000C29DD" w:rsidP="00C719F1">
      <w:pPr>
        <w:pStyle w:val="h5Section"/>
      </w:pPr>
      <w:bookmarkStart w:id="73" w:name="_Toc357161809"/>
      <w:r w:rsidRPr="00CD3A21">
        <w:t>5.13</w:t>
      </w:r>
      <w:r w:rsidR="00C719F1" w:rsidRPr="00CD3A21">
        <w:tab/>
      </w:r>
      <w:r w:rsidR="000477DE" w:rsidRPr="00CD3A21">
        <w:t>Subsequent reporting periods</w:t>
      </w:r>
      <w:bookmarkEnd w:id="73"/>
      <w:r w:rsidR="00840B17" w:rsidRPr="00CD3A21">
        <w:t xml:space="preserve"> </w:t>
      </w:r>
    </w:p>
    <w:p w:rsidR="000477DE" w:rsidRPr="00CD3A21" w:rsidRDefault="00C719F1" w:rsidP="00C719F1">
      <w:pPr>
        <w:pStyle w:val="tMain"/>
      </w:pPr>
      <w:r w:rsidRPr="00CD3A21">
        <w:tab/>
      </w:r>
      <w:r w:rsidR="000C29DD" w:rsidRPr="00CD3A21">
        <w:t>(1)</w:t>
      </w:r>
      <w:r w:rsidRPr="00CD3A21">
        <w:tab/>
      </w:r>
      <w:r w:rsidR="000477DE" w:rsidRPr="00CD3A21">
        <w:t>Ongoing reports must be submitted at the end of each subsequent reporting period.</w:t>
      </w:r>
    </w:p>
    <w:p w:rsidR="000477DE" w:rsidRPr="00CD3A21" w:rsidRDefault="00C719F1" w:rsidP="00C719F1">
      <w:pPr>
        <w:pStyle w:val="tMain"/>
      </w:pPr>
      <w:r w:rsidRPr="00CD3A21">
        <w:tab/>
      </w:r>
      <w:r w:rsidR="000C29DD" w:rsidRPr="00CD3A21">
        <w:t>(2)</w:t>
      </w:r>
      <w:r w:rsidRPr="00CD3A21">
        <w:tab/>
      </w:r>
      <w:r w:rsidR="000477DE" w:rsidRPr="00CD3A21">
        <w:t>The following information is required to be provided in subsequent reports:</w:t>
      </w:r>
    </w:p>
    <w:p w:rsidR="000477DE" w:rsidRPr="00CD3A21" w:rsidRDefault="00C719F1" w:rsidP="00C719F1">
      <w:pPr>
        <w:pStyle w:val="tPara"/>
      </w:pPr>
      <w:r w:rsidRPr="00CD3A21">
        <w:tab/>
      </w:r>
      <w:r w:rsidR="000C29DD" w:rsidRPr="00CD3A21">
        <w:t>(a)</w:t>
      </w:r>
      <w:r w:rsidRPr="00CD3A21">
        <w:tab/>
      </w:r>
      <w:proofErr w:type="gramStart"/>
      <w:r w:rsidR="000477DE" w:rsidRPr="00CD3A21">
        <w:t>net</w:t>
      </w:r>
      <w:proofErr w:type="gramEnd"/>
      <w:r w:rsidR="000477DE" w:rsidRPr="00CD3A21">
        <w:t xml:space="preserve"> greenhouse gas abatement number;</w:t>
      </w:r>
    </w:p>
    <w:p w:rsidR="000477DE" w:rsidRPr="00CD3A21" w:rsidRDefault="00C719F1" w:rsidP="00C719F1">
      <w:pPr>
        <w:pStyle w:val="tPara"/>
      </w:pPr>
      <w:r w:rsidRPr="00CD3A21">
        <w:tab/>
      </w:r>
      <w:r w:rsidR="000C29DD" w:rsidRPr="00CD3A21">
        <w:t>(b)</w:t>
      </w:r>
      <w:r w:rsidRPr="00CD3A21">
        <w:tab/>
      </w:r>
      <w:proofErr w:type="gramStart"/>
      <w:r w:rsidR="000477DE" w:rsidRPr="00CD3A21">
        <w:t>independent</w:t>
      </w:r>
      <w:proofErr w:type="gramEnd"/>
      <w:r w:rsidR="000477DE" w:rsidRPr="00CD3A21">
        <w:t xml:space="preserve"> audit report;</w:t>
      </w:r>
    </w:p>
    <w:p w:rsidR="000477DE" w:rsidRPr="00CD3A21" w:rsidRDefault="00C719F1" w:rsidP="00C719F1">
      <w:pPr>
        <w:pStyle w:val="tPara"/>
      </w:pPr>
      <w:r w:rsidRPr="00CD3A21">
        <w:tab/>
      </w:r>
      <w:r w:rsidR="000C29DD" w:rsidRPr="00CD3A21">
        <w:t>(c)</w:t>
      </w:r>
      <w:r w:rsidRPr="00CD3A21">
        <w:tab/>
      </w:r>
      <w:proofErr w:type="gramStart"/>
      <w:r w:rsidR="000477DE" w:rsidRPr="00CD3A21">
        <w:t>quantity</w:t>
      </w:r>
      <w:proofErr w:type="gramEnd"/>
      <w:r w:rsidR="000477DE" w:rsidRPr="00CD3A21">
        <w:t xml:space="preserve"> of methane generated under baseline conditions, in tonnes of CO</w:t>
      </w:r>
      <w:r w:rsidR="000477DE" w:rsidRPr="00CD3A21">
        <w:rPr>
          <w:vertAlign w:val="subscript"/>
        </w:rPr>
        <w:t>2</w:t>
      </w:r>
      <w:r w:rsidR="000477DE" w:rsidRPr="00CD3A21">
        <w:noBreakHyphen/>
        <w:t>e;</w:t>
      </w:r>
    </w:p>
    <w:p w:rsidR="000477DE" w:rsidRPr="00CD3A21" w:rsidRDefault="00C719F1" w:rsidP="00C719F1">
      <w:pPr>
        <w:pStyle w:val="tPara"/>
      </w:pPr>
      <w:r w:rsidRPr="00CD3A21">
        <w:tab/>
      </w:r>
      <w:r w:rsidR="000C29DD" w:rsidRPr="00CD3A21">
        <w:t>(d)</w:t>
      </w:r>
      <w:r w:rsidRPr="00CD3A21">
        <w:tab/>
      </w:r>
      <w:proofErr w:type="gramStart"/>
      <w:r w:rsidR="000477DE" w:rsidRPr="00CD3A21">
        <w:t>total</w:t>
      </w:r>
      <w:proofErr w:type="gramEnd"/>
      <w:r w:rsidR="000477DE" w:rsidRPr="00CD3A21">
        <w:t xml:space="preserve"> volume of methane sent to combustion devices, in cubic metres (sum of </w:t>
      </w:r>
      <m:oMath>
        <m:sSub>
          <m:sSubPr>
            <m:ctrlPr>
              <w:rPr>
                <w:rFonts w:ascii="Cambria Math" w:hAnsi="Cambria Math"/>
              </w:rPr>
            </m:ctrlPr>
          </m:sSubPr>
          <m:e>
            <m:r>
              <m:rPr>
                <m:sty m:val="p"/>
              </m:rPr>
              <w:rPr>
                <w:rFonts w:ascii="Cambria Math" w:hAnsi="Cambria Math"/>
              </w:rPr>
              <m:t>Q</m:t>
            </m:r>
          </m:e>
          <m:sub>
            <m:sSub>
              <m:sSubPr>
                <m:ctrlPr>
                  <w:rPr>
                    <w:rFonts w:ascii="Cambria Math" w:hAnsi="Cambria Math"/>
                  </w:rPr>
                </m:ctrlPr>
              </m:sSubPr>
              <m:e>
                <m:r>
                  <m:rPr>
                    <m:sty m:val="p"/>
                  </m:rPr>
                  <w:rPr>
                    <w:rFonts w:ascii="Cambria Math" w:hAnsi="Cambria Math"/>
                  </w:rPr>
                  <m:t>CH</m:t>
                </m:r>
              </m:e>
              <m:sub>
                <m:r>
                  <m:rPr>
                    <m:sty m:val="p"/>
                  </m:rPr>
                  <w:rPr>
                    <w:rFonts w:ascii="Cambria Math" w:hAnsi="Cambria Math"/>
                  </w:rPr>
                  <m:t>4</m:t>
                </m:r>
              </m:sub>
            </m:sSub>
            <m:r>
              <m:rPr>
                <m:sty m:val="p"/>
              </m:rPr>
              <w:rPr>
                <w:rFonts w:ascii="Cambria Math"/>
              </w:rPr>
              <m:t xml:space="preserve">, </m:t>
            </m:r>
            <m:r>
              <m:rPr>
                <m:sty m:val="p"/>
              </m:rPr>
              <w:rPr>
                <w:rFonts w:ascii="Cambria Math" w:hAnsi="Cambria Math"/>
              </w:rPr>
              <m:t>h</m:t>
            </m:r>
          </m:sub>
        </m:sSub>
      </m:oMath>
      <w:r w:rsidR="000477DE" w:rsidRPr="00CD3A21">
        <w:t>);</w:t>
      </w:r>
    </w:p>
    <w:p w:rsidR="000477DE" w:rsidRPr="00CD3A21" w:rsidRDefault="00C719F1" w:rsidP="00C719F1">
      <w:pPr>
        <w:pStyle w:val="tPara"/>
      </w:pPr>
      <w:r w:rsidRPr="00CD3A21">
        <w:tab/>
      </w:r>
      <w:r w:rsidR="000C29DD" w:rsidRPr="00CD3A21">
        <w:t>(e)</w:t>
      </w:r>
      <w:r w:rsidRPr="00CD3A21">
        <w:tab/>
      </w:r>
      <w:proofErr w:type="gramStart"/>
      <w:r w:rsidR="000477DE" w:rsidRPr="00CD3A21">
        <w:t>destruction</w:t>
      </w:r>
      <w:proofErr w:type="gramEnd"/>
      <w:r w:rsidR="000477DE" w:rsidRPr="00CD3A21">
        <w:t xml:space="preserve"> efficiencies of combustion devices (if default values not used);</w:t>
      </w:r>
    </w:p>
    <w:p w:rsidR="00C719F1" w:rsidRPr="00CD3A21" w:rsidRDefault="00C719F1" w:rsidP="00C719F1">
      <w:pPr>
        <w:pStyle w:val="tPara"/>
      </w:pPr>
      <w:r w:rsidRPr="00CD3A21">
        <w:tab/>
      </w:r>
      <w:r w:rsidR="000C29DD" w:rsidRPr="00CD3A21">
        <w:t>(f)</w:t>
      </w:r>
      <w:r w:rsidRPr="00CD3A21">
        <w:tab/>
      </w:r>
      <w:proofErr w:type="gramStart"/>
      <w:r w:rsidRPr="00CD3A21">
        <w:t>the</w:t>
      </w:r>
      <w:proofErr w:type="gramEnd"/>
      <w:r w:rsidRPr="00CD3A21">
        <w:t xml:space="preserve"> number of combustion device failures that exceeded 20 minutes duration</w:t>
      </w:r>
      <w:r w:rsidR="00997A8B" w:rsidRPr="00CD3A21">
        <w:t xml:space="preserve"> and any periods where there were no records of operation</w:t>
      </w:r>
      <w:r w:rsidRPr="00CD3A21">
        <w:t>;</w:t>
      </w:r>
    </w:p>
    <w:p w:rsidR="000477DE" w:rsidRPr="00CD3A21" w:rsidRDefault="00C719F1" w:rsidP="00C719F1">
      <w:pPr>
        <w:pStyle w:val="tPara"/>
      </w:pPr>
      <w:r w:rsidRPr="00CD3A21">
        <w:lastRenderedPageBreak/>
        <w:tab/>
      </w:r>
      <w:r w:rsidR="000C29DD" w:rsidRPr="00CD3A21">
        <w:t>(g)</w:t>
      </w:r>
      <w:r w:rsidRPr="00CD3A21">
        <w:tab/>
      </w:r>
      <w:proofErr w:type="gramStart"/>
      <w:r w:rsidR="000477DE" w:rsidRPr="00CD3A21">
        <w:t>total</w:t>
      </w:r>
      <w:proofErr w:type="gramEnd"/>
      <w:r w:rsidR="000477DE" w:rsidRPr="00CD3A21">
        <w:t xml:space="preserve"> amount of fuel and/or electricity used by the project, in kilolitres (</w:t>
      </w:r>
      <w:proofErr w:type="spellStart"/>
      <w:r w:rsidR="000477DE" w:rsidRPr="00CD3A21">
        <w:t>kL</w:t>
      </w:r>
      <w:proofErr w:type="spellEnd"/>
      <w:r w:rsidR="000477DE" w:rsidRPr="00CD3A21">
        <w:t>), cubic metres (m</w:t>
      </w:r>
      <w:r w:rsidR="000477DE" w:rsidRPr="00CD3A21">
        <w:rPr>
          <w:vertAlign w:val="superscript"/>
        </w:rPr>
        <w:t>3</w:t>
      </w:r>
      <w:r w:rsidR="000477DE" w:rsidRPr="00CD3A21">
        <w:t>) or kilowatt hours (kWh); and</w:t>
      </w:r>
    </w:p>
    <w:p w:rsidR="000477DE" w:rsidRPr="00CD3A21" w:rsidRDefault="00C719F1" w:rsidP="00C719F1">
      <w:pPr>
        <w:pStyle w:val="tPara"/>
      </w:pPr>
      <w:r w:rsidRPr="00CD3A21">
        <w:tab/>
      </w:r>
      <w:r w:rsidR="000C29DD" w:rsidRPr="00CD3A21">
        <w:t>(h)</w:t>
      </w:r>
      <w:r w:rsidRPr="00CD3A21">
        <w:tab/>
      </w:r>
      <w:proofErr w:type="gramStart"/>
      <w:r w:rsidR="000477DE" w:rsidRPr="00CD3A21">
        <w:t>electrical</w:t>
      </w:r>
      <w:proofErr w:type="gramEnd"/>
      <w:r w:rsidR="000477DE" w:rsidRPr="00CD3A21">
        <w:t xml:space="preserve"> efficiency (Eff) of the internal combustion engine generator.</w:t>
      </w:r>
    </w:p>
    <w:p w:rsidR="004466D2" w:rsidRPr="00CD3A21" w:rsidRDefault="004466D2" w:rsidP="004466D2">
      <w:pPr>
        <w:pStyle w:val="NoteEnd"/>
        <w:pBdr>
          <w:top w:val="single" w:sz="4" w:space="3" w:color="auto"/>
        </w:pBdr>
        <w:spacing w:before="480"/>
        <w:rPr>
          <w:rFonts w:ascii="Arial" w:hAnsi="Arial"/>
          <w:b/>
          <w:sz w:val="24"/>
        </w:rPr>
      </w:pPr>
      <w:r w:rsidRPr="00CD3A21">
        <w:rPr>
          <w:rFonts w:ascii="Arial" w:hAnsi="Arial"/>
          <w:b/>
          <w:sz w:val="24"/>
        </w:rPr>
        <w:t>Note</w:t>
      </w:r>
    </w:p>
    <w:p w:rsidR="004466D2" w:rsidRPr="00FA05A6" w:rsidRDefault="004466D2" w:rsidP="004466D2">
      <w:pPr>
        <w:pStyle w:val="NoteEnd"/>
      </w:pPr>
      <w:r w:rsidRPr="00CD3A21">
        <w:t>1.</w:t>
      </w:r>
      <w:r w:rsidRPr="00CD3A21">
        <w:tab/>
        <w:t xml:space="preserve">All legislative instruments and compilations are registered on the Federal Register of Legislative Instruments kept under the </w:t>
      </w:r>
      <w:r w:rsidRPr="00CD3A21">
        <w:rPr>
          <w:i/>
        </w:rPr>
        <w:t xml:space="preserve">Legislative Instruments Act 2003. </w:t>
      </w:r>
      <w:r w:rsidRPr="00CD3A21">
        <w:t xml:space="preserve">See </w:t>
      </w:r>
      <w:r w:rsidRPr="00CD3A21">
        <w:rPr>
          <w:u w:val="single"/>
        </w:rPr>
        <w:t>http://www.frli.gov.au</w:t>
      </w:r>
      <w:r w:rsidRPr="00CD3A21">
        <w:t>.</w:t>
      </w:r>
    </w:p>
    <w:p w:rsidR="00B8428D" w:rsidRPr="00E900FF" w:rsidRDefault="00B8428D" w:rsidP="00B8428D">
      <w:pPr>
        <w:pStyle w:val="h5Section"/>
      </w:pPr>
    </w:p>
    <w:p w:rsidR="005E089C" w:rsidRDefault="005E089C" w:rsidP="00CD349A"/>
    <w:sectPr w:rsidR="005E089C" w:rsidSect="00D558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FC" w:rsidRDefault="007D73FC" w:rsidP="00CD349A">
      <w:r>
        <w:separator/>
      </w:r>
    </w:p>
  </w:endnote>
  <w:endnote w:type="continuationSeparator" w:id="0">
    <w:p w:rsidR="007D73FC" w:rsidRDefault="007D73FC" w:rsidP="00CD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5" w:rsidRDefault="00AC6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FC" w:rsidRDefault="007D73FC" w:rsidP="00D5582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7D73FC" w:rsidTr="005E089C">
      <w:tc>
        <w:tcPr>
          <w:tcW w:w="1134" w:type="dxa"/>
        </w:tcPr>
        <w:p w:rsidR="007D73FC" w:rsidRDefault="007D73FC" w:rsidP="005E089C">
          <w:pPr>
            <w:spacing w:line="240" w:lineRule="exact"/>
          </w:pPr>
        </w:p>
      </w:tc>
      <w:tc>
        <w:tcPr>
          <w:tcW w:w="6095" w:type="dxa"/>
        </w:tcPr>
        <w:p w:rsidR="007D73FC" w:rsidRPr="004F5D6D" w:rsidRDefault="004D69D5" w:rsidP="005E089C">
          <w:pPr>
            <w:pStyle w:val="FooterCitation"/>
          </w:pPr>
          <w:r>
            <w:fldChar w:fldCharType="begin"/>
          </w:r>
          <w:r>
            <w:instrText xml:space="preserve"> REF  Citation </w:instrText>
          </w:r>
          <w:r>
            <w:fldChar w:fldCharType="separate"/>
          </w:r>
          <w:r w:rsidR="00AC62A5" w:rsidRPr="00E008A1">
            <w:t xml:space="preserve">Carbon </w:t>
          </w:r>
          <w:r w:rsidR="00AC62A5">
            <w:t>Credits</w:t>
          </w:r>
          <w:r w:rsidR="00AC62A5" w:rsidRPr="00E008A1">
            <w:t xml:space="preserve"> </w:t>
          </w:r>
          <w:r w:rsidR="00AC62A5">
            <w:t xml:space="preserve">(Carbon Farming Initiative) </w:t>
          </w:r>
          <w:r w:rsidR="00AC62A5" w:rsidRPr="00E008A1">
            <w:t>(</w:t>
          </w:r>
          <w:r w:rsidR="00AC62A5">
            <w:t>Destruction of Methane Generated from Manure in Piggeries—1.1</w:t>
          </w:r>
          <w:r w:rsidR="00AC62A5" w:rsidRPr="00E008A1">
            <w:t>) Methodology Determination</w:t>
          </w:r>
          <w:r>
            <w:fldChar w:fldCharType="end"/>
          </w:r>
          <w:r w:rsidR="007D73FC">
            <w:t xml:space="preserve"> 2013</w:t>
          </w:r>
        </w:p>
      </w:tc>
      <w:tc>
        <w:tcPr>
          <w:tcW w:w="1134" w:type="dxa"/>
        </w:tcPr>
        <w:p w:rsidR="007D73FC" w:rsidRPr="003D7214" w:rsidRDefault="007D73FC" w:rsidP="005E089C">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4D69D5">
            <w:rPr>
              <w:rStyle w:val="PageNumber"/>
              <w:rFonts w:cs="Arial"/>
              <w:noProof/>
              <w:szCs w:val="22"/>
            </w:rPr>
            <w:t>15</w:t>
          </w:r>
          <w:r w:rsidRPr="003D7214">
            <w:rPr>
              <w:rStyle w:val="PageNumber"/>
              <w:rFonts w:cs="Arial"/>
              <w:szCs w:val="22"/>
            </w:rPr>
            <w:fldChar w:fldCharType="end"/>
          </w:r>
        </w:p>
      </w:tc>
    </w:tr>
  </w:tbl>
  <w:p w:rsidR="007D73FC" w:rsidRPr="003F31CA" w:rsidRDefault="007D73FC" w:rsidP="00D55828">
    <w:pPr>
      <w:pStyle w:val="FooterDraft"/>
      <w:tabs>
        <w:tab w:val="right" w:pos="5670"/>
        <w:tab w:val="right" w:pos="7938"/>
      </w:tabs>
      <w:jc w:val="left"/>
      <w:rPr>
        <w:sz w:val="32"/>
        <w:szCs w:val="32"/>
      </w:rPr>
    </w:pPr>
  </w:p>
  <w:p w:rsidR="007D73FC" w:rsidRPr="00D55828" w:rsidRDefault="007D73FC" w:rsidP="00D55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5" w:rsidRDefault="00AC6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FC" w:rsidRDefault="007D73FC" w:rsidP="00CD349A">
      <w:r>
        <w:separator/>
      </w:r>
    </w:p>
  </w:footnote>
  <w:footnote w:type="continuationSeparator" w:id="0">
    <w:p w:rsidR="007D73FC" w:rsidRDefault="007D73FC" w:rsidP="00CD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5" w:rsidRDefault="00AC6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7D73FC" w:rsidTr="005E089C">
      <w:tc>
        <w:tcPr>
          <w:tcW w:w="6914" w:type="dxa"/>
        </w:tcPr>
        <w:p w:rsidR="007D73FC" w:rsidRDefault="007D73FC" w:rsidP="005E089C">
          <w:pPr>
            <w:pStyle w:val="HeaderLiteOdd"/>
            <w:tabs>
              <w:tab w:val="clear" w:pos="3969"/>
              <w:tab w:val="clear" w:pos="8505"/>
              <w:tab w:val="left" w:pos="1418"/>
            </w:tabs>
            <w:jc w:val="left"/>
          </w:pPr>
          <w:r>
            <w:fldChar w:fldCharType="begin"/>
          </w:r>
          <w:r>
            <w:instrText xml:space="preserve"> IF </w:instrText>
          </w:r>
          <w:r>
            <w:fldChar w:fldCharType="begin"/>
          </w:r>
          <w:r>
            <w:instrText xml:space="preserve"> STYLEREF  "HC"  \* MERGEFORMAT </w:instrText>
          </w:r>
          <w:r>
            <w:fldChar w:fldCharType="separate"/>
          </w:r>
          <w:r w:rsidR="004D69D5">
            <w:rPr>
              <w:b/>
              <w:bCs/>
              <w:noProof/>
              <w:lang w:val="en-US"/>
            </w:rPr>
            <w:instrText>Error! Use the Home tab to apply HC to the text that you want to appear here.</w:instrText>
          </w:r>
          <w:r>
            <w:rPr>
              <w:noProof/>
            </w:rPr>
            <w:fldChar w:fldCharType="end"/>
          </w:r>
          <w:r>
            <w:instrText xml:space="preserve"> &lt;&gt; "Error*"</w:instrText>
          </w:r>
          <w:r>
            <w:fldChar w:fldCharType="begin"/>
          </w:r>
          <w:r>
            <w:instrText xml:space="preserve"> STYLEREF  "HC"  \* MERGEFORMAT </w:instrText>
          </w:r>
          <w:r>
            <w:rPr>
              <w:noProof/>
            </w:rPr>
            <w:fldChar w:fldCharType="end"/>
          </w:r>
          <w:r>
            <w:instrText xml:space="preserve"> \* MERGEFORMAT </w:instrText>
          </w:r>
          <w:r>
            <w:fldChar w:fldCharType="end"/>
          </w:r>
          <w:r>
            <w:br/>
          </w:r>
          <w:r>
            <w:fldChar w:fldCharType="begin"/>
          </w:r>
          <w:r>
            <w:instrText xml:space="preserve"> IF </w:instrText>
          </w:r>
          <w:r>
            <w:fldChar w:fldCharType="begin"/>
          </w:r>
          <w:r>
            <w:instrText xml:space="preserve"> STYLEREF  "HP"  \* MERGEFORMAT </w:instrText>
          </w:r>
          <w:r>
            <w:fldChar w:fldCharType="separate"/>
          </w:r>
          <w:r w:rsidR="004D69D5">
            <w:rPr>
              <w:b/>
              <w:bCs/>
              <w:noProof/>
              <w:lang w:val="en-US"/>
            </w:rPr>
            <w:instrText>Error! Use the Home tab to apply HP to the text that you want to appear here.</w:instrText>
          </w:r>
          <w:r>
            <w:rPr>
              <w:noProof/>
            </w:rPr>
            <w:fldChar w:fldCharType="end"/>
          </w:r>
          <w:r>
            <w:instrText xml:space="preserve"> &lt;&gt; "Error*"</w:instrText>
          </w:r>
          <w:fldSimple w:instr=" STYLEREF  &quot;HP&quot;  \* MERGEFORMAT ">
            <w:r>
              <w:rPr>
                <w:noProof/>
              </w:rPr>
              <w:instrText xml:space="preserve">Part </w:instrText>
            </w:r>
            <w:r>
              <w:rPr>
                <w:noProof/>
              </w:rPr>
              <w:tab/>
              <w:instrText>Monitoring, record-keeping and reporting requirements</w:instrText>
            </w:r>
          </w:fldSimple>
          <w:r>
            <w:instrText xml:space="preserve"> \* MERGEFORMAT </w:instrText>
          </w:r>
          <w:r>
            <w:fldChar w:fldCharType="end"/>
          </w:r>
          <w:r>
            <w:br/>
          </w:r>
          <w:r>
            <w:fldChar w:fldCharType="begin"/>
          </w:r>
          <w:r>
            <w:instrText xml:space="preserve"> IF </w:instrText>
          </w:r>
          <w:r>
            <w:fldChar w:fldCharType="begin"/>
          </w:r>
          <w:r>
            <w:instrText xml:space="preserve"> STYLEREF  "HD"  \* MERGEFORMAT </w:instrText>
          </w:r>
          <w:r>
            <w:fldChar w:fldCharType="separate"/>
          </w:r>
          <w:r w:rsidR="004D69D5">
            <w:rPr>
              <w:b/>
              <w:bCs/>
              <w:noProof/>
              <w:lang w:val="en-US"/>
            </w:rPr>
            <w:instrText>Error! Use the Home tab to apply HD to the text that you want to appear here.</w:instrText>
          </w:r>
          <w:r>
            <w:rPr>
              <w:noProof/>
            </w:rPr>
            <w:fldChar w:fldCharType="end"/>
          </w:r>
          <w:r>
            <w:instrText xml:space="preserve"> &lt;&gt; "Error*"</w:instrText>
          </w:r>
          <w:fldSimple w:instr=" STYLEREF  &quot;HD&quot;  \* MERGEFORMAT ">
            <w:r>
              <w:rPr>
                <w:noProof/>
              </w:rPr>
              <w:instrText xml:space="preserve">Division </w:instrText>
            </w:r>
            <w:r>
              <w:rPr>
                <w:noProof/>
              </w:rPr>
              <w:tab/>
              <w:instrText>General</w:instrText>
            </w:r>
          </w:fldSimple>
          <w:r>
            <w:instrText xml:space="preserve"> \* MERGEFORMAT </w:instrText>
          </w:r>
          <w:r>
            <w:fldChar w:fldCharType="end"/>
          </w:r>
          <w:r>
            <w:br/>
          </w:r>
        </w:p>
      </w:tc>
      <w:tc>
        <w:tcPr>
          <w:tcW w:w="1471" w:type="dxa"/>
        </w:tcPr>
        <w:p w:rsidR="007D73FC" w:rsidRDefault="007D73FC" w:rsidP="005E089C">
          <w:pPr>
            <w:pStyle w:val="HeaderLiteOdd"/>
          </w:pPr>
        </w:p>
      </w:tc>
    </w:tr>
    <w:tr w:rsidR="007D73FC" w:rsidTr="005E089C">
      <w:tc>
        <w:tcPr>
          <w:tcW w:w="6914" w:type="dxa"/>
        </w:tcPr>
        <w:p w:rsidR="007D73FC" w:rsidRDefault="007D73FC" w:rsidP="005E089C">
          <w:pPr>
            <w:pStyle w:val="HeaderLiteOdd"/>
            <w:jc w:val="left"/>
          </w:pPr>
        </w:p>
      </w:tc>
      <w:tc>
        <w:tcPr>
          <w:tcW w:w="1471" w:type="dxa"/>
        </w:tcPr>
        <w:p w:rsidR="007D73FC" w:rsidRDefault="007D73FC" w:rsidP="005E089C">
          <w:pPr>
            <w:pStyle w:val="HeaderLiteOdd"/>
          </w:pPr>
        </w:p>
      </w:tc>
    </w:tr>
    <w:tr w:rsidR="007D73FC" w:rsidTr="005E089C">
      <w:tc>
        <w:tcPr>
          <w:tcW w:w="8385" w:type="dxa"/>
          <w:gridSpan w:val="2"/>
          <w:tcBorders>
            <w:bottom w:val="single" w:sz="4" w:space="0" w:color="auto"/>
          </w:tcBorders>
        </w:tcPr>
        <w:p w:rsidR="007D73FC" w:rsidRDefault="007D73FC" w:rsidP="005E089C">
          <w:pPr>
            <w:pStyle w:val="HeaderBoldOdd"/>
          </w:pPr>
        </w:p>
      </w:tc>
    </w:tr>
  </w:tbl>
  <w:p w:rsidR="007D73FC" w:rsidRDefault="007D73FC" w:rsidP="00D5582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A5" w:rsidRDefault="00AC6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7F0"/>
    <w:multiLevelType w:val="hybridMultilevel"/>
    <w:tmpl w:val="F5DC8C04"/>
    <w:lvl w:ilvl="0" w:tplc="7902C5AC">
      <w:start w:val="1"/>
      <w:numFmt w:val="lowerLetter"/>
      <w:lvlText w:val="(%1)"/>
      <w:lvlJc w:val="left"/>
      <w:pPr>
        <w:ind w:left="1364" w:hanging="360"/>
      </w:pPr>
      <w:rPr>
        <w:rFonts w:hint="default"/>
        <w:color w:val="auto"/>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1">
    <w:nsid w:val="0D6629DA"/>
    <w:multiLevelType w:val="multilevel"/>
    <w:tmpl w:val="0C09001F"/>
    <w:name w:val="main numbering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707CDE"/>
    <w:multiLevelType w:val="hybridMultilevel"/>
    <w:tmpl w:val="4EAEFFEC"/>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3">
    <w:nsid w:val="2D460F2D"/>
    <w:multiLevelType w:val="hybridMultilevel"/>
    <w:tmpl w:val="CF2E9B00"/>
    <w:lvl w:ilvl="0" w:tplc="8F32DA5C">
      <w:start w:val="1"/>
      <w:numFmt w:val="decimal"/>
      <w:lvlText w:val="(%1)"/>
      <w:lvlJc w:val="left"/>
      <w:pPr>
        <w:ind w:left="1002" w:hanging="435"/>
      </w:pPr>
      <w:rPr>
        <w:rFonts w:hint="default"/>
        <w:b w:val="0"/>
      </w:rPr>
    </w:lvl>
    <w:lvl w:ilvl="1" w:tplc="1C7624B0">
      <w:start w:val="1"/>
      <w:numFmt w:val="lowerLetter"/>
      <w:lvlText w:val="(%2)"/>
      <w:lvlJc w:val="left"/>
      <w:pPr>
        <w:ind w:left="1920" w:hanging="360"/>
      </w:pPr>
      <w:rPr>
        <w:rFonts w:hint="default"/>
        <w:b w:val="0"/>
      </w:rPr>
    </w:lvl>
    <w:lvl w:ilvl="2" w:tplc="5ED69548">
      <w:start w:val="1"/>
      <w:numFmt w:val="lowerRoman"/>
      <w:lvlText w:val="(%3)"/>
      <w:lvlJc w:val="left"/>
      <w:pPr>
        <w:ind w:left="2367" w:hanging="180"/>
      </w:pPr>
      <w:rPr>
        <w:rFonts w:hint="default"/>
        <w:b w:val="0"/>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448F5C56"/>
    <w:multiLevelType w:val="hybridMultilevel"/>
    <w:tmpl w:val="256CE85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4B5130B8"/>
    <w:multiLevelType w:val="multilevel"/>
    <w:tmpl w:val="0C09001F"/>
    <w:name w:val="main numbering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EB298A"/>
    <w:multiLevelType w:val="multilevel"/>
    <w:tmpl w:val="0C09001F"/>
    <w:name w:val="main numbering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0C075F"/>
    <w:multiLevelType w:val="hybridMultilevel"/>
    <w:tmpl w:val="B2E209BC"/>
    <w:lvl w:ilvl="0" w:tplc="45B0F430">
      <w:start w:val="1"/>
      <w:numFmt w:val="lowerLetter"/>
      <w:lvlText w:val="(%1)"/>
      <w:lvlJc w:val="left"/>
      <w:pPr>
        <w:ind w:left="2115" w:hanging="1035"/>
      </w:pPr>
      <w:rPr>
        <w:rFonts w:hint="default"/>
      </w:rPr>
    </w:lvl>
    <w:lvl w:ilvl="1" w:tplc="E528C96C">
      <w:start w:val="1"/>
      <w:numFmt w:val="lowerRoman"/>
      <w:lvlText w:val="(%2)"/>
      <w:lvlJc w:val="left"/>
      <w:pPr>
        <w:ind w:left="2487" w:hanging="360"/>
      </w:pPr>
      <w:rPr>
        <w:rFonts w:ascii="Times New Roman" w:eastAsia="Times New Roman" w:hAnsi="Times New Roman" w:cs="Times New Roman"/>
        <w:b w:val="0"/>
      </w:rPr>
    </w:lvl>
    <w:lvl w:ilvl="2" w:tplc="A63275C0">
      <w:start w:val="1"/>
      <w:numFmt w:val="lowerRoman"/>
      <w:lvlText w:val="(%3)"/>
      <w:lvlJc w:val="left"/>
      <w:pPr>
        <w:ind w:left="2880" w:hanging="180"/>
      </w:pPr>
      <w:rPr>
        <w:rFonts w:ascii="Times New Roman" w:eastAsia="Times New Roman" w:hAnsi="Times New Roman" w:cs="Times New Roman"/>
        <w:b w:val="0"/>
      </w:rPr>
    </w:lvl>
    <w:lvl w:ilvl="3" w:tplc="1DE8AA94" w:tentative="1">
      <w:start w:val="1"/>
      <w:numFmt w:val="decimal"/>
      <w:lvlText w:val="%4."/>
      <w:lvlJc w:val="left"/>
      <w:pPr>
        <w:ind w:left="3600" w:hanging="360"/>
      </w:pPr>
    </w:lvl>
    <w:lvl w:ilvl="4" w:tplc="9B0EF706" w:tentative="1">
      <w:start w:val="1"/>
      <w:numFmt w:val="lowerLetter"/>
      <w:lvlText w:val="%5."/>
      <w:lvlJc w:val="left"/>
      <w:pPr>
        <w:ind w:left="4320" w:hanging="360"/>
      </w:pPr>
    </w:lvl>
    <w:lvl w:ilvl="5" w:tplc="621C2492" w:tentative="1">
      <w:start w:val="1"/>
      <w:numFmt w:val="lowerRoman"/>
      <w:lvlText w:val="%6."/>
      <w:lvlJc w:val="right"/>
      <w:pPr>
        <w:ind w:left="5040" w:hanging="180"/>
      </w:pPr>
    </w:lvl>
    <w:lvl w:ilvl="6" w:tplc="66F0935E" w:tentative="1">
      <w:start w:val="1"/>
      <w:numFmt w:val="decimal"/>
      <w:lvlText w:val="%7."/>
      <w:lvlJc w:val="left"/>
      <w:pPr>
        <w:ind w:left="5760" w:hanging="360"/>
      </w:pPr>
    </w:lvl>
    <w:lvl w:ilvl="7" w:tplc="256C1D2A" w:tentative="1">
      <w:start w:val="1"/>
      <w:numFmt w:val="lowerLetter"/>
      <w:lvlText w:val="%8."/>
      <w:lvlJc w:val="left"/>
      <w:pPr>
        <w:ind w:left="6480" w:hanging="360"/>
      </w:pPr>
    </w:lvl>
    <w:lvl w:ilvl="8" w:tplc="3FFADF2C" w:tentative="1">
      <w:start w:val="1"/>
      <w:numFmt w:val="lowerRoman"/>
      <w:lvlText w:val="%9."/>
      <w:lvlJc w:val="right"/>
      <w:pPr>
        <w:ind w:left="7200" w:hanging="180"/>
      </w:pPr>
    </w:lvl>
  </w:abstractNum>
  <w:abstractNum w:abstractNumId="8">
    <w:nsid w:val="54FB5D34"/>
    <w:multiLevelType w:val="multilevel"/>
    <w:tmpl w:val="7B2E377C"/>
    <w:name w:val="main numbering"/>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2.%3.%4"/>
      <w:lvlJc w:val="left"/>
      <w:pPr>
        <w:ind w:left="1440" w:hanging="360"/>
      </w:pPr>
      <w:rPr>
        <w:rFonts w:hint="default"/>
      </w:rPr>
    </w:lvl>
    <w:lvl w:ilvl="4">
      <w:start w:val="1"/>
      <w:numFmt w:val="decimal"/>
      <w:lvlRestart w:val="2"/>
      <w:lvlText w:val="%2.%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upperLetter"/>
      <w:lvlText w:val="(%9)"/>
      <w:lvlJc w:val="left"/>
      <w:pPr>
        <w:ind w:left="3240" w:hanging="360"/>
      </w:pPr>
      <w:rPr>
        <w:rFonts w:hint="default"/>
      </w:rPr>
    </w:lvl>
  </w:abstractNum>
  <w:abstractNum w:abstractNumId="9">
    <w:nsid w:val="5B1C0185"/>
    <w:multiLevelType w:val="hybridMultilevel"/>
    <w:tmpl w:val="F3407978"/>
    <w:lvl w:ilvl="0" w:tplc="1C7624B0">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3"/>
  </w:num>
  <w:num w:numId="5">
    <w:abstractNumId w:val="9"/>
  </w:num>
  <w:num w:numId="6">
    <w:abstractNumId w:val="0"/>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E7"/>
    <w:rsid w:val="00020B4A"/>
    <w:rsid w:val="00021448"/>
    <w:rsid w:val="00026883"/>
    <w:rsid w:val="000344F1"/>
    <w:rsid w:val="0004482B"/>
    <w:rsid w:val="000477DE"/>
    <w:rsid w:val="00047F86"/>
    <w:rsid w:val="00054D28"/>
    <w:rsid w:val="00062784"/>
    <w:rsid w:val="00071ABA"/>
    <w:rsid w:val="00076E88"/>
    <w:rsid w:val="00077459"/>
    <w:rsid w:val="00084F21"/>
    <w:rsid w:val="00091209"/>
    <w:rsid w:val="00097721"/>
    <w:rsid w:val="000B069E"/>
    <w:rsid w:val="000C29DD"/>
    <w:rsid w:val="000C3480"/>
    <w:rsid w:val="000D19CF"/>
    <w:rsid w:val="000D3066"/>
    <w:rsid w:val="000D7ADD"/>
    <w:rsid w:val="000E1AFF"/>
    <w:rsid w:val="000E2783"/>
    <w:rsid w:val="000E5352"/>
    <w:rsid w:val="000F11F9"/>
    <w:rsid w:val="000F268F"/>
    <w:rsid w:val="000F5A92"/>
    <w:rsid w:val="000F5EAB"/>
    <w:rsid w:val="00103469"/>
    <w:rsid w:val="00103BA1"/>
    <w:rsid w:val="00104E4D"/>
    <w:rsid w:val="00113852"/>
    <w:rsid w:val="001144F2"/>
    <w:rsid w:val="00125738"/>
    <w:rsid w:val="001371A8"/>
    <w:rsid w:val="001432FA"/>
    <w:rsid w:val="00163585"/>
    <w:rsid w:val="00163945"/>
    <w:rsid w:val="00166C68"/>
    <w:rsid w:val="00166D55"/>
    <w:rsid w:val="00181B09"/>
    <w:rsid w:val="001879A5"/>
    <w:rsid w:val="00190146"/>
    <w:rsid w:val="0019035B"/>
    <w:rsid w:val="001962B9"/>
    <w:rsid w:val="001A1C92"/>
    <w:rsid w:val="001A7D69"/>
    <w:rsid w:val="001A7EF9"/>
    <w:rsid w:val="001B43F7"/>
    <w:rsid w:val="001B6622"/>
    <w:rsid w:val="001C4586"/>
    <w:rsid w:val="001C46E5"/>
    <w:rsid w:val="001C5B60"/>
    <w:rsid w:val="001C7050"/>
    <w:rsid w:val="001D283A"/>
    <w:rsid w:val="001D4C30"/>
    <w:rsid w:val="001D5684"/>
    <w:rsid w:val="002040CB"/>
    <w:rsid w:val="00204FF5"/>
    <w:rsid w:val="0020602F"/>
    <w:rsid w:val="00236F08"/>
    <w:rsid w:val="00240387"/>
    <w:rsid w:val="00243060"/>
    <w:rsid w:val="002504BD"/>
    <w:rsid w:val="00251FF0"/>
    <w:rsid w:val="00261313"/>
    <w:rsid w:val="002619A7"/>
    <w:rsid w:val="00264D1E"/>
    <w:rsid w:val="00273574"/>
    <w:rsid w:val="00274290"/>
    <w:rsid w:val="00291C53"/>
    <w:rsid w:val="00296B04"/>
    <w:rsid w:val="00296BB0"/>
    <w:rsid w:val="002A28C2"/>
    <w:rsid w:val="002A6856"/>
    <w:rsid w:val="002A715D"/>
    <w:rsid w:val="002A792A"/>
    <w:rsid w:val="002B3FCD"/>
    <w:rsid w:val="002B401D"/>
    <w:rsid w:val="002C0132"/>
    <w:rsid w:val="002C1DD4"/>
    <w:rsid w:val="002C2687"/>
    <w:rsid w:val="002C2F7B"/>
    <w:rsid w:val="002C6C1A"/>
    <w:rsid w:val="002D2FDA"/>
    <w:rsid w:val="002D4E4D"/>
    <w:rsid w:val="002E1156"/>
    <w:rsid w:val="002E245A"/>
    <w:rsid w:val="00304A60"/>
    <w:rsid w:val="00305187"/>
    <w:rsid w:val="00305CFE"/>
    <w:rsid w:val="003141C8"/>
    <w:rsid w:val="00327E6A"/>
    <w:rsid w:val="003305B9"/>
    <w:rsid w:val="00334087"/>
    <w:rsid w:val="0033655F"/>
    <w:rsid w:val="00340F5E"/>
    <w:rsid w:val="00360B09"/>
    <w:rsid w:val="00363D1A"/>
    <w:rsid w:val="003650F0"/>
    <w:rsid w:val="00373147"/>
    <w:rsid w:val="0037431B"/>
    <w:rsid w:val="00376D99"/>
    <w:rsid w:val="00395088"/>
    <w:rsid w:val="003966C6"/>
    <w:rsid w:val="003A2043"/>
    <w:rsid w:val="003A5389"/>
    <w:rsid w:val="003B533D"/>
    <w:rsid w:val="003C1363"/>
    <w:rsid w:val="003C4005"/>
    <w:rsid w:val="003D1D52"/>
    <w:rsid w:val="003D3593"/>
    <w:rsid w:val="003E41E1"/>
    <w:rsid w:val="00400062"/>
    <w:rsid w:val="00402A3A"/>
    <w:rsid w:val="0041439C"/>
    <w:rsid w:val="004169E9"/>
    <w:rsid w:val="00423552"/>
    <w:rsid w:val="004256EA"/>
    <w:rsid w:val="00431B56"/>
    <w:rsid w:val="00445C88"/>
    <w:rsid w:val="004466D2"/>
    <w:rsid w:val="00454E8D"/>
    <w:rsid w:val="0048075A"/>
    <w:rsid w:val="00481C41"/>
    <w:rsid w:val="004851AF"/>
    <w:rsid w:val="00487FAC"/>
    <w:rsid w:val="00491982"/>
    <w:rsid w:val="0049213C"/>
    <w:rsid w:val="004A10B8"/>
    <w:rsid w:val="004A7433"/>
    <w:rsid w:val="004B0A77"/>
    <w:rsid w:val="004B27AD"/>
    <w:rsid w:val="004B5D4C"/>
    <w:rsid w:val="004D1C29"/>
    <w:rsid w:val="004D69D5"/>
    <w:rsid w:val="005039D7"/>
    <w:rsid w:val="00514F25"/>
    <w:rsid w:val="0051675E"/>
    <w:rsid w:val="00525519"/>
    <w:rsid w:val="00530A5F"/>
    <w:rsid w:val="0053783F"/>
    <w:rsid w:val="005442B8"/>
    <w:rsid w:val="00545521"/>
    <w:rsid w:val="005531AF"/>
    <w:rsid w:val="00556800"/>
    <w:rsid w:val="00560DF0"/>
    <w:rsid w:val="00567314"/>
    <w:rsid w:val="00576829"/>
    <w:rsid w:val="00585C2A"/>
    <w:rsid w:val="005910BC"/>
    <w:rsid w:val="00594D8F"/>
    <w:rsid w:val="005A78C4"/>
    <w:rsid w:val="005B1068"/>
    <w:rsid w:val="005B11E4"/>
    <w:rsid w:val="005B6638"/>
    <w:rsid w:val="005D5F1F"/>
    <w:rsid w:val="005E089C"/>
    <w:rsid w:val="005E3EEB"/>
    <w:rsid w:val="005F3C37"/>
    <w:rsid w:val="005F532C"/>
    <w:rsid w:val="00603A21"/>
    <w:rsid w:val="00614805"/>
    <w:rsid w:val="0062110B"/>
    <w:rsid w:val="00632F5C"/>
    <w:rsid w:val="00650E2B"/>
    <w:rsid w:val="00662CB5"/>
    <w:rsid w:val="00663781"/>
    <w:rsid w:val="0067627B"/>
    <w:rsid w:val="006765EF"/>
    <w:rsid w:val="006956E7"/>
    <w:rsid w:val="006A242A"/>
    <w:rsid w:val="006A2D0F"/>
    <w:rsid w:val="006A43B6"/>
    <w:rsid w:val="006B3FF1"/>
    <w:rsid w:val="006B5D0A"/>
    <w:rsid w:val="006B6E9E"/>
    <w:rsid w:val="006C0961"/>
    <w:rsid w:val="006C4557"/>
    <w:rsid w:val="006C62F2"/>
    <w:rsid w:val="006C7EEE"/>
    <w:rsid w:val="006D046D"/>
    <w:rsid w:val="006E174A"/>
    <w:rsid w:val="006E675D"/>
    <w:rsid w:val="00703D39"/>
    <w:rsid w:val="00711C90"/>
    <w:rsid w:val="00712213"/>
    <w:rsid w:val="007219E8"/>
    <w:rsid w:val="00731A8C"/>
    <w:rsid w:val="00743DDE"/>
    <w:rsid w:val="007525D0"/>
    <w:rsid w:val="007546F4"/>
    <w:rsid w:val="00757BB4"/>
    <w:rsid w:val="00775EC7"/>
    <w:rsid w:val="00786A8B"/>
    <w:rsid w:val="007940C0"/>
    <w:rsid w:val="00795C2D"/>
    <w:rsid w:val="007A7B68"/>
    <w:rsid w:val="007C0446"/>
    <w:rsid w:val="007C7866"/>
    <w:rsid w:val="007D73FC"/>
    <w:rsid w:val="007E0BBF"/>
    <w:rsid w:val="007F017E"/>
    <w:rsid w:val="007F716A"/>
    <w:rsid w:val="007F7D2F"/>
    <w:rsid w:val="00803F1D"/>
    <w:rsid w:val="00835479"/>
    <w:rsid w:val="008377DB"/>
    <w:rsid w:val="00840683"/>
    <w:rsid w:val="00840B17"/>
    <w:rsid w:val="0084415B"/>
    <w:rsid w:val="00850C35"/>
    <w:rsid w:val="00881D0F"/>
    <w:rsid w:val="0088780C"/>
    <w:rsid w:val="00896D15"/>
    <w:rsid w:val="008A196F"/>
    <w:rsid w:val="008A1E2B"/>
    <w:rsid w:val="008B654E"/>
    <w:rsid w:val="008B79A2"/>
    <w:rsid w:val="008C232C"/>
    <w:rsid w:val="008C4516"/>
    <w:rsid w:val="008E076A"/>
    <w:rsid w:val="008E374F"/>
    <w:rsid w:val="008E526D"/>
    <w:rsid w:val="008E5FAD"/>
    <w:rsid w:val="008E5FE2"/>
    <w:rsid w:val="008E675D"/>
    <w:rsid w:val="008E6F70"/>
    <w:rsid w:val="008F248D"/>
    <w:rsid w:val="008F2F5E"/>
    <w:rsid w:val="0090298D"/>
    <w:rsid w:val="009062A3"/>
    <w:rsid w:val="00906CF9"/>
    <w:rsid w:val="00913C4C"/>
    <w:rsid w:val="009157E5"/>
    <w:rsid w:val="00917B5D"/>
    <w:rsid w:val="00926C97"/>
    <w:rsid w:val="0093227F"/>
    <w:rsid w:val="009323F3"/>
    <w:rsid w:val="0093420D"/>
    <w:rsid w:val="009510AB"/>
    <w:rsid w:val="00976A82"/>
    <w:rsid w:val="00997A8B"/>
    <w:rsid w:val="009B7051"/>
    <w:rsid w:val="009B705E"/>
    <w:rsid w:val="009C2402"/>
    <w:rsid w:val="009C794C"/>
    <w:rsid w:val="009D732B"/>
    <w:rsid w:val="009D76CF"/>
    <w:rsid w:val="009E0B90"/>
    <w:rsid w:val="009E0DCE"/>
    <w:rsid w:val="009F1B65"/>
    <w:rsid w:val="009F58D5"/>
    <w:rsid w:val="00A01A99"/>
    <w:rsid w:val="00A01FDC"/>
    <w:rsid w:val="00A1251F"/>
    <w:rsid w:val="00A13CE8"/>
    <w:rsid w:val="00A323FB"/>
    <w:rsid w:val="00A33352"/>
    <w:rsid w:val="00A3412A"/>
    <w:rsid w:val="00A35D36"/>
    <w:rsid w:val="00A456D9"/>
    <w:rsid w:val="00A52416"/>
    <w:rsid w:val="00A56CEE"/>
    <w:rsid w:val="00A613A8"/>
    <w:rsid w:val="00A61952"/>
    <w:rsid w:val="00A7138C"/>
    <w:rsid w:val="00A8314E"/>
    <w:rsid w:val="00A86510"/>
    <w:rsid w:val="00A97EBC"/>
    <w:rsid w:val="00AA0A42"/>
    <w:rsid w:val="00AA27AC"/>
    <w:rsid w:val="00AA33C8"/>
    <w:rsid w:val="00AC3C70"/>
    <w:rsid w:val="00AC62A5"/>
    <w:rsid w:val="00AC71C9"/>
    <w:rsid w:val="00AC7961"/>
    <w:rsid w:val="00AE1D20"/>
    <w:rsid w:val="00AE3780"/>
    <w:rsid w:val="00AE6CB5"/>
    <w:rsid w:val="00AF72B3"/>
    <w:rsid w:val="00B02D1D"/>
    <w:rsid w:val="00B03816"/>
    <w:rsid w:val="00B21779"/>
    <w:rsid w:val="00B2323D"/>
    <w:rsid w:val="00B24BF4"/>
    <w:rsid w:val="00B25B29"/>
    <w:rsid w:val="00B27F69"/>
    <w:rsid w:val="00B3698B"/>
    <w:rsid w:val="00B36BB5"/>
    <w:rsid w:val="00B43E63"/>
    <w:rsid w:val="00B52169"/>
    <w:rsid w:val="00B57D7D"/>
    <w:rsid w:val="00B731E6"/>
    <w:rsid w:val="00B8428D"/>
    <w:rsid w:val="00BA6E45"/>
    <w:rsid w:val="00BB0016"/>
    <w:rsid w:val="00BB404B"/>
    <w:rsid w:val="00BC2B0E"/>
    <w:rsid w:val="00BD5F63"/>
    <w:rsid w:val="00BE0952"/>
    <w:rsid w:val="00BE3845"/>
    <w:rsid w:val="00BE56F3"/>
    <w:rsid w:val="00BE6CBC"/>
    <w:rsid w:val="00BF2AC3"/>
    <w:rsid w:val="00C01F1F"/>
    <w:rsid w:val="00C036C2"/>
    <w:rsid w:val="00C064EC"/>
    <w:rsid w:val="00C070C2"/>
    <w:rsid w:val="00C26192"/>
    <w:rsid w:val="00C364E8"/>
    <w:rsid w:val="00C45148"/>
    <w:rsid w:val="00C4585C"/>
    <w:rsid w:val="00C719F1"/>
    <w:rsid w:val="00C722F8"/>
    <w:rsid w:val="00C77304"/>
    <w:rsid w:val="00C83705"/>
    <w:rsid w:val="00C8553D"/>
    <w:rsid w:val="00C9284C"/>
    <w:rsid w:val="00C9713F"/>
    <w:rsid w:val="00CA1E5D"/>
    <w:rsid w:val="00CA65DB"/>
    <w:rsid w:val="00CB2D1B"/>
    <w:rsid w:val="00CB53C2"/>
    <w:rsid w:val="00CC181B"/>
    <w:rsid w:val="00CC39B9"/>
    <w:rsid w:val="00CC770E"/>
    <w:rsid w:val="00CD349A"/>
    <w:rsid w:val="00CD3A21"/>
    <w:rsid w:val="00CF2DD3"/>
    <w:rsid w:val="00CF7768"/>
    <w:rsid w:val="00D01EF1"/>
    <w:rsid w:val="00D0654F"/>
    <w:rsid w:val="00D41BA4"/>
    <w:rsid w:val="00D43A16"/>
    <w:rsid w:val="00D55828"/>
    <w:rsid w:val="00D6510F"/>
    <w:rsid w:val="00D70111"/>
    <w:rsid w:val="00D72603"/>
    <w:rsid w:val="00D72B5A"/>
    <w:rsid w:val="00D768E5"/>
    <w:rsid w:val="00D80959"/>
    <w:rsid w:val="00D80DBD"/>
    <w:rsid w:val="00D8215A"/>
    <w:rsid w:val="00D83E25"/>
    <w:rsid w:val="00D90CB1"/>
    <w:rsid w:val="00D95990"/>
    <w:rsid w:val="00DA0C72"/>
    <w:rsid w:val="00DB412B"/>
    <w:rsid w:val="00DB5C01"/>
    <w:rsid w:val="00DB665B"/>
    <w:rsid w:val="00DC1C44"/>
    <w:rsid w:val="00DC6B2C"/>
    <w:rsid w:val="00DD6CAB"/>
    <w:rsid w:val="00E03239"/>
    <w:rsid w:val="00E07665"/>
    <w:rsid w:val="00E07B55"/>
    <w:rsid w:val="00E224E9"/>
    <w:rsid w:val="00E2322D"/>
    <w:rsid w:val="00E26C4A"/>
    <w:rsid w:val="00E27259"/>
    <w:rsid w:val="00E3033A"/>
    <w:rsid w:val="00E436B8"/>
    <w:rsid w:val="00E47935"/>
    <w:rsid w:val="00E65080"/>
    <w:rsid w:val="00E70EC4"/>
    <w:rsid w:val="00E83991"/>
    <w:rsid w:val="00E855C5"/>
    <w:rsid w:val="00E860B2"/>
    <w:rsid w:val="00E901DF"/>
    <w:rsid w:val="00E908E7"/>
    <w:rsid w:val="00E90AC7"/>
    <w:rsid w:val="00EA50E3"/>
    <w:rsid w:val="00EB1C96"/>
    <w:rsid w:val="00EC4309"/>
    <w:rsid w:val="00EE6353"/>
    <w:rsid w:val="00EE72D7"/>
    <w:rsid w:val="00EF1261"/>
    <w:rsid w:val="00EF5232"/>
    <w:rsid w:val="00EF73F9"/>
    <w:rsid w:val="00EF7FE5"/>
    <w:rsid w:val="00F03153"/>
    <w:rsid w:val="00F0348B"/>
    <w:rsid w:val="00F25142"/>
    <w:rsid w:val="00F26067"/>
    <w:rsid w:val="00F32B3F"/>
    <w:rsid w:val="00F40465"/>
    <w:rsid w:val="00F70A4E"/>
    <w:rsid w:val="00F72128"/>
    <w:rsid w:val="00F81350"/>
    <w:rsid w:val="00F91748"/>
    <w:rsid w:val="00F93B24"/>
    <w:rsid w:val="00F94D0B"/>
    <w:rsid w:val="00FA2F3D"/>
    <w:rsid w:val="00FB586F"/>
    <w:rsid w:val="00FC442E"/>
    <w:rsid w:val="00FD61E2"/>
    <w:rsid w:val="00FE7D50"/>
    <w:rsid w:val="00FF0D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Message Header" w:uiPriority="0"/>
    <w:lsdException w:name="Subtitle" w:semiHidden="0" w:uiPriority="11" w:unhideWhenUsed="0"/>
    <w:lsdException w:name="Block Text"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semiHidden/>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1432F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99"/>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896D15"/>
    <w:pPr>
      <w:spacing w:before="80" w:line="260" w:lineRule="exact"/>
      <w:ind w:left="964"/>
      <w:jc w:val="both"/>
    </w:pPr>
  </w:style>
  <w:style w:type="character" w:styleId="FollowedHyperlink">
    <w:name w:val="FollowedHyperlink"/>
    <w:basedOn w:val="DefaultParagraphFont"/>
    <w:uiPriority w:val="99"/>
    <w:semiHidden/>
    <w:unhideWhenUsed/>
    <w:rsid w:val="00DA0C72"/>
    <w:rPr>
      <w:color w:val="800080" w:themeColor="followedHyperlink"/>
      <w:u w:val="single"/>
    </w:rPr>
  </w:style>
  <w:style w:type="paragraph" w:customStyle="1" w:styleId="R2">
    <w:name w:val="R2"/>
    <w:aliases w:val="(2)"/>
    <w:basedOn w:val="Normal"/>
    <w:rsid w:val="00103BA1"/>
    <w:pPr>
      <w:keepLines/>
      <w:tabs>
        <w:tab w:val="right" w:pos="794"/>
      </w:tabs>
      <w:spacing w:before="180" w:line="260" w:lineRule="exact"/>
      <w:ind w:left="964" w:hanging="964"/>
      <w:jc w:val="both"/>
    </w:pPr>
  </w:style>
  <w:style w:type="paragraph" w:customStyle="1" w:styleId="P1">
    <w:name w:val="P1"/>
    <w:aliases w:val="(a)"/>
    <w:basedOn w:val="Normal"/>
    <w:rsid w:val="001B6622"/>
    <w:pPr>
      <w:keepLines/>
      <w:tabs>
        <w:tab w:val="right" w:pos="1191"/>
      </w:tabs>
      <w:spacing w:before="60" w:line="260" w:lineRule="exact"/>
      <w:ind w:left="1418" w:hanging="1418"/>
      <w:jc w:val="both"/>
    </w:pPr>
  </w:style>
  <w:style w:type="paragraph" w:customStyle="1" w:styleId="h5section0">
    <w:name w:val="h5section"/>
    <w:basedOn w:val="Normal"/>
    <w:rsid w:val="00E3033A"/>
    <w:pPr>
      <w:spacing w:before="100" w:beforeAutospacing="1" w:after="100" w:afterAutospacing="1"/>
    </w:pPr>
  </w:style>
  <w:style w:type="paragraph" w:customStyle="1" w:styleId="tmain0">
    <w:name w:val="tmain"/>
    <w:basedOn w:val="Normal"/>
    <w:rsid w:val="00E3033A"/>
    <w:pPr>
      <w:spacing w:before="100" w:beforeAutospacing="1" w:after="100" w:afterAutospacing="1"/>
    </w:pPr>
  </w:style>
  <w:style w:type="paragraph" w:customStyle="1" w:styleId="tpara0">
    <w:name w:val="tpara"/>
    <w:basedOn w:val="Normal"/>
    <w:rsid w:val="00E3033A"/>
    <w:pPr>
      <w:spacing w:before="100" w:beforeAutospacing="1" w:after="100" w:afterAutospacing="1"/>
    </w:pPr>
  </w:style>
  <w:style w:type="paragraph" w:customStyle="1" w:styleId="tsubpara0">
    <w:name w:val="tsubpara"/>
    <w:basedOn w:val="Normal"/>
    <w:rsid w:val="00E3033A"/>
    <w:pPr>
      <w:spacing w:before="100" w:beforeAutospacing="1" w:after="100" w:afterAutospacing="1"/>
    </w:pPr>
  </w:style>
  <w:style w:type="paragraph" w:customStyle="1" w:styleId="Rc">
    <w:name w:val="Rc"/>
    <w:aliases w:val="Rn continued"/>
    <w:basedOn w:val="Normal"/>
    <w:next w:val="R2"/>
    <w:rsid w:val="001C7050"/>
    <w:pPr>
      <w:spacing w:before="60" w:line="260" w:lineRule="exact"/>
      <w:ind w:left="964"/>
      <w:jc w:val="both"/>
    </w:pPr>
  </w:style>
  <w:style w:type="paragraph" w:customStyle="1" w:styleId="R1">
    <w:name w:val="R1"/>
    <w:aliases w:val="1. or 1.(1)"/>
    <w:basedOn w:val="Normal"/>
    <w:next w:val="R2"/>
    <w:rsid w:val="00F40465"/>
    <w:pPr>
      <w:keepLines/>
      <w:tabs>
        <w:tab w:val="right" w:pos="794"/>
      </w:tabs>
      <w:spacing w:before="120" w:line="260" w:lineRule="exact"/>
      <w:ind w:left="964" w:hanging="964"/>
      <w:jc w:val="both"/>
    </w:pPr>
  </w:style>
  <w:style w:type="paragraph" w:customStyle="1" w:styleId="Note">
    <w:name w:val="Note"/>
    <w:basedOn w:val="Normal"/>
    <w:rsid w:val="008E5FAD"/>
    <w:pPr>
      <w:keepLines/>
      <w:spacing w:before="120" w:line="220" w:lineRule="exact"/>
      <w:ind w:left="964"/>
      <w:jc w:val="both"/>
    </w:pPr>
    <w:rPr>
      <w:sz w:val="20"/>
    </w:rPr>
  </w:style>
  <w:style w:type="paragraph" w:customStyle="1" w:styleId="TableColHead">
    <w:name w:val="TableColHead"/>
    <w:basedOn w:val="Normal"/>
    <w:rsid w:val="00FB586F"/>
    <w:pPr>
      <w:keepNext/>
      <w:spacing w:before="120" w:after="60" w:line="200" w:lineRule="exact"/>
    </w:pPr>
    <w:rPr>
      <w:rFonts w:ascii="Arial" w:hAnsi="Arial"/>
      <w:b/>
      <w:sz w:val="18"/>
    </w:rPr>
  </w:style>
  <w:style w:type="paragraph" w:customStyle="1" w:styleId="TableText">
    <w:name w:val="TableText"/>
    <w:basedOn w:val="Normal"/>
    <w:rsid w:val="00FB586F"/>
    <w:pPr>
      <w:spacing w:before="60" w:after="60" w:line="240" w:lineRule="exact"/>
    </w:pPr>
    <w:rPr>
      <w:sz w:val="22"/>
    </w:rPr>
  </w:style>
  <w:style w:type="paragraph" w:customStyle="1" w:styleId="HSR">
    <w:name w:val="HSR"/>
    <w:aliases w:val="Subregulation Heading"/>
    <w:basedOn w:val="Normal"/>
    <w:next w:val="Normal"/>
    <w:rsid w:val="00CA65DB"/>
    <w:pPr>
      <w:keepNext/>
      <w:spacing w:before="300"/>
      <w:ind w:left="964"/>
    </w:pPr>
    <w:rPr>
      <w:rFonts w:ascii="Arial" w:hAnsi="Arial"/>
      <w:i/>
    </w:rPr>
  </w:style>
  <w:style w:type="paragraph" w:styleId="MessageHeader">
    <w:name w:val="Message Header"/>
    <w:basedOn w:val="Normal"/>
    <w:link w:val="MessageHeaderChar"/>
    <w:rsid w:val="003E41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E41E1"/>
    <w:rPr>
      <w:rFonts w:ascii="Arial" w:eastAsia="Times New Roman" w:hAnsi="Arial" w:cs="Arial"/>
      <w:sz w:val="24"/>
      <w:szCs w:val="24"/>
      <w:shd w:val="pct20" w:color="auto" w:fill="auto"/>
      <w:lang w:eastAsia="en-AU"/>
    </w:rPr>
  </w:style>
  <w:style w:type="character" w:styleId="CommentReference">
    <w:name w:val="annotation reference"/>
    <w:basedOn w:val="DefaultParagraphFont"/>
    <w:uiPriority w:val="99"/>
    <w:semiHidden/>
    <w:unhideWhenUsed/>
    <w:rsid w:val="003E41E1"/>
    <w:rPr>
      <w:sz w:val="16"/>
      <w:szCs w:val="16"/>
    </w:rPr>
  </w:style>
  <w:style w:type="paragraph" w:styleId="CommentText">
    <w:name w:val="annotation text"/>
    <w:basedOn w:val="Normal"/>
    <w:link w:val="CommentTextChar"/>
    <w:unhideWhenUsed/>
    <w:rsid w:val="003E41E1"/>
    <w:rPr>
      <w:sz w:val="20"/>
      <w:szCs w:val="20"/>
    </w:rPr>
  </w:style>
  <w:style w:type="character" w:customStyle="1" w:styleId="CommentTextChar">
    <w:name w:val="Comment Text Char"/>
    <w:basedOn w:val="DefaultParagraphFont"/>
    <w:link w:val="CommentText"/>
    <w:uiPriority w:val="99"/>
    <w:semiHidden/>
    <w:rsid w:val="003E41E1"/>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3E41E1"/>
    <w:rPr>
      <w:b/>
      <w:bCs/>
    </w:rPr>
  </w:style>
  <w:style w:type="character" w:customStyle="1" w:styleId="CommentSubjectChar">
    <w:name w:val="Comment Subject Char"/>
    <w:basedOn w:val="CommentTextChar"/>
    <w:link w:val="CommentSubject"/>
    <w:uiPriority w:val="99"/>
    <w:semiHidden/>
    <w:rsid w:val="003E41E1"/>
    <w:rPr>
      <w:rFonts w:eastAsia="Times New Roman"/>
      <w:b/>
      <w:bCs/>
      <w:lang w:eastAsia="en-AU"/>
    </w:rPr>
  </w:style>
  <w:style w:type="paragraph" w:styleId="PlainText">
    <w:name w:val="Plain Text"/>
    <w:basedOn w:val="Normal"/>
    <w:link w:val="PlainTextChar"/>
    <w:rsid w:val="003E41E1"/>
    <w:rPr>
      <w:rFonts w:ascii="Courier New" w:hAnsi="Courier New" w:cs="Courier New"/>
      <w:sz w:val="20"/>
      <w:szCs w:val="20"/>
    </w:rPr>
  </w:style>
  <w:style w:type="character" w:customStyle="1" w:styleId="PlainTextChar">
    <w:name w:val="Plain Text Char"/>
    <w:basedOn w:val="DefaultParagraphFont"/>
    <w:link w:val="PlainText"/>
    <w:rsid w:val="003E41E1"/>
    <w:rPr>
      <w:rFonts w:ascii="Courier New" w:eastAsia="Times New Roman" w:hAnsi="Courier New" w:cs="Courier New"/>
      <w:lang w:eastAsia="en-AU"/>
    </w:rPr>
  </w:style>
  <w:style w:type="paragraph" w:customStyle="1" w:styleId="tdefn0">
    <w:name w:val="tdefn"/>
    <w:basedOn w:val="Normal"/>
    <w:rsid w:val="001D28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Message Header" w:uiPriority="0"/>
    <w:lsdException w:name="Subtitle" w:semiHidden="0" w:uiPriority="11" w:unhideWhenUsed="0"/>
    <w:lsdException w:name="Block Text" w:uiPriority="0"/>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75D"/>
    <w:rPr>
      <w:rFonts w:eastAsia="Times New Roman"/>
      <w:sz w:val="24"/>
      <w:szCs w:val="24"/>
      <w:lang w:eastAsia="en-AU"/>
    </w:rPr>
  </w:style>
  <w:style w:type="paragraph" w:styleId="Heading1">
    <w:name w:val="heading 1"/>
    <w:basedOn w:val="Normal"/>
    <w:next w:val="Normal"/>
    <w:link w:val="Heading1Char"/>
    <w:uiPriority w:val="9"/>
    <w:rsid w:val="00CD3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4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349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D349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Defn">
    <w:name w:val="t_Defn"/>
    <w:basedOn w:val="Normal"/>
    <w:uiPriority w:val="99"/>
    <w:rsid w:val="00CD349A"/>
    <w:pPr>
      <w:spacing w:before="80" w:after="100" w:line="260" w:lineRule="exact"/>
      <w:ind w:left="964"/>
      <w:jc w:val="both"/>
    </w:pPr>
  </w:style>
  <w:style w:type="paragraph" w:customStyle="1" w:styleId="Tempstyle">
    <w:name w:val="Temp style"/>
    <w:basedOn w:val="Normal"/>
    <w:rsid w:val="00CD349A"/>
  </w:style>
  <w:style w:type="paragraph" w:customStyle="1" w:styleId="h1ChSch">
    <w:name w:val="h1_Ch_Sch"/>
    <w:basedOn w:val="Heading1"/>
    <w:next w:val="Normal"/>
    <w:qFormat/>
    <w:rsid w:val="00CD349A"/>
    <w:pPr>
      <w:pageBreakBefore/>
      <w:spacing w:after="60"/>
      <w:ind w:left="2410" w:hanging="2410"/>
    </w:pPr>
    <w:rPr>
      <w:rFonts w:ascii="Arial" w:eastAsia="Times New Roman" w:hAnsi="Arial" w:cs="Arial"/>
      <w:color w:val="auto"/>
      <w:kern w:val="32"/>
      <w:sz w:val="40"/>
      <w:szCs w:val="32"/>
    </w:rPr>
  </w:style>
  <w:style w:type="character" w:customStyle="1" w:styleId="Heading1Char">
    <w:name w:val="Heading 1 Char"/>
    <w:basedOn w:val="DefaultParagraphFont"/>
    <w:link w:val="Heading1"/>
    <w:uiPriority w:val="9"/>
    <w:rsid w:val="00CD349A"/>
    <w:rPr>
      <w:rFonts w:asciiTheme="majorHAnsi" w:eastAsiaTheme="majorEastAsia" w:hAnsiTheme="majorHAnsi" w:cstheme="majorBidi"/>
      <w:b/>
      <w:bCs/>
      <w:color w:val="365F91" w:themeColor="accent1" w:themeShade="BF"/>
      <w:sz w:val="28"/>
      <w:szCs w:val="28"/>
    </w:rPr>
  </w:style>
  <w:style w:type="paragraph" w:customStyle="1" w:styleId="h3Div">
    <w:name w:val="h3_Div"/>
    <w:basedOn w:val="Heading3"/>
    <w:next w:val="Normal"/>
    <w:qFormat/>
    <w:rsid w:val="00CD349A"/>
    <w:pPr>
      <w:spacing w:before="360" w:after="60"/>
      <w:ind w:left="2410" w:hanging="2410"/>
    </w:pPr>
    <w:rPr>
      <w:rFonts w:ascii="Arial" w:eastAsia="Times New Roman" w:hAnsi="Arial" w:cs="Arial"/>
      <w:color w:val="auto"/>
      <w:sz w:val="28"/>
      <w:szCs w:val="26"/>
    </w:rPr>
  </w:style>
  <w:style w:type="character" w:customStyle="1" w:styleId="Heading3Char">
    <w:name w:val="Heading 3 Char"/>
    <w:basedOn w:val="DefaultParagraphFont"/>
    <w:link w:val="Heading3"/>
    <w:uiPriority w:val="9"/>
    <w:semiHidden/>
    <w:rsid w:val="00CD349A"/>
    <w:rPr>
      <w:rFonts w:asciiTheme="majorHAnsi" w:eastAsiaTheme="majorEastAsia" w:hAnsiTheme="majorHAnsi" w:cstheme="majorBidi"/>
      <w:b/>
      <w:bCs/>
      <w:color w:val="4F81BD" w:themeColor="accent1"/>
    </w:rPr>
  </w:style>
  <w:style w:type="paragraph" w:customStyle="1" w:styleId="h7Example">
    <w:name w:val="h7_Example"/>
    <w:basedOn w:val="Normal"/>
    <w:next w:val="Normal"/>
    <w:qFormat/>
    <w:rsid w:val="00CD349A"/>
    <w:pPr>
      <w:keepNext/>
      <w:spacing w:before="120" w:line="220" w:lineRule="exact"/>
      <w:ind w:left="964"/>
    </w:pPr>
    <w:rPr>
      <w:i/>
    </w:rPr>
  </w:style>
  <w:style w:type="paragraph" w:customStyle="1" w:styleId="h2Part">
    <w:name w:val="h2_Part"/>
    <w:basedOn w:val="Heading2"/>
    <w:next w:val="h3Div"/>
    <w:qFormat/>
    <w:rsid w:val="00CD349A"/>
    <w:pPr>
      <w:pageBreakBefore/>
      <w:spacing w:before="360" w:after="60"/>
      <w:ind w:left="2410" w:hanging="2410"/>
    </w:pPr>
    <w:rPr>
      <w:rFonts w:ascii="Arial" w:eastAsia="Times New Roman" w:hAnsi="Arial" w:cs="Arial"/>
      <w:bCs w:val="0"/>
      <w:iCs/>
      <w:color w:val="auto"/>
      <w:sz w:val="36"/>
      <w:szCs w:val="22"/>
    </w:rPr>
  </w:style>
  <w:style w:type="character" w:customStyle="1" w:styleId="Heading2Char">
    <w:name w:val="Heading 2 Char"/>
    <w:basedOn w:val="DefaultParagraphFont"/>
    <w:link w:val="Heading2"/>
    <w:uiPriority w:val="9"/>
    <w:semiHidden/>
    <w:rsid w:val="00CD349A"/>
    <w:rPr>
      <w:rFonts w:asciiTheme="majorHAnsi" w:eastAsiaTheme="majorEastAsia" w:hAnsiTheme="majorHAnsi" w:cstheme="majorBidi"/>
      <w:b/>
      <w:bCs/>
      <w:color w:val="4F81BD" w:themeColor="accent1"/>
      <w:sz w:val="26"/>
      <w:szCs w:val="26"/>
    </w:rPr>
  </w:style>
  <w:style w:type="paragraph" w:customStyle="1" w:styleId="h4Subdiv">
    <w:name w:val="h4_Subdiv"/>
    <w:basedOn w:val="Heading4"/>
    <w:next w:val="Normal"/>
    <w:autoRedefine/>
    <w:qFormat/>
    <w:rsid w:val="001432FA"/>
    <w:pPr>
      <w:spacing w:before="360" w:after="60"/>
      <w:ind w:left="2410" w:hanging="2410"/>
    </w:pPr>
    <w:rPr>
      <w:rFonts w:ascii="Arial" w:eastAsia="Times New Roman" w:hAnsi="Arial" w:cs="Times New Roman"/>
      <w:i w:val="0"/>
      <w:iCs w:val="0"/>
      <w:color w:val="auto"/>
      <w:sz w:val="28"/>
      <w:szCs w:val="28"/>
    </w:rPr>
  </w:style>
  <w:style w:type="character" w:customStyle="1" w:styleId="Heading4Char">
    <w:name w:val="Heading 4 Char"/>
    <w:basedOn w:val="DefaultParagraphFont"/>
    <w:link w:val="Heading4"/>
    <w:uiPriority w:val="9"/>
    <w:semiHidden/>
    <w:rsid w:val="00CD349A"/>
    <w:rPr>
      <w:rFonts w:asciiTheme="majorHAnsi" w:eastAsiaTheme="majorEastAsia" w:hAnsiTheme="majorHAnsi" w:cstheme="majorBidi"/>
      <w:b/>
      <w:bCs/>
      <w:i/>
      <w:iCs/>
      <w:color w:val="4F81BD" w:themeColor="accent1"/>
    </w:rPr>
  </w:style>
  <w:style w:type="paragraph" w:customStyle="1" w:styleId="h5Section">
    <w:name w:val="h5_Section"/>
    <w:basedOn w:val="Heading5"/>
    <w:next w:val="Normal"/>
    <w:uiPriority w:val="99"/>
    <w:qFormat/>
    <w:rsid w:val="00CD349A"/>
    <w:pPr>
      <w:spacing w:before="360" w:after="60"/>
      <w:ind w:left="964" w:hanging="964"/>
    </w:pPr>
    <w:rPr>
      <w:rFonts w:ascii="Arial" w:eastAsia="Times New Roman" w:hAnsi="Arial" w:cs="Times New Roman"/>
      <w:b/>
      <w:bCs/>
      <w:iCs/>
      <w:color w:val="auto"/>
      <w:szCs w:val="26"/>
    </w:rPr>
  </w:style>
  <w:style w:type="character" w:customStyle="1" w:styleId="Heading5Char">
    <w:name w:val="Heading 5 Char"/>
    <w:basedOn w:val="DefaultParagraphFont"/>
    <w:link w:val="Heading5"/>
    <w:uiPriority w:val="9"/>
    <w:semiHidden/>
    <w:rsid w:val="00CD349A"/>
    <w:rPr>
      <w:rFonts w:asciiTheme="majorHAnsi" w:eastAsiaTheme="majorEastAsia" w:hAnsiTheme="majorHAnsi" w:cstheme="majorBidi"/>
      <w:color w:val="243F60" w:themeColor="accent1" w:themeShade="7F"/>
    </w:rPr>
  </w:style>
  <w:style w:type="paragraph" w:customStyle="1" w:styleId="noteDrafter">
    <w:name w:val="note_Drafter"/>
    <w:basedOn w:val="Normal"/>
    <w:qFormat/>
    <w:rsid w:val="00E26C4A"/>
    <w:pPr>
      <w:spacing w:before="80" w:after="80"/>
    </w:pPr>
    <w:rPr>
      <w:color w:val="0070C0"/>
    </w:rPr>
  </w:style>
  <w:style w:type="paragraph" w:customStyle="1" w:styleId="tPara">
    <w:name w:val="t_Para"/>
    <w:basedOn w:val="Normal"/>
    <w:qFormat/>
    <w:rsid w:val="00071ABA"/>
    <w:pPr>
      <w:keepLines/>
      <w:tabs>
        <w:tab w:val="right" w:pos="1531"/>
      </w:tabs>
      <w:spacing w:after="100" w:line="260" w:lineRule="exact"/>
      <w:ind w:left="1701" w:hanging="1701"/>
      <w:jc w:val="both"/>
    </w:pPr>
  </w:style>
  <w:style w:type="paragraph" w:customStyle="1" w:styleId="tSubpara">
    <w:name w:val="t_Subpara"/>
    <w:basedOn w:val="Normal"/>
    <w:qFormat/>
    <w:rsid w:val="00071ABA"/>
    <w:pPr>
      <w:keepLines/>
      <w:tabs>
        <w:tab w:val="right" w:pos="2211"/>
      </w:tabs>
      <w:spacing w:after="100" w:line="260" w:lineRule="exact"/>
      <w:ind w:left="2410" w:hanging="2410"/>
      <w:jc w:val="both"/>
    </w:pPr>
  </w:style>
  <w:style w:type="paragraph" w:customStyle="1" w:styleId="tSubsub">
    <w:name w:val="t_Subsub"/>
    <w:basedOn w:val="Normal"/>
    <w:qFormat/>
    <w:rsid w:val="00071ABA"/>
    <w:pPr>
      <w:tabs>
        <w:tab w:val="right" w:pos="2948"/>
      </w:tabs>
      <w:spacing w:after="100" w:line="260" w:lineRule="exact"/>
      <w:ind w:left="3119" w:hanging="3119"/>
      <w:jc w:val="both"/>
    </w:pPr>
  </w:style>
  <w:style w:type="paragraph" w:styleId="Title">
    <w:name w:val="Title"/>
    <w:basedOn w:val="Normal"/>
    <w:next w:val="Normal"/>
    <w:link w:val="TitleChar"/>
    <w:qFormat/>
    <w:rsid w:val="00CD349A"/>
    <w:pPr>
      <w:spacing w:before="480"/>
    </w:pPr>
    <w:rPr>
      <w:rFonts w:ascii="Arial" w:hAnsi="Arial" w:cs="Arial"/>
      <w:b/>
      <w:bCs/>
      <w:sz w:val="40"/>
      <w:szCs w:val="40"/>
    </w:rPr>
  </w:style>
  <w:style w:type="character" w:customStyle="1" w:styleId="TitleChar">
    <w:name w:val="Title Char"/>
    <w:basedOn w:val="DefaultParagraphFont"/>
    <w:link w:val="Title"/>
    <w:rsid w:val="00CD349A"/>
    <w:rPr>
      <w:rFonts w:ascii="Arial" w:eastAsia="Times New Roman" w:hAnsi="Arial" w:cs="Arial"/>
      <w:b/>
      <w:bCs/>
      <w:sz w:val="40"/>
      <w:szCs w:val="40"/>
      <w:lang w:eastAsia="en-AU"/>
    </w:rPr>
  </w:style>
  <w:style w:type="paragraph" w:styleId="BalloonText">
    <w:name w:val="Balloon Text"/>
    <w:basedOn w:val="Normal"/>
    <w:link w:val="BalloonTextChar"/>
    <w:uiPriority w:val="99"/>
    <w:semiHidden/>
    <w:unhideWhenUsed/>
    <w:rsid w:val="00CD349A"/>
    <w:rPr>
      <w:rFonts w:ascii="Tahoma" w:hAnsi="Tahoma" w:cs="Tahoma"/>
      <w:sz w:val="16"/>
      <w:szCs w:val="16"/>
    </w:rPr>
  </w:style>
  <w:style w:type="character" w:customStyle="1" w:styleId="BalloonTextChar">
    <w:name w:val="Balloon Text Char"/>
    <w:basedOn w:val="DefaultParagraphFont"/>
    <w:link w:val="BalloonText"/>
    <w:uiPriority w:val="99"/>
    <w:semiHidden/>
    <w:rsid w:val="00CD349A"/>
    <w:rPr>
      <w:rFonts w:ascii="Tahoma" w:eastAsia="Times New Roman" w:hAnsi="Tahoma" w:cs="Tahoma"/>
      <w:sz w:val="16"/>
      <w:szCs w:val="16"/>
      <w:lang w:eastAsia="en-AU"/>
    </w:rPr>
  </w:style>
  <w:style w:type="paragraph" w:styleId="Header">
    <w:name w:val="header"/>
    <w:basedOn w:val="Normal"/>
    <w:link w:val="HeaderChar"/>
    <w:uiPriority w:val="99"/>
    <w:unhideWhenUsed/>
    <w:rsid w:val="00CD349A"/>
    <w:pPr>
      <w:tabs>
        <w:tab w:val="center" w:pos="4513"/>
        <w:tab w:val="right" w:pos="9026"/>
      </w:tabs>
    </w:pPr>
  </w:style>
  <w:style w:type="character" w:customStyle="1" w:styleId="HeaderChar">
    <w:name w:val="Header Char"/>
    <w:basedOn w:val="DefaultParagraphFont"/>
    <w:link w:val="Header"/>
    <w:uiPriority w:val="99"/>
    <w:rsid w:val="00CD349A"/>
    <w:rPr>
      <w:rFonts w:eastAsia="Times New Roman"/>
      <w:sz w:val="24"/>
      <w:szCs w:val="24"/>
      <w:lang w:eastAsia="en-AU"/>
    </w:rPr>
  </w:style>
  <w:style w:type="paragraph" w:styleId="Footer">
    <w:name w:val="footer"/>
    <w:basedOn w:val="Normal"/>
    <w:link w:val="FooterChar"/>
    <w:uiPriority w:val="99"/>
    <w:unhideWhenUsed/>
    <w:rsid w:val="00CD349A"/>
    <w:pPr>
      <w:tabs>
        <w:tab w:val="center" w:pos="4513"/>
        <w:tab w:val="right" w:pos="9026"/>
      </w:tabs>
    </w:pPr>
  </w:style>
  <w:style w:type="character" w:customStyle="1" w:styleId="FooterChar">
    <w:name w:val="Footer Char"/>
    <w:basedOn w:val="DefaultParagraphFont"/>
    <w:link w:val="Footer"/>
    <w:uiPriority w:val="99"/>
    <w:rsid w:val="00CD349A"/>
    <w:rPr>
      <w:rFonts w:eastAsia="Times New Roman"/>
      <w:sz w:val="24"/>
      <w:szCs w:val="24"/>
      <w:lang w:eastAsia="en-AU"/>
    </w:rPr>
  </w:style>
  <w:style w:type="paragraph" w:customStyle="1" w:styleId="HeaderBoldOdd">
    <w:name w:val="HeaderBoldOdd"/>
    <w:basedOn w:val="Normal"/>
    <w:rsid w:val="00D55828"/>
    <w:pPr>
      <w:spacing w:before="120" w:after="60"/>
      <w:jc w:val="right"/>
    </w:pPr>
    <w:rPr>
      <w:rFonts w:ascii="Arial" w:hAnsi="Arial"/>
      <w:b/>
      <w:sz w:val="20"/>
    </w:rPr>
  </w:style>
  <w:style w:type="paragraph" w:customStyle="1" w:styleId="HeaderLiteOdd">
    <w:name w:val="HeaderLiteOdd"/>
    <w:basedOn w:val="Normal"/>
    <w:rsid w:val="00D55828"/>
    <w:pPr>
      <w:tabs>
        <w:tab w:val="center" w:pos="3969"/>
        <w:tab w:val="right" w:pos="8505"/>
      </w:tabs>
      <w:spacing w:before="60"/>
      <w:jc w:val="right"/>
    </w:pPr>
    <w:rPr>
      <w:rFonts w:ascii="Arial" w:hAnsi="Arial"/>
      <w:sz w:val="18"/>
    </w:rPr>
  </w:style>
  <w:style w:type="paragraph" w:customStyle="1" w:styleId="FooterDraft">
    <w:name w:val="FooterDraft"/>
    <w:basedOn w:val="Normal"/>
    <w:rsid w:val="00D55828"/>
    <w:pPr>
      <w:jc w:val="center"/>
    </w:pPr>
    <w:rPr>
      <w:rFonts w:ascii="Arial" w:hAnsi="Arial"/>
      <w:b/>
      <w:sz w:val="40"/>
    </w:rPr>
  </w:style>
  <w:style w:type="character" w:styleId="PageNumber">
    <w:name w:val="page number"/>
    <w:basedOn w:val="DefaultParagraphFont"/>
    <w:rsid w:val="00D55828"/>
    <w:rPr>
      <w:rFonts w:ascii="Arial" w:hAnsi="Arial"/>
      <w:sz w:val="22"/>
    </w:rPr>
  </w:style>
  <w:style w:type="paragraph" w:customStyle="1" w:styleId="FooterCitation">
    <w:name w:val="FooterCitation"/>
    <w:basedOn w:val="Footer"/>
    <w:rsid w:val="00D55828"/>
    <w:pPr>
      <w:tabs>
        <w:tab w:val="clear" w:pos="4513"/>
        <w:tab w:val="clear" w:pos="9026"/>
        <w:tab w:val="center" w:pos="4153"/>
        <w:tab w:val="right" w:pos="8306"/>
      </w:tabs>
      <w:spacing w:before="20" w:line="240" w:lineRule="exact"/>
      <w:jc w:val="center"/>
    </w:pPr>
    <w:rPr>
      <w:rFonts w:ascii="Arial" w:hAnsi="Arial"/>
      <w:i/>
      <w:sz w:val="18"/>
    </w:rPr>
  </w:style>
  <w:style w:type="paragraph" w:styleId="TOC2">
    <w:name w:val="toc 2"/>
    <w:basedOn w:val="Normal"/>
    <w:next w:val="Normal"/>
    <w:autoRedefine/>
    <w:uiPriority w:val="39"/>
    <w:rsid w:val="005E089C"/>
    <w:pPr>
      <w:keepNext/>
      <w:tabs>
        <w:tab w:val="right" w:pos="8278"/>
      </w:tabs>
      <w:spacing w:before="120" w:after="120"/>
      <w:ind w:left="1843" w:right="714" w:hanging="1843"/>
    </w:pPr>
    <w:rPr>
      <w:rFonts w:ascii="Arial" w:hAnsi="Arial"/>
      <w:b/>
      <w:noProof/>
      <w:sz w:val="22"/>
      <w:szCs w:val="22"/>
      <w:lang w:eastAsia="en-US"/>
    </w:rPr>
  </w:style>
  <w:style w:type="paragraph" w:styleId="TOC3">
    <w:name w:val="toc 3"/>
    <w:basedOn w:val="Normal"/>
    <w:next w:val="Normal"/>
    <w:autoRedefine/>
    <w:uiPriority w:val="39"/>
    <w:rsid w:val="005E089C"/>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uiPriority w:val="39"/>
    <w:rsid w:val="005E089C"/>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5E089C"/>
    <w:pPr>
      <w:tabs>
        <w:tab w:val="right" w:pos="1559"/>
        <w:tab w:val="right" w:pos="8278"/>
      </w:tabs>
      <w:spacing w:before="40"/>
      <w:ind w:left="1843" w:right="714" w:hanging="1843"/>
    </w:pPr>
    <w:rPr>
      <w:rFonts w:ascii="Arial" w:hAnsi="Arial"/>
      <w:noProof/>
      <w:sz w:val="19"/>
      <w:szCs w:val="19"/>
      <w:lang w:eastAsia="en-US"/>
    </w:rPr>
  </w:style>
  <w:style w:type="character" w:customStyle="1" w:styleId="CharSectno">
    <w:name w:val="CharSectno"/>
    <w:basedOn w:val="DefaultParagraphFont"/>
    <w:rsid w:val="005E089C"/>
  </w:style>
  <w:style w:type="paragraph" w:customStyle="1" w:styleId="Sec">
    <w:name w:val="Sec"/>
    <w:basedOn w:val="Normal"/>
    <w:next w:val="Normal"/>
    <w:uiPriority w:val="99"/>
    <w:rsid w:val="003B533D"/>
    <w:pPr>
      <w:keepLines/>
      <w:tabs>
        <w:tab w:val="right" w:pos="794"/>
      </w:tabs>
      <w:spacing w:before="80" w:after="100" w:line="260" w:lineRule="exact"/>
      <w:ind w:left="964" w:hanging="964"/>
      <w:jc w:val="both"/>
    </w:pPr>
  </w:style>
  <w:style w:type="character" w:styleId="Hyperlink">
    <w:name w:val="Hyperlink"/>
    <w:basedOn w:val="DefaultParagraphFont"/>
    <w:uiPriority w:val="99"/>
    <w:rsid w:val="00B8428D"/>
    <w:rPr>
      <w:color w:val="0000FF"/>
      <w:u w:val="single"/>
    </w:rPr>
  </w:style>
  <w:style w:type="paragraph" w:customStyle="1" w:styleId="tMain">
    <w:name w:val="t_Main"/>
    <w:basedOn w:val="Normal"/>
    <w:uiPriority w:val="99"/>
    <w:qFormat/>
    <w:rsid w:val="00B8428D"/>
    <w:pPr>
      <w:keepLines/>
      <w:tabs>
        <w:tab w:val="right" w:pos="794"/>
      </w:tabs>
      <w:spacing w:before="80" w:after="100" w:line="260" w:lineRule="exact"/>
      <w:ind w:left="964" w:hanging="964"/>
      <w:jc w:val="both"/>
    </w:pPr>
  </w:style>
  <w:style w:type="paragraph" w:customStyle="1" w:styleId="h6Subsec">
    <w:name w:val="h6_Subsec"/>
    <w:basedOn w:val="Normal"/>
    <w:next w:val="Normal"/>
    <w:qFormat/>
    <w:rsid w:val="00B8428D"/>
    <w:pPr>
      <w:keepNext/>
      <w:spacing w:before="120"/>
      <w:ind w:left="964"/>
    </w:pPr>
    <w:rPr>
      <w:rFonts w:ascii="Arial" w:hAnsi="Arial"/>
      <w:i/>
    </w:rPr>
  </w:style>
  <w:style w:type="paragraph" w:styleId="BlockText">
    <w:name w:val="Block Text"/>
    <w:basedOn w:val="Normal"/>
    <w:rsid w:val="00B8428D"/>
    <w:pPr>
      <w:spacing w:after="120"/>
      <w:ind w:left="1440" w:right="1440"/>
    </w:pPr>
  </w:style>
  <w:style w:type="paragraph" w:styleId="ListParagraph">
    <w:name w:val="List Paragraph"/>
    <w:basedOn w:val="Normal"/>
    <w:uiPriority w:val="99"/>
    <w:rsid w:val="00B8428D"/>
    <w:pPr>
      <w:spacing w:line="276" w:lineRule="auto"/>
      <w:ind w:left="720"/>
    </w:pPr>
    <w:rPr>
      <w:szCs w:val="22"/>
      <w:lang w:eastAsia="en-US"/>
    </w:rPr>
  </w:style>
  <w:style w:type="paragraph" w:customStyle="1" w:styleId="EquationNote">
    <w:name w:val="EquationNote"/>
    <w:basedOn w:val="Normal"/>
    <w:link w:val="EquationNoteChar"/>
    <w:uiPriority w:val="99"/>
    <w:rsid w:val="00B8428D"/>
    <w:pPr>
      <w:tabs>
        <w:tab w:val="right" w:pos="9000"/>
      </w:tabs>
      <w:spacing w:before="60"/>
      <w:ind w:left="360" w:hanging="360"/>
    </w:pPr>
    <w:rPr>
      <w:rFonts w:ascii="Arial" w:hAnsi="Arial" w:cs="Arial"/>
      <w:iCs/>
      <w:sz w:val="18"/>
      <w:szCs w:val="20"/>
      <w:lang w:eastAsia="en-US"/>
    </w:rPr>
  </w:style>
  <w:style w:type="character" w:customStyle="1" w:styleId="EquationNoteChar">
    <w:name w:val="EquationNote Char"/>
    <w:basedOn w:val="DefaultParagraphFont"/>
    <w:link w:val="EquationNote"/>
    <w:uiPriority w:val="99"/>
    <w:locked/>
    <w:rsid w:val="00B8428D"/>
    <w:rPr>
      <w:rFonts w:ascii="Arial" w:eastAsia="Times New Roman" w:hAnsi="Arial" w:cs="Arial"/>
      <w:iCs/>
      <w:sz w:val="18"/>
    </w:rPr>
  </w:style>
  <w:style w:type="paragraph" w:customStyle="1" w:styleId="NoteEnd">
    <w:name w:val="Note End"/>
    <w:basedOn w:val="Normal"/>
    <w:rsid w:val="004466D2"/>
    <w:pPr>
      <w:keepLines/>
      <w:spacing w:before="120" w:line="240" w:lineRule="exact"/>
      <w:ind w:left="567" w:hanging="567"/>
      <w:jc w:val="both"/>
    </w:pPr>
    <w:rPr>
      <w:sz w:val="22"/>
    </w:rPr>
  </w:style>
  <w:style w:type="paragraph" w:customStyle="1" w:styleId="noteMain">
    <w:name w:val="note_Main"/>
    <w:basedOn w:val="tMain"/>
    <w:qFormat/>
    <w:rsid w:val="000D19CF"/>
    <w:pPr>
      <w:spacing w:line="220" w:lineRule="exact"/>
    </w:pPr>
    <w:rPr>
      <w:sz w:val="20"/>
    </w:rPr>
  </w:style>
  <w:style w:type="paragraph" w:customStyle="1" w:styleId="notePara">
    <w:name w:val="note_Para"/>
    <w:basedOn w:val="tPara"/>
    <w:qFormat/>
    <w:rsid w:val="000D19CF"/>
    <w:pPr>
      <w:spacing w:line="220" w:lineRule="exact"/>
    </w:pPr>
    <w:rPr>
      <w:sz w:val="20"/>
    </w:rPr>
  </w:style>
  <w:style w:type="paragraph" w:customStyle="1" w:styleId="noteSubpara">
    <w:name w:val="note_Subpara"/>
    <w:basedOn w:val="tSubpara"/>
    <w:qFormat/>
    <w:rsid w:val="000D19CF"/>
    <w:pPr>
      <w:spacing w:line="220" w:lineRule="exact"/>
    </w:pPr>
    <w:rPr>
      <w:sz w:val="20"/>
    </w:rPr>
  </w:style>
  <w:style w:type="paragraph" w:customStyle="1" w:styleId="noteSubsub">
    <w:name w:val="note_Subsub"/>
    <w:basedOn w:val="tSubsub"/>
    <w:qFormat/>
    <w:rsid w:val="000D19CF"/>
    <w:pPr>
      <w:spacing w:line="220" w:lineRule="exact"/>
    </w:pPr>
    <w:rPr>
      <w:sz w:val="20"/>
    </w:rPr>
  </w:style>
  <w:style w:type="paragraph" w:customStyle="1" w:styleId="definition">
    <w:name w:val="definition"/>
    <w:basedOn w:val="Normal"/>
    <w:rsid w:val="00896D15"/>
    <w:pPr>
      <w:spacing w:before="80" w:line="260" w:lineRule="exact"/>
      <w:ind w:left="964"/>
      <w:jc w:val="both"/>
    </w:pPr>
  </w:style>
  <w:style w:type="character" w:styleId="FollowedHyperlink">
    <w:name w:val="FollowedHyperlink"/>
    <w:basedOn w:val="DefaultParagraphFont"/>
    <w:uiPriority w:val="99"/>
    <w:semiHidden/>
    <w:unhideWhenUsed/>
    <w:rsid w:val="00DA0C72"/>
    <w:rPr>
      <w:color w:val="800080" w:themeColor="followedHyperlink"/>
      <w:u w:val="single"/>
    </w:rPr>
  </w:style>
  <w:style w:type="paragraph" w:customStyle="1" w:styleId="R2">
    <w:name w:val="R2"/>
    <w:aliases w:val="(2)"/>
    <w:basedOn w:val="Normal"/>
    <w:rsid w:val="00103BA1"/>
    <w:pPr>
      <w:keepLines/>
      <w:tabs>
        <w:tab w:val="right" w:pos="794"/>
      </w:tabs>
      <w:spacing w:before="180" w:line="260" w:lineRule="exact"/>
      <w:ind w:left="964" w:hanging="964"/>
      <w:jc w:val="both"/>
    </w:pPr>
  </w:style>
  <w:style w:type="paragraph" w:customStyle="1" w:styleId="P1">
    <w:name w:val="P1"/>
    <w:aliases w:val="(a)"/>
    <w:basedOn w:val="Normal"/>
    <w:rsid w:val="001B6622"/>
    <w:pPr>
      <w:keepLines/>
      <w:tabs>
        <w:tab w:val="right" w:pos="1191"/>
      </w:tabs>
      <w:spacing w:before="60" w:line="260" w:lineRule="exact"/>
      <w:ind w:left="1418" w:hanging="1418"/>
      <w:jc w:val="both"/>
    </w:pPr>
  </w:style>
  <w:style w:type="paragraph" w:customStyle="1" w:styleId="h5section0">
    <w:name w:val="h5section"/>
    <w:basedOn w:val="Normal"/>
    <w:rsid w:val="00E3033A"/>
    <w:pPr>
      <w:spacing w:before="100" w:beforeAutospacing="1" w:after="100" w:afterAutospacing="1"/>
    </w:pPr>
  </w:style>
  <w:style w:type="paragraph" w:customStyle="1" w:styleId="tmain0">
    <w:name w:val="tmain"/>
    <w:basedOn w:val="Normal"/>
    <w:rsid w:val="00E3033A"/>
    <w:pPr>
      <w:spacing w:before="100" w:beforeAutospacing="1" w:after="100" w:afterAutospacing="1"/>
    </w:pPr>
  </w:style>
  <w:style w:type="paragraph" w:customStyle="1" w:styleId="tpara0">
    <w:name w:val="tpara"/>
    <w:basedOn w:val="Normal"/>
    <w:rsid w:val="00E3033A"/>
    <w:pPr>
      <w:spacing w:before="100" w:beforeAutospacing="1" w:after="100" w:afterAutospacing="1"/>
    </w:pPr>
  </w:style>
  <w:style w:type="paragraph" w:customStyle="1" w:styleId="tsubpara0">
    <w:name w:val="tsubpara"/>
    <w:basedOn w:val="Normal"/>
    <w:rsid w:val="00E3033A"/>
    <w:pPr>
      <w:spacing w:before="100" w:beforeAutospacing="1" w:after="100" w:afterAutospacing="1"/>
    </w:pPr>
  </w:style>
  <w:style w:type="paragraph" w:customStyle="1" w:styleId="Rc">
    <w:name w:val="Rc"/>
    <w:aliases w:val="Rn continued"/>
    <w:basedOn w:val="Normal"/>
    <w:next w:val="R2"/>
    <w:rsid w:val="001C7050"/>
    <w:pPr>
      <w:spacing w:before="60" w:line="260" w:lineRule="exact"/>
      <w:ind w:left="964"/>
      <w:jc w:val="both"/>
    </w:pPr>
  </w:style>
  <w:style w:type="paragraph" w:customStyle="1" w:styleId="R1">
    <w:name w:val="R1"/>
    <w:aliases w:val="1. or 1.(1)"/>
    <w:basedOn w:val="Normal"/>
    <w:next w:val="R2"/>
    <w:rsid w:val="00F40465"/>
    <w:pPr>
      <w:keepLines/>
      <w:tabs>
        <w:tab w:val="right" w:pos="794"/>
      </w:tabs>
      <w:spacing w:before="120" w:line="260" w:lineRule="exact"/>
      <w:ind w:left="964" w:hanging="964"/>
      <w:jc w:val="both"/>
    </w:pPr>
  </w:style>
  <w:style w:type="paragraph" w:customStyle="1" w:styleId="Note">
    <w:name w:val="Note"/>
    <w:basedOn w:val="Normal"/>
    <w:rsid w:val="008E5FAD"/>
    <w:pPr>
      <w:keepLines/>
      <w:spacing w:before="120" w:line="220" w:lineRule="exact"/>
      <w:ind w:left="964"/>
      <w:jc w:val="both"/>
    </w:pPr>
    <w:rPr>
      <w:sz w:val="20"/>
    </w:rPr>
  </w:style>
  <w:style w:type="paragraph" w:customStyle="1" w:styleId="TableColHead">
    <w:name w:val="TableColHead"/>
    <w:basedOn w:val="Normal"/>
    <w:rsid w:val="00FB586F"/>
    <w:pPr>
      <w:keepNext/>
      <w:spacing w:before="120" w:after="60" w:line="200" w:lineRule="exact"/>
    </w:pPr>
    <w:rPr>
      <w:rFonts w:ascii="Arial" w:hAnsi="Arial"/>
      <w:b/>
      <w:sz w:val="18"/>
    </w:rPr>
  </w:style>
  <w:style w:type="paragraph" w:customStyle="1" w:styleId="TableText">
    <w:name w:val="TableText"/>
    <w:basedOn w:val="Normal"/>
    <w:rsid w:val="00FB586F"/>
    <w:pPr>
      <w:spacing w:before="60" w:after="60" w:line="240" w:lineRule="exact"/>
    </w:pPr>
    <w:rPr>
      <w:sz w:val="22"/>
    </w:rPr>
  </w:style>
  <w:style w:type="paragraph" w:customStyle="1" w:styleId="HSR">
    <w:name w:val="HSR"/>
    <w:aliases w:val="Subregulation Heading"/>
    <w:basedOn w:val="Normal"/>
    <w:next w:val="Normal"/>
    <w:rsid w:val="00CA65DB"/>
    <w:pPr>
      <w:keepNext/>
      <w:spacing w:before="300"/>
      <w:ind w:left="964"/>
    </w:pPr>
    <w:rPr>
      <w:rFonts w:ascii="Arial" w:hAnsi="Arial"/>
      <w:i/>
    </w:rPr>
  </w:style>
  <w:style w:type="paragraph" w:styleId="MessageHeader">
    <w:name w:val="Message Header"/>
    <w:basedOn w:val="Normal"/>
    <w:link w:val="MessageHeaderChar"/>
    <w:rsid w:val="003E41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E41E1"/>
    <w:rPr>
      <w:rFonts w:ascii="Arial" w:eastAsia="Times New Roman" w:hAnsi="Arial" w:cs="Arial"/>
      <w:sz w:val="24"/>
      <w:szCs w:val="24"/>
      <w:shd w:val="pct20" w:color="auto" w:fill="auto"/>
      <w:lang w:eastAsia="en-AU"/>
    </w:rPr>
  </w:style>
  <w:style w:type="character" w:styleId="CommentReference">
    <w:name w:val="annotation reference"/>
    <w:basedOn w:val="DefaultParagraphFont"/>
    <w:uiPriority w:val="99"/>
    <w:semiHidden/>
    <w:unhideWhenUsed/>
    <w:rsid w:val="003E41E1"/>
    <w:rPr>
      <w:sz w:val="16"/>
      <w:szCs w:val="16"/>
    </w:rPr>
  </w:style>
  <w:style w:type="paragraph" w:styleId="CommentText">
    <w:name w:val="annotation text"/>
    <w:basedOn w:val="Normal"/>
    <w:link w:val="CommentTextChar"/>
    <w:unhideWhenUsed/>
    <w:rsid w:val="003E41E1"/>
    <w:rPr>
      <w:sz w:val="20"/>
      <w:szCs w:val="20"/>
    </w:rPr>
  </w:style>
  <w:style w:type="character" w:customStyle="1" w:styleId="CommentTextChar">
    <w:name w:val="Comment Text Char"/>
    <w:basedOn w:val="DefaultParagraphFont"/>
    <w:link w:val="CommentText"/>
    <w:uiPriority w:val="99"/>
    <w:semiHidden/>
    <w:rsid w:val="003E41E1"/>
    <w:rPr>
      <w:rFonts w:eastAsia="Times New Roman"/>
      <w:lang w:eastAsia="en-AU"/>
    </w:rPr>
  </w:style>
  <w:style w:type="paragraph" w:styleId="CommentSubject">
    <w:name w:val="annotation subject"/>
    <w:basedOn w:val="CommentText"/>
    <w:next w:val="CommentText"/>
    <w:link w:val="CommentSubjectChar"/>
    <w:uiPriority w:val="99"/>
    <w:semiHidden/>
    <w:unhideWhenUsed/>
    <w:rsid w:val="003E41E1"/>
    <w:rPr>
      <w:b/>
      <w:bCs/>
    </w:rPr>
  </w:style>
  <w:style w:type="character" w:customStyle="1" w:styleId="CommentSubjectChar">
    <w:name w:val="Comment Subject Char"/>
    <w:basedOn w:val="CommentTextChar"/>
    <w:link w:val="CommentSubject"/>
    <w:uiPriority w:val="99"/>
    <w:semiHidden/>
    <w:rsid w:val="003E41E1"/>
    <w:rPr>
      <w:rFonts w:eastAsia="Times New Roman"/>
      <w:b/>
      <w:bCs/>
      <w:lang w:eastAsia="en-AU"/>
    </w:rPr>
  </w:style>
  <w:style w:type="paragraph" w:styleId="PlainText">
    <w:name w:val="Plain Text"/>
    <w:basedOn w:val="Normal"/>
    <w:link w:val="PlainTextChar"/>
    <w:rsid w:val="003E41E1"/>
    <w:rPr>
      <w:rFonts w:ascii="Courier New" w:hAnsi="Courier New" w:cs="Courier New"/>
      <w:sz w:val="20"/>
      <w:szCs w:val="20"/>
    </w:rPr>
  </w:style>
  <w:style w:type="character" w:customStyle="1" w:styleId="PlainTextChar">
    <w:name w:val="Plain Text Char"/>
    <w:basedOn w:val="DefaultParagraphFont"/>
    <w:link w:val="PlainText"/>
    <w:rsid w:val="003E41E1"/>
    <w:rPr>
      <w:rFonts w:ascii="Courier New" w:eastAsia="Times New Roman" w:hAnsi="Courier New" w:cs="Courier New"/>
      <w:lang w:eastAsia="en-AU"/>
    </w:rPr>
  </w:style>
  <w:style w:type="paragraph" w:customStyle="1" w:styleId="tdefn0">
    <w:name w:val="tdefn"/>
    <w:basedOn w:val="Normal"/>
    <w:rsid w:val="001D28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17012">
      <w:bodyDiv w:val="1"/>
      <w:marLeft w:val="0"/>
      <w:marRight w:val="0"/>
      <w:marTop w:val="0"/>
      <w:marBottom w:val="0"/>
      <w:divBdr>
        <w:top w:val="none" w:sz="0" w:space="0" w:color="auto"/>
        <w:left w:val="none" w:sz="0" w:space="0" w:color="auto"/>
        <w:bottom w:val="none" w:sz="0" w:space="0" w:color="auto"/>
        <w:right w:val="none" w:sz="0" w:space="0" w:color="auto"/>
      </w:divBdr>
      <w:divsChild>
        <w:div w:id="1121726211">
          <w:marLeft w:val="0"/>
          <w:marRight w:val="0"/>
          <w:marTop w:val="0"/>
          <w:marBottom w:val="0"/>
          <w:divBdr>
            <w:top w:val="none" w:sz="0" w:space="0" w:color="auto"/>
            <w:left w:val="none" w:sz="0" w:space="0" w:color="auto"/>
            <w:bottom w:val="none" w:sz="0" w:space="0" w:color="auto"/>
            <w:right w:val="none" w:sz="0" w:space="0" w:color="auto"/>
          </w:divBdr>
          <w:divsChild>
            <w:div w:id="391856384">
              <w:marLeft w:val="0"/>
              <w:marRight w:val="0"/>
              <w:marTop w:val="0"/>
              <w:marBottom w:val="0"/>
              <w:divBdr>
                <w:top w:val="none" w:sz="0" w:space="0" w:color="auto"/>
                <w:left w:val="none" w:sz="0" w:space="0" w:color="auto"/>
                <w:bottom w:val="none" w:sz="0" w:space="0" w:color="auto"/>
                <w:right w:val="none" w:sz="0" w:space="0" w:color="auto"/>
              </w:divBdr>
              <w:divsChild>
                <w:div w:id="2059670079">
                  <w:marLeft w:val="0"/>
                  <w:marRight w:val="0"/>
                  <w:marTop w:val="0"/>
                  <w:marBottom w:val="0"/>
                  <w:divBdr>
                    <w:top w:val="none" w:sz="0" w:space="0" w:color="auto"/>
                    <w:left w:val="none" w:sz="0" w:space="0" w:color="auto"/>
                    <w:bottom w:val="none" w:sz="0" w:space="0" w:color="auto"/>
                    <w:right w:val="none" w:sz="0" w:space="0" w:color="auto"/>
                  </w:divBdr>
                  <w:divsChild>
                    <w:div w:id="1689790800">
                      <w:marLeft w:val="0"/>
                      <w:marRight w:val="0"/>
                      <w:marTop w:val="0"/>
                      <w:marBottom w:val="0"/>
                      <w:divBdr>
                        <w:top w:val="none" w:sz="0" w:space="0" w:color="auto"/>
                        <w:left w:val="none" w:sz="0" w:space="0" w:color="auto"/>
                        <w:bottom w:val="none" w:sz="0" w:space="0" w:color="auto"/>
                        <w:right w:val="none" w:sz="0" w:space="0" w:color="auto"/>
                      </w:divBdr>
                      <w:divsChild>
                        <w:div w:id="2144417672">
                          <w:marLeft w:val="0"/>
                          <w:marRight w:val="0"/>
                          <w:marTop w:val="0"/>
                          <w:marBottom w:val="0"/>
                          <w:divBdr>
                            <w:top w:val="single" w:sz="6" w:space="0" w:color="828282"/>
                            <w:left w:val="single" w:sz="6" w:space="0" w:color="828282"/>
                            <w:bottom w:val="single" w:sz="6" w:space="0" w:color="828282"/>
                            <w:right w:val="single" w:sz="6" w:space="0" w:color="828282"/>
                          </w:divBdr>
                          <w:divsChild>
                            <w:div w:id="1147088519">
                              <w:marLeft w:val="0"/>
                              <w:marRight w:val="0"/>
                              <w:marTop w:val="0"/>
                              <w:marBottom w:val="0"/>
                              <w:divBdr>
                                <w:top w:val="none" w:sz="0" w:space="0" w:color="auto"/>
                                <w:left w:val="none" w:sz="0" w:space="0" w:color="auto"/>
                                <w:bottom w:val="none" w:sz="0" w:space="0" w:color="auto"/>
                                <w:right w:val="none" w:sz="0" w:space="0" w:color="auto"/>
                              </w:divBdr>
                              <w:divsChild>
                                <w:div w:id="753169064">
                                  <w:marLeft w:val="0"/>
                                  <w:marRight w:val="0"/>
                                  <w:marTop w:val="0"/>
                                  <w:marBottom w:val="0"/>
                                  <w:divBdr>
                                    <w:top w:val="none" w:sz="0" w:space="0" w:color="auto"/>
                                    <w:left w:val="none" w:sz="0" w:space="0" w:color="auto"/>
                                    <w:bottom w:val="none" w:sz="0" w:space="0" w:color="auto"/>
                                    <w:right w:val="none" w:sz="0" w:space="0" w:color="auto"/>
                                  </w:divBdr>
                                  <w:divsChild>
                                    <w:div w:id="253326251">
                                      <w:marLeft w:val="0"/>
                                      <w:marRight w:val="0"/>
                                      <w:marTop w:val="0"/>
                                      <w:marBottom w:val="0"/>
                                      <w:divBdr>
                                        <w:top w:val="none" w:sz="0" w:space="0" w:color="auto"/>
                                        <w:left w:val="none" w:sz="0" w:space="0" w:color="auto"/>
                                        <w:bottom w:val="none" w:sz="0" w:space="0" w:color="auto"/>
                                        <w:right w:val="none" w:sz="0" w:space="0" w:color="auto"/>
                                      </w:divBdr>
                                      <w:divsChild>
                                        <w:div w:id="168299561">
                                          <w:marLeft w:val="0"/>
                                          <w:marRight w:val="0"/>
                                          <w:marTop w:val="0"/>
                                          <w:marBottom w:val="0"/>
                                          <w:divBdr>
                                            <w:top w:val="none" w:sz="0" w:space="0" w:color="auto"/>
                                            <w:left w:val="none" w:sz="0" w:space="0" w:color="auto"/>
                                            <w:bottom w:val="none" w:sz="0" w:space="0" w:color="auto"/>
                                            <w:right w:val="none" w:sz="0" w:space="0" w:color="auto"/>
                                          </w:divBdr>
                                          <w:divsChild>
                                            <w:div w:id="428744466">
                                              <w:marLeft w:val="0"/>
                                              <w:marRight w:val="0"/>
                                              <w:marTop w:val="0"/>
                                              <w:marBottom w:val="0"/>
                                              <w:divBdr>
                                                <w:top w:val="none" w:sz="0" w:space="0" w:color="auto"/>
                                                <w:left w:val="none" w:sz="0" w:space="0" w:color="auto"/>
                                                <w:bottom w:val="none" w:sz="0" w:space="0" w:color="auto"/>
                                                <w:right w:val="none" w:sz="0" w:space="0" w:color="auto"/>
                                              </w:divBdr>
                                              <w:divsChild>
                                                <w:div w:id="4815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228168">
      <w:bodyDiv w:val="1"/>
      <w:marLeft w:val="0"/>
      <w:marRight w:val="0"/>
      <w:marTop w:val="0"/>
      <w:marBottom w:val="0"/>
      <w:divBdr>
        <w:top w:val="none" w:sz="0" w:space="0" w:color="auto"/>
        <w:left w:val="none" w:sz="0" w:space="0" w:color="auto"/>
        <w:bottom w:val="none" w:sz="0" w:space="0" w:color="auto"/>
        <w:right w:val="none" w:sz="0" w:space="0" w:color="auto"/>
      </w:divBdr>
      <w:divsChild>
        <w:div w:id="1505822415">
          <w:marLeft w:val="0"/>
          <w:marRight w:val="0"/>
          <w:marTop w:val="0"/>
          <w:marBottom w:val="0"/>
          <w:divBdr>
            <w:top w:val="none" w:sz="0" w:space="0" w:color="auto"/>
            <w:left w:val="none" w:sz="0" w:space="0" w:color="auto"/>
            <w:bottom w:val="none" w:sz="0" w:space="0" w:color="auto"/>
            <w:right w:val="none" w:sz="0" w:space="0" w:color="auto"/>
          </w:divBdr>
          <w:divsChild>
            <w:div w:id="1510101507">
              <w:marLeft w:val="0"/>
              <w:marRight w:val="0"/>
              <w:marTop w:val="0"/>
              <w:marBottom w:val="0"/>
              <w:divBdr>
                <w:top w:val="none" w:sz="0" w:space="0" w:color="auto"/>
                <w:left w:val="none" w:sz="0" w:space="0" w:color="auto"/>
                <w:bottom w:val="none" w:sz="0" w:space="0" w:color="auto"/>
                <w:right w:val="none" w:sz="0" w:space="0" w:color="auto"/>
              </w:divBdr>
              <w:divsChild>
                <w:div w:id="1473061923">
                  <w:marLeft w:val="0"/>
                  <w:marRight w:val="0"/>
                  <w:marTop w:val="0"/>
                  <w:marBottom w:val="0"/>
                  <w:divBdr>
                    <w:top w:val="none" w:sz="0" w:space="0" w:color="auto"/>
                    <w:left w:val="none" w:sz="0" w:space="0" w:color="auto"/>
                    <w:bottom w:val="none" w:sz="0" w:space="0" w:color="auto"/>
                    <w:right w:val="none" w:sz="0" w:space="0" w:color="auto"/>
                  </w:divBdr>
                  <w:divsChild>
                    <w:div w:id="543172610">
                      <w:marLeft w:val="0"/>
                      <w:marRight w:val="0"/>
                      <w:marTop w:val="0"/>
                      <w:marBottom w:val="0"/>
                      <w:divBdr>
                        <w:top w:val="none" w:sz="0" w:space="0" w:color="auto"/>
                        <w:left w:val="none" w:sz="0" w:space="0" w:color="auto"/>
                        <w:bottom w:val="none" w:sz="0" w:space="0" w:color="auto"/>
                        <w:right w:val="none" w:sz="0" w:space="0" w:color="auto"/>
                      </w:divBdr>
                      <w:divsChild>
                        <w:div w:id="651449401">
                          <w:marLeft w:val="0"/>
                          <w:marRight w:val="0"/>
                          <w:marTop w:val="0"/>
                          <w:marBottom w:val="0"/>
                          <w:divBdr>
                            <w:top w:val="single" w:sz="6" w:space="0" w:color="828282"/>
                            <w:left w:val="single" w:sz="6" w:space="0" w:color="828282"/>
                            <w:bottom w:val="single" w:sz="6" w:space="0" w:color="828282"/>
                            <w:right w:val="single" w:sz="6" w:space="0" w:color="828282"/>
                          </w:divBdr>
                          <w:divsChild>
                            <w:div w:id="674310955">
                              <w:marLeft w:val="0"/>
                              <w:marRight w:val="0"/>
                              <w:marTop w:val="0"/>
                              <w:marBottom w:val="0"/>
                              <w:divBdr>
                                <w:top w:val="none" w:sz="0" w:space="0" w:color="auto"/>
                                <w:left w:val="none" w:sz="0" w:space="0" w:color="auto"/>
                                <w:bottom w:val="none" w:sz="0" w:space="0" w:color="auto"/>
                                <w:right w:val="none" w:sz="0" w:space="0" w:color="auto"/>
                              </w:divBdr>
                              <w:divsChild>
                                <w:div w:id="1654144402">
                                  <w:marLeft w:val="0"/>
                                  <w:marRight w:val="0"/>
                                  <w:marTop w:val="0"/>
                                  <w:marBottom w:val="0"/>
                                  <w:divBdr>
                                    <w:top w:val="none" w:sz="0" w:space="0" w:color="auto"/>
                                    <w:left w:val="none" w:sz="0" w:space="0" w:color="auto"/>
                                    <w:bottom w:val="none" w:sz="0" w:space="0" w:color="auto"/>
                                    <w:right w:val="none" w:sz="0" w:space="0" w:color="auto"/>
                                  </w:divBdr>
                                  <w:divsChild>
                                    <w:div w:id="2053843891">
                                      <w:marLeft w:val="0"/>
                                      <w:marRight w:val="0"/>
                                      <w:marTop w:val="0"/>
                                      <w:marBottom w:val="0"/>
                                      <w:divBdr>
                                        <w:top w:val="none" w:sz="0" w:space="0" w:color="auto"/>
                                        <w:left w:val="none" w:sz="0" w:space="0" w:color="auto"/>
                                        <w:bottom w:val="none" w:sz="0" w:space="0" w:color="auto"/>
                                        <w:right w:val="none" w:sz="0" w:space="0" w:color="auto"/>
                                      </w:divBdr>
                                      <w:divsChild>
                                        <w:div w:id="1550721640">
                                          <w:marLeft w:val="0"/>
                                          <w:marRight w:val="0"/>
                                          <w:marTop w:val="0"/>
                                          <w:marBottom w:val="0"/>
                                          <w:divBdr>
                                            <w:top w:val="none" w:sz="0" w:space="0" w:color="auto"/>
                                            <w:left w:val="none" w:sz="0" w:space="0" w:color="auto"/>
                                            <w:bottom w:val="none" w:sz="0" w:space="0" w:color="auto"/>
                                            <w:right w:val="none" w:sz="0" w:space="0" w:color="auto"/>
                                          </w:divBdr>
                                          <w:divsChild>
                                            <w:div w:id="1237739483">
                                              <w:marLeft w:val="0"/>
                                              <w:marRight w:val="0"/>
                                              <w:marTop w:val="0"/>
                                              <w:marBottom w:val="0"/>
                                              <w:divBdr>
                                                <w:top w:val="none" w:sz="0" w:space="0" w:color="auto"/>
                                                <w:left w:val="none" w:sz="0" w:space="0" w:color="auto"/>
                                                <w:bottom w:val="none" w:sz="0" w:space="0" w:color="auto"/>
                                                <w:right w:val="none" w:sz="0" w:space="0" w:color="auto"/>
                                              </w:divBdr>
                                              <w:divsChild>
                                                <w:div w:id="19704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72D7-31F4-49AA-B429-872BE4FD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75068FB</Template>
  <TotalTime>2</TotalTime>
  <Pages>33</Pages>
  <Words>7061</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Tara</dc:creator>
  <cp:lastModifiedBy>Kim Begbie</cp:lastModifiedBy>
  <cp:revision>3</cp:revision>
  <cp:lastPrinted>2013-05-22T00:15:00Z</cp:lastPrinted>
  <dcterms:created xsi:type="dcterms:W3CDTF">2013-05-28T01:08:00Z</dcterms:created>
  <dcterms:modified xsi:type="dcterms:W3CDTF">2013-05-28T01:16:00Z</dcterms:modified>
</cp:coreProperties>
</file>