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8A" w:rsidRPr="003F7530" w:rsidRDefault="00825478" w:rsidP="00056DC2">
      <w:pPr>
        <w:pStyle w:val="Heading"/>
        <w:spacing w:before="0" w:after="240"/>
        <w:jc w:val="center"/>
        <w:rPr>
          <w:rFonts w:cs="Times New Roman"/>
          <w:sz w:val="24"/>
          <w:szCs w:val="24"/>
        </w:rPr>
      </w:pPr>
      <w:bookmarkStart w:id="0" w:name="bkInstrumentSubTitle"/>
      <w:bookmarkStart w:id="1" w:name="_GoBack"/>
      <w:bookmarkEnd w:id="0"/>
      <w:bookmarkEnd w:id="1"/>
      <w:r w:rsidRPr="003F7530">
        <w:rPr>
          <w:rFonts w:cs="Times New Roman"/>
          <w:sz w:val="24"/>
          <w:szCs w:val="24"/>
        </w:rPr>
        <w:t>Financial Sector (Collection of Data) (reporting standard) determination</w:t>
      </w:r>
      <w:r w:rsidR="00B15B19">
        <w:rPr>
          <w:rFonts w:cs="Times New Roman"/>
          <w:sz w:val="24"/>
          <w:szCs w:val="24"/>
        </w:rPr>
        <w:t>s</w:t>
      </w:r>
      <w:r w:rsidRPr="003F7530">
        <w:rPr>
          <w:rFonts w:cs="Times New Roman"/>
          <w:sz w:val="24"/>
          <w:szCs w:val="24"/>
        </w:rPr>
        <w:t xml:space="preserve"> Nos. </w:t>
      </w:r>
      <w:r w:rsidR="004D4C3D">
        <w:rPr>
          <w:rFonts w:cs="Times New Roman"/>
          <w:sz w:val="24"/>
          <w:szCs w:val="24"/>
        </w:rPr>
        <w:t>6</w:t>
      </w:r>
      <w:r w:rsidR="00005FEE">
        <w:rPr>
          <w:rFonts w:cs="Times New Roman"/>
          <w:sz w:val="24"/>
          <w:szCs w:val="24"/>
        </w:rPr>
        <w:t>4</w:t>
      </w:r>
      <w:r w:rsidR="00835239">
        <w:rPr>
          <w:rFonts w:cs="Times New Roman"/>
          <w:sz w:val="24"/>
          <w:szCs w:val="24"/>
        </w:rPr>
        <w:t xml:space="preserve"> to 91 and</w:t>
      </w:r>
      <w:r w:rsidRPr="003F7530">
        <w:rPr>
          <w:rFonts w:cs="Times New Roman"/>
          <w:sz w:val="24"/>
          <w:szCs w:val="24"/>
        </w:rPr>
        <w:t xml:space="preserve"> </w:t>
      </w:r>
      <w:r w:rsidR="00835239">
        <w:rPr>
          <w:rFonts w:cs="Times New Roman"/>
          <w:sz w:val="24"/>
          <w:szCs w:val="24"/>
        </w:rPr>
        <w:t xml:space="preserve">93 </w:t>
      </w:r>
      <w:r w:rsidRPr="003F7530">
        <w:rPr>
          <w:rFonts w:cs="Times New Roman"/>
          <w:sz w:val="24"/>
          <w:szCs w:val="24"/>
        </w:rPr>
        <w:t xml:space="preserve">to </w:t>
      </w:r>
      <w:r w:rsidR="008B017F">
        <w:rPr>
          <w:rFonts w:cs="Times New Roman"/>
          <w:sz w:val="24"/>
          <w:szCs w:val="24"/>
        </w:rPr>
        <w:t>9</w:t>
      </w:r>
      <w:r w:rsidR="00200E63">
        <w:rPr>
          <w:rFonts w:cs="Times New Roman"/>
          <w:sz w:val="24"/>
          <w:szCs w:val="24"/>
        </w:rPr>
        <w:t>7</w:t>
      </w:r>
      <w:r w:rsidRPr="003F7530">
        <w:rPr>
          <w:rFonts w:cs="Times New Roman"/>
          <w:sz w:val="24"/>
          <w:szCs w:val="24"/>
        </w:rPr>
        <w:t xml:space="preserve"> of 201</w:t>
      </w:r>
      <w:r w:rsidR="001B115C" w:rsidRPr="003F7530">
        <w:rPr>
          <w:rFonts w:cs="Times New Roman"/>
          <w:sz w:val="24"/>
          <w:szCs w:val="24"/>
        </w:rPr>
        <w:t>3</w:t>
      </w:r>
    </w:p>
    <w:p w:rsidR="005941E1" w:rsidRPr="003F7530" w:rsidRDefault="00825478" w:rsidP="00056DC2">
      <w:pPr>
        <w:pStyle w:val="Heading"/>
        <w:tabs>
          <w:tab w:val="left" w:pos="360"/>
        </w:tabs>
        <w:spacing w:before="0" w:after="240"/>
        <w:ind w:left="-360"/>
        <w:jc w:val="center"/>
        <w:rPr>
          <w:rFonts w:cs="Times New Roman"/>
          <w:sz w:val="24"/>
          <w:szCs w:val="24"/>
          <w:u w:val="single"/>
        </w:rPr>
      </w:pPr>
      <w:bookmarkStart w:id="2" w:name="bkStart"/>
      <w:bookmarkEnd w:id="2"/>
      <w:r w:rsidRPr="003F7530">
        <w:rPr>
          <w:rFonts w:cs="Times New Roman"/>
          <w:sz w:val="24"/>
          <w:szCs w:val="24"/>
          <w:u w:val="single"/>
        </w:rPr>
        <w:t>EXPLANATORY STATEMENT</w:t>
      </w:r>
    </w:p>
    <w:p w:rsidR="00102F9E" w:rsidRPr="003F7530" w:rsidRDefault="00825478" w:rsidP="00056DC2">
      <w:pPr>
        <w:pStyle w:val="Heading"/>
        <w:spacing w:before="0" w:after="240"/>
        <w:jc w:val="center"/>
        <w:rPr>
          <w:rFonts w:cs="Times New Roman"/>
          <w:sz w:val="24"/>
          <w:szCs w:val="24"/>
        </w:rPr>
      </w:pPr>
      <w:r w:rsidRPr="003F7530">
        <w:rPr>
          <w:rFonts w:cs="Times New Roman"/>
          <w:sz w:val="24"/>
          <w:szCs w:val="24"/>
        </w:rPr>
        <w:t>Prepared by the Australian Prudential Regulation Authority</w:t>
      </w:r>
      <w:r w:rsidR="00882496" w:rsidRPr="003F7530">
        <w:rPr>
          <w:rFonts w:cs="Times New Roman"/>
          <w:sz w:val="24"/>
          <w:szCs w:val="24"/>
        </w:rPr>
        <w:t xml:space="preserve"> (APRA)</w:t>
      </w:r>
    </w:p>
    <w:p w:rsidR="00746F83" w:rsidRPr="003F7530" w:rsidRDefault="00825478" w:rsidP="00845EFE">
      <w:pPr>
        <w:spacing w:after="240"/>
        <w:jc w:val="center"/>
      </w:pPr>
      <w:bookmarkStart w:id="3" w:name="bkAct"/>
      <w:bookmarkStart w:id="4" w:name="bkExplanatory"/>
      <w:bookmarkEnd w:id="3"/>
      <w:bookmarkEnd w:id="4"/>
      <w:r w:rsidRPr="003F7530">
        <w:rPr>
          <w:i/>
        </w:rPr>
        <w:t>Financial Sector (Collection of Data) Act 2001</w:t>
      </w:r>
      <w:r w:rsidRPr="003F7530">
        <w:t xml:space="preserve">, </w:t>
      </w:r>
      <w:r w:rsidR="00AD78E5" w:rsidRPr="003F7530">
        <w:t>sub</w:t>
      </w:r>
      <w:r w:rsidR="007A09EC" w:rsidRPr="003F7530">
        <w:t>sections</w:t>
      </w:r>
      <w:r w:rsidRPr="003F7530">
        <w:t xml:space="preserve"> 13(1) and 15</w:t>
      </w:r>
      <w:r w:rsidR="00AD78E5" w:rsidRPr="003F7530">
        <w:t>(1)</w:t>
      </w:r>
    </w:p>
    <w:p w:rsidR="00B067E0" w:rsidRPr="003F7530" w:rsidRDefault="00B31081" w:rsidP="003F7530">
      <w:pPr>
        <w:spacing w:after="240"/>
        <w:jc w:val="both"/>
      </w:pPr>
      <w:r w:rsidRPr="003F7530">
        <w:t>Under</w:t>
      </w:r>
      <w:r w:rsidR="00825478" w:rsidRPr="003F7530">
        <w:t xml:space="preserve"> paragraph 13(1)(a) of the </w:t>
      </w:r>
      <w:r w:rsidR="00825478" w:rsidRPr="003F7530">
        <w:rPr>
          <w:i/>
        </w:rPr>
        <w:t xml:space="preserve">Financial Sector (Collection of Data) Act 2001 </w:t>
      </w:r>
      <w:r w:rsidR="00825478" w:rsidRPr="003F7530">
        <w:t xml:space="preserve">(FSCODA), APRA </w:t>
      </w:r>
      <w:r w:rsidR="007A09EC" w:rsidRPr="003F7530">
        <w:t>has the power to</w:t>
      </w:r>
      <w:r w:rsidR="00825478" w:rsidRPr="003F7530">
        <w:t xml:space="preserve"> determine reporting standards</w:t>
      </w:r>
      <w:r w:rsidR="007A09EC" w:rsidRPr="003F7530">
        <w:t>, in writing,</w:t>
      </w:r>
      <w:r w:rsidR="00825478" w:rsidRPr="003F7530">
        <w:t xml:space="preserve"> with which financial sector entities must comply. Such standards relate to reporting financial or accounting data and other information regarding the business or activities of the entities.  S</w:t>
      </w:r>
      <w:r w:rsidR="00AD78E5" w:rsidRPr="003F7530">
        <w:t>ubs</w:t>
      </w:r>
      <w:r w:rsidR="00825478" w:rsidRPr="003F7530">
        <w:t>ection 15</w:t>
      </w:r>
      <w:r w:rsidR="00AD78E5" w:rsidRPr="003F7530">
        <w:t>(1)</w:t>
      </w:r>
      <w:r w:rsidR="00825478" w:rsidRPr="003F7530">
        <w:t xml:space="preserve"> of FSCODA </w:t>
      </w:r>
      <w:r w:rsidR="00997DB1" w:rsidRPr="003F7530">
        <w:t xml:space="preserve">provides that </w:t>
      </w:r>
      <w:r w:rsidR="00825478" w:rsidRPr="003F7530">
        <w:t xml:space="preserve">APRA </w:t>
      </w:r>
      <w:r w:rsidR="00085D6F" w:rsidRPr="003F7530">
        <w:t xml:space="preserve">may </w:t>
      </w:r>
      <w:r w:rsidR="00825478" w:rsidRPr="003F7530">
        <w:t>declar</w:t>
      </w:r>
      <w:r w:rsidR="00085D6F" w:rsidRPr="003F7530">
        <w:t>e a</w:t>
      </w:r>
      <w:r w:rsidR="00825478" w:rsidRPr="003F7530">
        <w:t xml:space="preserve"> date </w:t>
      </w:r>
      <w:r w:rsidR="00085D6F" w:rsidRPr="003F7530">
        <w:t>on and after which</w:t>
      </w:r>
      <w:r w:rsidR="00825478" w:rsidRPr="003F7530">
        <w:t xml:space="preserve"> reporting standards </w:t>
      </w:r>
      <w:r w:rsidR="00085D6F" w:rsidRPr="003F7530">
        <w:t>are</w:t>
      </w:r>
      <w:r w:rsidR="00825478" w:rsidRPr="003F7530">
        <w:t xml:space="preserve"> to apply. </w:t>
      </w:r>
    </w:p>
    <w:p w:rsidR="00140948" w:rsidRPr="003F7530" w:rsidRDefault="00140819" w:rsidP="003F7530">
      <w:pPr>
        <w:widowControl w:val="0"/>
        <w:spacing w:before="120" w:after="240"/>
        <w:jc w:val="both"/>
        <w:rPr>
          <w:lang w:eastAsia="en-AU"/>
        </w:rPr>
      </w:pPr>
      <w:r w:rsidRPr="003F7530">
        <w:rPr>
          <w:lang w:eastAsia="en-AU"/>
        </w:rPr>
        <w:t xml:space="preserve">On </w:t>
      </w:r>
      <w:r w:rsidR="00845EFE">
        <w:rPr>
          <w:lang w:eastAsia="en-AU"/>
        </w:rPr>
        <w:t xml:space="preserve">3 </w:t>
      </w:r>
      <w:r w:rsidR="00AE59D9">
        <w:rPr>
          <w:lang w:eastAsia="en-AU"/>
        </w:rPr>
        <w:t>June</w:t>
      </w:r>
      <w:r w:rsidRPr="003F7530">
        <w:rPr>
          <w:lang w:eastAsia="en-AU"/>
        </w:rPr>
        <w:t xml:space="preserve"> 201</w:t>
      </w:r>
      <w:r w:rsidR="00AE59D9">
        <w:rPr>
          <w:lang w:eastAsia="en-AU"/>
        </w:rPr>
        <w:t>3</w:t>
      </w:r>
      <w:r w:rsidRPr="003F7530">
        <w:rPr>
          <w:lang w:eastAsia="en-AU"/>
        </w:rPr>
        <w:t>, APRA made the following d</w:t>
      </w:r>
      <w:r w:rsidR="00470465" w:rsidRPr="003F7530">
        <w:rPr>
          <w:lang w:eastAsia="en-AU"/>
        </w:rPr>
        <w:t xml:space="preserve">eterminations (the </w:t>
      </w:r>
      <w:r w:rsidR="000A6107" w:rsidRPr="00121F36">
        <w:rPr>
          <w:b/>
          <w:lang w:eastAsia="en-AU"/>
        </w:rPr>
        <w:t>new reporting standards</w:t>
      </w:r>
      <w:r w:rsidR="00470465" w:rsidRPr="003F7530">
        <w:rPr>
          <w:lang w:eastAsia="en-AU"/>
        </w:rPr>
        <w:t>)</w:t>
      </w:r>
      <w:r w:rsidRPr="003F7530">
        <w:rPr>
          <w:lang w:eastAsia="en-AU"/>
        </w:rPr>
        <w:t>:</w:t>
      </w:r>
    </w:p>
    <w:p w:rsidR="00140819" w:rsidRDefault="00140819" w:rsidP="003F7530">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0B2112">
        <w:rPr>
          <w:sz w:val="24"/>
          <w:szCs w:val="24"/>
        </w:rPr>
        <w:t>6</w:t>
      </w:r>
      <w:r w:rsidR="00005FEE">
        <w:rPr>
          <w:sz w:val="24"/>
          <w:szCs w:val="24"/>
        </w:rPr>
        <w:t>4</w:t>
      </w:r>
      <w:r w:rsidRPr="003F7530">
        <w:rPr>
          <w:sz w:val="24"/>
          <w:szCs w:val="24"/>
        </w:rPr>
        <w:t xml:space="preserve"> of 2013, which makes </w:t>
      </w:r>
      <w:r w:rsidRPr="003F7530">
        <w:rPr>
          <w:i/>
          <w:sz w:val="24"/>
          <w:szCs w:val="24"/>
        </w:rPr>
        <w:t xml:space="preserve">Reporting Standard </w:t>
      </w:r>
      <w:r w:rsidR="00AE59D9">
        <w:rPr>
          <w:i/>
          <w:sz w:val="24"/>
          <w:szCs w:val="24"/>
        </w:rPr>
        <w:t xml:space="preserve">SRS </w:t>
      </w:r>
      <w:r w:rsidR="000B2112">
        <w:rPr>
          <w:i/>
          <w:sz w:val="24"/>
          <w:szCs w:val="24"/>
        </w:rPr>
        <w:t>114.0 Operational Risk Financial Requirement</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Pr>
          <w:sz w:val="24"/>
          <w:szCs w:val="24"/>
        </w:rPr>
        <w:t>6</w:t>
      </w:r>
      <w:r w:rsidR="00005FEE">
        <w:rPr>
          <w:sz w:val="24"/>
          <w:szCs w:val="24"/>
        </w:rPr>
        <w:t>5</w:t>
      </w:r>
      <w:r w:rsidRPr="003F7530">
        <w:rPr>
          <w:sz w:val="24"/>
          <w:szCs w:val="24"/>
        </w:rPr>
        <w:t xml:space="preserve">of 2013, which makes </w:t>
      </w:r>
      <w:r w:rsidRPr="003F7530">
        <w:rPr>
          <w:i/>
          <w:sz w:val="24"/>
          <w:szCs w:val="24"/>
        </w:rPr>
        <w:t xml:space="preserve">Reporting Standard </w:t>
      </w:r>
      <w:r>
        <w:rPr>
          <w:i/>
          <w:sz w:val="24"/>
          <w:szCs w:val="24"/>
        </w:rPr>
        <w:t>SRS 114</w:t>
      </w:r>
      <w:r w:rsidR="008A5643">
        <w:rPr>
          <w:i/>
          <w:sz w:val="24"/>
          <w:szCs w:val="24"/>
        </w:rPr>
        <w:t>.1</w:t>
      </w:r>
      <w:r>
        <w:rPr>
          <w:i/>
          <w:sz w:val="24"/>
          <w:szCs w:val="24"/>
        </w:rPr>
        <w:t xml:space="preserve"> Operational Risk Financial Requirement</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Pr>
          <w:sz w:val="24"/>
          <w:szCs w:val="24"/>
        </w:rPr>
        <w:t>6</w:t>
      </w:r>
      <w:r w:rsidR="00005FEE">
        <w:rPr>
          <w:sz w:val="24"/>
          <w:szCs w:val="24"/>
        </w:rPr>
        <w:t>6</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8A5643">
        <w:rPr>
          <w:i/>
          <w:sz w:val="24"/>
          <w:szCs w:val="24"/>
        </w:rPr>
        <w:t>160</w:t>
      </w:r>
      <w:r>
        <w:rPr>
          <w:i/>
          <w:sz w:val="24"/>
          <w:szCs w:val="24"/>
        </w:rPr>
        <w:t xml:space="preserve">.0 </w:t>
      </w:r>
      <w:r w:rsidR="008A5643">
        <w:rPr>
          <w:i/>
          <w:sz w:val="24"/>
          <w:szCs w:val="24"/>
        </w:rPr>
        <w:t>Defined Benefit Matters</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Pr>
          <w:sz w:val="24"/>
          <w:szCs w:val="24"/>
        </w:rPr>
        <w:t>6</w:t>
      </w:r>
      <w:r w:rsidR="00005FEE">
        <w:rPr>
          <w:sz w:val="24"/>
          <w:szCs w:val="24"/>
        </w:rPr>
        <w:t>7</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8A5643">
        <w:rPr>
          <w:i/>
          <w:sz w:val="24"/>
          <w:szCs w:val="24"/>
        </w:rPr>
        <w:t>160.1</w:t>
      </w:r>
      <w:r>
        <w:rPr>
          <w:i/>
          <w:sz w:val="24"/>
          <w:szCs w:val="24"/>
        </w:rPr>
        <w:t xml:space="preserve"> </w:t>
      </w:r>
      <w:r w:rsidR="008A5643">
        <w:rPr>
          <w:i/>
          <w:sz w:val="24"/>
          <w:szCs w:val="24"/>
        </w:rPr>
        <w:t>Defined Benefit Member Flows</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Pr>
          <w:sz w:val="24"/>
          <w:szCs w:val="24"/>
        </w:rPr>
        <w:t>6</w:t>
      </w:r>
      <w:r w:rsidR="00005FEE">
        <w:rPr>
          <w:sz w:val="24"/>
          <w:szCs w:val="24"/>
        </w:rPr>
        <w:t>8</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8A5643">
        <w:rPr>
          <w:i/>
          <w:sz w:val="24"/>
          <w:szCs w:val="24"/>
        </w:rPr>
        <w:t>161.0</w:t>
      </w:r>
      <w:r>
        <w:rPr>
          <w:i/>
          <w:sz w:val="24"/>
          <w:szCs w:val="24"/>
        </w:rPr>
        <w:t xml:space="preserve"> </w:t>
      </w:r>
      <w:r w:rsidR="008A5643">
        <w:rPr>
          <w:i/>
          <w:sz w:val="24"/>
          <w:szCs w:val="24"/>
        </w:rPr>
        <w:t>Self</w:t>
      </w:r>
      <w:r w:rsidR="007D156F">
        <w:rPr>
          <w:i/>
          <w:sz w:val="24"/>
          <w:szCs w:val="24"/>
        </w:rPr>
        <w:t>-</w:t>
      </w:r>
      <w:r w:rsidR="008A5643">
        <w:rPr>
          <w:i/>
          <w:sz w:val="24"/>
          <w:szCs w:val="24"/>
        </w:rPr>
        <w:t>Insurance</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Pr>
          <w:sz w:val="24"/>
          <w:szCs w:val="24"/>
        </w:rPr>
        <w:t>6</w:t>
      </w:r>
      <w:r w:rsidR="00005FEE">
        <w:rPr>
          <w:sz w:val="24"/>
          <w:szCs w:val="24"/>
        </w:rPr>
        <w:t>9</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8A5643">
        <w:rPr>
          <w:i/>
          <w:sz w:val="24"/>
          <w:szCs w:val="24"/>
        </w:rPr>
        <w:t>250</w:t>
      </w:r>
      <w:r>
        <w:rPr>
          <w:i/>
          <w:sz w:val="24"/>
          <w:szCs w:val="24"/>
        </w:rPr>
        <w:t xml:space="preserve">.0 </w:t>
      </w:r>
      <w:r w:rsidR="008A5643">
        <w:rPr>
          <w:i/>
          <w:sz w:val="24"/>
          <w:szCs w:val="24"/>
        </w:rPr>
        <w:t>Acquired Insurance</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005FEE">
        <w:rPr>
          <w:sz w:val="24"/>
          <w:szCs w:val="24"/>
        </w:rPr>
        <w:t>70</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8A5643">
        <w:rPr>
          <w:i/>
          <w:sz w:val="24"/>
          <w:szCs w:val="24"/>
        </w:rPr>
        <w:t>320</w:t>
      </w:r>
      <w:r>
        <w:rPr>
          <w:i/>
          <w:sz w:val="24"/>
          <w:szCs w:val="24"/>
        </w:rPr>
        <w:t xml:space="preserve">.0 </w:t>
      </w:r>
      <w:r w:rsidR="008A5643">
        <w:rPr>
          <w:i/>
          <w:sz w:val="24"/>
          <w:szCs w:val="24"/>
        </w:rPr>
        <w:t>Statement of Financial Position</w:t>
      </w:r>
      <w:r w:rsidR="0057774E" w:rsidRPr="00845EFE">
        <w:rPr>
          <w:sz w:val="24"/>
          <w:szCs w:val="24"/>
        </w:rPr>
        <w:t>;</w:t>
      </w:r>
      <w:r w:rsidR="000E47BC">
        <w:rPr>
          <w:i/>
          <w:sz w:val="24"/>
          <w:szCs w:val="24"/>
        </w:rPr>
        <w:t xml:space="preserve"> </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7</w:t>
      </w:r>
      <w:r w:rsidR="00005FEE">
        <w:rPr>
          <w:sz w:val="24"/>
          <w:szCs w:val="24"/>
        </w:rPr>
        <w:t>1</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8A5643">
        <w:rPr>
          <w:i/>
          <w:sz w:val="24"/>
          <w:szCs w:val="24"/>
        </w:rPr>
        <w:t>320.1</w:t>
      </w:r>
      <w:r>
        <w:rPr>
          <w:i/>
          <w:sz w:val="24"/>
          <w:szCs w:val="24"/>
        </w:rPr>
        <w:t xml:space="preserve"> </w:t>
      </w:r>
      <w:r w:rsidR="008A5643">
        <w:rPr>
          <w:i/>
          <w:sz w:val="24"/>
          <w:szCs w:val="24"/>
        </w:rPr>
        <w:t>Statement of Financial Position</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7</w:t>
      </w:r>
      <w:r w:rsidR="00005FEE">
        <w:rPr>
          <w:sz w:val="24"/>
          <w:szCs w:val="24"/>
        </w:rPr>
        <w:t>2</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8A5643">
        <w:rPr>
          <w:i/>
          <w:sz w:val="24"/>
          <w:szCs w:val="24"/>
        </w:rPr>
        <w:t>330.0</w:t>
      </w:r>
      <w:r>
        <w:rPr>
          <w:i/>
          <w:sz w:val="24"/>
          <w:szCs w:val="24"/>
        </w:rPr>
        <w:t xml:space="preserve"> </w:t>
      </w:r>
      <w:r w:rsidR="008A5643">
        <w:rPr>
          <w:i/>
          <w:sz w:val="24"/>
          <w:szCs w:val="24"/>
        </w:rPr>
        <w:t>Statement of Financial Performance</w:t>
      </w:r>
      <w:r w:rsidR="0057774E" w:rsidRPr="00845EFE">
        <w:rPr>
          <w:sz w:val="24"/>
          <w:szCs w:val="24"/>
        </w:rPr>
        <w:t>;</w:t>
      </w:r>
      <w:r w:rsidR="0057774E" w:rsidRPr="00845EFE" w:rsidDel="0057774E">
        <w:rPr>
          <w:sz w:val="24"/>
          <w:szCs w:val="24"/>
        </w:rPr>
        <w:t xml:space="preserve"> </w:t>
      </w:r>
    </w:p>
    <w:p w:rsidR="000B2112" w:rsidRPr="003F7530" w:rsidRDefault="000B2112" w:rsidP="000B2112">
      <w:pPr>
        <w:pStyle w:val="ListParagraph"/>
        <w:numPr>
          <w:ilvl w:val="0"/>
          <w:numId w:val="18"/>
        </w:numPr>
        <w:spacing w:after="240"/>
        <w:jc w:val="both"/>
        <w:rPr>
          <w:sz w:val="24"/>
          <w:szCs w:val="24"/>
        </w:rPr>
      </w:pPr>
      <w:r w:rsidRPr="003F7530">
        <w:rPr>
          <w:sz w:val="24"/>
          <w:szCs w:val="24"/>
        </w:rPr>
        <w:lastRenderedPageBreak/>
        <w:t xml:space="preserve">Financial Sector (Collection of Data) (reporting standard) determination No. </w:t>
      </w:r>
      <w:r w:rsidR="006727CA">
        <w:rPr>
          <w:sz w:val="24"/>
          <w:szCs w:val="24"/>
        </w:rPr>
        <w:t>7</w:t>
      </w:r>
      <w:r w:rsidR="00005FEE">
        <w:rPr>
          <w:sz w:val="24"/>
          <w:szCs w:val="24"/>
        </w:rPr>
        <w:t>3</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7728E8">
        <w:rPr>
          <w:i/>
          <w:sz w:val="24"/>
          <w:szCs w:val="24"/>
        </w:rPr>
        <w:t>330.1</w:t>
      </w:r>
      <w:r>
        <w:rPr>
          <w:i/>
          <w:sz w:val="24"/>
          <w:szCs w:val="24"/>
        </w:rPr>
        <w:t xml:space="preserve"> </w:t>
      </w:r>
      <w:r w:rsidR="007728E8">
        <w:rPr>
          <w:i/>
          <w:sz w:val="24"/>
          <w:szCs w:val="24"/>
        </w:rPr>
        <w:t>Statement of Financial Performance</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7</w:t>
      </w:r>
      <w:r w:rsidR="00005FEE">
        <w:rPr>
          <w:sz w:val="24"/>
          <w:szCs w:val="24"/>
        </w:rPr>
        <w:t>4</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7728E8">
        <w:rPr>
          <w:i/>
          <w:sz w:val="24"/>
          <w:szCs w:val="24"/>
        </w:rPr>
        <w:t>330.2</w:t>
      </w:r>
      <w:r>
        <w:rPr>
          <w:i/>
          <w:sz w:val="24"/>
          <w:szCs w:val="24"/>
        </w:rPr>
        <w:t xml:space="preserve"> </w:t>
      </w:r>
      <w:r w:rsidR="007728E8">
        <w:rPr>
          <w:i/>
          <w:sz w:val="24"/>
          <w:szCs w:val="24"/>
        </w:rPr>
        <w:t>Statement of Financial Perfo</w:t>
      </w:r>
      <w:r w:rsidR="00131687">
        <w:rPr>
          <w:i/>
          <w:sz w:val="24"/>
          <w:szCs w:val="24"/>
        </w:rPr>
        <w:t>r</w:t>
      </w:r>
      <w:r w:rsidR="007728E8">
        <w:rPr>
          <w:i/>
          <w:sz w:val="24"/>
          <w:szCs w:val="24"/>
        </w:rPr>
        <w:t>mance</w:t>
      </w:r>
      <w:r w:rsidRPr="003F7530">
        <w:rPr>
          <w:sz w:val="24"/>
          <w:szCs w:val="24"/>
        </w:rPr>
        <w:t>;</w:t>
      </w:r>
    </w:p>
    <w:p w:rsidR="000B2112" w:rsidRPr="008C56F8"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7</w:t>
      </w:r>
      <w:r w:rsidR="00005FEE">
        <w:rPr>
          <w:sz w:val="24"/>
          <w:szCs w:val="24"/>
        </w:rPr>
        <w:t>5</w:t>
      </w:r>
      <w:r w:rsidRPr="003F7530">
        <w:rPr>
          <w:sz w:val="24"/>
          <w:szCs w:val="24"/>
        </w:rPr>
        <w:t xml:space="preserve"> of 2013</w:t>
      </w:r>
      <w:r w:rsidR="00FF7C83">
        <w:rPr>
          <w:sz w:val="24"/>
          <w:szCs w:val="24"/>
        </w:rPr>
        <w:t xml:space="preserve"> </w:t>
      </w:r>
      <w:r w:rsidR="00FF7C83" w:rsidRPr="00D0344D">
        <w:rPr>
          <w:sz w:val="24"/>
          <w:szCs w:val="24"/>
        </w:rPr>
        <w:t xml:space="preserve">(determination </w:t>
      </w:r>
      <w:r w:rsidR="007D156F">
        <w:rPr>
          <w:sz w:val="24"/>
          <w:szCs w:val="24"/>
        </w:rPr>
        <w:t>N</w:t>
      </w:r>
      <w:r w:rsidR="00FF7C83" w:rsidRPr="00D0344D">
        <w:rPr>
          <w:sz w:val="24"/>
          <w:szCs w:val="24"/>
        </w:rPr>
        <w:t>o.</w:t>
      </w:r>
      <w:r w:rsidR="007D156F">
        <w:rPr>
          <w:sz w:val="24"/>
          <w:szCs w:val="24"/>
        </w:rPr>
        <w:t xml:space="preserve"> </w:t>
      </w:r>
      <w:r w:rsidR="00FF7C83" w:rsidRPr="00D0344D">
        <w:rPr>
          <w:sz w:val="24"/>
          <w:szCs w:val="24"/>
        </w:rPr>
        <w:t>75)</w:t>
      </w:r>
      <w:r w:rsidRPr="003F7530">
        <w:rPr>
          <w:sz w:val="24"/>
          <w:szCs w:val="24"/>
        </w:rPr>
        <w:t xml:space="preserve">, which makes </w:t>
      </w:r>
      <w:r w:rsidRPr="003F7530">
        <w:rPr>
          <w:i/>
          <w:sz w:val="24"/>
          <w:szCs w:val="24"/>
        </w:rPr>
        <w:t xml:space="preserve">Reporting Standard </w:t>
      </w:r>
      <w:r>
        <w:rPr>
          <w:i/>
          <w:sz w:val="24"/>
          <w:szCs w:val="24"/>
        </w:rPr>
        <w:t xml:space="preserve">SRS </w:t>
      </w:r>
      <w:r w:rsidR="007728E8">
        <w:rPr>
          <w:i/>
          <w:sz w:val="24"/>
          <w:szCs w:val="24"/>
        </w:rPr>
        <w:t>331.0</w:t>
      </w:r>
      <w:r>
        <w:rPr>
          <w:i/>
          <w:sz w:val="24"/>
          <w:szCs w:val="24"/>
        </w:rPr>
        <w:t xml:space="preserve"> </w:t>
      </w:r>
      <w:r w:rsidR="00131687">
        <w:rPr>
          <w:i/>
          <w:sz w:val="24"/>
          <w:szCs w:val="24"/>
        </w:rPr>
        <w:t>Services</w:t>
      </w:r>
      <w:r w:rsidR="0057774E" w:rsidRPr="00845EFE">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7</w:t>
      </w:r>
      <w:r w:rsidR="00005FEE">
        <w:rPr>
          <w:sz w:val="24"/>
          <w:szCs w:val="24"/>
        </w:rPr>
        <w:t>6</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131687">
        <w:rPr>
          <w:i/>
          <w:sz w:val="24"/>
          <w:szCs w:val="24"/>
        </w:rPr>
        <w:t>410</w:t>
      </w:r>
      <w:r>
        <w:rPr>
          <w:i/>
          <w:sz w:val="24"/>
          <w:szCs w:val="24"/>
        </w:rPr>
        <w:t xml:space="preserve">.0 </w:t>
      </w:r>
      <w:r w:rsidR="00131687">
        <w:rPr>
          <w:i/>
          <w:sz w:val="24"/>
          <w:szCs w:val="24"/>
        </w:rPr>
        <w:t>Accrued Default Amounts</w:t>
      </w:r>
      <w:r w:rsidRPr="003F7530">
        <w:rPr>
          <w:sz w:val="24"/>
          <w:szCs w:val="24"/>
        </w:rPr>
        <w:t>;</w:t>
      </w:r>
    </w:p>
    <w:p w:rsidR="000B2112" w:rsidRPr="003F7530" w:rsidRDefault="000B2112" w:rsidP="00845EFE">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7</w:t>
      </w:r>
      <w:r w:rsidR="00005FEE">
        <w:rPr>
          <w:sz w:val="24"/>
          <w:szCs w:val="24"/>
        </w:rPr>
        <w:t>7</w:t>
      </w:r>
      <w:r w:rsidRPr="003F7530">
        <w:rPr>
          <w:sz w:val="24"/>
          <w:szCs w:val="24"/>
        </w:rPr>
        <w:t xml:space="preserve"> of 2013</w:t>
      </w:r>
      <w:r w:rsidR="007D156F">
        <w:rPr>
          <w:sz w:val="24"/>
          <w:szCs w:val="24"/>
        </w:rPr>
        <w:t xml:space="preserve"> </w:t>
      </w:r>
      <w:r w:rsidR="00FF7C83" w:rsidRPr="00FF7C83">
        <w:rPr>
          <w:sz w:val="24"/>
          <w:szCs w:val="24"/>
        </w:rPr>
        <w:t>(determination No. 77)</w:t>
      </w:r>
      <w:r w:rsidRPr="003F7530">
        <w:rPr>
          <w:sz w:val="24"/>
          <w:szCs w:val="24"/>
        </w:rPr>
        <w:t xml:space="preserve">, which makes </w:t>
      </w:r>
      <w:r w:rsidRPr="003F7530">
        <w:rPr>
          <w:i/>
          <w:sz w:val="24"/>
          <w:szCs w:val="24"/>
        </w:rPr>
        <w:t xml:space="preserve">Reporting Standard </w:t>
      </w:r>
      <w:r w:rsidR="00131687">
        <w:rPr>
          <w:i/>
          <w:sz w:val="24"/>
          <w:szCs w:val="24"/>
        </w:rPr>
        <w:t>SRS 520</w:t>
      </w:r>
      <w:r>
        <w:rPr>
          <w:i/>
          <w:sz w:val="24"/>
          <w:szCs w:val="24"/>
        </w:rPr>
        <w:t xml:space="preserve">.0 </w:t>
      </w:r>
      <w:r w:rsidR="00131687">
        <w:rPr>
          <w:i/>
          <w:sz w:val="24"/>
          <w:szCs w:val="24"/>
        </w:rPr>
        <w:t>Responsible Persons Information</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7</w:t>
      </w:r>
      <w:r w:rsidR="00005FEE">
        <w:rPr>
          <w:sz w:val="24"/>
          <w:szCs w:val="24"/>
        </w:rPr>
        <w:t>8</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131687">
        <w:rPr>
          <w:i/>
          <w:sz w:val="24"/>
          <w:szCs w:val="24"/>
        </w:rPr>
        <w:t>530</w:t>
      </w:r>
      <w:r>
        <w:rPr>
          <w:i/>
          <w:sz w:val="24"/>
          <w:szCs w:val="24"/>
        </w:rPr>
        <w:t xml:space="preserve">.0 </w:t>
      </w:r>
      <w:r w:rsidR="00131687">
        <w:rPr>
          <w:i/>
          <w:sz w:val="24"/>
          <w:szCs w:val="24"/>
        </w:rPr>
        <w:t>Investments</w:t>
      </w:r>
      <w:r w:rsidR="0057774E" w:rsidRPr="00845EFE">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7</w:t>
      </w:r>
      <w:r w:rsidR="00005FEE">
        <w:rPr>
          <w:sz w:val="24"/>
          <w:szCs w:val="24"/>
        </w:rPr>
        <w:t>9</w:t>
      </w:r>
      <w:r w:rsidRPr="003F7530">
        <w:rPr>
          <w:sz w:val="24"/>
          <w:szCs w:val="24"/>
        </w:rPr>
        <w:t xml:space="preserve"> of 2013, which makes </w:t>
      </w:r>
      <w:r w:rsidRPr="003F7530">
        <w:rPr>
          <w:i/>
          <w:sz w:val="24"/>
          <w:szCs w:val="24"/>
        </w:rPr>
        <w:t xml:space="preserve">Reporting Standard </w:t>
      </w:r>
      <w:r w:rsidR="00045354">
        <w:rPr>
          <w:i/>
          <w:sz w:val="24"/>
          <w:szCs w:val="24"/>
        </w:rPr>
        <w:t>SRS 530.1</w:t>
      </w:r>
      <w:r>
        <w:rPr>
          <w:i/>
          <w:sz w:val="24"/>
          <w:szCs w:val="24"/>
        </w:rPr>
        <w:t xml:space="preserve"> </w:t>
      </w:r>
      <w:r w:rsidR="00045354">
        <w:rPr>
          <w:i/>
          <w:sz w:val="24"/>
          <w:szCs w:val="24"/>
        </w:rPr>
        <w:t>Investments and Investment Flows</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005FEE">
        <w:rPr>
          <w:sz w:val="24"/>
          <w:szCs w:val="24"/>
        </w:rPr>
        <w:t>80</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531.0</w:t>
      </w:r>
      <w:r>
        <w:rPr>
          <w:i/>
          <w:sz w:val="24"/>
          <w:szCs w:val="24"/>
        </w:rPr>
        <w:t xml:space="preserve"> </w:t>
      </w:r>
      <w:r w:rsidR="00045354">
        <w:rPr>
          <w:i/>
          <w:sz w:val="24"/>
          <w:szCs w:val="24"/>
        </w:rPr>
        <w:t>Investment Flows</w:t>
      </w:r>
      <w:r w:rsidR="0057774E" w:rsidRPr="00845EFE">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8</w:t>
      </w:r>
      <w:r w:rsidR="00005FEE">
        <w:rPr>
          <w:sz w:val="24"/>
          <w:szCs w:val="24"/>
        </w:rPr>
        <w:t>1</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532.0</w:t>
      </w:r>
      <w:r>
        <w:rPr>
          <w:i/>
          <w:sz w:val="24"/>
          <w:szCs w:val="24"/>
        </w:rPr>
        <w:t xml:space="preserve"> </w:t>
      </w:r>
      <w:r w:rsidR="00045354">
        <w:rPr>
          <w:i/>
          <w:sz w:val="24"/>
          <w:szCs w:val="24"/>
        </w:rPr>
        <w:t>Investment Exposure Concentrations</w:t>
      </w:r>
      <w:r w:rsidR="0057774E" w:rsidRPr="00845EFE">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8</w:t>
      </w:r>
      <w:r w:rsidR="00005FEE">
        <w:rPr>
          <w:sz w:val="24"/>
          <w:szCs w:val="24"/>
        </w:rPr>
        <w:t>2</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533.0</w:t>
      </w:r>
      <w:r>
        <w:rPr>
          <w:i/>
          <w:sz w:val="24"/>
          <w:szCs w:val="24"/>
        </w:rPr>
        <w:t xml:space="preserve"> </w:t>
      </w:r>
      <w:r w:rsidR="00045354">
        <w:rPr>
          <w:i/>
          <w:sz w:val="24"/>
          <w:szCs w:val="24"/>
        </w:rPr>
        <w:t>Asset Allocation</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8</w:t>
      </w:r>
      <w:r w:rsidR="00005FEE">
        <w:rPr>
          <w:sz w:val="24"/>
          <w:szCs w:val="24"/>
        </w:rPr>
        <w:t>3</w:t>
      </w:r>
      <w:r w:rsidRPr="003F7530">
        <w:rPr>
          <w:sz w:val="24"/>
          <w:szCs w:val="24"/>
        </w:rPr>
        <w:t xml:space="preserve"> of 2013, which makes </w:t>
      </w:r>
      <w:r w:rsidRPr="003F7530">
        <w:rPr>
          <w:i/>
          <w:sz w:val="24"/>
          <w:szCs w:val="24"/>
        </w:rPr>
        <w:t xml:space="preserve">Reporting Standard </w:t>
      </w:r>
      <w:r w:rsidR="00045354">
        <w:rPr>
          <w:i/>
          <w:sz w:val="24"/>
          <w:szCs w:val="24"/>
        </w:rPr>
        <w:t>SRS 534.0</w:t>
      </w:r>
      <w:r>
        <w:rPr>
          <w:i/>
          <w:sz w:val="24"/>
          <w:szCs w:val="24"/>
        </w:rPr>
        <w:t xml:space="preserve"> </w:t>
      </w:r>
      <w:r w:rsidR="00045354">
        <w:rPr>
          <w:i/>
          <w:sz w:val="24"/>
          <w:szCs w:val="24"/>
        </w:rPr>
        <w:t>Derivative Financial Instruments</w:t>
      </w:r>
      <w:r w:rsidR="0057774E" w:rsidRPr="00845EFE">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8</w:t>
      </w:r>
      <w:r w:rsidR="00005FEE">
        <w:rPr>
          <w:sz w:val="24"/>
          <w:szCs w:val="24"/>
        </w:rPr>
        <w:t>4</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535.0</w:t>
      </w:r>
      <w:r>
        <w:rPr>
          <w:i/>
          <w:sz w:val="24"/>
          <w:szCs w:val="24"/>
        </w:rPr>
        <w:t xml:space="preserve"> </w:t>
      </w:r>
      <w:r w:rsidR="00045354">
        <w:rPr>
          <w:i/>
          <w:sz w:val="24"/>
          <w:szCs w:val="24"/>
        </w:rPr>
        <w:t>Securities Lending</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8</w:t>
      </w:r>
      <w:r w:rsidR="00005FEE">
        <w:rPr>
          <w:sz w:val="24"/>
          <w:szCs w:val="24"/>
        </w:rPr>
        <w:t>5</w:t>
      </w:r>
      <w:r w:rsidRPr="003F7530">
        <w:rPr>
          <w:sz w:val="24"/>
          <w:szCs w:val="24"/>
        </w:rPr>
        <w:t xml:space="preserve"> of 2013, which makes </w:t>
      </w:r>
      <w:r w:rsidRPr="003F7530">
        <w:rPr>
          <w:i/>
          <w:sz w:val="24"/>
          <w:szCs w:val="24"/>
        </w:rPr>
        <w:t xml:space="preserve">Reporting Standard </w:t>
      </w:r>
      <w:r w:rsidR="00045354">
        <w:rPr>
          <w:i/>
          <w:sz w:val="24"/>
          <w:szCs w:val="24"/>
        </w:rPr>
        <w:t>SRS 540.0</w:t>
      </w:r>
      <w:r>
        <w:rPr>
          <w:i/>
          <w:sz w:val="24"/>
          <w:szCs w:val="24"/>
        </w:rPr>
        <w:t xml:space="preserve"> </w:t>
      </w:r>
      <w:r w:rsidR="00045354">
        <w:rPr>
          <w:i/>
          <w:sz w:val="24"/>
          <w:szCs w:val="24"/>
        </w:rPr>
        <w:t>Fees</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8</w:t>
      </w:r>
      <w:r w:rsidR="00005FEE">
        <w:rPr>
          <w:sz w:val="24"/>
          <w:szCs w:val="24"/>
        </w:rPr>
        <w:t>6</w:t>
      </w:r>
      <w:r w:rsidRPr="003F7530">
        <w:rPr>
          <w:sz w:val="24"/>
          <w:szCs w:val="24"/>
        </w:rPr>
        <w:t xml:space="preserve"> of 2013</w:t>
      </w:r>
      <w:r w:rsidR="00FF7C83">
        <w:rPr>
          <w:sz w:val="24"/>
          <w:szCs w:val="24"/>
        </w:rPr>
        <w:t xml:space="preserve"> (determination No. 86)</w:t>
      </w:r>
      <w:r w:rsidRPr="003F7530">
        <w:rPr>
          <w:sz w:val="24"/>
          <w:szCs w:val="24"/>
        </w:rPr>
        <w:t xml:space="preserve">, which makes </w:t>
      </w:r>
      <w:r w:rsidRPr="003F7530">
        <w:rPr>
          <w:i/>
          <w:sz w:val="24"/>
          <w:szCs w:val="24"/>
        </w:rPr>
        <w:t xml:space="preserve">Reporting Standard </w:t>
      </w:r>
      <w:r>
        <w:rPr>
          <w:i/>
          <w:sz w:val="24"/>
          <w:szCs w:val="24"/>
        </w:rPr>
        <w:t xml:space="preserve">SRS </w:t>
      </w:r>
      <w:r w:rsidR="00045354">
        <w:rPr>
          <w:i/>
          <w:sz w:val="24"/>
          <w:szCs w:val="24"/>
        </w:rPr>
        <w:t>600.0</w:t>
      </w:r>
      <w:r>
        <w:rPr>
          <w:i/>
          <w:sz w:val="24"/>
          <w:szCs w:val="24"/>
        </w:rPr>
        <w:t xml:space="preserve"> </w:t>
      </w:r>
      <w:r w:rsidR="00045354">
        <w:rPr>
          <w:i/>
          <w:sz w:val="24"/>
          <w:szCs w:val="24"/>
        </w:rPr>
        <w:t>Profile and Structure (RSE Licensee</w:t>
      </w:r>
      <w:r w:rsidR="007562E4">
        <w:rPr>
          <w:i/>
          <w:sz w:val="24"/>
          <w:szCs w:val="24"/>
        </w:rPr>
        <w:t>)</w:t>
      </w:r>
      <w:r w:rsidR="0057774E" w:rsidRPr="00845EFE">
        <w:rPr>
          <w:sz w:val="24"/>
          <w:szCs w:val="24"/>
        </w:rPr>
        <w:t>;</w:t>
      </w:r>
      <w:r w:rsidR="007562E4" w:rsidRPr="00845EFE">
        <w:rPr>
          <w:sz w:val="24"/>
          <w:szCs w:val="24"/>
          <w:highlight w:val="yellow"/>
        </w:rPr>
        <w:t xml:space="preserve"> </w:t>
      </w:r>
    </w:p>
    <w:p w:rsidR="000B2112" w:rsidRPr="003F7530" w:rsidRDefault="000B2112" w:rsidP="000B2112">
      <w:pPr>
        <w:pStyle w:val="ListParagraph"/>
        <w:numPr>
          <w:ilvl w:val="0"/>
          <w:numId w:val="18"/>
        </w:numPr>
        <w:spacing w:after="240"/>
        <w:jc w:val="both"/>
        <w:rPr>
          <w:sz w:val="24"/>
          <w:szCs w:val="24"/>
        </w:rPr>
      </w:pPr>
      <w:r w:rsidRPr="003F7530">
        <w:rPr>
          <w:sz w:val="24"/>
          <w:szCs w:val="24"/>
        </w:rPr>
        <w:lastRenderedPageBreak/>
        <w:t xml:space="preserve">Financial Sector (Collection of Data) (reporting standard) determination No. </w:t>
      </w:r>
      <w:r w:rsidR="006727CA">
        <w:rPr>
          <w:sz w:val="24"/>
          <w:szCs w:val="24"/>
        </w:rPr>
        <w:t>8</w:t>
      </w:r>
      <w:r w:rsidR="00005FEE">
        <w:rPr>
          <w:sz w:val="24"/>
          <w:szCs w:val="24"/>
        </w:rPr>
        <w:t>7</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601.0</w:t>
      </w:r>
      <w:r>
        <w:rPr>
          <w:i/>
          <w:sz w:val="24"/>
          <w:szCs w:val="24"/>
        </w:rPr>
        <w:t xml:space="preserve"> </w:t>
      </w:r>
      <w:r w:rsidR="00045354">
        <w:rPr>
          <w:i/>
          <w:sz w:val="24"/>
          <w:szCs w:val="24"/>
        </w:rPr>
        <w:t>Profile and Structure (RSE)</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8</w:t>
      </w:r>
      <w:r w:rsidR="00005FEE">
        <w:rPr>
          <w:sz w:val="24"/>
          <w:szCs w:val="24"/>
        </w:rPr>
        <w:t>8</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602.</w:t>
      </w:r>
      <w:r>
        <w:rPr>
          <w:i/>
          <w:sz w:val="24"/>
          <w:szCs w:val="24"/>
        </w:rPr>
        <w:t xml:space="preserve">0 </w:t>
      </w:r>
      <w:r w:rsidR="00045354">
        <w:rPr>
          <w:i/>
          <w:sz w:val="24"/>
          <w:szCs w:val="24"/>
        </w:rPr>
        <w:t>Wind-up</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8</w:t>
      </w:r>
      <w:r w:rsidR="00005FEE">
        <w:rPr>
          <w:sz w:val="24"/>
          <w:szCs w:val="24"/>
        </w:rPr>
        <w:t>9</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610</w:t>
      </w:r>
      <w:r>
        <w:rPr>
          <w:i/>
          <w:sz w:val="24"/>
          <w:szCs w:val="24"/>
        </w:rPr>
        <w:t xml:space="preserve">.0 </w:t>
      </w:r>
      <w:r w:rsidR="00045354">
        <w:rPr>
          <w:i/>
          <w:sz w:val="24"/>
          <w:szCs w:val="24"/>
        </w:rPr>
        <w:t>Membership Profile</w:t>
      </w:r>
      <w:r w:rsidR="0057774E" w:rsidRPr="00845EFE">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005FEE">
        <w:rPr>
          <w:sz w:val="24"/>
          <w:szCs w:val="24"/>
        </w:rPr>
        <w:t>90</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610.1</w:t>
      </w:r>
      <w:r>
        <w:rPr>
          <w:i/>
          <w:sz w:val="24"/>
          <w:szCs w:val="24"/>
        </w:rPr>
        <w:t xml:space="preserve"> </w:t>
      </w:r>
      <w:r w:rsidR="00045354">
        <w:rPr>
          <w:i/>
          <w:sz w:val="24"/>
          <w:szCs w:val="24"/>
        </w:rPr>
        <w:t>Changes in Membership Profile</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9</w:t>
      </w:r>
      <w:r w:rsidR="00005FEE">
        <w:rPr>
          <w:sz w:val="24"/>
          <w:szCs w:val="24"/>
        </w:rPr>
        <w:t>1</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610.2</w:t>
      </w:r>
      <w:r>
        <w:rPr>
          <w:i/>
          <w:sz w:val="24"/>
          <w:szCs w:val="24"/>
        </w:rPr>
        <w:t xml:space="preserve"> </w:t>
      </w:r>
      <w:r w:rsidR="00045354">
        <w:rPr>
          <w:i/>
          <w:sz w:val="24"/>
          <w:szCs w:val="24"/>
        </w:rPr>
        <w:t>Membership Profile</w:t>
      </w:r>
      <w:r w:rsidRPr="003F7530">
        <w:rPr>
          <w:sz w:val="24"/>
          <w:szCs w:val="24"/>
        </w:rPr>
        <w:t>;</w:t>
      </w:r>
    </w:p>
    <w:p w:rsidR="000B2112" w:rsidRPr="003F7530" w:rsidRDefault="000B2112" w:rsidP="000B2112">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9</w:t>
      </w:r>
      <w:r w:rsidR="00450D07">
        <w:rPr>
          <w:sz w:val="24"/>
          <w:szCs w:val="24"/>
        </w:rPr>
        <w:t>3</w:t>
      </w:r>
      <w:r w:rsidRPr="003F7530">
        <w:rPr>
          <w:sz w:val="24"/>
          <w:szCs w:val="24"/>
        </w:rPr>
        <w:t xml:space="preserve"> of 2013, which makes </w:t>
      </w:r>
      <w:r w:rsidRPr="003F7530">
        <w:rPr>
          <w:i/>
          <w:sz w:val="24"/>
          <w:szCs w:val="24"/>
        </w:rPr>
        <w:t xml:space="preserve">Reporting Standard </w:t>
      </w:r>
      <w:r>
        <w:rPr>
          <w:i/>
          <w:sz w:val="24"/>
          <w:szCs w:val="24"/>
        </w:rPr>
        <w:t>SR</w:t>
      </w:r>
      <w:r w:rsidR="00045354">
        <w:rPr>
          <w:i/>
          <w:sz w:val="24"/>
          <w:szCs w:val="24"/>
        </w:rPr>
        <w:t>S 710</w:t>
      </w:r>
      <w:r>
        <w:rPr>
          <w:i/>
          <w:sz w:val="24"/>
          <w:szCs w:val="24"/>
        </w:rPr>
        <w:t xml:space="preserve">.0 </w:t>
      </w:r>
      <w:r w:rsidR="00045354">
        <w:rPr>
          <w:i/>
          <w:sz w:val="24"/>
          <w:szCs w:val="24"/>
        </w:rPr>
        <w:t>Conditions of Release</w:t>
      </w:r>
      <w:r w:rsidRPr="003F7530">
        <w:rPr>
          <w:sz w:val="24"/>
          <w:szCs w:val="24"/>
        </w:rPr>
        <w:t>;</w:t>
      </w:r>
    </w:p>
    <w:p w:rsidR="000B2112" w:rsidRPr="003F7530" w:rsidRDefault="000B2112" w:rsidP="007D156F">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9</w:t>
      </w:r>
      <w:r w:rsidR="00450D07">
        <w:rPr>
          <w:sz w:val="24"/>
          <w:szCs w:val="24"/>
        </w:rPr>
        <w:t>4</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EB1E7F">
        <w:rPr>
          <w:i/>
          <w:sz w:val="24"/>
          <w:szCs w:val="24"/>
        </w:rPr>
        <w:t>800.0 Financial Statements</w:t>
      </w:r>
      <w:r w:rsidRPr="007D156F">
        <w:rPr>
          <w:sz w:val="24"/>
          <w:szCs w:val="24"/>
        </w:rPr>
        <w:t>;</w:t>
      </w:r>
    </w:p>
    <w:p w:rsidR="000B2112" w:rsidRPr="003F7530" w:rsidRDefault="000B2112" w:rsidP="007D156F">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9</w:t>
      </w:r>
      <w:r w:rsidR="00450D07">
        <w:rPr>
          <w:sz w:val="24"/>
          <w:szCs w:val="24"/>
        </w:rPr>
        <w:t>5</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801</w:t>
      </w:r>
      <w:r>
        <w:rPr>
          <w:i/>
          <w:sz w:val="24"/>
          <w:szCs w:val="24"/>
        </w:rPr>
        <w:t xml:space="preserve">.0 </w:t>
      </w:r>
      <w:r w:rsidR="00045354">
        <w:rPr>
          <w:i/>
          <w:sz w:val="24"/>
          <w:szCs w:val="24"/>
        </w:rPr>
        <w:t>Investments and Investment Flows</w:t>
      </w:r>
      <w:r w:rsidR="00EB1E7F" w:rsidRPr="00845EFE">
        <w:rPr>
          <w:sz w:val="24"/>
          <w:szCs w:val="24"/>
        </w:rPr>
        <w:t>;</w:t>
      </w:r>
      <w:r w:rsidR="007D156F">
        <w:rPr>
          <w:sz w:val="24"/>
          <w:szCs w:val="24"/>
        </w:rPr>
        <w:t xml:space="preserve"> and</w:t>
      </w:r>
      <w:r w:rsidR="00EB1E7F" w:rsidRPr="00845EFE">
        <w:rPr>
          <w:sz w:val="24"/>
          <w:szCs w:val="24"/>
        </w:rPr>
        <w:t xml:space="preserve"> </w:t>
      </w:r>
    </w:p>
    <w:p w:rsidR="000B2112" w:rsidRPr="00AE0E74" w:rsidRDefault="000B2112" w:rsidP="007D156F">
      <w:pPr>
        <w:pStyle w:val="ListParagraph"/>
        <w:numPr>
          <w:ilvl w:val="0"/>
          <w:numId w:val="18"/>
        </w:numPr>
        <w:spacing w:after="240"/>
        <w:jc w:val="both"/>
        <w:rPr>
          <w:sz w:val="24"/>
          <w:szCs w:val="24"/>
        </w:rPr>
      </w:pPr>
      <w:r w:rsidRPr="003F7530">
        <w:rPr>
          <w:sz w:val="24"/>
          <w:szCs w:val="24"/>
        </w:rPr>
        <w:t xml:space="preserve">Financial Sector (Collection of Data) (reporting standard) determination No. </w:t>
      </w:r>
      <w:r w:rsidR="006727CA">
        <w:rPr>
          <w:sz w:val="24"/>
          <w:szCs w:val="24"/>
        </w:rPr>
        <w:t>9</w:t>
      </w:r>
      <w:r w:rsidR="00450D07">
        <w:rPr>
          <w:sz w:val="24"/>
          <w:szCs w:val="24"/>
        </w:rPr>
        <w:t>6</w:t>
      </w:r>
      <w:r w:rsidRPr="003F7530">
        <w:rPr>
          <w:sz w:val="24"/>
          <w:szCs w:val="24"/>
        </w:rPr>
        <w:t xml:space="preserve"> of 2013, which makes </w:t>
      </w:r>
      <w:r w:rsidRPr="003F7530">
        <w:rPr>
          <w:i/>
          <w:sz w:val="24"/>
          <w:szCs w:val="24"/>
        </w:rPr>
        <w:t xml:space="preserve">Reporting Standard </w:t>
      </w:r>
      <w:r>
        <w:rPr>
          <w:i/>
          <w:sz w:val="24"/>
          <w:szCs w:val="24"/>
        </w:rPr>
        <w:t xml:space="preserve">SRS </w:t>
      </w:r>
      <w:r w:rsidR="00045354">
        <w:rPr>
          <w:i/>
          <w:sz w:val="24"/>
          <w:szCs w:val="24"/>
        </w:rPr>
        <w:t>802.0</w:t>
      </w:r>
      <w:r>
        <w:rPr>
          <w:i/>
          <w:sz w:val="24"/>
          <w:szCs w:val="24"/>
        </w:rPr>
        <w:t xml:space="preserve"> </w:t>
      </w:r>
      <w:r w:rsidR="00045354">
        <w:rPr>
          <w:i/>
          <w:sz w:val="24"/>
          <w:szCs w:val="24"/>
        </w:rPr>
        <w:t>Fund Profile</w:t>
      </w:r>
      <w:r w:rsidR="007D156F">
        <w:rPr>
          <w:i/>
          <w:sz w:val="24"/>
          <w:szCs w:val="24"/>
        </w:rPr>
        <w:t>.</w:t>
      </w:r>
      <w:r w:rsidR="00610402">
        <w:rPr>
          <w:i/>
          <w:sz w:val="24"/>
          <w:szCs w:val="24"/>
        </w:rPr>
        <w:t xml:space="preserve">  </w:t>
      </w:r>
    </w:p>
    <w:p w:rsidR="00E30739" w:rsidRDefault="00E30739" w:rsidP="00845EFE">
      <w:pPr>
        <w:tabs>
          <w:tab w:val="left" w:pos="0"/>
        </w:tabs>
        <w:spacing w:after="240"/>
        <w:jc w:val="both"/>
      </w:pPr>
      <w:r>
        <w:t xml:space="preserve">The new reporting standards listed in paragraphs </w:t>
      </w:r>
      <w:r w:rsidR="00450D07">
        <w:t>1, 2, 3, 5, 6, 7, 9, 11, 12, 13, 14, 16, 19, 22, 23, 24, 25</w:t>
      </w:r>
      <w:r w:rsidR="004137C9">
        <w:t>,</w:t>
      </w:r>
      <w:r w:rsidR="00450D07">
        <w:t xml:space="preserve"> 28, 29, 30, 31</w:t>
      </w:r>
      <w:r w:rsidR="00835239">
        <w:t xml:space="preserve"> and</w:t>
      </w:r>
      <w:r w:rsidR="00450D07">
        <w:t xml:space="preserve"> 32 </w:t>
      </w:r>
      <w:r>
        <w:t xml:space="preserve">above commence on 1 July 2013 and apply to reporting periods ending on and after that date.   </w:t>
      </w:r>
    </w:p>
    <w:p w:rsidR="00E30739" w:rsidRDefault="00E30739" w:rsidP="00845EFE">
      <w:pPr>
        <w:tabs>
          <w:tab w:val="left" w:pos="0"/>
        </w:tabs>
        <w:spacing w:after="240"/>
        <w:jc w:val="both"/>
      </w:pPr>
      <w:r>
        <w:t xml:space="preserve">The new reporting standards listed in paragraphs </w:t>
      </w:r>
      <w:r w:rsidR="00450D07">
        <w:t>4, 8, 10, 15, 17, 18, 20, 21, 26 and 27</w:t>
      </w:r>
      <w:r>
        <w:t xml:space="preserve"> above commence on 1 July 2014 and apply to reporting periods ending on or after that date.</w:t>
      </w:r>
    </w:p>
    <w:p w:rsidR="007D156F" w:rsidRDefault="000A6107" w:rsidP="00845EFE">
      <w:pPr>
        <w:tabs>
          <w:tab w:val="left" w:pos="0"/>
          <w:tab w:val="left" w:pos="426"/>
        </w:tabs>
        <w:spacing w:after="240"/>
        <w:jc w:val="both"/>
      </w:pPr>
      <w:r>
        <w:t xml:space="preserve">On </w:t>
      </w:r>
      <w:r w:rsidR="007D156F">
        <w:t xml:space="preserve">3 June </w:t>
      </w:r>
      <w:r>
        <w:t>2013</w:t>
      </w:r>
      <w:r w:rsidR="007D156F">
        <w:t>,</w:t>
      </w:r>
      <w:r>
        <w:t xml:space="preserve"> APRA also made </w:t>
      </w:r>
      <w:r w:rsidR="00AE0E74" w:rsidRPr="000A6107">
        <w:t xml:space="preserve">Financial Sector (Collection of Data) (reporting standard) determination No. </w:t>
      </w:r>
      <w:r w:rsidR="00EB1E7F" w:rsidRPr="000A6107">
        <w:t>9</w:t>
      </w:r>
      <w:r w:rsidR="00C97516">
        <w:t>7</w:t>
      </w:r>
      <w:r w:rsidR="00AE0E74" w:rsidRPr="000A6107">
        <w:t xml:space="preserve"> of 2013, which revokes</w:t>
      </w:r>
      <w:r w:rsidR="00EB1E7F" w:rsidRPr="000A6107">
        <w:t xml:space="preserve"> the following:</w:t>
      </w:r>
    </w:p>
    <w:p w:rsidR="000A6107" w:rsidRPr="00845EFE" w:rsidRDefault="000A6107" w:rsidP="00845EFE">
      <w:pPr>
        <w:tabs>
          <w:tab w:val="left" w:pos="0"/>
          <w:tab w:val="left" w:pos="426"/>
        </w:tabs>
        <w:spacing w:after="240"/>
        <w:jc w:val="both"/>
        <w:rPr>
          <w:b/>
          <w:i/>
          <w:u w:val="single"/>
        </w:rPr>
      </w:pPr>
      <w:r w:rsidRPr="00845EFE">
        <w:rPr>
          <w:b/>
          <w:i/>
          <w:u w:val="single"/>
        </w:rPr>
        <w:t xml:space="preserve">Reporting </w:t>
      </w:r>
      <w:r w:rsidR="00121F36" w:rsidRPr="00845EFE">
        <w:rPr>
          <w:b/>
          <w:i/>
          <w:u w:val="single"/>
        </w:rPr>
        <w:t>standards that cease to apply on</w:t>
      </w:r>
      <w:r w:rsidRPr="00845EFE">
        <w:rPr>
          <w:b/>
          <w:i/>
          <w:u w:val="single"/>
        </w:rPr>
        <w:t xml:space="preserve"> 1 July 2013</w:t>
      </w:r>
      <w:r w:rsidR="007D156F">
        <w:rPr>
          <w:b/>
          <w:i/>
          <w:u w:val="single"/>
        </w:rPr>
        <w:t>:</w:t>
      </w:r>
    </w:p>
    <w:p w:rsidR="007D156F" w:rsidRDefault="0045402B" w:rsidP="004137C9">
      <w:pPr>
        <w:pStyle w:val="IntroTo"/>
        <w:numPr>
          <w:ilvl w:val="0"/>
          <w:numId w:val="18"/>
        </w:numPr>
        <w:spacing w:after="240"/>
        <w:jc w:val="both"/>
        <w:rPr>
          <w:color w:val="000000"/>
          <w:szCs w:val="24"/>
        </w:rPr>
      </w:pPr>
      <w:r w:rsidRPr="00C34A54">
        <w:rPr>
          <w:color w:val="000000"/>
          <w:szCs w:val="24"/>
        </w:rPr>
        <w:t xml:space="preserve">Financial Sector (Collection of Data) determination No. </w:t>
      </w:r>
      <w:r>
        <w:rPr>
          <w:color w:val="000000"/>
          <w:szCs w:val="24"/>
        </w:rPr>
        <w:t>46</w:t>
      </w:r>
      <w:r w:rsidRPr="00C34A54">
        <w:rPr>
          <w:color w:val="000000"/>
          <w:szCs w:val="24"/>
        </w:rPr>
        <w:t xml:space="preserve"> of 2005, including </w:t>
      </w:r>
      <w:r w:rsidRPr="00C34A54">
        <w:rPr>
          <w:i/>
          <w:color w:val="000000"/>
          <w:szCs w:val="24"/>
        </w:rPr>
        <w:t xml:space="preserve">Reporting Standard SRS </w:t>
      </w:r>
      <w:r>
        <w:rPr>
          <w:i/>
          <w:color w:val="000000"/>
          <w:szCs w:val="24"/>
        </w:rPr>
        <w:t>100</w:t>
      </w:r>
      <w:r w:rsidRPr="00C34A54">
        <w:rPr>
          <w:i/>
          <w:color w:val="000000"/>
          <w:szCs w:val="24"/>
        </w:rPr>
        <w:t>.0 (2005) Statemen</w:t>
      </w:r>
      <w:r>
        <w:rPr>
          <w:i/>
          <w:color w:val="000000"/>
          <w:szCs w:val="24"/>
        </w:rPr>
        <w:t>t of Financial Performance</w:t>
      </w:r>
      <w:r w:rsidRPr="00C34A54">
        <w:rPr>
          <w:i/>
          <w:color w:val="000000"/>
          <w:szCs w:val="24"/>
        </w:rPr>
        <w:t xml:space="preserve"> </w:t>
      </w:r>
      <w:r w:rsidRPr="00C34A54">
        <w:rPr>
          <w:color w:val="000000"/>
          <w:szCs w:val="24"/>
        </w:rPr>
        <w:t>made under that Determination</w:t>
      </w:r>
      <w:r>
        <w:rPr>
          <w:color w:val="000000"/>
          <w:szCs w:val="24"/>
        </w:rPr>
        <w:t>;</w:t>
      </w:r>
    </w:p>
    <w:p w:rsid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47 of 2005, including </w:t>
      </w:r>
      <w:r w:rsidRPr="007D156F">
        <w:rPr>
          <w:i/>
          <w:color w:val="000000"/>
          <w:szCs w:val="24"/>
        </w:rPr>
        <w:t xml:space="preserve">Reporting Standard SRS 110.0 (2005) Statement of Financial Position </w:t>
      </w:r>
      <w:r w:rsidRPr="007D156F">
        <w:rPr>
          <w:color w:val="000000"/>
          <w:szCs w:val="24"/>
        </w:rPr>
        <w:t>made under that Determination;</w:t>
      </w:r>
    </w:p>
    <w:p w:rsidR="007D156F" w:rsidRDefault="0045402B" w:rsidP="004137C9">
      <w:pPr>
        <w:pStyle w:val="IntroTo"/>
        <w:numPr>
          <w:ilvl w:val="0"/>
          <w:numId w:val="18"/>
        </w:numPr>
        <w:spacing w:after="240"/>
        <w:jc w:val="both"/>
        <w:rPr>
          <w:color w:val="000000"/>
          <w:szCs w:val="24"/>
        </w:rPr>
      </w:pPr>
      <w:r w:rsidRPr="007D156F">
        <w:rPr>
          <w:color w:val="000000"/>
          <w:szCs w:val="24"/>
        </w:rPr>
        <w:lastRenderedPageBreak/>
        <w:t xml:space="preserve">Financial Sector (Collection of Data) determination No. 51 of 2005, including </w:t>
      </w:r>
      <w:r w:rsidRPr="007D156F">
        <w:rPr>
          <w:i/>
          <w:color w:val="000000"/>
          <w:szCs w:val="24"/>
        </w:rPr>
        <w:t xml:space="preserve">Reporting Standard SRS 200.0 (2005) Statement of Financial Performance </w:t>
      </w:r>
      <w:r w:rsidRPr="007D156F">
        <w:rPr>
          <w:color w:val="000000"/>
          <w:szCs w:val="24"/>
        </w:rPr>
        <w:t>made under that Determination;</w:t>
      </w:r>
    </w:p>
    <w:p w:rsid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52 of 2005, including </w:t>
      </w:r>
      <w:r w:rsidRPr="007D156F">
        <w:rPr>
          <w:i/>
          <w:color w:val="000000"/>
          <w:szCs w:val="24"/>
        </w:rPr>
        <w:t xml:space="preserve">Reporting Standard SRS 210.0 (2005) Statement of Financial Position </w:t>
      </w:r>
      <w:r w:rsidRPr="007D156F">
        <w:rPr>
          <w:color w:val="000000"/>
          <w:szCs w:val="24"/>
        </w:rPr>
        <w:t>made under that Determination</w:t>
      </w:r>
    </w:p>
    <w:p w:rsid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56 of 2005, including </w:t>
      </w:r>
      <w:r w:rsidRPr="007D156F">
        <w:rPr>
          <w:i/>
          <w:color w:val="000000"/>
          <w:szCs w:val="24"/>
        </w:rPr>
        <w:t xml:space="preserve">Reporting Standard SRS 230.0 (2005) Transactions with Associated Entities </w:t>
      </w:r>
      <w:r w:rsidRPr="007D156F">
        <w:rPr>
          <w:color w:val="000000"/>
          <w:szCs w:val="24"/>
        </w:rPr>
        <w:t>made under that Determination;</w:t>
      </w:r>
    </w:p>
    <w:p w:rsid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41 of 2005, including </w:t>
      </w:r>
      <w:r w:rsidRPr="007D156F">
        <w:rPr>
          <w:i/>
          <w:color w:val="000000"/>
          <w:szCs w:val="24"/>
        </w:rPr>
        <w:t xml:space="preserve">Reporting Standard SRS 250.0 (2005) Superannuation Entity Profile </w:t>
      </w:r>
      <w:r w:rsidRPr="007D156F">
        <w:rPr>
          <w:color w:val="000000"/>
          <w:szCs w:val="24"/>
        </w:rPr>
        <w:t>made under that Determination;</w:t>
      </w:r>
    </w:p>
    <w:p w:rsidR="000A6107" w:rsidRP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42 of 2005, including </w:t>
      </w:r>
      <w:r w:rsidRPr="007D156F">
        <w:rPr>
          <w:i/>
          <w:color w:val="000000"/>
          <w:szCs w:val="24"/>
        </w:rPr>
        <w:t xml:space="preserve">Reporting Standard SRS 260.0 (2005) Trustee Statement </w:t>
      </w:r>
      <w:r w:rsidRPr="007D156F">
        <w:rPr>
          <w:color w:val="000000"/>
          <w:szCs w:val="24"/>
        </w:rPr>
        <w:t>made under that Determination (</w:t>
      </w:r>
      <w:r w:rsidRPr="007D156F">
        <w:rPr>
          <w:b/>
          <w:color w:val="000000"/>
          <w:szCs w:val="24"/>
        </w:rPr>
        <w:t>SRS 260.0</w:t>
      </w:r>
      <w:r w:rsidRPr="007D156F">
        <w:rPr>
          <w:color w:val="000000"/>
          <w:szCs w:val="24"/>
        </w:rPr>
        <w:t>);</w:t>
      </w:r>
    </w:p>
    <w:p w:rsidR="000A6107" w:rsidRPr="00184767" w:rsidRDefault="000A6107" w:rsidP="004137C9">
      <w:pPr>
        <w:pStyle w:val="IntroTo"/>
        <w:numPr>
          <w:ilvl w:val="0"/>
          <w:numId w:val="18"/>
        </w:numPr>
        <w:spacing w:after="240"/>
        <w:jc w:val="both"/>
        <w:rPr>
          <w:color w:val="000000"/>
          <w:szCs w:val="24"/>
        </w:rPr>
      </w:pPr>
      <w:r w:rsidRPr="007A3090">
        <w:rPr>
          <w:color w:val="000000"/>
          <w:szCs w:val="24"/>
        </w:rPr>
        <w:t>Financial Sector (Collectio</w:t>
      </w:r>
      <w:r>
        <w:rPr>
          <w:color w:val="000000"/>
          <w:szCs w:val="24"/>
        </w:rPr>
        <w:t xml:space="preserve">n of Data) (reporting standard) </w:t>
      </w:r>
      <w:r w:rsidRPr="007A3090">
        <w:rPr>
          <w:color w:val="000000"/>
          <w:szCs w:val="24"/>
        </w:rPr>
        <w:t xml:space="preserve">determination No. </w:t>
      </w:r>
      <w:r>
        <w:rPr>
          <w:color w:val="000000"/>
          <w:szCs w:val="24"/>
        </w:rPr>
        <w:t>57</w:t>
      </w:r>
      <w:r w:rsidRPr="007A3090">
        <w:rPr>
          <w:color w:val="000000"/>
          <w:szCs w:val="24"/>
        </w:rPr>
        <w:t xml:space="preserve"> of 200</w:t>
      </w:r>
      <w:r>
        <w:rPr>
          <w:color w:val="000000"/>
          <w:szCs w:val="24"/>
        </w:rPr>
        <w:t>8, which varied SRS 260.0;</w:t>
      </w:r>
    </w:p>
    <w:p w:rsidR="007D156F" w:rsidRDefault="0045402B" w:rsidP="004137C9">
      <w:pPr>
        <w:pStyle w:val="IntroTo"/>
        <w:numPr>
          <w:ilvl w:val="0"/>
          <w:numId w:val="18"/>
        </w:numPr>
        <w:spacing w:after="240"/>
        <w:jc w:val="both"/>
        <w:rPr>
          <w:color w:val="000000"/>
          <w:szCs w:val="24"/>
        </w:rPr>
      </w:pPr>
      <w:r w:rsidRPr="00C34A54">
        <w:rPr>
          <w:color w:val="000000"/>
          <w:szCs w:val="24"/>
        </w:rPr>
        <w:t xml:space="preserve">Financial Sector (Collection of Data) determination No. </w:t>
      </w:r>
      <w:r>
        <w:rPr>
          <w:color w:val="000000"/>
          <w:szCs w:val="24"/>
        </w:rPr>
        <w:t>58</w:t>
      </w:r>
      <w:r w:rsidRPr="00C34A54">
        <w:rPr>
          <w:color w:val="000000"/>
          <w:szCs w:val="24"/>
        </w:rPr>
        <w:t xml:space="preserve"> of 2005, including </w:t>
      </w:r>
      <w:r w:rsidRPr="00C34A54">
        <w:rPr>
          <w:i/>
          <w:color w:val="000000"/>
          <w:szCs w:val="24"/>
        </w:rPr>
        <w:t xml:space="preserve">Reporting Standard SRS </w:t>
      </w:r>
      <w:r>
        <w:rPr>
          <w:i/>
          <w:color w:val="000000"/>
          <w:szCs w:val="24"/>
        </w:rPr>
        <w:t>300</w:t>
      </w:r>
      <w:r w:rsidRPr="00C34A54">
        <w:rPr>
          <w:i/>
          <w:color w:val="000000"/>
          <w:szCs w:val="24"/>
        </w:rPr>
        <w:t>.0 (2005) Statemen</w:t>
      </w:r>
      <w:r>
        <w:rPr>
          <w:i/>
          <w:color w:val="000000"/>
          <w:szCs w:val="24"/>
        </w:rPr>
        <w:t>t of Financial Performance</w:t>
      </w:r>
      <w:r w:rsidRPr="00C34A54">
        <w:rPr>
          <w:i/>
          <w:color w:val="000000"/>
          <w:szCs w:val="24"/>
        </w:rPr>
        <w:t xml:space="preserve"> </w:t>
      </w:r>
      <w:r w:rsidRPr="00C34A54">
        <w:rPr>
          <w:color w:val="000000"/>
          <w:szCs w:val="24"/>
        </w:rPr>
        <w:t>made under that Determination</w:t>
      </w:r>
      <w:r>
        <w:rPr>
          <w:color w:val="000000"/>
          <w:szCs w:val="24"/>
        </w:rPr>
        <w:t>;</w:t>
      </w:r>
    </w:p>
    <w:p w:rsid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59 of 2005, including </w:t>
      </w:r>
      <w:r w:rsidRPr="007D156F">
        <w:rPr>
          <w:i/>
          <w:color w:val="000000"/>
          <w:szCs w:val="24"/>
        </w:rPr>
        <w:t xml:space="preserve">Reporting Standard SRS 310.0 (2005) Statement of Financial Position </w:t>
      </w:r>
      <w:r w:rsidRPr="007D156F">
        <w:rPr>
          <w:color w:val="000000"/>
          <w:szCs w:val="24"/>
        </w:rPr>
        <w:t>made under that Determination;</w:t>
      </w:r>
    </w:p>
    <w:p w:rsid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60 of 2005, including </w:t>
      </w:r>
      <w:r w:rsidRPr="007D156F">
        <w:rPr>
          <w:i/>
          <w:color w:val="000000"/>
          <w:szCs w:val="24"/>
        </w:rPr>
        <w:t xml:space="preserve">Reporting Standard SRS 310.1 (2005) Selected Disclosure of Investments </w:t>
      </w:r>
      <w:r w:rsidRPr="007D156F">
        <w:rPr>
          <w:color w:val="000000"/>
          <w:szCs w:val="24"/>
        </w:rPr>
        <w:t>made under that Determination;</w:t>
      </w:r>
    </w:p>
    <w:p w:rsid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61 of 2005, including </w:t>
      </w:r>
      <w:r w:rsidRPr="007D156F">
        <w:rPr>
          <w:i/>
          <w:color w:val="000000"/>
          <w:szCs w:val="24"/>
        </w:rPr>
        <w:t xml:space="preserve">Reporting Standard SRS 310.2 (2005) Derivative Financial Instruments </w:t>
      </w:r>
      <w:r w:rsidRPr="007D156F">
        <w:rPr>
          <w:color w:val="000000"/>
          <w:szCs w:val="24"/>
        </w:rPr>
        <w:t>made under that Determination;</w:t>
      </w:r>
    </w:p>
    <w:p w:rsid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62 of 2005, including </w:t>
      </w:r>
      <w:r w:rsidRPr="007D156F">
        <w:rPr>
          <w:i/>
          <w:color w:val="000000"/>
          <w:szCs w:val="24"/>
        </w:rPr>
        <w:t xml:space="preserve">Reporting Standard SRS 320.0 (2005) Exposure Concentrations </w:t>
      </w:r>
      <w:r w:rsidRPr="007D156F">
        <w:rPr>
          <w:color w:val="000000"/>
          <w:szCs w:val="24"/>
        </w:rPr>
        <w:t>made under that Determination;</w:t>
      </w:r>
    </w:p>
    <w:p w:rsid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63 of 2005, including </w:t>
      </w:r>
      <w:r w:rsidRPr="007D156F">
        <w:rPr>
          <w:i/>
          <w:color w:val="000000"/>
          <w:szCs w:val="24"/>
        </w:rPr>
        <w:t xml:space="preserve">Reporting Standard SRS 330.0 (2005) Transactions with Associated Parties </w:t>
      </w:r>
      <w:r w:rsidRPr="007D156F">
        <w:rPr>
          <w:color w:val="000000"/>
          <w:szCs w:val="24"/>
        </w:rPr>
        <w:t>made under that Determination;</w:t>
      </w:r>
    </w:p>
    <w:p w:rsidR="007D156F"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43 of 2005, including </w:t>
      </w:r>
      <w:r w:rsidRPr="007D156F">
        <w:rPr>
          <w:i/>
          <w:color w:val="000000"/>
          <w:szCs w:val="24"/>
        </w:rPr>
        <w:t xml:space="preserve">Reporting Standard SRS 340.0 (2005) Superannuation Entity Profile </w:t>
      </w:r>
      <w:r w:rsidRPr="007D156F">
        <w:rPr>
          <w:color w:val="000000"/>
          <w:szCs w:val="24"/>
        </w:rPr>
        <w:t>made under that Determination;</w:t>
      </w:r>
    </w:p>
    <w:p w:rsidR="007D156F" w:rsidRDefault="0045402B" w:rsidP="004137C9">
      <w:pPr>
        <w:pStyle w:val="IntroTo"/>
        <w:numPr>
          <w:ilvl w:val="0"/>
          <w:numId w:val="18"/>
        </w:numPr>
        <w:spacing w:after="240"/>
        <w:jc w:val="both"/>
        <w:rPr>
          <w:color w:val="000000"/>
          <w:szCs w:val="24"/>
        </w:rPr>
      </w:pPr>
      <w:r w:rsidRPr="007D156F">
        <w:rPr>
          <w:color w:val="000000"/>
          <w:szCs w:val="24"/>
        </w:rPr>
        <w:lastRenderedPageBreak/>
        <w:t xml:space="preserve">Financial Sector (Collection of Data) determination No. 44 of 2005, including </w:t>
      </w:r>
      <w:r w:rsidRPr="007D156F">
        <w:rPr>
          <w:i/>
          <w:color w:val="000000"/>
          <w:szCs w:val="24"/>
        </w:rPr>
        <w:t xml:space="preserve">Reporting Standard SRS 350.0 (2005) Trustee Statement </w:t>
      </w:r>
      <w:r w:rsidRPr="007D156F">
        <w:rPr>
          <w:color w:val="000000"/>
          <w:szCs w:val="24"/>
        </w:rPr>
        <w:t>made under that Determination (</w:t>
      </w:r>
      <w:r w:rsidRPr="007D156F">
        <w:rPr>
          <w:b/>
          <w:color w:val="000000"/>
          <w:szCs w:val="24"/>
        </w:rPr>
        <w:t>SRS 350.0</w:t>
      </w:r>
      <w:r w:rsidRPr="007D156F">
        <w:rPr>
          <w:color w:val="000000"/>
          <w:szCs w:val="24"/>
        </w:rPr>
        <w:t>);</w:t>
      </w:r>
    </w:p>
    <w:p w:rsidR="0045402B" w:rsidRPr="00F6675D" w:rsidRDefault="0045402B" w:rsidP="004137C9">
      <w:pPr>
        <w:pStyle w:val="IntroTo"/>
        <w:numPr>
          <w:ilvl w:val="0"/>
          <w:numId w:val="18"/>
        </w:numPr>
        <w:spacing w:after="240"/>
        <w:jc w:val="both"/>
        <w:rPr>
          <w:color w:val="000000"/>
          <w:szCs w:val="24"/>
        </w:rPr>
      </w:pPr>
      <w:r w:rsidRPr="007A3090">
        <w:rPr>
          <w:color w:val="000000"/>
          <w:szCs w:val="24"/>
        </w:rPr>
        <w:t xml:space="preserve">Financial Sector (Collection of Data) (reporting standard) determination No. </w:t>
      </w:r>
      <w:r>
        <w:rPr>
          <w:color w:val="000000"/>
          <w:szCs w:val="24"/>
        </w:rPr>
        <w:t>58</w:t>
      </w:r>
      <w:r w:rsidRPr="007A3090">
        <w:rPr>
          <w:color w:val="000000"/>
          <w:szCs w:val="24"/>
        </w:rPr>
        <w:t xml:space="preserve"> of 200</w:t>
      </w:r>
      <w:r>
        <w:rPr>
          <w:color w:val="000000"/>
          <w:szCs w:val="24"/>
        </w:rPr>
        <w:t>8, which varied SRS 350.0</w:t>
      </w:r>
      <w:r w:rsidRPr="00F6675D">
        <w:rPr>
          <w:color w:val="000000"/>
          <w:szCs w:val="24"/>
        </w:rPr>
        <w:t xml:space="preserve">; </w:t>
      </w:r>
    </w:p>
    <w:p w:rsidR="000A6107" w:rsidRPr="00845EFE" w:rsidRDefault="000A6107" w:rsidP="00845EFE">
      <w:pPr>
        <w:pStyle w:val="IntroTo"/>
        <w:spacing w:after="240"/>
        <w:jc w:val="both"/>
        <w:rPr>
          <w:b/>
          <w:i/>
          <w:color w:val="000000"/>
          <w:szCs w:val="24"/>
          <w:u w:val="single"/>
        </w:rPr>
      </w:pPr>
      <w:r w:rsidRPr="00845EFE">
        <w:rPr>
          <w:b/>
          <w:i/>
          <w:color w:val="000000"/>
          <w:szCs w:val="24"/>
          <w:u w:val="single"/>
        </w:rPr>
        <w:t xml:space="preserve">Reporting Standards </w:t>
      </w:r>
      <w:r w:rsidR="00121F36" w:rsidRPr="00845EFE">
        <w:rPr>
          <w:b/>
          <w:i/>
          <w:color w:val="000000"/>
          <w:szCs w:val="24"/>
          <w:u w:val="single"/>
        </w:rPr>
        <w:t>that cease to apply on</w:t>
      </w:r>
      <w:r w:rsidRPr="00845EFE">
        <w:rPr>
          <w:b/>
          <w:i/>
          <w:color w:val="000000"/>
          <w:szCs w:val="24"/>
          <w:u w:val="single"/>
        </w:rPr>
        <w:t xml:space="preserve"> 1 July 2014</w:t>
      </w:r>
      <w:r w:rsidR="007D156F" w:rsidRPr="00845EFE">
        <w:rPr>
          <w:b/>
          <w:i/>
          <w:color w:val="000000"/>
          <w:szCs w:val="24"/>
          <w:u w:val="single"/>
        </w:rPr>
        <w:t>:</w:t>
      </w:r>
    </w:p>
    <w:p w:rsidR="007D156F" w:rsidRDefault="0045402B" w:rsidP="004137C9">
      <w:pPr>
        <w:pStyle w:val="IntroTo"/>
        <w:numPr>
          <w:ilvl w:val="0"/>
          <w:numId w:val="18"/>
        </w:numPr>
        <w:spacing w:after="240"/>
        <w:jc w:val="both"/>
        <w:rPr>
          <w:color w:val="000000"/>
          <w:szCs w:val="24"/>
        </w:rPr>
      </w:pPr>
      <w:r w:rsidRPr="00C34A54">
        <w:rPr>
          <w:color w:val="000000"/>
          <w:szCs w:val="24"/>
        </w:rPr>
        <w:t xml:space="preserve">Financial Sector (Collection of Data) determination No. </w:t>
      </w:r>
      <w:r>
        <w:rPr>
          <w:color w:val="000000"/>
          <w:szCs w:val="24"/>
        </w:rPr>
        <w:t>48</w:t>
      </w:r>
      <w:r w:rsidRPr="00C34A54">
        <w:rPr>
          <w:color w:val="000000"/>
          <w:szCs w:val="24"/>
        </w:rPr>
        <w:t xml:space="preserve"> of 2005, including </w:t>
      </w:r>
      <w:r w:rsidRPr="00C34A54">
        <w:rPr>
          <w:i/>
          <w:color w:val="000000"/>
          <w:szCs w:val="24"/>
        </w:rPr>
        <w:t xml:space="preserve">Reporting Standard SRS </w:t>
      </w:r>
      <w:r>
        <w:rPr>
          <w:i/>
          <w:color w:val="000000"/>
          <w:szCs w:val="24"/>
        </w:rPr>
        <w:t>110</w:t>
      </w:r>
      <w:r w:rsidRPr="00C34A54">
        <w:rPr>
          <w:i/>
          <w:color w:val="000000"/>
          <w:szCs w:val="24"/>
        </w:rPr>
        <w:t>.</w:t>
      </w:r>
      <w:r>
        <w:rPr>
          <w:i/>
          <w:color w:val="000000"/>
          <w:szCs w:val="24"/>
        </w:rPr>
        <w:t>1</w:t>
      </w:r>
      <w:r w:rsidRPr="00C34A54">
        <w:rPr>
          <w:i/>
          <w:color w:val="000000"/>
          <w:szCs w:val="24"/>
        </w:rPr>
        <w:t xml:space="preserve"> (2005) S</w:t>
      </w:r>
      <w:r>
        <w:rPr>
          <w:i/>
          <w:color w:val="000000"/>
          <w:szCs w:val="24"/>
        </w:rPr>
        <w:t>elected Disclosure of Investments</w:t>
      </w:r>
      <w:r w:rsidRPr="00C34A54">
        <w:rPr>
          <w:i/>
          <w:color w:val="000000"/>
          <w:szCs w:val="24"/>
        </w:rPr>
        <w:t xml:space="preserve"> </w:t>
      </w:r>
      <w:r w:rsidRPr="00C34A54">
        <w:rPr>
          <w:color w:val="000000"/>
          <w:szCs w:val="24"/>
        </w:rPr>
        <w:t>made under that Determination</w:t>
      </w:r>
      <w:r>
        <w:rPr>
          <w:color w:val="000000"/>
          <w:szCs w:val="24"/>
        </w:rPr>
        <w:t>;</w:t>
      </w:r>
    </w:p>
    <w:p w:rsidR="0045402B" w:rsidRPr="00845EFE" w:rsidRDefault="0045402B" w:rsidP="004137C9">
      <w:pPr>
        <w:pStyle w:val="IntroTo"/>
        <w:numPr>
          <w:ilvl w:val="0"/>
          <w:numId w:val="18"/>
        </w:numPr>
        <w:spacing w:after="240"/>
        <w:jc w:val="both"/>
        <w:rPr>
          <w:color w:val="000000"/>
          <w:szCs w:val="24"/>
        </w:rPr>
      </w:pPr>
      <w:r w:rsidRPr="007D156F">
        <w:rPr>
          <w:color w:val="000000"/>
          <w:szCs w:val="24"/>
        </w:rPr>
        <w:t xml:space="preserve">Financial Sector (Collection of Data) determination No. 49 of 2005, including </w:t>
      </w:r>
      <w:r w:rsidRPr="007D156F">
        <w:rPr>
          <w:i/>
          <w:color w:val="000000"/>
          <w:szCs w:val="24"/>
        </w:rPr>
        <w:t>Reporting Standard SRS 110.</w:t>
      </w:r>
      <w:r w:rsidRPr="00845EFE">
        <w:rPr>
          <w:i/>
          <w:color w:val="000000"/>
          <w:szCs w:val="24"/>
        </w:rPr>
        <w:t xml:space="preserve">2 (2005) Derivative Financial Instruments </w:t>
      </w:r>
      <w:r w:rsidRPr="00845EFE">
        <w:rPr>
          <w:color w:val="000000"/>
          <w:szCs w:val="24"/>
        </w:rPr>
        <w:t>made under that Determination;</w:t>
      </w:r>
    </w:p>
    <w:p w:rsidR="0045402B" w:rsidRDefault="0045402B" w:rsidP="004137C9">
      <w:pPr>
        <w:pStyle w:val="IntroTo"/>
        <w:numPr>
          <w:ilvl w:val="0"/>
          <w:numId w:val="18"/>
        </w:numPr>
        <w:spacing w:after="240"/>
        <w:jc w:val="both"/>
        <w:rPr>
          <w:color w:val="000000"/>
          <w:szCs w:val="24"/>
        </w:rPr>
      </w:pPr>
      <w:r w:rsidRPr="00C34A54">
        <w:rPr>
          <w:color w:val="000000"/>
          <w:szCs w:val="24"/>
        </w:rPr>
        <w:t xml:space="preserve">Financial Sector (Collection of Data) determination No. </w:t>
      </w:r>
      <w:r>
        <w:rPr>
          <w:color w:val="000000"/>
          <w:szCs w:val="24"/>
        </w:rPr>
        <w:t>50</w:t>
      </w:r>
      <w:r w:rsidRPr="00C34A54">
        <w:rPr>
          <w:color w:val="000000"/>
          <w:szCs w:val="24"/>
        </w:rPr>
        <w:t xml:space="preserve"> of 2005, including </w:t>
      </w:r>
      <w:r w:rsidRPr="00C34A54">
        <w:rPr>
          <w:i/>
          <w:color w:val="000000"/>
          <w:szCs w:val="24"/>
        </w:rPr>
        <w:t xml:space="preserve">Reporting Standard SRS </w:t>
      </w:r>
      <w:r>
        <w:rPr>
          <w:i/>
          <w:color w:val="000000"/>
          <w:szCs w:val="24"/>
        </w:rPr>
        <w:t>120</w:t>
      </w:r>
      <w:r w:rsidRPr="00C34A54">
        <w:rPr>
          <w:i/>
          <w:color w:val="000000"/>
          <w:szCs w:val="24"/>
        </w:rPr>
        <w:t xml:space="preserve">.0 (2005) </w:t>
      </w:r>
      <w:r>
        <w:rPr>
          <w:i/>
          <w:color w:val="000000"/>
          <w:szCs w:val="24"/>
        </w:rPr>
        <w:t>Exposure Concentrations</w:t>
      </w:r>
      <w:r w:rsidRPr="00C34A54">
        <w:rPr>
          <w:i/>
          <w:color w:val="000000"/>
          <w:szCs w:val="24"/>
        </w:rPr>
        <w:t xml:space="preserve"> </w:t>
      </w:r>
      <w:r w:rsidRPr="00C34A54">
        <w:rPr>
          <w:color w:val="000000"/>
          <w:szCs w:val="24"/>
        </w:rPr>
        <w:t>made under that Determination</w:t>
      </w:r>
      <w:r>
        <w:rPr>
          <w:color w:val="000000"/>
          <w:szCs w:val="24"/>
        </w:rPr>
        <w:t>;</w:t>
      </w:r>
    </w:p>
    <w:p w:rsidR="0045402B" w:rsidRDefault="0045402B" w:rsidP="004137C9">
      <w:pPr>
        <w:pStyle w:val="IntroTo"/>
        <w:numPr>
          <w:ilvl w:val="0"/>
          <w:numId w:val="18"/>
        </w:numPr>
        <w:spacing w:after="240"/>
        <w:jc w:val="both"/>
        <w:rPr>
          <w:color w:val="000000"/>
          <w:szCs w:val="24"/>
        </w:rPr>
      </w:pPr>
      <w:r w:rsidRPr="00C34A54">
        <w:rPr>
          <w:color w:val="000000"/>
          <w:szCs w:val="24"/>
        </w:rPr>
        <w:t xml:space="preserve">Financial Sector (Collection of Data) determination No. </w:t>
      </w:r>
      <w:r>
        <w:rPr>
          <w:color w:val="000000"/>
          <w:szCs w:val="24"/>
        </w:rPr>
        <w:t>53</w:t>
      </w:r>
      <w:r w:rsidRPr="00C34A54">
        <w:rPr>
          <w:color w:val="000000"/>
          <w:szCs w:val="24"/>
        </w:rPr>
        <w:t xml:space="preserve"> of 2005, including </w:t>
      </w:r>
      <w:r w:rsidRPr="00C34A54">
        <w:rPr>
          <w:i/>
          <w:color w:val="000000"/>
          <w:szCs w:val="24"/>
        </w:rPr>
        <w:t xml:space="preserve">Reporting Standard SRS </w:t>
      </w:r>
      <w:r>
        <w:rPr>
          <w:i/>
          <w:color w:val="000000"/>
          <w:szCs w:val="24"/>
        </w:rPr>
        <w:t>210</w:t>
      </w:r>
      <w:r w:rsidRPr="00C34A54">
        <w:rPr>
          <w:i/>
          <w:color w:val="000000"/>
          <w:szCs w:val="24"/>
        </w:rPr>
        <w:t>.</w:t>
      </w:r>
      <w:r>
        <w:rPr>
          <w:i/>
          <w:color w:val="000000"/>
          <w:szCs w:val="24"/>
        </w:rPr>
        <w:t>1</w:t>
      </w:r>
      <w:r w:rsidRPr="00C34A54">
        <w:rPr>
          <w:i/>
          <w:color w:val="000000"/>
          <w:szCs w:val="24"/>
        </w:rPr>
        <w:t xml:space="preserve"> (2005) S</w:t>
      </w:r>
      <w:r>
        <w:rPr>
          <w:i/>
          <w:color w:val="000000"/>
          <w:szCs w:val="24"/>
        </w:rPr>
        <w:t>elected Disclosure of Investments</w:t>
      </w:r>
      <w:r w:rsidRPr="00C34A54">
        <w:rPr>
          <w:i/>
          <w:color w:val="000000"/>
          <w:szCs w:val="24"/>
        </w:rPr>
        <w:t xml:space="preserve"> </w:t>
      </w:r>
      <w:r w:rsidRPr="00C34A54">
        <w:rPr>
          <w:color w:val="000000"/>
          <w:szCs w:val="24"/>
        </w:rPr>
        <w:t>made under that Determination</w:t>
      </w:r>
      <w:r>
        <w:rPr>
          <w:color w:val="000000"/>
          <w:szCs w:val="24"/>
        </w:rPr>
        <w:t>;</w:t>
      </w:r>
    </w:p>
    <w:p w:rsidR="0045402B" w:rsidRDefault="0045402B" w:rsidP="004137C9">
      <w:pPr>
        <w:pStyle w:val="IntroTo"/>
        <w:numPr>
          <w:ilvl w:val="0"/>
          <w:numId w:val="18"/>
        </w:numPr>
        <w:spacing w:after="240"/>
        <w:jc w:val="both"/>
        <w:rPr>
          <w:color w:val="000000"/>
          <w:szCs w:val="24"/>
        </w:rPr>
      </w:pPr>
      <w:r w:rsidRPr="00C34A54">
        <w:rPr>
          <w:color w:val="000000"/>
          <w:szCs w:val="24"/>
        </w:rPr>
        <w:t xml:space="preserve">Financial Sector (Collection of Data) determination No. </w:t>
      </w:r>
      <w:r>
        <w:rPr>
          <w:color w:val="000000"/>
          <w:szCs w:val="24"/>
        </w:rPr>
        <w:t>54</w:t>
      </w:r>
      <w:r w:rsidRPr="00C34A54">
        <w:rPr>
          <w:color w:val="000000"/>
          <w:szCs w:val="24"/>
        </w:rPr>
        <w:t xml:space="preserve"> of 2005, including </w:t>
      </w:r>
      <w:r w:rsidRPr="00C34A54">
        <w:rPr>
          <w:i/>
          <w:color w:val="000000"/>
          <w:szCs w:val="24"/>
        </w:rPr>
        <w:t xml:space="preserve">Reporting Standard SRS </w:t>
      </w:r>
      <w:r>
        <w:rPr>
          <w:i/>
          <w:color w:val="000000"/>
          <w:szCs w:val="24"/>
        </w:rPr>
        <w:t>210</w:t>
      </w:r>
      <w:r w:rsidRPr="00C34A54">
        <w:rPr>
          <w:i/>
          <w:color w:val="000000"/>
          <w:szCs w:val="24"/>
        </w:rPr>
        <w:t>.</w:t>
      </w:r>
      <w:r>
        <w:rPr>
          <w:i/>
          <w:color w:val="000000"/>
          <w:szCs w:val="24"/>
        </w:rPr>
        <w:t>2</w:t>
      </w:r>
      <w:r w:rsidRPr="00C34A54">
        <w:rPr>
          <w:i/>
          <w:color w:val="000000"/>
          <w:szCs w:val="24"/>
        </w:rPr>
        <w:t xml:space="preserve"> (2005) </w:t>
      </w:r>
      <w:r>
        <w:rPr>
          <w:i/>
          <w:color w:val="000000"/>
          <w:szCs w:val="24"/>
        </w:rPr>
        <w:t>Derivative Financial Instruments</w:t>
      </w:r>
      <w:r w:rsidRPr="00C34A54">
        <w:rPr>
          <w:i/>
          <w:color w:val="000000"/>
          <w:szCs w:val="24"/>
        </w:rPr>
        <w:t xml:space="preserve"> </w:t>
      </w:r>
      <w:r w:rsidRPr="00C34A54">
        <w:rPr>
          <w:color w:val="000000"/>
          <w:szCs w:val="24"/>
        </w:rPr>
        <w:t>made under that Determination</w:t>
      </w:r>
      <w:r>
        <w:rPr>
          <w:color w:val="000000"/>
          <w:szCs w:val="24"/>
        </w:rPr>
        <w:t>;</w:t>
      </w:r>
    </w:p>
    <w:p w:rsidR="0045402B" w:rsidRDefault="0045402B" w:rsidP="004137C9">
      <w:pPr>
        <w:pStyle w:val="IntroTo"/>
        <w:numPr>
          <w:ilvl w:val="0"/>
          <w:numId w:val="18"/>
        </w:numPr>
        <w:spacing w:after="240"/>
        <w:jc w:val="both"/>
        <w:rPr>
          <w:color w:val="000000"/>
          <w:szCs w:val="24"/>
        </w:rPr>
      </w:pPr>
      <w:r w:rsidRPr="00C34A54">
        <w:rPr>
          <w:color w:val="000000"/>
          <w:szCs w:val="24"/>
        </w:rPr>
        <w:t xml:space="preserve">Financial Sector (Collection of Data) determination No. </w:t>
      </w:r>
      <w:r>
        <w:rPr>
          <w:color w:val="000000"/>
          <w:szCs w:val="24"/>
        </w:rPr>
        <w:t>55</w:t>
      </w:r>
      <w:r w:rsidRPr="00C34A54">
        <w:rPr>
          <w:color w:val="000000"/>
          <w:szCs w:val="24"/>
        </w:rPr>
        <w:t xml:space="preserve"> of 2005, including </w:t>
      </w:r>
      <w:r w:rsidRPr="00C34A54">
        <w:rPr>
          <w:i/>
          <w:color w:val="000000"/>
          <w:szCs w:val="24"/>
        </w:rPr>
        <w:t xml:space="preserve">Reporting Standard SRS </w:t>
      </w:r>
      <w:r>
        <w:rPr>
          <w:i/>
          <w:color w:val="000000"/>
          <w:szCs w:val="24"/>
        </w:rPr>
        <w:t>220</w:t>
      </w:r>
      <w:r w:rsidRPr="00C34A54">
        <w:rPr>
          <w:i/>
          <w:color w:val="000000"/>
          <w:szCs w:val="24"/>
        </w:rPr>
        <w:t xml:space="preserve">.0 (2005) </w:t>
      </w:r>
      <w:r>
        <w:rPr>
          <w:i/>
          <w:color w:val="000000"/>
          <w:szCs w:val="24"/>
        </w:rPr>
        <w:t>Exposure Concentrations</w:t>
      </w:r>
      <w:r w:rsidRPr="00C34A54">
        <w:rPr>
          <w:i/>
          <w:color w:val="000000"/>
          <w:szCs w:val="24"/>
        </w:rPr>
        <w:t xml:space="preserve"> </w:t>
      </w:r>
      <w:r w:rsidRPr="00C34A54">
        <w:rPr>
          <w:color w:val="000000"/>
          <w:szCs w:val="24"/>
        </w:rPr>
        <w:t>made under that Determination</w:t>
      </w:r>
      <w:r>
        <w:rPr>
          <w:color w:val="000000"/>
          <w:szCs w:val="24"/>
        </w:rPr>
        <w:t>;</w:t>
      </w:r>
      <w:r w:rsidR="00845EFE">
        <w:rPr>
          <w:color w:val="000000"/>
          <w:szCs w:val="24"/>
        </w:rPr>
        <w:t xml:space="preserve"> and</w:t>
      </w:r>
    </w:p>
    <w:p w:rsidR="00845EFE" w:rsidRDefault="0045402B" w:rsidP="004137C9">
      <w:pPr>
        <w:pStyle w:val="IntroTo"/>
        <w:numPr>
          <w:ilvl w:val="0"/>
          <w:numId w:val="18"/>
        </w:numPr>
        <w:spacing w:after="240"/>
        <w:jc w:val="both"/>
        <w:rPr>
          <w:szCs w:val="24"/>
        </w:rPr>
      </w:pPr>
      <w:r w:rsidRPr="007D156F">
        <w:rPr>
          <w:color w:val="000000"/>
          <w:szCs w:val="24"/>
        </w:rPr>
        <w:t xml:space="preserve">Financial Sector (Collection of Data) determination No. 57 of 2005, including </w:t>
      </w:r>
      <w:r w:rsidRPr="007D156F">
        <w:rPr>
          <w:i/>
          <w:color w:val="000000"/>
          <w:szCs w:val="24"/>
        </w:rPr>
        <w:t xml:space="preserve">Reporting Standard SRS 240.0 (2005) Membership Profile </w:t>
      </w:r>
      <w:r w:rsidRPr="007D156F">
        <w:rPr>
          <w:color w:val="000000"/>
          <w:szCs w:val="24"/>
        </w:rPr>
        <w:t>made under that Determination</w:t>
      </w:r>
      <w:r w:rsidR="00845EFE">
        <w:rPr>
          <w:color w:val="000000"/>
          <w:szCs w:val="24"/>
        </w:rPr>
        <w:t xml:space="preserve">. </w:t>
      </w:r>
    </w:p>
    <w:p w:rsidR="001D6D31" w:rsidRDefault="00252F17" w:rsidP="00845EFE">
      <w:pPr>
        <w:pStyle w:val="IntroTo"/>
        <w:spacing w:after="240"/>
        <w:ind w:left="0" w:firstLine="0"/>
        <w:jc w:val="both"/>
        <w:rPr>
          <w:szCs w:val="24"/>
        </w:rPr>
      </w:pPr>
      <w:r>
        <w:rPr>
          <w:szCs w:val="24"/>
        </w:rPr>
        <w:t xml:space="preserve">The determinations and reporting standards set out in paragraphs </w:t>
      </w:r>
      <w:r w:rsidR="004137C9">
        <w:rPr>
          <w:szCs w:val="24"/>
        </w:rPr>
        <w:t>3</w:t>
      </w:r>
      <w:r w:rsidR="0034240A">
        <w:rPr>
          <w:szCs w:val="24"/>
        </w:rPr>
        <w:t>3</w:t>
      </w:r>
      <w:r w:rsidR="004137C9">
        <w:rPr>
          <w:szCs w:val="24"/>
        </w:rPr>
        <w:t xml:space="preserve"> to </w:t>
      </w:r>
      <w:r w:rsidR="0034240A">
        <w:rPr>
          <w:szCs w:val="24"/>
        </w:rPr>
        <w:t xml:space="preserve">49 </w:t>
      </w:r>
      <w:r>
        <w:rPr>
          <w:szCs w:val="24"/>
        </w:rPr>
        <w:t xml:space="preserve">above are revoked effective 1 July 2013. </w:t>
      </w:r>
      <w:r w:rsidR="001D6D31">
        <w:rPr>
          <w:szCs w:val="24"/>
        </w:rPr>
        <w:t xml:space="preserve">Paragraph 2, and </w:t>
      </w:r>
      <w:r>
        <w:rPr>
          <w:szCs w:val="24"/>
        </w:rPr>
        <w:t>Column 3 of the table</w:t>
      </w:r>
      <w:r w:rsidR="001D6D31">
        <w:rPr>
          <w:szCs w:val="24"/>
        </w:rPr>
        <w:t>, in the determination set</w:t>
      </w:r>
      <w:r>
        <w:rPr>
          <w:szCs w:val="24"/>
        </w:rPr>
        <w:t xml:space="preserve"> out certain transitional provisions </w:t>
      </w:r>
      <w:r w:rsidR="001D6D31">
        <w:rPr>
          <w:szCs w:val="24"/>
        </w:rPr>
        <w:t>requiring relevant trustees to</w:t>
      </w:r>
      <w:r>
        <w:rPr>
          <w:szCs w:val="24"/>
        </w:rPr>
        <w:t xml:space="preserve"> report</w:t>
      </w:r>
      <w:r w:rsidR="001D6D31">
        <w:rPr>
          <w:szCs w:val="24"/>
        </w:rPr>
        <w:t xml:space="preserve"> under each revoked standard</w:t>
      </w:r>
      <w:r>
        <w:rPr>
          <w:szCs w:val="24"/>
        </w:rPr>
        <w:t xml:space="preserve"> in respect of </w:t>
      </w:r>
      <w:r w:rsidR="00121F36">
        <w:rPr>
          <w:szCs w:val="24"/>
        </w:rPr>
        <w:t>any</w:t>
      </w:r>
      <w:r>
        <w:rPr>
          <w:szCs w:val="24"/>
        </w:rPr>
        <w:t xml:space="preserve"> reporting period </w:t>
      </w:r>
      <w:r w:rsidR="00121F36">
        <w:rPr>
          <w:szCs w:val="24"/>
        </w:rPr>
        <w:t xml:space="preserve">that ended on or before 30 June 2013 within the time required under the standard (if the trustee has not already reported).  </w:t>
      </w:r>
    </w:p>
    <w:p w:rsidR="00121F36" w:rsidRDefault="00121F36" w:rsidP="007D156F">
      <w:pPr>
        <w:pStyle w:val="ListParagraph"/>
        <w:spacing w:after="240"/>
        <w:ind w:left="0"/>
        <w:jc w:val="both"/>
        <w:rPr>
          <w:sz w:val="24"/>
          <w:szCs w:val="24"/>
        </w:rPr>
      </w:pPr>
      <w:r>
        <w:rPr>
          <w:sz w:val="24"/>
          <w:szCs w:val="24"/>
        </w:rPr>
        <w:t xml:space="preserve">For example, if a trustee has been required to report under </w:t>
      </w:r>
      <w:r>
        <w:rPr>
          <w:i/>
          <w:sz w:val="24"/>
          <w:szCs w:val="24"/>
        </w:rPr>
        <w:t>Reporting Standard SRS 100.0 (2005) Statement of Financial Performance</w:t>
      </w:r>
      <w:r>
        <w:rPr>
          <w:sz w:val="24"/>
          <w:szCs w:val="24"/>
        </w:rPr>
        <w:t>, and the</w:t>
      </w:r>
      <w:r w:rsidR="001D6D31">
        <w:rPr>
          <w:sz w:val="24"/>
          <w:szCs w:val="24"/>
        </w:rPr>
        <w:t xml:space="preserve"> relevant</w:t>
      </w:r>
      <w:r>
        <w:rPr>
          <w:sz w:val="24"/>
          <w:szCs w:val="24"/>
        </w:rPr>
        <w:t xml:space="preserve"> superannuation entity has a</w:t>
      </w:r>
      <w:r w:rsidR="00845EFE">
        <w:rPr>
          <w:sz w:val="24"/>
          <w:szCs w:val="24"/>
        </w:rPr>
        <w:t xml:space="preserve"> year of income of</w:t>
      </w:r>
      <w:r>
        <w:rPr>
          <w:sz w:val="24"/>
          <w:szCs w:val="24"/>
        </w:rPr>
        <w:t xml:space="preserve"> 1 July </w:t>
      </w:r>
      <w:r w:rsidR="00845EFE">
        <w:rPr>
          <w:sz w:val="24"/>
          <w:szCs w:val="24"/>
        </w:rPr>
        <w:t xml:space="preserve">to </w:t>
      </w:r>
      <w:r>
        <w:rPr>
          <w:sz w:val="24"/>
          <w:szCs w:val="24"/>
        </w:rPr>
        <w:t>30 June, then, despite the revocation of the reporting standard, the trustee must report in respect of the quarter ending 30 June 2013 within the time (25 business days)</w:t>
      </w:r>
      <w:r w:rsidR="001D6D31">
        <w:rPr>
          <w:sz w:val="24"/>
          <w:szCs w:val="24"/>
        </w:rPr>
        <w:t xml:space="preserve"> referred to in the standard</w:t>
      </w:r>
      <w:r>
        <w:rPr>
          <w:sz w:val="24"/>
          <w:szCs w:val="24"/>
        </w:rPr>
        <w:t xml:space="preserve">.    </w:t>
      </w:r>
    </w:p>
    <w:p w:rsidR="00252F17" w:rsidRDefault="00121F36" w:rsidP="007D156F">
      <w:pPr>
        <w:pStyle w:val="ListParagraph"/>
        <w:spacing w:after="240"/>
        <w:ind w:left="0"/>
        <w:jc w:val="both"/>
        <w:rPr>
          <w:sz w:val="24"/>
          <w:szCs w:val="24"/>
        </w:rPr>
      </w:pPr>
      <w:r>
        <w:rPr>
          <w:sz w:val="24"/>
          <w:szCs w:val="24"/>
        </w:rPr>
        <w:t xml:space="preserve">The reporting standards set out in paragraphs </w:t>
      </w:r>
      <w:r w:rsidR="0034240A">
        <w:rPr>
          <w:sz w:val="24"/>
          <w:szCs w:val="24"/>
        </w:rPr>
        <w:t xml:space="preserve">50 </w:t>
      </w:r>
      <w:r>
        <w:rPr>
          <w:sz w:val="24"/>
          <w:szCs w:val="24"/>
        </w:rPr>
        <w:t xml:space="preserve">to </w:t>
      </w:r>
      <w:r w:rsidR="0034240A">
        <w:rPr>
          <w:sz w:val="24"/>
          <w:szCs w:val="24"/>
        </w:rPr>
        <w:t xml:space="preserve">56 </w:t>
      </w:r>
      <w:r>
        <w:rPr>
          <w:sz w:val="24"/>
          <w:szCs w:val="24"/>
        </w:rPr>
        <w:t xml:space="preserve">are revoked effective 1 July 2014.  Column 3 of the table sets out similar transitional provisions to those described </w:t>
      </w:r>
      <w:r>
        <w:rPr>
          <w:sz w:val="24"/>
          <w:szCs w:val="24"/>
        </w:rPr>
        <w:lastRenderedPageBreak/>
        <w:t xml:space="preserve">above except they preserve the obligation to report in respect </w:t>
      </w:r>
      <w:r w:rsidR="001D6D31">
        <w:rPr>
          <w:sz w:val="24"/>
          <w:szCs w:val="24"/>
        </w:rPr>
        <w:t xml:space="preserve">of </w:t>
      </w:r>
      <w:r>
        <w:rPr>
          <w:sz w:val="24"/>
          <w:szCs w:val="24"/>
        </w:rPr>
        <w:t>any reporting period under the standard that ended on or before 30 June 2014 within the time required by the revoked standard (provided the trustee has not already reported).</w:t>
      </w:r>
      <w:r w:rsidR="00252F17">
        <w:rPr>
          <w:sz w:val="24"/>
          <w:szCs w:val="24"/>
        </w:rPr>
        <w:t xml:space="preserve">  </w:t>
      </w:r>
    </w:p>
    <w:p w:rsidR="001D6D31" w:rsidRDefault="001D6D31" w:rsidP="007D156F">
      <w:pPr>
        <w:pStyle w:val="ListParagraph"/>
        <w:spacing w:after="240"/>
        <w:ind w:left="0"/>
        <w:jc w:val="both"/>
        <w:rPr>
          <w:sz w:val="24"/>
          <w:szCs w:val="24"/>
        </w:rPr>
      </w:pPr>
      <w:r>
        <w:rPr>
          <w:sz w:val="24"/>
          <w:szCs w:val="24"/>
        </w:rPr>
        <w:t xml:space="preserve">In summary, these transitional provisions are not intended to impose substantive new obligations or to duplicate existing obligations. Rather, they are intended to preserve accrued obligations to report under revoked standards to ensure there is no gap in coverage between the data collected under the revoked standards and that collected under the new standards. </w:t>
      </w:r>
    </w:p>
    <w:p w:rsidR="001D6126" w:rsidRPr="00845EFE" w:rsidRDefault="00825478" w:rsidP="007D156F">
      <w:pPr>
        <w:pStyle w:val="Heading"/>
        <w:numPr>
          <w:ilvl w:val="0"/>
          <w:numId w:val="1"/>
        </w:numPr>
        <w:spacing w:before="0" w:after="240"/>
        <w:ind w:left="567" w:hanging="567"/>
        <w:jc w:val="both"/>
        <w:rPr>
          <w:sz w:val="24"/>
          <w:szCs w:val="24"/>
        </w:rPr>
      </w:pPr>
      <w:r w:rsidRPr="00845EFE">
        <w:rPr>
          <w:sz w:val="24"/>
          <w:szCs w:val="24"/>
        </w:rPr>
        <w:t>Background</w:t>
      </w:r>
      <w:bookmarkStart w:id="5" w:name="bkBackground"/>
      <w:bookmarkEnd w:id="5"/>
    </w:p>
    <w:p w:rsidR="003D3E59" w:rsidRPr="003D3E59" w:rsidRDefault="003D3E59" w:rsidP="007D156F">
      <w:pPr>
        <w:spacing w:after="240"/>
        <w:jc w:val="both"/>
      </w:pPr>
      <w:r w:rsidRPr="003D3E59">
        <w:t>APRA is empowered to make reporting standards under FSCODA, which require regulated institutions, including RSE licensees</w:t>
      </w:r>
      <w:r w:rsidR="00845EFE">
        <w:t>,</w:t>
      </w:r>
      <w:r w:rsidRPr="003D3E59">
        <w:t xml:space="preserve"> to submit specified data through various reporting forms. Data from these forms are used internally to assist APRA’s supervisory functions and by other agencies such as the Australian Bureau of Statistics </w:t>
      </w:r>
      <w:r w:rsidR="00845EFE">
        <w:t>and the Australian Securities and Investments Commission</w:t>
      </w:r>
      <w:r w:rsidRPr="003D3E59">
        <w:t>. APRA also collates and publishes statistical information and analysis using data from these reporting forms.</w:t>
      </w:r>
    </w:p>
    <w:p w:rsidR="003D3E59" w:rsidRPr="003D3E59" w:rsidRDefault="003D3E59" w:rsidP="007D156F">
      <w:pPr>
        <w:spacing w:after="240"/>
        <w:jc w:val="both"/>
      </w:pPr>
      <w:r w:rsidRPr="003D3E59">
        <w:t>In 2012, legislative reforms</w:t>
      </w:r>
      <w:r w:rsidR="00C0237D">
        <w:rPr>
          <w:rStyle w:val="FootnoteReference"/>
        </w:rPr>
        <w:footnoteReference w:id="1"/>
      </w:r>
      <w:r w:rsidRPr="003D3E59">
        <w:t xml:space="preserve"> granted APRA the power to make prudential standards for the superannuation  industry,  extended  its  existing  powers  to  collect  data  under  FSCODA and imposed additional publication obligations on APRA. These measures were introduced in response to recommendations contained in the June 2010 report of the Review into the Governance, Efficiency, Structure and Operation of Australia’s Superannuation System (Super System Review).</w:t>
      </w:r>
      <w:r w:rsidR="00C0237D">
        <w:t xml:space="preserve"> </w:t>
      </w:r>
    </w:p>
    <w:p w:rsidR="003D3E59" w:rsidRPr="003D3E59" w:rsidRDefault="003D3E59" w:rsidP="007D156F">
      <w:pPr>
        <w:spacing w:after="240"/>
        <w:jc w:val="both"/>
      </w:pPr>
      <w:r w:rsidRPr="003D3E59">
        <w:t xml:space="preserve">In November 2012, APRA </w:t>
      </w:r>
      <w:r w:rsidR="001D6D31">
        <w:t>determined</w:t>
      </w:r>
      <w:r w:rsidR="001D6D31" w:rsidRPr="003D3E59">
        <w:t xml:space="preserve"> </w:t>
      </w:r>
      <w:r w:rsidRPr="003D3E59">
        <w:t>a suite of prudential standards applying to RSE licensees that implement the Government’s Stronger Super reforms</w:t>
      </w:r>
      <w:r w:rsidR="001D6D31">
        <w:t xml:space="preserve"> (which followed the Super System Review)</w:t>
      </w:r>
      <w:r w:rsidRPr="003D3E59">
        <w:t>. The reporting standards complement those prudential standards and will enable APRA to meet its new legislative obligations</w:t>
      </w:r>
      <w:r w:rsidR="00C0237D">
        <w:t xml:space="preserve"> (including to publish MySuper data under new section 348A</w:t>
      </w:r>
      <w:r w:rsidR="00C0237D">
        <w:rPr>
          <w:rStyle w:val="FootnoteReference"/>
        </w:rPr>
        <w:footnoteReference w:id="2"/>
      </w:r>
      <w:r w:rsidR="00C0237D">
        <w:t xml:space="preserve"> of the </w:t>
      </w:r>
      <w:r w:rsidR="00C0237D">
        <w:rPr>
          <w:i/>
        </w:rPr>
        <w:t>Superannuation Industry (Supervision) Act 1993</w:t>
      </w:r>
      <w:r w:rsidR="00C0237D">
        <w:t>)</w:t>
      </w:r>
      <w:r w:rsidRPr="003D3E59">
        <w:t xml:space="preserve"> and to strengthen its prudential oversight of the superannuation industry. The reforms also assist APRA in fulfilling its role as national statistical agency for the Australian financial sector</w:t>
      </w:r>
      <w:r w:rsidR="00741547">
        <w:t xml:space="preserve"> and promote transparency and comparability within the superannuation industry</w:t>
      </w:r>
      <w:r w:rsidRPr="003D3E59">
        <w:t>.</w:t>
      </w:r>
    </w:p>
    <w:p w:rsidR="005941E1" w:rsidRPr="003F7530" w:rsidRDefault="00825478" w:rsidP="00845EFE">
      <w:pPr>
        <w:pStyle w:val="Heading"/>
        <w:numPr>
          <w:ilvl w:val="0"/>
          <w:numId w:val="1"/>
        </w:numPr>
        <w:spacing w:before="0" w:after="240"/>
        <w:ind w:left="567" w:hanging="567"/>
        <w:jc w:val="both"/>
        <w:rPr>
          <w:rFonts w:cs="Times New Roman"/>
          <w:sz w:val="24"/>
          <w:szCs w:val="24"/>
        </w:rPr>
      </w:pPr>
      <w:r w:rsidRPr="003F7530">
        <w:rPr>
          <w:rFonts w:cs="Times New Roman"/>
          <w:sz w:val="24"/>
          <w:szCs w:val="24"/>
        </w:rPr>
        <w:t xml:space="preserve">Purpose </w:t>
      </w:r>
      <w:r w:rsidR="002960FC" w:rsidRPr="003F7530">
        <w:rPr>
          <w:rFonts w:cs="Times New Roman"/>
          <w:sz w:val="24"/>
          <w:szCs w:val="24"/>
        </w:rPr>
        <w:t xml:space="preserve">and operation </w:t>
      </w:r>
      <w:r w:rsidRPr="003F7530">
        <w:rPr>
          <w:rFonts w:cs="Times New Roman"/>
          <w:sz w:val="24"/>
          <w:szCs w:val="24"/>
        </w:rPr>
        <w:t>of the instruments</w:t>
      </w:r>
    </w:p>
    <w:p w:rsidR="003D3E59" w:rsidRDefault="0028530F" w:rsidP="00845EFE">
      <w:pPr>
        <w:spacing w:after="240"/>
        <w:jc w:val="both"/>
        <w:rPr>
          <w:lang w:eastAsia="en-AU"/>
        </w:rPr>
      </w:pPr>
      <w:bookmarkStart w:id="6" w:name="bkPurpose"/>
      <w:bookmarkEnd w:id="6"/>
      <w:r w:rsidRPr="0028530F">
        <w:rPr>
          <w:lang w:eastAsia="en-AU"/>
        </w:rPr>
        <w:t xml:space="preserve">The purpose of making the instruments is to introduce new reporting standards and to revoke existing reporting standards in relation to RSE licensees in order to implement the Government’s Stronger Super reforms, strengthen supervision of the </w:t>
      </w:r>
      <w:r w:rsidRPr="0028530F">
        <w:rPr>
          <w:lang w:eastAsia="en-AU"/>
        </w:rPr>
        <w:lastRenderedPageBreak/>
        <w:t>superannuation industry, meet the requirements of users of data collected by APRA in its role as a national statistical collection agency and promote transparency and comparability within the superannuation industry.</w:t>
      </w:r>
    </w:p>
    <w:p w:rsidR="00562C29" w:rsidRDefault="00587F30" w:rsidP="00845EFE">
      <w:pPr>
        <w:spacing w:after="240"/>
        <w:jc w:val="both"/>
        <w:rPr>
          <w:lang w:eastAsia="en-AU"/>
        </w:rPr>
      </w:pPr>
      <w:r>
        <w:rPr>
          <w:lang w:eastAsia="en-AU"/>
        </w:rPr>
        <w:t>The implementation of the Government’s Stronger Super reforms requires substantive changes to the reporting requirements for RSE licensees.</w:t>
      </w:r>
      <w:r w:rsidR="00562C29">
        <w:rPr>
          <w:lang w:eastAsia="en-AU"/>
        </w:rPr>
        <w:t xml:space="preserve"> APRA has also taken the opportunity to make improvements to the reporting requirements of RSE licensees by implementing a number of </w:t>
      </w:r>
      <w:r w:rsidR="003A3C6D">
        <w:rPr>
          <w:lang w:eastAsia="en-AU"/>
        </w:rPr>
        <w:t>changes</w:t>
      </w:r>
      <w:r w:rsidR="00562C29">
        <w:rPr>
          <w:lang w:eastAsia="en-AU"/>
        </w:rPr>
        <w:t xml:space="preserve"> to enhance APRA’s superannuation statistical publications.</w:t>
      </w:r>
      <w:r w:rsidR="00F87C36">
        <w:rPr>
          <w:lang w:eastAsia="en-AU"/>
        </w:rPr>
        <w:t xml:space="preserve"> </w:t>
      </w:r>
    </w:p>
    <w:p w:rsidR="00587F30" w:rsidRDefault="00F87C36" w:rsidP="00845EFE">
      <w:pPr>
        <w:spacing w:after="240"/>
        <w:jc w:val="both"/>
        <w:rPr>
          <w:lang w:eastAsia="en-AU"/>
        </w:rPr>
      </w:pPr>
      <w:r>
        <w:rPr>
          <w:lang w:eastAsia="en-AU"/>
        </w:rPr>
        <w:t xml:space="preserve">The changes to the reporting requirements </w:t>
      </w:r>
      <w:r w:rsidR="00652609">
        <w:rPr>
          <w:lang w:eastAsia="en-AU"/>
        </w:rPr>
        <w:t xml:space="preserve">have been made to </w:t>
      </w:r>
      <w:r w:rsidR="00111296">
        <w:rPr>
          <w:lang w:eastAsia="en-AU"/>
        </w:rPr>
        <w:t xml:space="preserve">provide APRA with </w:t>
      </w:r>
      <w:r w:rsidR="00652609">
        <w:rPr>
          <w:lang w:eastAsia="en-AU"/>
        </w:rPr>
        <w:t xml:space="preserve">information on </w:t>
      </w:r>
      <w:r>
        <w:rPr>
          <w:lang w:eastAsia="en-AU"/>
        </w:rPr>
        <w:t>the following</w:t>
      </w:r>
      <w:r w:rsidR="003E436B">
        <w:rPr>
          <w:lang w:eastAsia="en-AU"/>
        </w:rPr>
        <w:t xml:space="preserve"> key areas</w:t>
      </w:r>
      <w:r>
        <w:rPr>
          <w:lang w:eastAsia="en-AU"/>
        </w:rPr>
        <w:t>:</w:t>
      </w:r>
    </w:p>
    <w:p w:rsidR="000F0CE7" w:rsidRPr="00F87C36" w:rsidRDefault="00111296" w:rsidP="00845EFE">
      <w:pPr>
        <w:pStyle w:val="ListParagraph"/>
        <w:numPr>
          <w:ilvl w:val="0"/>
          <w:numId w:val="30"/>
        </w:numPr>
        <w:spacing w:after="240"/>
        <w:jc w:val="both"/>
        <w:rPr>
          <w:sz w:val="24"/>
          <w:szCs w:val="24"/>
        </w:rPr>
      </w:pPr>
      <w:r>
        <w:rPr>
          <w:sz w:val="24"/>
          <w:szCs w:val="24"/>
        </w:rPr>
        <w:t>i</w:t>
      </w:r>
      <w:r w:rsidR="000F0CE7" w:rsidRPr="00F87C36">
        <w:rPr>
          <w:sz w:val="24"/>
          <w:szCs w:val="24"/>
        </w:rPr>
        <w:t>nvestment and sub-fund reporting</w:t>
      </w:r>
      <w:r>
        <w:rPr>
          <w:sz w:val="24"/>
          <w:szCs w:val="24"/>
        </w:rPr>
        <w:t>;</w:t>
      </w:r>
    </w:p>
    <w:p w:rsidR="000F0CE7" w:rsidRPr="00F87C36" w:rsidRDefault="00111296" w:rsidP="00AA37DB">
      <w:pPr>
        <w:pStyle w:val="ListParagraph"/>
        <w:numPr>
          <w:ilvl w:val="0"/>
          <w:numId w:val="30"/>
        </w:numPr>
        <w:spacing w:after="240"/>
        <w:jc w:val="both"/>
        <w:rPr>
          <w:sz w:val="24"/>
          <w:szCs w:val="24"/>
        </w:rPr>
      </w:pPr>
      <w:r>
        <w:rPr>
          <w:sz w:val="24"/>
          <w:szCs w:val="24"/>
        </w:rPr>
        <w:t>c</w:t>
      </w:r>
      <w:r w:rsidR="000F0CE7" w:rsidRPr="00F87C36">
        <w:rPr>
          <w:sz w:val="24"/>
          <w:szCs w:val="24"/>
        </w:rPr>
        <w:t>ompliance with prudential standards</w:t>
      </w:r>
      <w:r>
        <w:rPr>
          <w:sz w:val="24"/>
          <w:szCs w:val="24"/>
        </w:rPr>
        <w:t>;</w:t>
      </w:r>
    </w:p>
    <w:p w:rsidR="000F0CE7" w:rsidRPr="00F87C36" w:rsidRDefault="00111296" w:rsidP="00AA37DB">
      <w:pPr>
        <w:pStyle w:val="ListParagraph"/>
        <w:numPr>
          <w:ilvl w:val="0"/>
          <w:numId w:val="30"/>
        </w:numPr>
        <w:spacing w:after="240"/>
        <w:jc w:val="both"/>
        <w:rPr>
          <w:sz w:val="24"/>
          <w:szCs w:val="24"/>
        </w:rPr>
      </w:pPr>
      <w:r>
        <w:rPr>
          <w:sz w:val="24"/>
          <w:szCs w:val="24"/>
        </w:rPr>
        <w:t>f</w:t>
      </w:r>
      <w:r w:rsidR="000F0CE7" w:rsidRPr="00F87C36">
        <w:rPr>
          <w:sz w:val="24"/>
          <w:szCs w:val="24"/>
        </w:rPr>
        <w:t>inancial position and performance</w:t>
      </w:r>
      <w:r>
        <w:rPr>
          <w:sz w:val="24"/>
          <w:szCs w:val="24"/>
        </w:rPr>
        <w:t xml:space="preserve">; and </w:t>
      </w:r>
    </w:p>
    <w:p w:rsidR="007D1DFE" w:rsidRDefault="00111296" w:rsidP="00533FD5">
      <w:pPr>
        <w:pStyle w:val="ListParagraph"/>
        <w:numPr>
          <w:ilvl w:val="0"/>
          <w:numId w:val="30"/>
        </w:numPr>
        <w:spacing w:after="240"/>
        <w:jc w:val="both"/>
        <w:rPr>
          <w:sz w:val="24"/>
          <w:szCs w:val="24"/>
        </w:rPr>
      </w:pPr>
      <w:r>
        <w:rPr>
          <w:sz w:val="24"/>
          <w:szCs w:val="24"/>
        </w:rPr>
        <w:t>p</w:t>
      </w:r>
      <w:r w:rsidR="000F0CE7" w:rsidRPr="00F87C36">
        <w:rPr>
          <w:sz w:val="24"/>
          <w:szCs w:val="24"/>
        </w:rPr>
        <w:t>rofile and demographics of RSE licensees, RSEs and members</w:t>
      </w:r>
      <w:r>
        <w:rPr>
          <w:sz w:val="24"/>
          <w:szCs w:val="24"/>
        </w:rPr>
        <w:t>.</w:t>
      </w:r>
    </w:p>
    <w:p w:rsidR="007D1DFE" w:rsidRPr="007D1DFE" w:rsidRDefault="007D1DFE" w:rsidP="00533FD5">
      <w:pPr>
        <w:spacing w:after="240"/>
        <w:jc w:val="both"/>
      </w:pPr>
      <w:r>
        <w:t>The changes to the reporting requirements for RSE licensees require a significant increase in the volume of data to be reported to APRA particularly in relation to investments, investment performance and fees</w:t>
      </w:r>
      <w:r w:rsidRPr="00DD5346">
        <w:t>.</w:t>
      </w:r>
      <w:r w:rsidR="009F79EF" w:rsidRPr="00DD5346">
        <w:t xml:space="preserve"> </w:t>
      </w:r>
      <w:r w:rsidR="007B4814" w:rsidRPr="00DD5346">
        <w:t>This includes</w:t>
      </w:r>
      <w:r w:rsidR="00DD5346">
        <w:t xml:space="preserve"> </w:t>
      </w:r>
      <w:r w:rsidR="006727CA">
        <w:t xml:space="preserve">investment option </w:t>
      </w:r>
      <w:r w:rsidR="003C3DE4">
        <w:t>and sub-fund information which has not previously been collected by APRA.</w:t>
      </w:r>
    </w:p>
    <w:p w:rsidR="00B659DF" w:rsidRPr="00B659DF" w:rsidRDefault="00B659DF" w:rsidP="00533FD5">
      <w:pPr>
        <w:spacing w:after="240"/>
        <w:jc w:val="both"/>
      </w:pPr>
      <w:r w:rsidRPr="00B659DF">
        <w:t xml:space="preserve">The new reporting standards and associated reporting forms are issued under FSCODA. These reporting standards enable the reporting requirements of the revised prudential framework to take effect. </w:t>
      </w:r>
    </w:p>
    <w:p w:rsidR="00B659DF" w:rsidRDefault="00B659DF" w:rsidP="00533FD5">
      <w:pPr>
        <w:spacing w:after="240"/>
        <w:jc w:val="both"/>
      </w:pPr>
      <w:r>
        <w:t xml:space="preserve">The </w:t>
      </w:r>
      <w:r w:rsidR="00D74B7E">
        <w:t xml:space="preserve">collection of data under the new superannuation reporting requirements is </w:t>
      </w:r>
      <w:r>
        <w:t>staggered</w:t>
      </w:r>
      <w:r w:rsidR="000D5FF9">
        <w:t xml:space="preserve"> over the period from 1 July 2013 to 1 July 2014. </w:t>
      </w:r>
    </w:p>
    <w:p w:rsidR="00E30739" w:rsidRPr="00111296" w:rsidRDefault="00D85460" w:rsidP="00533FD5">
      <w:pPr>
        <w:spacing w:after="240"/>
        <w:jc w:val="both"/>
      </w:pPr>
      <w:r>
        <w:t xml:space="preserve">The new reporting standards listed in paragraphs 15, 16, 17, 18, 19 and </w:t>
      </w:r>
      <w:r w:rsidR="00835239">
        <w:t xml:space="preserve">31 </w:t>
      </w:r>
      <w:r w:rsidR="00E30739">
        <w:t>include items requiring look-through reporting in reliance on subsections 13(4A) to (4C) of FSCODA.</w:t>
      </w:r>
      <w:r w:rsidR="00E30739">
        <w:rPr>
          <w:rStyle w:val="FootnoteReference"/>
        </w:rPr>
        <w:footnoteReference w:id="3"/>
      </w:r>
      <w:r w:rsidR="007020D3">
        <w:t xml:space="preserve"> Consequently, notification </w:t>
      </w:r>
      <w:r w:rsidR="004D19E0">
        <w:t>requirements apply under subsection (3B) where assets of an RSE licensee (or assets derived from such assets) are invested, and the party investing those assets must provide information about those investments.</w:t>
      </w:r>
    </w:p>
    <w:p w:rsidR="008B7528" w:rsidRPr="003F7530" w:rsidRDefault="00825478" w:rsidP="00533FD5">
      <w:pPr>
        <w:pStyle w:val="Heading"/>
        <w:numPr>
          <w:ilvl w:val="0"/>
          <w:numId w:val="1"/>
        </w:numPr>
        <w:spacing w:before="0" w:after="240"/>
        <w:jc w:val="both"/>
        <w:rPr>
          <w:rFonts w:cs="Times New Roman"/>
          <w:sz w:val="24"/>
          <w:szCs w:val="24"/>
        </w:rPr>
      </w:pPr>
      <w:bookmarkStart w:id="7" w:name="bkoperation"/>
      <w:bookmarkEnd w:id="7"/>
      <w:r w:rsidRPr="003F7530">
        <w:rPr>
          <w:rFonts w:cs="Times New Roman"/>
          <w:sz w:val="24"/>
          <w:szCs w:val="24"/>
        </w:rPr>
        <w:t>Consultation</w:t>
      </w:r>
    </w:p>
    <w:p w:rsidR="001365CA" w:rsidRPr="002E50B9" w:rsidRDefault="001365CA" w:rsidP="00533FD5">
      <w:pPr>
        <w:pStyle w:val="Heading"/>
        <w:keepNext w:val="0"/>
        <w:spacing w:after="240"/>
        <w:jc w:val="both"/>
        <w:rPr>
          <w:rFonts w:cs="Times New Roman"/>
          <w:b w:val="0"/>
          <w:kern w:val="0"/>
          <w:sz w:val="24"/>
          <w:szCs w:val="24"/>
          <w:lang w:val="en-GB"/>
        </w:rPr>
      </w:pPr>
      <w:bookmarkStart w:id="8" w:name="bkConsultation"/>
      <w:bookmarkEnd w:id="8"/>
      <w:r w:rsidRPr="002E50B9">
        <w:rPr>
          <w:rFonts w:cs="Times New Roman"/>
          <w:b w:val="0"/>
          <w:kern w:val="0"/>
          <w:sz w:val="24"/>
          <w:szCs w:val="24"/>
          <w:lang w:val="en-GB"/>
        </w:rPr>
        <w:t>APRA has consulted extensively on the proposed reporting standards since the beginning of 2012, including:</w:t>
      </w:r>
    </w:p>
    <w:p w:rsidR="00493D60" w:rsidRPr="004A344C" w:rsidRDefault="00533FD5" w:rsidP="00533FD5">
      <w:pPr>
        <w:pStyle w:val="Heading"/>
        <w:keepNext w:val="0"/>
        <w:numPr>
          <w:ilvl w:val="0"/>
          <w:numId w:val="29"/>
        </w:numPr>
        <w:spacing w:after="240"/>
        <w:jc w:val="both"/>
        <w:rPr>
          <w:rFonts w:cs="Times New Roman"/>
          <w:b w:val="0"/>
          <w:kern w:val="0"/>
          <w:sz w:val="24"/>
          <w:szCs w:val="24"/>
          <w:lang w:val="en-GB"/>
        </w:rPr>
      </w:pPr>
      <w:r>
        <w:rPr>
          <w:rFonts w:cs="Times New Roman"/>
          <w:b w:val="0"/>
          <w:kern w:val="0"/>
          <w:sz w:val="24"/>
          <w:szCs w:val="24"/>
          <w:lang w:val="en-GB"/>
        </w:rPr>
        <w:lastRenderedPageBreak/>
        <w:t xml:space="preserve">preliminary </w:t>
      </w:r>
      <w:r w:rsidR="003F4D73" w:rsidRPr="004A344C">
        <w:rPr>
          <w:rFonts w:cs="Times New Roman"/>
          <w:b w:val="0"/>
          <w:kern w:val="0"/>
          <w:sz w:val="24"/>
          <w:szCs w:val="24"/>
          <w:lang w:val="en-GB"/>
        </w:rPr>
        <w:t>consultation undertaken in early 2012</w:t>
      </w:r>
      <w:r w:rsidR="005C6D5F" w:rsidRPr="004A344C">
        <w:rPr>
          <w:rFonts w:cs="Times New Roman"/>
          <w:b w:val="0"/>
          <w:kern w:val="0"/>
          <w:sz w:val="24"/>
          <w:szCs w:val="24"/>
          <w:lang w:val="en-GB"/>
        </w:rPr>
        <w:t xml:space="preserve"> with a small number of external users including large administrators, custodians, acc</w:t>
      </w:r>
      <w:r w:rsidR="00415EAB" w:rsidRPr="004A344C">
        <w:rPr>
          <w:rFonts w:cs="Times New Roman"/>
          <w:b w:val="0"/>
          <w:kern w:val="0"/>
          <w:sz w:val="24"/>
          <w:szCs w:val="24"/>
          <w:lang w:val="en-GB"/>
        </w:rPr>
        <w:t>ounting firms and RSE licensees;</w:t>
      </w:r>
    </w:p>
    <w:p w:rsidR="001365CA" w:rsidRPr="002E50B9" w:rsidRDefault="001365CA" w:rsidP="00533FD5">
      <w:pPr>
        <w:pStyle w:val="Heading"/>
        <w:keepNext w:val="0"/>
        <w:numPr>
          <w:ilvl w:val="0"/>
          <w:numId w:val="29"/>
        </w:numPr>
        <w:spacing w:after="240"/>
        <w:jc w:val="both"/>
        <w:rPr>
          <w:rFonts w:cs="Times New Roman"/>
          <w:b w:val="0"/>
          <w:kern w:val="0"/>
          <w:sz w:val="24"/>
          <w:szCs w:val="24"/>
          <w:lang w:val="en-GB"/>
        </w:rPr>
      </w:pPr>
      <w:r w:rsidRPr="002E50B9">
        <w:rPr>
          <w:rFonts w:cs="Times New Roman"/>
          <w:b w:val="0"/>
          <w:kern w:val="0"/>
          <w:sz w:val="24"/>
          <w:szCs w:val="24"/>
          <w:lang w:val="en-GB"/>
        </w:rPr>
        <w:t xml:space="preserve">release of a discussion paper, </w:t>
      </w:r>
      <w:r w:rsidRPr="009973CB">
        <w:rPr>
          <w:rFonts w:cs="Times New Roman"/>
          <w:b w:val="0"/>
          <w:i/>
          <w:kern w:val="0"/>
          <w:sz w:val="24"/>
          <w:szCs w:val="24"/>
          <w:lang w:val="en-GB"/>
        </w:rPr>
        <w:t>Reporting standards for superannuation</w:t>
      </w:r>
      <w:r w:rsidRPr="002E50B9">
        <w:rPr>
          <w:rFonts w:cs="Times New Roman"/>
          <w:b w:val="0"/>
          <w:kern w:val="0"/>
          <w:sz w:val="24"/>
          <w:szCs w:val="24"/>
          <w:lang w:val="en-GB"/>
        </w:rPr>
        <w:t xml:space="preserve"> (September 2012)</w:t>
      </w:r>
      <w:r>
        <w:rPr>
          <w:rFonts w:cs="Times New Roman"/>
          <w:b w:val="0"/>
          <w:kern w:val="0"/>
          <w:sz w:val="24"/>
          <w:szCs w:val="24"/>
          <w:lang w:val="en-GB"/>
        </w:rPr>
        <w:t>,</w:t>
      </w:r>
      <w:r w:rsidRPr="002E50B9">
        <w:rPr>
          <w:rFonts w:cs="Times New Roman"/>
          <w:b w:val="0"/>
          <w:kern w:val="0"/>
          <w:sz w:val="24"/>
          <w:szCs w:val="24"/>
          <w:lang w:val="en-GB"/>
        </w:rPr>
        <w:t xml:space="preserve"> outlining the main areas proposed to be addressed in each reporting standard</w:t>
      </w:r>
      <w:r w:rsidRPr="008F608E">
        <w:rPr>
          <w:rFonts w:cs="Times New Roman"/>
          <w:b w:val="0"/>
          <w:kern w:val="0"/>
          <w:sz w:val="24"/>
          <w:szCs w:val="24"/>
          <w:lang w:val="en-GB"/>
        </w:rPr>
        <w:t xml:space="preserve"> </w:t>
      </w:r>
      <w:r>
        <w:rPr>
          <w:rFonts w:cs="Times New Roman"/>
          <w:b w:val="0"/>
          <w:kern w:val="0"/>
          <w:sz w:val="24"/>
          <w:szCs w:val="24"/>
          <w:lang w:val="en-GB"/>
        </w:rPr>
        <w:t>and each draft reporting form and instructions</w:t>
      </w:r>
      <w:r w:rsidRPr="002E50B9">
        <w:rPr>
          <w:rFonts w:cs="Times New Roman"/>
          <w:b w:val="0"/>
          <w:kern w:val="0"/>
          <w:sz w:val="24"/>
          <w:szCs w:val="24"/>
          <w:lang w:val="en-GB"/>
        </w:rPr>
        <w:t>. APRA received</w:t>
      </w:r>
      <w:r>
        <w:rPr>
          <w:rFonts w:cs="Times New Roman"/>
          <w:b w:val="0"/>
          <w:kern w:val="0"/>
          <w:sz w:val="24"/>
          <w:szCs w:val="24"/>
          <w:lang w:val="en-GB"/>
        </w:rPr>
        <w:t xml:space="preserve"> </w:t>
      </w:r>
      <w:r w:rsidRPr="002E50B9">
        <w:rPr>
          <w:rFonts w:cs="Times New Roman"/>
          <w:b w:val="0"/>
          <w:kern w:val="0"/>
          <w:sz w:val="24"/>
          <w:szCs w:val="24"/>
          <w:lang w:val="en-GB"/>
        </w:rPr>
        <w:t>29 submissions</w:t>
      </w:r>
      <w:r>
        <w:rPr>
          <w:rFonts w:cs="Times New Roman"/>
          <w:b w:val="0"/>
          <w:kern w:val="0"/>
          <w:sz w:val="24"/>
          <w:szCs w:val="24"/>
          <w:lang w:val="en-GB"/>
        </w:rPr>
        <w:t xml:space="preserve"> </w:t>
      </w:r>
      <w:r w:rsidRPr="002E50B9">
        <w:rPr>
          <w:rFonts w:cs="Times New Roman"/>
          <w:b w:val="0"/>
          <w:kern w:val="0"/>
          <w:sz w:val="24"/>
          <w:szCs w:val="24"/>
          <w:lang w:val="en-GB"/>
        </w:rPr>
        <w:t>on this discussion paper;</w:t>
      </w:r>
    </w:p>
    <w:p w:rsidR="001365CA" w:rsidRPr="002E50B9" w:rsidRDefault="001365CA" w:rsidP="00533FD5">
      <w:pPr>
        <w:pStyle w:val="Heading"/>
        <w:keepNext w:val="0"/>
        <w:numPr>
          <w:ilvl w:val="0"/>
          <w:numId w:val="29"/>
        </w:numPr>
        <w:spacing w:after="240"/>
        <w:jc w:val="both"/>
        <w:rPr>
          <w:rFonts w:cs="Times New Roman"/>
          <w:b w:val="0"/>
          <w:kern w:val="0"/>
          <w:sz w:val="24"/>
          <w:szCs w:val="24"/>
          <w:lang w:val="en-GB"/>
        </w:rPr>
      </w:pPr>
      <w:r w:rsidRPr="002E50B9">
        <w:rPr>
          <w:rFonts w:cs="Times New Roman"/>
          <w:b w:val="0"/>
          <w:kern w:val="0"/>
          <w:sz w:val="24"/>
          <w:szCs w:val="24"/>
          <w:lang w:val="en-GB"/>
        </w:rPr>
        <w:t>public seminars in major capital cities in September/October 2012 to present the proposed reporting requirements and to discuss their practical application;</w:t>
      </w:r>
    </w:p>
    <w:p w:rsidR="001365CA" w:rsidRPr="002E50B9" w:rsidRDefault="001365CA" w:rsidP="00533FD5">
      <w:pPr>
        <w:pStyle w:val="Heading"/>
        <w:keepNext w:val="0"/>
        <w:numPr>
          <w:ilvl w:val="0"/>
          <w:numId w:val="29"/>
        </w:numPr>
        <w:spacing w:after="240"/>
        <w:jc w:val="both"/>
        <w:rPr>
          <w:rFonts w:cs="Times New Roman"/>
          <w:b w:val="0"/>
          <w:kern w:val="0"/>
          <w:sz w:val="24"/>
          <w:szCs w:val="24"/>
          <w:lang w:val="en-GB"/>
        </w:rPr>
      </w:pPr>
      <w:r w:rsidRPr="002E50B9">
        <w:rPr>
          <w:rFonts w:cs="Times New Roman"/>
          <w:b w:val="0"/>
          <w:kern w:val="0"/>
          <w:sz w:val="24"/>
          <w:szCs w:val="24"/>
          <w:lang w:val="en-GB"/>
        </w:rPr>
        <w:t>attendance  at  a  range  of  industry  conferences  to  present  on  details  of  the  reporting standards; and</w:t>
      </w:r>
    </w:p>
    <w:p w:rsidR="001365CA" w:rsidRPr="002E50B9" w:rsidRDefault="001365CA" w:rsidP="00533FD5">
      <w:pPr>
        <w:pStyle w:val="Heading"/>
        <w:keepNext w:val="0"/>
        <w:numPr>
          <w:ilvl w:val="0"/>
          <w:numId w:val="29"/>
        </w:numPr>
        <w:spacing w:after="240"/>
        <w:jc w:val="both"/>
        <w:rPr>
          <w:rFonts w:cs="Times New Roman"/>
          <w:b w:val="0"/>
          <w:kern w:val="0"/>
          <w:sz w:val="24"/>
          <w:szCs w:val="24"/>
          <w:lang w:val="en-GB"/>
        </w:rPr>
      </w:pPr>
      <w:r w:rsidRPr="002E50B9">
        <w:rPr>
          <w:rFonts w:cs="Times New Roman"/>
          <w:b w:val="0"/>
          <w:kern w:val="0"/>
          <w:sz w:val="24"/>
          <w:szCs w:val="24"/>
          <w:lang w:val="en-GB"/>
        </w:rPr>
        <w:t>meetings with individual RSE licensees, industry representative bodies, other regulatory agencies  and  other  interested  stakeholders  to  discuss  specific  details  of  the  reforms, including APRA’s implementation expectations.</w:t>
      </w:r>
    </w:p>
    <w:p w:rsidR="001365CA" w:rsidRDefault="001365CA" w:rsidP="00533FD5">
      <w:pPr>
        <w:pStyle w:val="Heading"/>
        <w:keepNext w:val="0"/>
        <w:spacing w:after="240"/>
        <w:jc w:val="both"/>
        <w:rPr>
          <w:rFonts w:cs="Times New Roman"/>
          <w:b w:val="0"/>
          <w:kern w:val="0"/>
          <w:sz w:val="24"/>
          <w:szCs w:val="24"/>
          <w:lang w:val="en-GB"/>
        </w:rPr>
      </w:pPr>
      <w:r w:rsidRPr="002E50B9">
        <w:rPr>
          <w:rFonts w:cs="Times New Roman"/>
          <w:b w:val="0"/>
          <w:kern w:val="0"/>
          <w:sz w:val="24"/>
          <w:szCs w:val="24"/>
          <w:lang w:val="en-GB"/>
        </w:rPr>
        <w:t>Submissions were received from a variety of organisations that will be impacted by the reporting standards, including RSE licensees, industry bodies, professional bodies and service providers.</w:t>
      </w:r>
    </w:p>
    <w:p w:rsidR="00076969" w:rsidRPr="003F7530" w:rsidRDefault="00825478" w:rsidP="00533FD5">
      <w:pPr>
        <w:pStyle w:val="Heading"/>
        <w:numPr>
          <w:ilvl w:val="0"/>
          <w:numId w:val="1"/>
        </w:numPr>
        <w:spacing w:before="0" w:after="240"/>
        <w:jc w:val="both"/>
        <w:rPr>
          <w:rFonts w:cs="Times New Roman"/>
          <w:sz w:val="24"/>
          <w:szCs w:val="24"/>
        </w:rPr>
      </w:pPr>
      <w:bookmarkStart w:id="9" w:name="bkRISNO"/>
      <w:bookmarkStart w:id="10" w:name="bkRIS"/>
      <w:bookmarkEnd w:id="9"/>
      <w:r w:rsidRPr="003F7530">
        <w:rPr>
          <w:rFonts w:cs="Times New Roman"/>
          <w:sz w:val="24"/>
          <w:szCs w:val="24"/>
        </w:rPr>
        <w:t>Regulation Impact Statement</w:t>
      </w:r>
    </w:p>
    <w:bookmarkEnd w:id="10"/>
    <w:p w:rsidR="009C2EC8" w:rsidRPr="003F7530" w:rsidRDefault="00825478" w:rsidP="00533FD5">
      <w:pPr>
        <w:pStyle w:val="Heading"/>
        <w:spacing w:before="0" w:after="240"/>
        <w:jc w:val="both"/>
        <w:rPr>
          <w:rFonts w:cs="Times New Roman"/>
          <w:b w:val="0"/>
          <w:sz w:val="24"/>
          <w:szCs w:val="24"/>
        </w:rPr>
      </w:pPr>
      <w:r w:rsidRPr="003F7530">
        <w:rPr>
          <w:rFonts w:cs="Times New Roman"/>
          <w:b w:val="0"/>
          <w:sz w:val="24"/>
          <w:szCs w:val="24"/>
        </w:rPr>
        <w:t xml:space="preserve">A Regulation Impact Statement has been prepared and </w:t>
      </w:r>
      <w:r w:rsidR="00BF1BB5" w:rsidRPr="003F7530">
        <w:rPr>
          <w:rFonts w:cs="Times New Roman"/>
          <w:b w:val="0"/>
          <w:sz w:val="24"/>
          <w:szCs w:val="24"/>
        </w:rPr>
        <w:t>has been lodged</w:t>
      </w:r>
      <w:r w:rsidR="00FC33F1">
        <w:rPr>
          <w:rFonts w:cs="Times New Roman"/>
          <w:b w:val="0"/>
          <w:sz w:val="24"/>
          <w:szCs w:val="24"/>
        </w:rPr>
        <w:t xml:space="preserve"> with the Federal Register of Legislative Instruments</w:t>
      </w:r>
      <w:r w:rsidRPr="003F7530">
        <w:rPr>
          <w:rFonts w:cs="Times New Roman"/>
          <w:b w:val="0"/>
          <w:sz w:val="24"/>
          <w:szCs w:val="24"/>
        </w:rPr>
        <w:t xml:space="preserve"> as supporting material.</w:t>
      </w:r>
    </w:p>
    <w:p w:rsidR="00140948" w:rsidRPr="003F7530" w:rsidRDefault="00825478" w:rsidP="00533FD5">
      <w:pPr>
        <w:pStyle w:val="Heading"/>
        <w:numPr>
          <w:ilvl w:val="0"/>
          <w:numId w:val="1"/>
        </w:numPr>
        <w:spacing w:before="0" w:after="240"/>
        <w:jc w:val="both"/>
        <w:rPr>
          <w:rFonts w:cs="Times New Roman"/>
          <w:i/>
          <w:sz w:val="24"/>
          <w:szCs w:val="24"/>
        </w:rPr>
      </w:pPr>
      <w:r w:rsidRPr="003F7530">
        <w:rPr>
          <w:rFonts w:cs="Times New Roman"/>
          <w:sz w:val="24"/>
          <w:szCs w:val="24"/>
        </w:rPr>
        <w:t xml:space="preserve">Statement of compatibility prepared in accordance with Part 3 of the </w:t>
      </w:r>
      <w:r w:rsidRPr="003F7530">
        <w:rPr>
          <w:rFonts w:cs="Times New Roman"/>
          <w:i/>
          <w:sz w:val="24"/>
          <w:szCs w:val="24"/>
        </w:rPr>
        <w:t>Human Rights (Parliamentary Scrutiny) Act 2011</w:t>
      </w:r>
    </w:p>
    <w:p w:rsidR="00063E49" w:rsidRDefault="00F049B6" w:rsidP="00533FD5">
      <w:pPr>
        <w:pStyle w:val="Heading"/>
        <w:spacing w:before="0" w:after="240"/>
        <w:jc w:val="both"/>
        <w:rPr>
          <w:rFonts w:cs="Times New Roman"/>
          <w:b w:val="0"/>
          <w:kern w:val="0"/>
          <w:sz w:val="24"/>
          <w:szCs w:val="24"/>
          <w:lang w:val="en-GB"/>
        </w:rPr>
      </w:pPr>
      <w:r>
        <w:rPr>
          <w:rFonts w:cs="Times New Roman"/>
          <w:b w:val="0"/>
          <w:kern w:val="0"/>
          <w:sz w:val="24"/>
          <w:szCs w:val="24"/>
          <w:lang w:val="en-GB"/>
        </w:rPr>
        <w:t xml:space="preserve">A </w:t>
      </w:r>
      <w:r w:rsidRPr="00F049B6">
        <w:rPr>
          <w:rFonts w:cs="Times New Roman"/>
          <w:b w:val="0"/>
          <w:kern w:val="0"/>
          <w:sz w:val="24"/>
          <w:szCs w:val="24"/>
          <w:lang w:val="en-GB"/>
        </w:rPr>
        <w:t>Statement of compatibility prepared in accordance with Part 3 of the</w:t>
      </w:r>
      <w:r w:rsidRPr="004137C9">
        <w:rPr>
          <w:rFonts w:cs="Times New Roman"/>
          <w:b w:val="0"/>
          <w:kern w:val="0"/>
          <w:sz w:val="24"/>
          <w:szCs w:val="24"/>
          <w:lang w:val="en-GB"/>
        </w:rPr>
        <w:t xml:space="preserve"> </w:t>
      </w:r>
      <w:r w:rsidRPr="004137C9">
        <w:rPr>
          <w:b w:val="0"/>
          <w:i/>
          <w:lang w:val="en-GB"/>
        </w:rPr>
        <w:t>Human Rights (Parliamentary Scrutiny) Act 2011</w:t>
      </w:r>
      <w:r w:rsidR="001365CA" w:rsidRPr="004137C9">
        <w:rPr>
          <w:rFonts w:cs="Times New Roman"/>
          <w:b w:val="0"/>
          <w:kern w:val="0"/>
          <w:sz w:val="24"/>
          <w:szCs w:val="24"/>
          <w:lang w:val="en-GB"/>
        </w:rPr>
        <w:t xml:space="preserve"> </w:t>
      </w:r>
      <w:r w:rsidRPr="004137C9">
        <w:rPr>
          <w:rFonts w:cs="Times New Roman"/>
          <w:b w:val="0"/>
          <w:kern w:val="0"/>
          <w:sz w:val="24"/>
          <w:szCs w:val="24"/>
          <w:lang w:val="en-GB"/>
        </w:rPr>
        <w:t>is</w:t>
      </w:r>
      <w:r w:rsidR="00533FD5" w:rsidRPr="004137C9">
        <w:rPr>
          <w:rFonts w:cs="Times New Roman"/>
          <w:b w:val="0"/>
          <w:kern w:val="0"/>
          <w:sz w:val="24"/>
          <w:szCs w:val="24"/>
          <w:lang w:val="en-GB"/>
        </w:rPr>
        <w:t xml:space="preserve"> provided at</w:t>
      </w:r>
      <w:r w:rsidRPr="004137C9">
        <w:rPr>
          <w:rFonts w:cs="Times New Roman"/>
          <w:b w:val="0"/>
          <w:kern w:val="0"/>
          <w:sz w:val="24"/>
          <w:szCs w:val="24"/>
          <w:lang w:val="en-GB"/>
        </w:rPr>
        <w:t xml:space="preserve"> Attachment</w:t>
      </w:r>
      <w:r>
        <w:rPr>
          <w:rFonts w:cs="Times New Roman"/>
          <w:b w:val="0"/>
          <w:kern w:val="0"/>
          <w:sz w:val="24"/>
          <w:szCs w:val="24"/>
          <w:lang w:val="en-GB"/>
        </w:rPr>
        <w:t xml:space="preserve"> A to this Explanatory Statement.</w:t>
      </w:r>
    </w:p>
    <w:p w:rsidR="00063E49" w:rsidRDefault="00063E49" w:rsidP="00533FD5">
      <w:pPr>
        <w:jc w:val="both"/>
        <w:rPr>
          <w:lang w:val="en-GB"/>
        </w:rPr>
      </w:pPr>
      <w:r>
        <w:rPr>
          <w:b/>
          <w:lang w:val="en-GB"/>
        </w:rPr>
        <w:br w:type="page"/>
      </w:r>
    </w:p>
    <w:p w:rsidR="00A00162" w:rsidRDefault="0022602E" w:rsidP="00533FD5">
      <w:pPr>
        <w:pStyle w:val="Heading"/>
        <w:keepNext w:val="0"/>
        <w:spacing w:after="360"/>
        <w:jc w:val="both"/>
        <w:rPr>
          <w:rFonts w:cs="Times New Roman"/>
          <w:sz w:val="24"/>
          <w:szCs w:val="24"/>
        </w:rPr>
      </w:pPr>
      <w:r w:rsidRPr="00533FD5">
        <w:rPr>
          <w:u w:val="single"/>
          <w:lang w:val="en-GB"/>
        </w:rPr>
        <w:lastRenderedPageBreak/>
        <w:t>ATTACHMENT A</w:t>
      </w:r>
    </w:p>
    <w:p w:rsidR="00D22D14" w:rsidRPr="0022602E" w:rsidRDefault="0022602E" w:rsidP="00533FD5">
      <w:pPr>
        <w:pStyle w:val="Heading"/>
        <w:keepNext w:val="0"/>
        <w:spacing w:after="240"/>
        <w:jc w:val="center"/>
        <w:rPr>
          <w:rFonts w:cs="Times New Roman"/>
          <w:sz w:val="24"/>
          <w:szCs w:val="24"/>
        </w:rPr>
      </w:pPr>
      <w:r w:rsidRPr="00533FD5">
        <w:rPr>
          <w:rFonts w:cs="Times New Roman"/>
          <w:sz w:val="24"/>
          <w:szCs w:val="24"/>
        </w:rPr>
        <w:t>Statement of Compat</w:t>
      </w:r>
      <w:r>
        <w:rPr>
          <w:rFonts w:cs="Times New Roman"/>
          <w:sz w:val="24"/>
          <w:szCs w:val="24"/>
        </w:rPr>
        <w:t>i</w:t>
      </w:r>
      <w:r w:rsidRPr="00533FD5">
        <w:rPr>
          <w:rFonts w:cs="Times New Roman"/>
          <w:sz w:val="24"/>
          <w:szCs w:val="24"/>
        </w:rPr>
        <w:t>bility with Human Rights</w:t>
      </w:r>
    </w:p>
    <w:p w:rsidR="00D22D14" w:rsidRDefault="00A00162" w:rsidP="00533FD5">
      <w:pPr>
        <w:pStyle w:val="Heading1"/>
        <w:spacing w:before="0" w:after="240"/>
        <w:jc w:val="center"/>
        <w:rPr>
          <w:rFonts w:ascii="Times New Roman" w:hAnsi="Times New Roman" w:cs="Times New Roman"/>
          <w:b w:val="0"/>
          <w:sz w:val="24"/>
          <w:szCs w:val="24"/>
        </w:rPr>
      </w:pPr>
      <w:r w:rsidRPr="00533FD5">
        <w:rPr>
          <w:rFonts w:ascii="Times New Roman" w:hAnsi="Times New Roman" w:cs="Times New Roman"/>
          <w:b w:val="0"/>
          <w:sz w:val="24"/>
          <w:szCs w:val="24"/>
        </w:rPr>
        <w:t xml:space="preserve">Prepared in </w:t>
      </w:r>
      <w:r>
        <w:rPr>
          <w:rFonts w:ascii="Times New Roman" w:hAnsi="Times New Roman" w:cs="Times New Roman"/>
          <w:b w:val="0"/>
          <w:sz w:val="24"/>
          <w:szCs w:val="24"/>
        </w:rPr>
        <w:t>accordance with Part 3 of the Human Rights (Parliamentary Scrutiny) Act 2011</w:t>
      </w:r>
    </w:p>
    <w:p w:rsidR="00A00162" w:rsidRDefault="00A00162" w:rsidP="00533FD5">
      <w:pPr>
        <w:jc w:val="center"/>
      </w:pPr>
      <w:r w:rsidRPr="00533FD5">
        <w:rPr>
          <w:b/>
        </w:rPr>
        <w:t xml:space="preserve">Financial Sector (Collection of Data) (reporting standard) determinations Nos. </w:t>
      </w:r>
      <w:r w:rsidR="00BC0348" w:rsidRPr="000B173B">
        <w:rPr>
          <w:b/>
        </w:rPr>
        <w:t xml:space="preserve">64 to 91 and 93 to 97 </w:t>
      </w:r>
      <w:r w:rsidRPr="00533FD5">
        <w:rPr>
          <w:b/>
        </w:rPr>
        <w:t>of 2013</w:t>
      </w:r>
    </w:p>
    <w:p w:rsidR="00A00162" w:rsidRDefault="00A00162" w:rsidP="00533FD5">
      <w:pPr>
        <w:jc w:val="center"/>
      </w:pPr>
    </w:p>
    <w:p w:rsidR="00A00162" w:rsidRDefault="00A00162" w:rsidP="00533FD5">
      <w:pPr>
        <w:spacing w:after="240"/>
        <w:jc w:val="both"/>
      </w:pPr>
      <w:r w:rsidRPr="00A00162">
        <w:t xml:space="preserve">This Legislative Instrument is compatible with the human rights and freedoms recognised or declared in the international instrument listed in section 3 of the </w:t>
      </w:r>
      <w:r w:rsidRPr="00533FD5">
        <w:rPr>
          <w:i/>
        </w:rPr>
        <w:t>Human Rights (Parliamentary Scrutiny) Act 2011</w:t>
      </w:r>
      <w:r w:rsidR="00533FD5">
        <w:t xml:space="preserve"> (HRPS Act)</w:t>
      </w:r>
    </w:p>
    <w:p w:rsidR="00733EC5" w:rsidRDefault="00733EC5" w:rsidP="00533FD5">
      <w:pPr>
        <w:spacing w:after="240"/>
        <w:jc w:val="both"/>
      </w:pPr>
      <w:r w:rsidRPr="00533FD5">
        <w:rPr>
          <w:b/>
        </w:rPr>
        <w:t>Overview of the Legislative Instrument</w:t>
      </w:r>
    </w:p>
    <w:p w:rsidR="003E1799" w:rsidRPr="00533FD5" w:rsidRDefault="003E1799" w:rsidP="00533FD5">
      <w:pPr>
        <w:spacing w:after="240"/>
        <w:jc w:val="both"/>
        <w:rPr>
          <w:b/>
        </w:rPr>
      </w:pPr>
      <w:r w:rsidRPr="0068655F">
        <w:t>The purp</w:t>
      </w:r>
      <w:r w:rsidRPr="007D156F">
        <w:t>ose of making the</w:t>
      </w:r>
      <w:r>
        <w:t>se legislative</w:t>
      </w:r>
      <w:r w:rsidRPr="0068655F">
        <w:t xml:space="preserve"> instruments is to introduce new reporting standards and to revoke existing reporting standards in relation to RSE licensees in order to implement the Government’s Stronger Super reforms, strengthen supervision of the superannuation industry, meet the requ</w:t>
      </w:r>
      <w:r w:rsidRPr="007D156F">
        <w:t>irements of users of data collected by APRA in its role as a national statistical collection agency and promote transparency and comparability within the superannuation industry.</w:t>
      </w:r>
    </w:p>
    <w:p w:rsidR="003E1799" w:rsidRDefault="003E1799" w:rsidP="00533FD5">
      <w:pPr>
        <w:spacing w:after="240"/>
        <w:jc w:val="both"/>
      </w:pPr>
      <w:r w:rsidRPr="00533FD5">
        <w:rPr>
          <w:b/>
        </w:rPr>
        <w:t>Human rights implications</w:t>
      </w:r>
    </w:p>
    <w:p w:rsidR="003E1799" w:rsidRDefault="003E1799" w:rsidP="00533FD5">
      <w:pPr>
        <w:spacing w:after="240"/>
        <w:jc w:val="both"/>
      </w:pPr>
      <w:r>
        <w:t>APRA has assessed the instrument against the international instruments listed in section 3 of the HRPS Act and determined that only Article 17 of the International Covenant on Civil and Political Rights (ICCPR) is conceivably potentially of relevance to the instrument.</w:t>
      </w:r>
    </w:p>
    <w:p w:rsidR="003E1799" w:rsidRDefault="003E1799" w:rsidP="00533FD5">
      <w:pPr>
        <w:spacing w:after="240"/>
        <w:jc w:val="both"/>
      </w:pPr>
      <w: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3E1799" w:rsidRPr="007D156F" w:rsidRDefault="003E1799" w:rsidP="00533FD5">
      <w:pPr>
        <w:spacing w:after="240"/>
        <w:jc w:val="both"/>
      </w:pPr>
      <w:r w:rsidRPr="003E1799">
        <w:t>The majority of information collected will be about the profile and structure of each RSE licensee’s business operations.</w:t>
      </w:r>
      <w:r>
        <w:t xml:space="preserve">  </w:t>
      </w:r>
      <w:r w:rsidRPr="0068655F">
        <w:t>However,</w:t>
      </w:r>
      <w:r w:rsidR="00803A40" w:rsidRPr="007D156F">
        <w:t xml:space="preserve"> Reporting Standards SRS 331.0 Services</w:t>
      </w:r>
      <w:r w:rsidR="008C56F8">
        <w:t xml:space="preserve"> (made by</w:t>
      </w:r>
      <w:r w:rsidR="008C56F8" w:rsidRPr="008C56F8">
        <w:t xml:space="preserve"> </w:t>
      </w:r>
      <w:r w:rsidR="008C56F8" w:rsidRPr="003F7530">
        <w:t xml:space="preserve">determination No. </w:t>
      </w:r>
      <w:r w:rsidR="008C56F8">
        <w:t>75)</w:t>
      </w:r>
      <w:r w:rsidR="00803A40" w:rsidRPr="0068655F">
        <w:t xml:space="preserve">, SRS 520.0 Responsible Persons Information </w:t>
      </w:r>
      <w:r w:rsidR="002B09B5">
        <w:t xml:space="preserve">(made by </w:t>
      </w:r>
      <w:r w:rsidR="002B09B5" w:rsidRPr="002B09B5">
        <w:t>determination No. 77</w:t>
      </w:r>
      <w:r w:rsidR="002B09B5">
        <w:t xml:space="preserve">) </w:t>
      </w:r>
      <w:r w:rsidR="00803A40" w:rsidRPr="0068655F">
        <w:t xml:space="preserve">and SRS 600.0 Profile and Structure (RSE Licensee) </w:t>
      </w:r>
      <w:r w:rsidR="002B09B5">
        <w:t xml:space="preserve">(made by </w:t>
      </w:r>
      <w:r w:rsidR="002B09B5" w:rsidRPr="002B09B5">
        <w:t>determination No. 86</w:t>
      </w:r>
      <w:r w:rsidR="002B09B5">
        <w:t xml:space="preserve">) </w:t>
      </w:r>
      <w:r w:rsidR="00803A40" w:rsidRPr="0068655F">
        <w:t xml:space="preserve">all include information which </w:t>
      </w:r>
      <w:r w:rsidR="00803A40" w:rsidRPr="007D156F">
        <w:t>relates to individuals persons.</w:t>
      </w:r>
    </w:p>
    <w:p w:rsidR="004326E0" w:rsidRPr="00533FD5" w:rsidRDefault="004326E0" w:rsidP="00533FD5">
      <w:pPr>
        <w:spacing w:after="240"/>
        <w:jc w:val="both"/>
      </w:pPr>
      <w:r w:rsidRPr="00533FD5">
        <w:t xml:space="preserve">The </w:t>
      </w:r>
      <w:r>
        <w:t xml:space="preserve">personal </w:t>
      </w:r>
      <w:r w:rsidRPr="00533FD5">
        <w:t xml:space="preserve">information sought within these Reporting Standards </w:t>
      </w:r>
      <w:r>
        <w:t xml:space="preserve">is for </w:t>
      </w:r>
      <w:r w:rsidRPr="00533FD5">
        <w:t>individuals</w:t>
      </w:r>
      <w:r>
        <w:t xml:space="preserve"> who are directors and</w:t>
      </w:r>
      <w:r w:rsidRPr="00533FD5">
        <w:t xml:space="preserve"> responsible persons of RSE licensees (trustees of APRA-regulated superannuation entities) and service providers to RSE licensees (in the limited circumstances where the service provider is an individual person). Understanding who the directors and the principal individuals are within an RSE licensee is central to the effective regulation of governance of superannuation entities. </w:t>
      </w:r>
    </w:p>
    <w:p w:rsidR="004326E0" w:rsidRDefault="004326E0" w:rsidP="00533FD5">
      <w:pPr>
        <w:spacing w:after="240"/>
        <w:jc w:val="both"/>
      </w:pPr>
      <w:r w:rsidRPr="00533FD5">
        <w:lastRenderedPageBreak/>
        <w:t>This information ultimately supports APRA achieving its mission of ensuring that, under all reasonable circumstances, financial promises made by the institutions APRA supervises are met within a stable, efficient an</w:t>
      </w:r>
      <w:r>
        <w:t>d competitive financial system.</w:t>
      </w:r>
    </w:p>
    <w:p w:rsidR="004326E0" w:rsidRDefault="004326E0" w:rsidP="00533FD5">
      <w:pPr>
        <w:spacing w:after="240"/>
        <w:jc w:val="both"/>
      </w:pPr>
      <w:r w:rsidRPr="0068655F">
        <w:t xml:space="preserve">APRA does not publish </w:t>
      </w:r>
      <w:r w:rsidR="00032838">
        <w:t>the</w:t>
      </w:r>
      <w:r>
        <w:t xml:space="preserve"> personal</w:t>
      </w:r>
      <w:r w:rsidRPr="0068655F">
        <w:t xml:space="preserve"> information </w:t>
      </w:r>
      <w:r>
        <w:t xml:space="preserve">which </w:t>
      </w:r>
      <w:r w:rsidRPr="0068655F">
        <w:t>it collects</w:t>
      </w:r>
      <w:r>
        <w:t>. I</w:t>
      </w:r>
      <w:r w:rsidRPr="0068655F">
        <w:t xml:space="preserve">nformation provided to APRA </w:t>
      </w:r>
      <w:r w:rsidR="00032838">
        <w:t>under reporting standards is</w:t>
      </w:r>
      <w:r w:rsidRPr="0068655F">
        <w:t xml:space="preserve"> protected in</w:t>
      </w:r>
      <w:r w:rsidRPr="007D156F">
        <w:t xml:space="preserve">formation </w:t>
      </w:r>
      <w:r w:rsidR="00032838">
        <w:t>for the purposes of</w:t>
      </w:r>
      <w:r w:rsidR="00032838" w:rsidRPr="00032838">
        <w:t xml:space="preserve"> s</w:t>
      </w:r>
      <w:r w:rsidR="00032838">
        <w:t xml:space="preserve">ection </w:t>
      </w:r>
      <w:r w:rsidR="00032838" w:rsidRPr="00032838">
        <w:t xml:space="preserve">56 of the </w:t>
      </w:r>
      <w:r w:rsidR="00032838" w:rsidRPr="00533FD5">
        <w:rPr>
          <w:i/>
        </w:rPr>
        <w:t>Australian Prudential Regulation Authority Act 1998</w:t>
      </w:r>
      <w:r w:rsidR="00032838" w:rsidRPr="00032838">
        <w:t xml:space="preserve"> (APRA Act)</w:t>
      </w:r>
      <w:r w:rsidR="00032838">
        <w:t xml:space="preserve"> and cannot be disclosed except under a limited range of circumstances provided for under that section.</w:t>
      </w:r>
      <w:r w:rsidR="00032838" w:rsidRPr="00032838">
        <w:t xml:space="preserve"> </w:t>
      </w:r>
      <w:r w:rsidR="00032838">
        <w:t>While APRA does publish some protected information gathered under reporting standards,</w:t>
      </w:r>
      <w:r w:rsidR="007B1192">
        <w:t xml:space="preserve"> </w:t>
      </w:r>
      <w:r w:rsidR="007B1192" w:rsidRPr="007B1192">
        <w:t>APRA reviews all releases of data received under reporting standards to ensure that no information pertaining to an individual person can be deduced from the data.</w:t>
      </w:r>
      <w:r w:rsidR="007B1192">
        <w:t xml:space="preserve"> </w:t>
      </w:r>
    </w:p>
    <w:p w:rsidR="000A35A2" w:rsidRPr="00BC0348" w:rsidRDefault="000A35A2" w:rsidP="00533FD5">
      <w:pPr>
        <w:spacing w:after="240"/>
        <w:jc w:val="both"/>
      </w:pPr>
      <w:r w:rsidRPr="00533FD5">
        <w:rPr>
          <w:b/>
        </w:rPr>
        <w:t>Conclusion</w:t>
      </w:r>
    </w:p>
    <w:p w:rsidR="00FF7C83" w:rsidRPr="00533FD5" w:rsidRDefault="00FF7C83" w:rsidP="00533FD5">
      <w:pPr>
        <w:spacing w:after="240"/>
        <w:jc w:val="both"/>
      </w:pPr>
      <w:r w:rsidRPr="00BC0348">
        <w:t xml:space="preserve">Financial Sector (Collection of Data) (reporting standard) determinations Nos. </w:t>
      </w:r>
      <w:r w:rsidR="00BC0348" w:rsidRPr="00BC0348">
        <w:t xml:space="preserve">64 to 91 and 93 to 97 </w:t>
      </w:r>
      <w:r w:rsidRPr="00BC0348">
        <w:t xml:space="preserve">are </w:t>
      </w:r>
      <w:r w:rsidR="000A35A2" w:rsidRPr="00BC0348">
        <w:t xml:space="preserve">compatible </w:t>
      </w:r>
      <w:r w:rsidR="000A35A2" w:rsidRPr="00533FD5">
        <w:t>with human rights because</w:t>
      </w:r>
      <w:r w:rsidRPr="00533FD5">
        <w:t>:</w:t>
      </w:r>
    </w:p>
    <w:p w:rsidR="007B1192" w:rsidRPr="00533FD5" w:rsidRDefault="000A35A2" w:rsidP="00533FD5">
      <w:pPr>
        <w:pStyle w:val="ListParagraph"/>
        <w:numPr>
          <w:ilvl w:val="0"/>
          <w:numId w:val="36"/>
        </w:numPr>
        <w:spacing w:after="240"/>
        <w:jc w:val="both"/>
        <w:rPr>
          <w:sz w:val="24"/>
          <w:szCs w:val="24"/>
        </w:rPr>
      </w:pPr>
      <w:r w:rsidRPr="00533FD5">
        <w:rPr>
          <w:sz w:val="24"/>
          <w:szCs w:val="24"/>
        </w:rPr>
        <w:t xml:space="preserve">to the extent that </w:t>
      </w:r>
      <w:r w:rsidR="00804B93" w:rsidRPr="00533FD5">
        <w:rPr>
          <w:sz w:val="24"/>
          <w:szCs w:val="24"/>
        </w:rPr>
        <w:t>determinations  Nos. 75, 77 and 86</w:t>
      </w:r>
      <w:r w:rsidRPr="00533FD5">
        <w:rPr>
          <w:sz w:val="24"/>
          <w:szCs w:val="24"/>
        </w:rPr>
        <w:t xml:space="preserve"> limit human rights, those limitations are reasonab</w:t>
      </w:r>
      <w:r w:rsidR="00804B93" w:rsidRPr="00533FD5">
        <w:rPr>
          <w:sz w:val="24"/>
          <w:szCs w:val="24"/>
        </w:rPr>
        <w:t>le, necessary and proportionate; and</w:t>
      </w:r>
    </w:p>
    <w:p w:rsidR="00804B93" w:rsidRPr="0068655F" w:rsidRDefault="00063E49" w:rsidP="00533FD5">
      <w:pPr>
        <w:pStyle w:val="ListParagraph"/>
        <w:numPr>
          <w:ilvl w:val="0"/>
          <w:numId w:val="36"/>
        </w:numPr>
        <w:spacing w:after="240"/>
        <w:jc w:val="both"/>
        <w:rPr>
          <w:sz w:val="24"/>
          <w:szCs w:val="24"/>
        </w:rPr>
      </w:pPr>
      <w:r w:rsidRPr="00533FD5">
        <w:rPr>
          <w:sz w:val="24"/>
          <w:szCs w:val="24"/>
        </w:rPr>
        <w:t>the remaining determinations do not raise human rights issues</w:t>
      </w:r>
      <w:r>
        <w:t>.</w:t>
      </w:r>
    </w:p>
    <w:sectPr w:rsidR="00804B93" w:rsidRPr="0068655F" w:rsidSect="00347C5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0D3" w:rsidRDefault="007020D3">
      <w:r>
        <w:separator/>
      </w:r>
    </w:p>
  </w:endnote>
  <w:endnote w:type="continuationSeparator" w:id="0">
    <w:p w:rsidR="007020D3" w:rsidRDefault="0070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D3" w:rsidRDefault="004D01B8" w:rsidP="00000AE6">
    <w:pPr>
      <w:pStyle w:val="Footer"/>
      <w:framePr w:wrap="around" w:vAnchor="text" w:hAnchor="margin" w:xAlign="right" w:y="1"/>
      <w:rPr>
        <w:rStyle w:val="PageNumber"/>
      </w:rPr>
    </w:pPr>
    <w:r>
      <w:rPr>
        <w:rStyle w:val="PageNumber"/>
      </w:rPr>
      <w:fldChar w:fldCharType="begin"/>
    </w:r>
    <w:r w:rsidR="007020D3">
      <w:rPr>
        <w:rStyle w:val="PageNumber"/>
      </w:rPr>
      <w:instrText xml:space="preserve">PAGE  </w:instrText>
    </w:r>
    <w:r>
      <w:rPr>
        <w:rStyle w:val="PageNumber"/>
      </w:rPr>
      <w:fldChar w:fldCharType="separate"/>
    </w:r>
    <w:r w:rsidR="00B44E3A">
      <w:rPr>
        <w:rStyle w:val="PageNumber"/>
        <w:noProof/>
      </w:rPr>
      <w:t>10</w:t>
    </w:r>
    <w:r>
      <w:rPr>
        <w:rStyle w:val="PageNumber"/>
      </w:rPr>
      <w:fldChar w:fldCharType="end"/>
    </w:r>
  </w:p>
  <w:p w:rsidR="007020D3" w:rsidRDefault="007020D3"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906706"/>
      <w:docPartObj>
        <w:docPartGallery w:val="Page Numbers (Bottom of Page)"/>
        <w:docPartUnique/>
      </w:docPartObj>
    </w:sdtPr>
    <w:sdtEndPr/>
    <w:sdtContent>
      <w:sdt>
        <w:sdtPr>
          <w:id w:val="860082579"/>
          <w:docPartObj>
            <w:docPartGallery w:val="Page Numbers (Top of Page)"/>
            <w:docPartUnique/>
          </w:docPartObj>
        </w:sdtPr>
        <w:sdtEndPr/>
        <w:sdtContent>
          <w:p w:rsidR="00B44E3A" w:rsidRPr="00B44E3A" w:rsidRDefault="00B44E3A" w:rsidP="00347C56">
            <w:pPr>
              <w:pStyle w:val="Footer"/>
              <w:jc w:val="center"/>
            </w:pPr>
            <w:r w:rsidRPr="00347C56">
              <w:rPr>
                <w:bCs/>
              </w:rPr>
              <w:fldChar w:fldCharType="begin"/>
            </w:r>
            <w:r w:rsidRPr="00347C56">
              <w:rPr>
                <w:bCs/>
              </w:rPr>
              <w:instrText xml:space="preserve"> PAGE </w:instrText>
            </w:r>
            <w:r w:rsidRPr="00347C56">
              <w:rPr>
                <w:bCs/>
              </w:rPr>
              <w:fldChar w:fldCharType="separate"/>
            </w:r>
            <w:r w:rsidR="00741648">
              <w:rPr>
                <w:bCs/>
                <w:noProof/>
              </w:rPr>
              <w:t>1</w:t>
            </w:r>
            <w:r w:rsidRPr="00347C56">
              <w:rPr>
                <w:bCs/>
              </w:rPr>
              <w:fldChar w:fldCharType="end"/>
            </w:r>
          </w:p>
        </w:sdtContent>
      </w:sdt>
    </w:sdtContent>
  </w:sdt>
  <w:p w:rsidR="007020D3" w:rsidRDefault="007020D3" w:rsidP="00000A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3938"/>
      <w:docPartObj>
        <w:docPartGallery w:val="Page Numbers (Bottom of Page)"/>
        <w:docPartUnique/>
      </w:docPartObj>
    </w:sdtPr>
    <w:sdtEndPr/>
    <w:sdtContent>
      <w:p w:rsidR="007020D3" w:rsidRDefault="004D01B8" w:rsidP="00A305CC">
        <w:pPr>
          <w:pStyle w:val="Footer"/>
          <w:jc w:val="center"/>
        </w:pPr>
        <w:r>
          <w:fldChar w:fldCharType="begin"/>
        </w:r>
        <w:r w:rsidR="00AE3364">
          <w:instrText xml:space="preserve"> PAGE   \* MERGEFORMAT </w:instrText>
        </w:r>
        <w:r>
          <w:fldChar w:fldCharType="separate"/>
        </w:r>
        <w:r w:rsidR="00B44E3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0D3" w:rsidRDefault="007020D3">
      <w:r>
        <w:separator/>
      </w:r>
    </w:p>
  </w:footnote>
  <w:footnote w:type="continuationSeparator" w:id="0">
    <w:p w:rsidR="007020D3" w:rsidRDefault="007020D3">
      <w:r>
        <w:continuationSeparator/>
      </w:r>
    </w:p>
  </w:footnote>
  <w:footnote w:id="1">
    <w:p w:rsidR="007020D3" w:rsidRDefault="007020D3" w:rsidP="00533FD5">
      <w:pPr>
        <w:pStyle w:val="FootnoteText"/>
        <w:ind w:left="567" w:hanging="567"/>
        <w:jc w:val="both"/>
      </w:pPr>
      <w:r>
        <w:rPr>
          <w:rStyle w:val="FootnoteReference"/>
        </w:rPr>
        <w:footnoteRef/>
      </w:r>
      <w:r>
        <w:t xml:space="preserve"> </w:t>
      </w:r>
      <w:r>
        <w:tab/>
        <w:t xml:space="preserve">The </w:t>
      </w:r>
      <w:r>
        <w:rPr>
          <w:i/>
        </w:rPr>
        <w:t>Superannuation Legislation Amendment (Trustee Obligations and Prudential Standards) Act 2012</w:t>
      </w:r>
      <w:r>
        <w:t xml:space="preserve"> and the </w:t>
      </w:r>
      <w:r>
        <w:rPr>
          <w:i/>
        </w:rPr>
        <w:t xml:space="preserve">Superannuation Legislation Amendment (Further MySuper and Transparency Measures) Act 2012. </w:t>
      </w:r>
      <w:r w:rsidRPr="003D3E59">
        <w:t xml:space="preserve"> </w:t>
      </w:r>
      <w:r>
        <w:t xml:space="preserve">These complemented the introduction of MySuper (a diversified superannuation product for contributions where the member has not made a choice of fund or product) in the </w:t>
      </w:r>
      <w:r>
        <w:rPr>
          <w:i/>
        </w:rPr>
        <w:t>Superannuation Legislation Amendment (MySuper Core Provisions) Act 2012.</w:t>
      </w:r>
      <w:r>
        <w:t xml:space="preserve">  The Government has also introduced the </w:t>
      </w:r>
      <w:r>
        <w:rPr>
          <w:i/>
        </w:rPr>
        <w:t>Superannuation Legislation Amendment (Service Providers and Other Governance Measures) Bill 2012.</w:t>
      </w:r>
    </w:p>
  </w:footnote>
  <w:footnote w:id="2">
    <w:p w:rsidR="007020D3" w:rsidRDefault="007020D3" w:rsidP="00533FD5">
      <w:pPr>
        <w:pStyle w:val="FootnoteText"/>
        <w:ind w:left="567" w:hanging="567"/>
        <w:jc w:val="both"/>
      </w:pPr>
      <w:r>
        <w:rPr>
          <w:rStyle w:val="FootnoteReference"/>
        </w:rPr>
        <w:footnoteRef/>
      </w:r>
      <w:r>
        <w:t xml:space="preserve"> </w:t>
      </w:r>
      <w:r>
        <w:tab/>
        <w:t xml:space="preserve">Section 348A is inserted by </w:t>
      </w:r>
      <w:r>
        <w:rPr>
          <w:i/>
        </w:rPr>
        <w:t>Superannuation Legislation Amendment (Further MySuper and Transparency Measures) Act 2012.</w:t>
      </w:r>
    </w:p>
  </w:footnote>
  <w:footnote w:id="3">
    <w:p w:rsidR="007020D3" w:rsidRPr="0095673C" w:rsidRDefault="007020D3" w:rsidP="00347C56">
      <w:pPr>
        <w:pStyle w:val="FootnoteText"/>
        <w:ind w:left="567" w:hanging="567"/>
        <w:jc w:val="both"/>
      </w:pPr>
      <w:r>
        <w:rPr>
          <w:rStyle w:val="FootnoteReference"/>
        </w:rPr>
        <w:footnoteRef/>
      </w:r>
      <w:r>
        <w:t xml:space="preserve"> </w:t>
      </w:r>
      <w:r>
        <w:tab/>
        <w:t xml:space="preserve">Subsections 13(4A) to (4C) of FSCODA are inserted by Item 29 of Schedule 3 to the </w:t>
      </w:r>
      <w:r>
        <w:rPr>
          <w:i/>
        </w:rPr>
        <w:t>Superannuation Legislation Amendment (Further MySuper and Transparency Measures) Act 2012</w:t>
      </w:r>
      <w:r>
        <w:t xml:space="preserve">, effective 1 July 2013.  Although these subsections commence after the making of the reporting standards, section 4 of the </w:t>
      </w:r>
      <w:r>
        <w:rPr>
          <w:i/>
        </w:rPr>
        <w:t xml:space="preserve">Acts Interpretation Act 1901 </w:t>
      </w:r>
      <w:r>
        <w:t xml:space="preserve">permits the exercise of a power (in this case, to make a reporting standard requiring look-through reporting) between the enactment of amending legislation affecting the power (3 December 2012) and the commencement of those amendments (1 July 213).  The reporting standards requiring look-through reporting under subsections 13(4A) to (4C) of FSCODA do not impose obligations before the commencement of those subsections.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3A" w:rsidRDefault="00B44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3A" w:rsidRDefault="00B44E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3A" w:rsidRDefault="00B44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C66"/>
    <w:multiLevelType w:val="hybridMultilevel"/>
    <w:tmpl w:val="216800AE"/>
    <w:lvl w:ilvl="0" w:tplc="F1DC0E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3A5AC3"/>
    <w:multiLevelType w:val="hybridMultilevel"/>
    <w:tmpl w:val="63C2A63A"/>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4E1A80"/>
    <w:multiLevelType w:val="hybridMultilevel"/>
    <w:tmpl w:val="A580C1E2"/>
    <w:lvl w:ilvl="0" w:tplc="0C09000F">
      <w:start w:val="1"/>
      <w:numFmt w:val="decimal"/>
      <w:lvlText w:val="%1."/>
      <w:lvlJc w:val="left"/>
      <w:pPr>
        <w:ind w:left="360" w:hanging="360"/>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4A81249"/>
    <w:multiLevelType w:val="hybridMultilevel"/>
    <w:tmpl w:val="3110BD74"/>
    <w:lvl w:ilvl="0" w:tplc="B3741604">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Symbol"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Symbol"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Symbol"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6">
    <w:nsid w:val="18B748EA"/>
    <w:multiLevelType w:val="hybridMultilevel"/>
    <w:tmpl w:val="FB86D204"/>
    <w:lvl w:ilvl="0" w:tplc="83060E0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A43714"/>
    <w:multiLevelType w:val="hybridMultilevel"/>
    <w:tmpl w:val="64D6FBCA"/>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C537EE"/>
    <w:multiLevelType w:val="hybridMultilevel"/>
    <w:tmpl w:val="FA342E68"/>
    <w:lvl w:ilvl="0" w:tplc="F1DC0EE0">
      <w:start w:val="1"/>
      <w:numFmt w:val="lowerLetter"/>
      <w:lvlText w:val="(%1)"/>
      <w:lvlJc w:val="left"/>
      <w:pPr>
        <w:ind w:left="927" w:hanging="360"/>
      </w:pPr>
      <w:rPr>
        <w:rFonts w:hint="default"/>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34247ED2"/>
    <w:multiLevelType w:val="hybridMultilevel"/>
    <w:tmpl w:val="262E2EE6"/>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4E6244F"/>
    <w:multiLevelType w:val="hybridMultilevel"/>
    <w:tmpl w:val="4C5242FA"/>
    <w:lvl w:ilvl="0" w:tplc="B3CE7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E29F8"/>
    <w:multiLevelType w:val="hybridMultilevel"/>
    <w:tmpl w:val="84EC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DB26DB"/>
    <w:multiLevelType w:val="hybridMultilevel"/>
    <w:tmpl w:val="2572D308"/>
    <w:lvl w:ilvl="0" w:tplc="FCCCA074">
      <w:start w:val="1"/>
      <w:numFmt w:val="decimal"/>
      <w:lvlText w:val="%1."/>
      <w:lvlJc w:val="left"/>
      <w:pPr>
        <w:tabs>
          <w:tab w:val="num" w:pos="567"/>
        </w:tabs>
        <w:ind w:left="567" w:hanging="567"/>
      </w:pPr>
      <w:rPr>
        <w:rFonts w:hint="default"/>
        <w:i w:val="0"/>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430857CE"/>
    <w:multiLevelType w:val="hybridMultilevel"/>
    <w:tmpl w:val="88B0636E"/>
    <w:lvl w:ilvl="0" w:tplc="E34C62CE">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3F3F4D"/>
    <w:multiLevelType w:val="hybridMultilevel"/>
    <w:tmpl w:val="45BED866"/>
    <w:lvl w:ilvl="0" w:tplc="B9129F8C">
      <w:start w:val="1"/>
      <w:numFmt w:val="bullet"/>
      <w:lvlText w:val=""/>
      <w:lvlJc w:val="left"/>
      <w:pPr>
        <w:tabs>
          <w:tab w:val="num" w:pos="454"/>
        </w:tabs>
        <w:ind w:left="454" w:hanging="454"/>
      </w:pPr>
      <w:rPr>
        <w:rFonts w:ascii="Symbol" w:hAnsi="Symbol" w:hint="default"/>
      </w:rPr>
    </w:lvl>
    <w:lvl w:ilvl="1" w:tplc="E34C62CE">
      <w:numFmt w:val="bullet"/>
      <w:lvlText w:val=""/>
      <w:lvlJc w:val="left"/>
      <w:pPr>
        <w:tabs>
          <w:tab w:val="num" w:pos="853"/>
        </w:tabs>
        <w:ind w:left="853" w:hanging="340"/>
      </w:pPr>
      <w:rPr>
        <w:rFonts w:ascii="Symbol" w:eastAsia="Times New Roman" w:hAnsi="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2">
    <w:nsid w:val="4B1823B0"/>
    <w:multiLevelType w:val="hybridMultilevel"/>
    <w:tmpl w:val="8570C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FB2BC0"/>
    <w:multiLevelType w:val="hybridMultilevel"/>
    <w:tmpl w:val="541E5A08"/>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D075BCB"/>
    <w:multiLevelType w:val="hybridMultilevel"/>
    <w:tmpl w:val="8A8ECCF0"/>
    <w:lvl w:ilvl="0" w:tplc="16343D3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E4C441D"/>
    <w:multiLevelType w:val="hybridMultilevel"/>
    <w:tmpl w:val="A73C215C"/>
    <w:lvl w:ilvl="0" w:tplc="B9129F8C">
      <w:start w:val="1"/>
      <w:numFmt w:val="bullet"/>
      <w:lvlText w:val=""/>
      <w:lvlJc w:val="left"/>
      <w:pPr>
        <w:tabs>
          <w:tab w:val="num" w:pos="454"/>
        </w:tabs>
        <w:ind w:left="454" w:hanging="454"/>
      </w:pPr>
      <w:rPr>
        <w:rFonts w:ascii="Symbol" w:hAnsi="Symbol" w:hint="default"/>
      </w:rPr>
    </w:lvl>
    <w:lvl w:ilvl="1" w:tplc="F5126D84">
      <w:start w:val="1"/>
      <w:numFmt w:val="bullet"/>
      <w:lvlText w:val="-"/>
      <w:lvlJc w:val="left"/>
      <w:pPr>
        <w:tabs>
          <w:tab w:val="num" w:pos="853"/>
        </w:tabs>
        <w:ind w:left="853" w:hanging="340"/>
      </w:pPr>
      <w:rPr>
        <w:rFonts w:ascii="Times New Roman" w:hAnsi="Times New Roman" w:cs="Times New Roman"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6">
    <w:nsid w:val="60D230D6"/>
    <w:multiLevelType w:val="hybridMultilevel"/>
    <w:tmpl w:val="6E46DFDE"/>
    <w:lvl w:ilvl="0" w:tplc="B3741604">
      <w:start w:val="1"/>
      <w:numFmt w:val="decimal"/>
      <w:lvlText w:val="%1."/>
      <w:lvlJc w:val="left"/>
      <w:pPr>
        <w:ind w:left="927" w:hanging="360"/>
      </w:pPr>
      <w:rPr>
        <w:rFonts w:hint="default"/>
        <w:i w:val="0"/>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62AA5F2B"/>
    <w:multiLevelType w:val="hybridMultilevel"/>
    <w:tmpl w:val="64940CE4"/>
    <w:lvl w:ilvl="0" w:tplc="FCCCA074">
      <w:start w:val="1"/>
      <w:numFmt w:val="decimal"/>
      <w:lvlText w:val="%1."/>
      <w:lvlJc w:val="left"/>
      <w:pPr>
        <w:tabs>
          <w:tab w:val="num" w:pos="567"/>
        </w:tabs>
        <w:ind w:left="567" w:hanging="567"/>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3741E58"/>
    <w:multiLevelType w:val="hybridMultilevel"/>
    <w:tmpl w:val="418ABB3A"/>
    <w:lvl w:ilvl="0" w:tplc="C588ABB8">
      <w:start w:val="1"/>
      <w:numFmt w:val="decimal"/>
      <w:lvlText w:val="%1."/>
      <w:lvlJc w:val="left"/>
      <w:pPr>
        <w:tabs>
          <w:tab w:val="num" w:pos="567"/>
        </w:tabs>
        <w:ind w:left="567" w:hanging="567"/>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53A3A1B"/>
    <w:multiLevelType w:val="hybridMultilevel"/>
    <w:tmpl w:val="DC8447C2"/>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D1C0973"/>
    <w:multiLevelType w:val="hybridMultilevel"/>
    <w:tmpl w:val="7926325E"/>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E20B63"/>
    <w:multiLevelType w:val="hybridMultilevel"/>
    <w:tmpl w:val="F4DEAD5E"/>
    <w:lvl w:ilvl="0" w:tplc="65945CC8">
      <w:start w:val="1"/>
      <w:numFmt w:val="bullet"/>
      <w:lvlText w:val="—"/>
      <w:lvlJc w:val="left"/>
      <w:pPr>
        <w:ind w:left="720"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A63786"/>
    <w:multiLevelType w:val="hybridMultilevel"/>
    <w:tmpl w:val="CE483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0F5656"/>
    <w:multiLevelType w:val="hybridMultilevel"/>
    <w:tmpl w:val="E6363104"/>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8"/>
  </w:num>
  <w:num w:numId="3">
    <w:abstractNumId w:val="19"/>
  </w:num>
  <w:num w:numId="4">
    <w:abstractNumId w:val="10"/>
  </w:num>
  <w:num w:numId="5">
    <w:abstractNumId w:val="9"/>
  </w:num>
  <w:num w:numId="6">
    <w:abstractNumId w:val="20"/>
  </w:num>
  <w:num w:numId="7">
    <w:abstractNumId w:val="8"/>
  </w:num>
  <w:num w:numId="8">
    <w:abstractNumId w:val="5"/>
  </w:num>
  <w:num w:numId="9">
    <w:abstractNumId w:val="22"/>
  </w:num>
  <w:num w:numId="10">
    <w:abstractNumId w:val="31"/>
  </w:num>
  <w:num w:numId="11">
    <w:abstractNumId w:val="25"/>
  </w:num>
  <w:num w:numId="12">
    <w:abstractNumId w:val="32"/>
  </w:num>
  <w:num w:numId="13">
    <w:abstractNumId w:val="30"/>
  </w:num>
  <w:num w:numId="14">
    <w:abstractNumId w:val="7"/>
  </w:num>
  <w:num w:numId="15">
    <w:abstractNumId w:val="21"/>
  </w:num>
  <w:num w:numId="16">
    <w:abstractNumId w:val="17"/>
  </w:num>
  <w:num w:numId="17">
    <w:abstractNumId w:val="15"/>
  </w:num>
  <w:num w:numId="18">
    <w:abstractNumId w:val="28"/>
  </w:num>
  <w:num w:numId="19">
    <w:abstractNumId w:val="13"/>
  </w:num>
  <w:num w:numId="20">
    <w:abstractNumId w:val="14"/>
  </w:num>
  <w:num w:numId="21">
    <w:abstractNumId w:val="23"/>
  </w:num>
  <w:num w:numId="22">
    <w:abstractNumId w:val="2"/>
  </w:num>
  <w:num w:numId="23">
    <w:abstractNumId w:val="33"/>
  </w:num>
  <w:num w:numId="24">
    <w:abstractNumId w:val="15"/>
  </w:num>
  <w:num w:numId="25">
    <w:abstractNumId w:val="15"/>
  </w:num>
  <w:num w:numId="26">
    <w:abstractNumId w:val="12"/>
  </w:num>
  <w:num w:numId="27">
    <w:abstractNumId w:val="29"/>
  </w:num>
  <w:num w:numId="28">
    <w:abstractNumId w:val="3"/>
  </w:num>
  <w:num w:numId="29">
    <w:abstractNumId w:val="6"/>
  </w:num>
  <w:num w:numId="30">
    <w:abstractNumId w:val="24"/>
  </w:num>
  <w:num w:numId="31">
    <w:abstractNumId w:val="0"/>
  </w:num>
  <w:num w:numId="32">
    <w:abstractNumId w:val="11"/>
  </w:num>
  <w:num w:numId="33">
    <w:abstractNumId w:val="16"/>
  </w:num>
  <w:num w:numId="34">
    <w:abstractNumId w:val="26"/>
  </w:num>
  <w:num w:numId="35">
    <w:abstractNumId w:val="2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33D"/>
    <w:rsid w:val="00000AE6"/>
    <w:rsid w:val="00005FEE"/>
    <w:rsid w:val="00012695"/>
    <w:rsid w:val="00014C4B"/>
    <w:rsid w:val="00016F01"/>
    <w:rsid w:val="000201AE"/>
    <w:rsid w:val="000218B6"/>
    <w:rsid w:val="00022BB1"/>
    <w:rsid w:val="00022ED5"/>
    <w:rsid w:val="00024B38"/>
    <w:rsid w:val="00026726"/>
    <w:rsid w:val="0002731C"/>
    <w:rsid w:val="00027386"/>
    <w:rsid w:val="00030BD8"/>
    <w:rsid w:val="000324C9"/>
    <w:rsid w:val="00032838"/>
    <w:rsid w:val="000329E9"/>
    <w:rsid w:val="00032E46"/>
    <w:rsid w:val="000330CF"/>
    <w:rsid w:val="00033B73"/>
    <w:rsid w:val="00034768"/>
    <w:rsid w:val="00040C6F"/>
    <w:rsid w:val="000422DA"/>
    <w:rsid w:val="00043838"/>
    <w:rsid w:val="00044A9D"/>
    <w:rsid w:val="00045354"/>
    <w:rsid w:val="000462B2"/>
    <w:rsid w:val="00046998"/>
    <w:rsid w:val="00047834"/>
    <w:rsid w:val="00052DE5"/>
    <w:rsid w:val="00055C1B"/>
    <w:rsid w:val="00056C6C"/>
    <w:rsid w:val="00056DC2"/>
    <w:rsid w:val="00056DFC"/>
    <w:rsid w:val="000603DB"/>
    <w:rsid w:val="000631DA"/>
    <w:rsid w:val="00063B11"/>
    <w:rsid w:val="00063E49"/>
    <w:rsid w:val="00076969"/>
    <w:rsid w:val="00080B55"/>
    <w:rsid w:val="00085D6F"/>
    <w:rsid w:val="00086488"/>
    <w:rsid w:val="00092A02"/>
    <w:rsid w:val="00092C71"/>
    <w:rsid w:val="0009379C"/>
    <w:rsid w:val="000944CD"/>
    <w:rsid w:val="00095FFB"/>
    <w:rsid w:val="000A2BF0"/>
    <w:rsid w:val="000A35A2"/>
    <w:rsid w:val="000A579A"/>
    <w:rsid w:val="000A6107"/>
    <w:rsid w:val="000B2112"/>
    <w:rsid w:val="000B22C3"/>
    <w:rsid w:val="000B2729"/>
    <w:rsid w:val="000B2E52"/>
    <w:rsid w:val="000B3626"/>
    <w:rsid w:val="000B5532"/>
    <w:rsid w:val="000B59FF"/>
    <w:rsid w:val="000B694A"/>
    <w:rsid w:val="000C0010"/>
    <w:rsid w:val="000C2617"/>
    <w:rsid w:val="000C3A21"/>
    <w:rsid w:val="000D046E"/>
    <w:rsid w:val="000D2640"/>
    <w:rsid w:val="000D5FF9"/>
    <w:rsid w:val="000D6002"/>
    <w:rsid w:val="000D6AC0"/>
    <w:rsid w:val="000E055A"/>
    <w:rsid w:val="000E129A"/>
    <w:rsid w:val="000E3F23"/>
    <w:rsid w:val="000E47BC"/>
    <w:rsid w:val="000F0CE7"/>
    <w:rsid w:val="000F1A2A"/>
    <w:rsid w:val="000F309E"/>
    <w:rsid w:val="000F3BD1"/>
    <w:rsid w:val="000F3E1E"/>
    <w:rsid w:val="000F6592"/>
    <w:rsid w:val="001002C5"/>
    <w:rsid w:val="00102F9E"/>
    <w:rsid w:val="0010495D"/>
    <w:rsid w:val="00105F5C"/>
    <w:rsid w:val="00110071"/>
    <w:rsid w:val="00111296"/>
    <w:rsid w:val="00111555"/>
    <w:rsid w:val="001211F2"/>
    <w:rsid w:val="00121F36"/>
    <w:rsid w:val="00122936"/>
    <w:rsid w:val="00122A9C"/>
    <w:rsid w:val="00123FD3"/>
    <w:rsid w:val="0012491A"/>
    <w:rsid w:val="00124EE2"/>
    <w:rsid w:val="00126BDF"/>
    <w:rsid w:val="001271A7"/>
    <w:rsid w:val="00127F6E"/>
    <w:rsid w:val="00131687"/>
    <w:rsid w:val="00133112"/>
    <w:rsid w:val="00134630"/>
    <w:rsid w:val="001365CA"/>
    <w:rsid w:val="00136838"/>
    <w:rsid w:val="00140819"/>
    <w:rsid w:val="00140948"/>
    <w:rsid w:val="00146362"/>
    <w:rsid w:val="00147418"/>
    <w:rsid w:val="0015374C"/>
    <w:rsid w:val="0016350A"/>
    <w:rsid w:val="001636BF"/>
    <w:rsid w:val="00163AE4"/>
    <w:rsid w:val="00163ECC"/>
    <w:rsid w:val="001670BC"/>
    <w:rsid w:val="001735C0"/>
    <w:rsid w:val="00176630"/>
    <w:rsid w:val="0018004F"/>
    <w:rsid w:val="00183A1C"/>
    <w:rsid w:val="00190780"/>
    <w:rsid w:val="00191382"/>
    <w:rsid w:val="00192C56"/>
    <w:rsid w:val="0019482E"/>
    <w:rsid w:val="001A0790"/>
    <w:rsid w:val="001A26A9"/>
    <w:rsid w:val="001A2AB2"/>
    <w:rsid w:val="001B115C"/>
    <w:rsid w:val="001B13B9"/>
    <w:rsid w:val="001B3893"/>
    <w:rsid w:val="001B5F9B"/>
    <w:rsid w:val="001B6E91"/>
    <w:rsid w:val="001C0BC5"/>
    <w:rsid w:val="001C27C3"/>
    <w:rsid w:val="001C7082"/>
    <w:rsid w:val="001D16A9"/>
    <w:rsid w:val="001D1DC0"/>
    <w:rsid w:val="001D4C02"/>
    <w:rsid w:val="001D6126"/>
    <w:rsid w:val="001D6D31"/>
    <w:rsid w:val="001E06CB"/>
    <w:rsid w:val="001E2DB0"/>
    <w:rsid w:val="001E54DD"/>
    <w:rsid w:val="001E623B"/>
    <w:rsid w:val="001E6EA4"/>
    <w:rsid w:val="001F0F70"/>
    <w:rsid w:val="001F4FB6"/>
    <w:rsid w:val="001F5D3D"/>
    <w:rsid w:val="001F7349"/>
    <w:rsid w:val="00200E63"/>
    <w:rsid w:val="002010C8"/>
    <w:rsid w:val="00202A47"/>
    <w:rsid w:val="00204946"/>
    <w:rsid w:val="00206A98"/>
    <w:rsid w:val="00207C73"/>
    <w:rsid w:val="00210496"/>
    <w:rsid w:val="002114F1"/>
    <w:rsid w:val="0021217E"/>
    <w:rsid w:val="002123EC"/>
    <w:rsid w:val="00215426"/>
    <w:rsid w:val="0022265D"/>
    <w:rsid w:val="00223C69"/>
    <w:rsid w:val="0022477F"/>
    <w:rsid w:val="002248F3"/>
    <w:rsid w:val="00225921"/>
    <w:rsid w:val="00225C10"/>
    <w:rsid w:val="0022602E"/>
    <w:rsid w:val="0023066A"/>
    <w:rsid w:val="002330A5"/>
    <w:rsid w:val="002341A1"/>
    <w:rsid w:val="00237171"/>
    <w:rsid w:val="002430F8"/>
    <w:rsid w:val="00243850"/>
    <w:rsid w:val="00244309"/>
    <w:rsid w:val="002504E2"/>
    <w:rsid w:val="00251164"/>
    <w:rsid w:val="002529DB"/>
    <w:rsid w:val="00252F17"/>
    <w:rsid w:val="0025461F"/>
    <w:rsid w:val="00254B41"/>
    <w:rsid w:val="00254ED3"/>
    <w:rsid w:val="00260693"/>
    <w:rsid w:val="002642DC"/>
    <w:rsid w:val="00265913"/>
    <w:rsid w:val="002667D9"/>
    <w:rsid w:val="00266C66"/>
    <w:rsid w:val="00280A4F"/>
    <w:rsid w:val="00282B1D"/>
    <w:rsid w:val="00283D1A"/>
    <w:rsid w:val="00285041"/>
    <w:rsid w:val="0028530F"/>
    <w:rsid w:val="002853EC"/>
    <w:rsid w:val="00291E78"/>
    <w:rsid w:val="002960FC"/>
    <w:rsid w:val="002962EE"/>
    <w:rsid w:val="002A0F36"/>
    <w:rsid w:val="002A10B1"/>
    <w:rsid w:val="002A47FA"/>
    <w:rsid w:val="002A7FD0"/>
    <w:rsid w:val="002B09B5"/>
    <w:rsid w:val="002B2A6A"/>
    <w:rsid w:val="002B5F9F"/>
    <w:rsid w:val="002B6511"/>
    <w:rsid w:val="002B6780"/>
    <w:rsid w:val="002B6E99"/>
    <w:rsid w:val="002C3923"/>
    <w:rsid w:val="002C3F98"/>
    <w:rsid w:val="002C7D5C"/>
    <w:rsid w:val="002D003A"/>
    <w:rsid w:val="002D01A9"/>
    <w:rsid w:val="002D08B3"/>
    <w:rsid w:val="002D15B6"/>
    <w:rsid w:val="002D5680"/>
    <w:rsid w:val="002D7440"/>
    <w:rsid w:val="002E05F9"/>
    <w:rsid w:val="002E39A6"/>
    <w:rsid w:val="002E453F"/>
    <w:rsid w:val="002E68FA"/>
    <w:rsid w:val="002F0250"/>
    <w:rsid w:val="002F19D2"/>
    <w:rsid w:val="00300114"/>
    <w:rsid w:val="003024F7"/>
    <w:rsid w:val="003033E4"/>
    <w:rsid w:val="003048DA"/>
    <w:rsid w:val="00314F61"/>
    <w:rsid w:val="003168CC"/>
    <w:rsid w:val="003230CB"/>
    <w:rsid w:val="00323DBD"/>
    <w:rsid w:val="003256DF"/>
    <w:rsid w:val="00326DC9"/>
    <w:rsid w:val="003318F0"/>
    <w:rsid w:val="003326CD"/>
    <w:rsid w:val="0034240A"/>
    <w:rsid w:val="0034386A"/>
    <w:rsid w:val="00347C56"/>
    <w:rsid w:val="00347FCC"/>
    <w:rsid w:val="00352685"/>
    <w:rsid w:val="003574BF"/>
    <w:rsid w:val="0036074C"/>
    <w:rsid w:val="0036074D"/>
    <w:rsid w:val="00361A51"/>
    <w:rsid w:val="003664C9"/>
    <w:rsid w:val="003671DF"/>
    <w:rsid w:val="003705A2"/>
    <w:rsid w:val="00377314"/>
    <w:rsid w:val="00384376"/>
    <w:rsid w:val="00384F6E"/>
    <w:rsid w:val="00385EBA"/>
    <w:rsid w:val="00386E9F"/>
    <w:rsid w:val="003A0FB4"/>
    <w:rsid w:val="003A3C6D"/>
    <w:rsid w:val="003A5325"/>
    <w:rsid w:val="003A551B"/>
    <w:rsid w:val="003B2330"/>
    <w:rsid w:val="003B2863"/>
    <w:rsid w:val="003B338C"/>
    <w:rsid w:val="003B4785"/>
    <w:rsid w:val="003B6B84"/>
    <w:rsid w:val="003C1F4C"/>
    <w:rsid w:val="003C3568"/>
    <w:rsid w:val="003C3DE4"/>
    <w:rsid w:val="003D14AA"/>
    <w:rsid w:val="003D3E59"/>
    <w:rsid w:val="003D671F"/>
    <w:rsid w:val="003D7D62"/>
    <w:rsid w:val="003E1487"/>
    <w:rsid w:val="003E1799"/>
    <w:rsid w:val="003E2F84"/>
    <w:rsid w:val="003E35E2"/>
    <w:rsid w:val="003E395B"/>
    <w:rsid w:val="003E399F"/>
    <w:rsid w:val="003E436B"/>
    <w:rsid w:val="003E474E"/>
    <w:rsid w:val="003E7F89"/>
    <w:rsid w:val="003F2D0E"/>
    <w:rsid w:val="003F4D73"/>
    <w:rsid w:val="003F7530"/>
    <w:rsid w:val="00402072"/>
    <w:rsid w:val="00403EA8"/>
    <w:rsid w:val="0040568B"/>
    <w:rsid w:val="0040630F"/>
    <w:rsid w:val="004137C9"/>
    <w:rsid w:val="00414E21"/>
    <w:rsid w:val="00415C2F"/>
    <w:rsid w:val="00415EAB"/>
    <w:rsid w:val="00416296"/>
    <w:rsid w:val="00423543"/>
    <w:rsid w:val="00423B0B"/>
    <w:rsid w:val="00426967"/>
    <w:rsid w:val="00426F46"/>
    <w:rsid w:val="00427335"/>
    <w:rsid w:val="004326E0"/>
    <w:rsid w:val="00434435"/>
    <w:rsid w:val="00435182"/>
    <w:rsid w:val="00436690"/>
    <w:rsid w:val="00443B03"/>
    <w:rsid w:val="00446377"/>
    <w:rsid w:val="00446793"/>
    <w:rsid w:val="00450D07"/>
    <w:rsid w:val="00452BFF"/>
    <w:rsid w:val="00452F0E"/>
    <w:rsid w:val="00453E71"/>
    <w:rsid w:val="0045402B"/>
    <w:rsid w:val="00455CFD"/>
    <w:rsid w:val="00456B13"/>
    <w:rsid w:val="00463269"/>
    <w:rsid w:val="0046392B"/>
    <w:rsid w:val="00463E35"/>
    <w:rsid w:val="00466BE1"/>
    <w:rsid w:val="00470465"/>
    <w:rsid w:val="00474563"/>
    <w:rsid w:val="00480AB5"/>
    <w:rsid w:val="00485359"/>
    <w:rsid w:val="00485782"/>
    <w:rsid w:val="004913BF"/>
    <w:rsid w:val="00491AD1"/>
    <w:rsid w:val="00493D60"/>
    <w:rsid w:val="004974E6"/>
    <w:rsid w:val="00497A10"/>
    <w:rsid w:val="004A2CEE"/>
    <w:rsid w:val="004A344C"/>
    <w:rsid w:val="004A645A"/>
    <w:rsid w:val="004A64B4"/>
    <w:rsid w:val="004A7947"/>
    <w:rsid w:val="004A7EF8"/>
    <w:rsid w:val="004B004C"/>
    <w:rsid w:val="004B2690"/>
    <w:rsid w:val="004B621D"/>
    <w:rsid w:val="004B7CDD"/>
    <w:rsid w:val="004C79A4"/>
    <w:rsid w:val="004D01B8"/>
    <w:rsid w:val="004D19E0"/>
    <w:rsid w:val="004D2537"/>
    <w:rsid w:val="004D4C3D"/>
    <w:rsid w:val="004D600A"/>
    <w:rsid w:val="004E34CF"/>
    <w:rsid w:val="004F0124"/>
    <w:rsid w:val="004F0E6C"/>
    <w:rsid w:val="004F3053"/>
    <w:rsid w:val="004F4CCA"/>
    <w:rsid w:val="004F75D0"/>
    <w:rsid w:val="005050D5"/>
    <w:rsid w:val="00505C2A"/>
    <w:rsid w:val="00506648"/>
    <w:rsid w:val="005131F0"/>
    <w:rsid w:val="00514E54"/>
    <w:rsid w:val="0051573E"/>
    <w:rsid w:val="00523E14"/>
    <w:rsid w:val="0053053F"/>
    <w:rsid w:val="005323E9"/>
    <w:rsid w:val="00533FD5"/>
    <w:rsid w:val="0053624C"/>
    <w:rsid w:val="005378DF"/>
    <w:rsid w:val="00544186"/>
    <w:rsid w:val="00544768"/>
    <w:rsid w:val="0054631D"/>
    <w:rsid w:val="0054724E"/>
    <w:rsid w:val="00550E08"/>
    <w:rsid w:val="00552458"/>
    <w:rsid w:val="00553D45"/>
    <w:rsid w:val="005542B8"/>
    <w:rsid w:val="00554716"/>
    <w:rsid w:val="00554D51"/>
    <w:rsid w:val="00561055"/>
    <w:rsid w:val="00562B07"/>
    <w:rsid w:val="00562C29"/>
    <w:rsid w:val="00564D62"/>
    <w:rsid w:val="00565315"/>
    <w:rsid w:val="00567A9A"/>
    <w:rsid w:val="005718A5"/>
    <w:rsid w:val="00571B24"/>
    <w:rsid w:val="00574616"/>
    <w:rsid w:val="005748FE"/>
    <w:rsid w:val="0057495B"/>
    <w:rsid w:val="0057774E"/>
    <w:rsid w:val="0057786D"/>
    <w:rsid w:val="00577EDF"/>
    <w:rsid w:val="005833B9"/>
    <w:rsid w:val="00587962"/>
    <w:rsid w:val="00587F30"/>
    <w:rsid w:val="00591630"/>
    <w:rsid w:val="00592576"/>
    <w:rsid w:val="00593BF7"/>
    <w:rsid w:val="005941E1"/>
    <w:rsid w:val="005A60B9"/>
    <w:rsid w:val="005A743A"/>
    <w:rsid w:val="005A7BE0"/>
    <w:rsid w:val="005B22D9"/>
    <w:rsid w:val="005B7123"/>
    <w:rsid w:val="005C37A6"/>
    <w:rsid w:val="005C3C75"/>
    <w:rsid w:val="005C6D5F"/>
    <w:rsid w:val="005C701A"/>
    <w:rsid w:val="005C7AB3"/>
    <w:rsid w:val="005D0304"/>
    <w:rsid w:val="005D435B"/>
    <w:rsid w:val="005D6649"/>
    <w:rsid w:val="005D7020"/>
    <w:rsid w:val="005D7A53"/>
    <w:rsid w:val="005E1164"/>
    <w:rsid w:val="005E4036"/>
    <w:rsid w:val="005E5F1D"/>
    <w:rsid w:val="005F0577"/>
    <w:rsid w:val="005F172F"/>
    <w:rsid w:val="005F5DF4"/>
    <w:rsid w:val="005F6428"/>
    <w:rsid w:val="005F6BAC"/>
    <w:rsid w:val="00601EBA"/>
    <w:rsid w:val="00610402"/>
    <w:rsid w:val="00610833"/>
    <w:rsid w:val="00611A4D"/>
    <w:rsid w:val="0061258F"/>
    <w:rsid w:val="00613E7B"/>
    <w:rsid w:val="006175DC"/>
    <w:rsid w:val="0062007F"/>
    <w:rsid w:val="006208F9"/>
    <w:rsid w:val="00620E71"/>
    <w:rsid w:val="006210C2"/>
    <w:rsid w:val="00624040"/>
    <w:rsid w:val="00625D6C"/>
    <w:rsid w:val="00631591"/>
    <w:rsid w:val="00634FF0"/>
    <w:rsid w:val="00635A7C"/>
    <w:rsid w:val="006418AE"/>
    <w:rsid w:val="00643F26"/>
    <w:rsid w:val="00644F26"/>
    <w:rsid w:val="00645119"/>
    <w:rsid w:val="00647B94"/>
    <w:rsid w:val="0065030A"/>
    <w:rsid w:val="006503AB"/>
    <w:rsid w:val="0065058D"/>
    <w:rsid w:val="00652397"/>
    <w:rsid w:val="00652609"/>
    <w:rsid w:val="0065425A"/>
    <w:rsid w:val="006550E7"/>
    <w:rsid w:val="00657CD6"/>
    <w:rsid w:val="006630B6"/>
    <w:rsid w:val="00663C9A"/>
    <w:rsid w:val="006727CA"/>
    <w:rsid w:val="00673E01"/>
    <w:rsid w:val="006752F6"/>
    <w:rsid w:val="006825F2"/>
    <w:rsid w:val="006826B2"/>
    <w:rsid w:val="00684532"/>
    <w:rsid w:val="00685CF1"/>
    <w:rsid w:val="0068655F"/>
    <w:rsid w:val="00691BE2"/>
    <w:rsid w:val="00694F60"/>
    <w:rsid w:val="006967C8"/>
    <w:rsid w:val="006A05FB"/>
    <w:rsid w:val="006A0EBB"/>
    <w:rsid w:val="006A5128"/>
    <w:rsid w:val="006A66D4"/>
    <w:rsid w:val="006B4444"/>
    <w:rsid w:val="006B49D5"/>
    <w:rsid w:val="006B6285"/>
    <w:rsid w:val="006C0777"/>
    <w:rsid w:val="006C0888"/>
    <w:rsid w:val="006C38BF"/>
    <w:rsid w:val="006C569C"/>
    <w:rsid w:val="006C6A19"/>
    <w:rsid w:val="006D1265"/>
    <w:rsid w:val="006E15EA"/>
    <w:rsid w:val="006E222F"/>
    <w:rsid w:val="006E4B75"/>
    <w:rsid w:val="006F6C05"/>
    <w:rsid w:val="006F74F6"/>
    <w:rsid w:val="007020D3"/>
    <w:rsid w:val="0070223F"/>
    <w:rsid w:val="00702EF7"/>
    <w:rsid w:val="00704E26"/>
    <w:rsid w:val="007060F0"/>
    <w:rsid w:val="00711280"/>
    <w:rsid w:val="00712E3F"/>
    <w:rsid w:val="00717A79"/>
    <w:rsid w:val="0072092B"/>
    <w:rsid w:val="0073060A"/>
    <w:rsid w:val="007328C0"/>
    <w:rsid w:val="00733B48"/>
    <w:rsid w:val="00733EC5"/>
    <w:rsid w:val="007366EB"/>
    <w:rsid w:val="00741547"/>
    <w:rsid w:val="00741648"/>
    <w:rsid w:val="007422E3"/>
    <w:rsid w:val="00742770"/>
    <w:rsid w:val="00743617"/>
    <w:rsid w:val="00743A04"/>
    <w:rsid w:val="00744E6B"/>
    <w:rsid w:val="00746F83"/>
    <w:rsid w:val="007510F4"/>
    <w:rsid w:val="00751C08"/>
    <w:rsid w:val="007562E4"/>
    <w:rsid w:val="007605C2"/>
    <w:rsid w:val="00760CF4"/>
    <w:rsid w:val="007669D4"/>
    <w:rsid w:val="00770264"/>
    <w:rsid w:val="007728E8"/>
    <w:rsid w:val="0077334D"/>
    <w:rsid w:val="00775053"/>
    <w:rsid w:val="00776051"/>
    <w:rsid w:val="00780C75"/>
    <w:rsid w:val="00781B60"/>
    <w:rsid w:val="00785B77"/>
    <w:rsid w:val="007929A9"/>
    <w:rsid w:val="0079354B"/>
    <w:rsid w:val="00795F4D"/>
    <w:rsid w:val="00796DE0"/>
    <w:rsid w:val="00797B1C"/>
    <w:rsid w:val="007A09EC"/>
    <w:rsid w:val="007B093E"/>
    <w:rsid w:val="007B1192"/>
    <w:rsid w:val="007B1BD4"/>
    <w:rsid w:val="007B4814"/>
    <w:rsid w:val="007B49C0"/>
    <w:rsid w:val="007B6616"/>
    <w:rsid w:val="007C0D87"/>
    <w:rsid w:val="007C3365"/>
    <w:rsid w:val="007C5A77"/>
    <w:rsid w:val="007D156F"/>
    <w:rsid w:val="007D1DFE"/>
    <w:rsid w:val="007D2478"/>
    <w:rsid w:val="007E6DFA"/>
    <w:rsid w:val="007F2504"/>
    <w:rsid w:val="007F3162"/>
    <w:rsid w:val="007F50A4"/>
    <w:rsid w:val="008015D2"/>
    <w:rsid w:val="00803A40"/>
    <w:rsid w:val="00804B20"/>
    <w:rsid w:val="00804B93"/>
    <w:rsid w:val="00804EA2"/>
    <w:rsid w:val="0080552D"/>
    <w:rsid w:val="00806B31"/>
    <w:rsid w:val="00807B3F"/>
    <w:rsid w:val="00811363"/>
    <w:rsid w:val="008124F3"/>
    <w:rsid w:val="00812FFC"/>
    <w:rsid w:val="008155DB"/>
    <w:rsid w:val="00815681"/>
    <w:rsid w:val="0082354F"/>
    <w:rsid w:val="00825478"/>
    <w:rsid w:val="00826B4E"/>
    <w:rsid w:val="0083007C"/>
    <w:rsid w:val="00830C54"/>
    <w:rsid w:val="00830E90"/>
    <w:rsid w:val="0083482E"/>
    <w:rsid w:val="00835239"/>
    <w:rsid w:val="00837FB3"/>
    <w:rsid w:val="00844445"/>
    <w:rsid w:val="0084490C"/>
    <w:rsid w:val="0084495C"/>
    <w:rsid w:val="008458C3"/>
    <w:rsid w:val="00845EFE"/>
    <w:rsid w:val="008522ED"/>
    <w:rsid w:val="00853398"/>
    <w:rsid w:val="0086053F"/>
    <w:rsid w:val="00860DC0"/>
    <w:rsid w:val="00863B8C"/>
    <w:rsid w:val="00866218"/>
    <w:rsid w:val="00870D1C"/>
    <w:rsid w:val="00870E85"/>
    <w:rsid w:val="008713A5"/>
    <w:rsid w:val="008803C8"/>
    <w:rsid w:val="00881B57"/>
    <w:rsid w:val="00882496"/>
    <w:rsid w:val="008825C2"/>
    <w:rsid w:val="008841DB"/>
    <w:rsid w:val="0088539F"/>
    <w:rsid w:val="00885D7C"/>
    <w:rsid w:val="008928D2"/>
    <w:rsid w:val="008A1A5F"/>
    <w:rsid w:val="008A22ED"/>
    <w:rsid w:val="008A5356"/>
    <w:rsid w:val="008A5643"/>
    <w:rsid w:val="008A7848"/>
    <w:rsid w:val="008B0046"/>
    <w:rsid w:val="008B017F"/>
    <w:rsid w:val="008B1DD5"/>
    <w:rsid w:val="008B5B9B"/>
    <w:rsid w:val="008B6112"/>
    <w:rsid w:val="008B7528"/>
    <w:rsid w:val="008C0503"/>
    <w:rsid w:val="008C0F09"/>
    <w:rsid w:val="008C228A"/>
    <w:rsid w:val="008C49A6"/>
    <w:rsid w:val="008C56F8"/>
    <w:rsid w:val="008D0E01"/>
    <w:rsid w:val="008D2560"/>
    <w:rsid w:val="008D5A28"/>
    <w:rsid w:val="008E1C9F"/>
    <w:rsid w:val="008E25C7"/>
    <w:rsid w:val="008E445F"/>
    <w:rsid w:val="008E7EB4"/>
    <w:rsid w:val="008F07CE"/>
    <w:rsid w:val="008F458F"/>
    <w:rsid w:val="008F6AA0"/>
    <w:rsid w:val="00910F17"/>
    <w:rsid w:val="009135F9"/>
    <w:rsid w:val="009145A2"/>
    <w:rsid w:val="00915A33"/>
    <w:rsid w:val="00916060"/>
    <w:rsid w:val="00916AAA"/>
    <w:rsid w:val="00921D12"/>
    <w:rsid w:val="00922097"/>
    <w:rsid w:val="009222AD"/>
    <w:rsid w:val="00924CC9"/>
    <w:rsid w:val="0092540E"/>
    <w:rsid w:val="00926BB2"/>
    <w:rsid w:val="0093196C"/>
    <w:rsid w:val="00931BC1"/>
    <w:rsid w:val="00932D57"/>
    <w:rsid w:val="00936123"/>
    <w:rsid w:val="0093761D"/>
    <w:rsid w:val="009403D0"/>
    <w:rsid w:val="0095037A"/>
    <w:rsid w:val="009533A5"/>
    <w:rsid w:val="00953841"/>
    <w:rsid w:val="00954943"/>
    <w:rsid w:val="0095673C"/>
    <w:rsid w:val="00956A1C"/>
    <w:rsid w:val="009665AD"/>
    <w:rsid w:val="009732D4"/>
    <w:rsid w:val="0097535E"/>
    <w:rsid w:val="00975C92"/>
    <w:rsid w:val="00975F78"/>
    <w:rsid w:val="00984B4D"/>
    <w:rsid w:val="00985A96"/>
    <w:rsid w:val="009965FD"/>
    <w:rsid w:val="00997B46"/>
    <w:rsid w:val="00997DB1"/>
    <w:rsid w:val="00997F76"/>
    <w:rsid w:val="009B2935"/>
    <w:rsid w:val="009C19B4"/>
    <w:rsid w:val="009C2EC8"/>
    <w:rsid w:val="009C4C28"/>
    <w:rsid w:val="009D1F0D"/>
    <w:rsid w:val="009D3E18"/>
    <w:rsid w:val="009E216B"/>
    <w:rsid w:val="009E6405"/>
    <w:rsid w:val="009F2DFF"/>
    <w:rsid w:val="009F665E"/>
    <w:rsid w:val="009F79EF"/>
    <w:rsid w:val="00A00162"/>
    <w:rsid w:val="00A0071B"/>
    <w:rsid w:val="00A01D19"/>
    <w:rsid w:val="00A03AB9"/>
    <w:rsid w:val="00A047B5"/>
    <w:rsid w:val="00A0568A"/>
    <w:rsid w:val="00A10194"/>
    <w:rsid w:val="00A122B0"/>
    <w:rsid w:val="00A15209"/>
    <w:rsid w:val="00A15E5C"/>
    <w:rsid w:val="00A160F2"/>
    <w:rsid w:val="00A16AE2"/>
    <w:rsid w:val="00A208EB"/>
    <w:rsid w:val="00A22BB0"/>
    <w:rsid w:val="00A305CC"/>
    <w:rsid w:val="00A32B98"/>
    <w:rsid w:val="00A37816"/>
    <w:rsid w:val="00A40D5C"/>
    <w:rsid w:val="00A43FF9"/>
    <w:rsid w:val="00A4657A"/>
    <w:rsid w:val="00A51D19"/>
    <w:rsid w:val="00A55057"/>
    <w:rsid w:val="00A56BEA"/>
    <w:rsid w:val="00A62037"/>
    <w:rsid w:val="00A64327"/>
    <w:rsid w:val="00A66958"/>
    <w:rsid w:val="00A66DF3"/>
    <w:rsid w:val="00A70675"/>
    <w:rsid w:val="00A70D00"/>
    <w:rsid w:val="00A82561"/>
    <w:rsid w:val="00A84F11"/>
    <w:rsid w:val="00A866E6"/>
    <w:rsid w:val="00A90FA4"/>
    <w:rsid w:val="00A94115"/>
    <w:rsid w:val="00A947D7"/>
    <w:rsid w:val="00A96F6A"/>
    <w:rsid w:val="00AA08EC"/>
    <w:rsid w:val="00AA2735"/>
    <w:rsid w:val="00AA37DB"/>
    <w:rsid w:val="00AB0A7D"/>
    <w:rsid w:val="00AB1F92"/>
    <w:rsid w:val="00AB3FCB"/>
    <w:rsid w:val="00AB533D"/>
    <w:rsid w:val="00AB7A5D"/>
    <w:rsid w:val="00AC031B"/>
    <w:rsid w:val="00AC199A"/>
    <w:rsid w:val="00AC2996"/>
    <w:rsid w:val="00AC3F07"/>
    <w:rsid w:val="00AC3F83"/>
    <w:rsid w:val="00AC55FD"/>
    <w:rsid w:val="00AD31BC"/>
    <w:rsid w:val="00AD62C5"/>
    <w:rsid w:val="00AD6534"/>
    <w:rsid w:val="00AD78E5"/>
    <w:rsid w:val="00AE0E74"/>
    <w:rsid w:val="00AE0FFA"/>
    <w:rsid w:val="00AE287A"/>
    <w:rsid w:val="00AE2D97"/>
    <w:rsid w:val="00AE3364"/>
    <w:rsid w:val="00AE59D9"/>
    <w:rsid w:val="00AE7E64"/>
    <w:rsid w:val="00AF25E3"/>
    <w:rsid w:val="00AF3144"/>
    <w:rsid w:val="00AF47CF"/>
    <w:rsid w:val="00B01A7A"/>
    <w:rsid w:val="00B02043"/>
    <w:rsid w:val="00B02340"/>
    <w:rsid w:val="00B030E2"/>
    <w:rsid w:val="00B067E0"/>
    <w:rsid w:val="00B114D3"/>
    <w:rsid w:val="00B12376"/>
    <w:rsid w:val="00B1355F"/>
    <w:rsid w:val="00B15B19"/>
    <w:rsid w:val="00B212B8"/>
    <w:rsid w:val="00B27510"/>
    <w:rsid w:val="00B31081"/>
    <w:rsid w:val="00B31959"/>
    <w:rsid w:val="00B3501B"/>
    <w:rsid w:val="00B41ACA"/>
    <w:rsid w:val="00B44A68"/>
    <w:rsid w:val="00B44E3A"/>
    <w:rsid w:val="00B458A3"/>
    <w:rsid w:val="00B46846"/>
    <w:rsid w:val="00B51CA2"/>
    <w:rsid w:val="00B52C31"/>
    <w:rsid w:val="00B57341"/>
    <w:rsid w:val="00B659DF"/>
    <w:rsid w:val="00B71A97"/>
    <w:rsid w:val="00B73A23"/>
    <w:rsid w:val="00B77BD4"/>
    <w:rsid w:val="00B84194"/>
    <w:rsid w:val="00B9215B"/>
    <w:rsid w:val="00B97B6E"/>
    <w:rsid w:val="00BA0BC1"/>
    <w:rsid w:val="00BA3189"/>
    <w:rsid w:val="00BA4FF9"/>
    <w:rsid w:val="00BA6EB3"/>
    <w:rsid w:val="00BB1F01"/>
    <w:rsid w:val="00BB27C5"/>
    <w:rsid w:val="00BB387D"/>
    <w:rsid w:val="00BC0348"/>
    <w:rsid w:val="00BC0D22"/>
    <w:rsid w:val="00BC27C2"/>
    <w:rsid w:val="00BC2BFB"/>
    <w:rsid w:val="00BC5946"/>
    <w:rsid w:val="00BC69B9"/>
    <w:rsid w:val="00BC6A8D"/>
    <w:rsid w:val="00BE5F98"/>
    <w:rsid w:val="00BF1BB5"/>
    <w:rsid w:val="00BF22F5"/>
    <w:rsid w:val="00BF5B12"/>
    <w:rsid w:val="00BF6437"/>
    <w:rsid w:val="00C007F6"/>
    <w:rsid w:val="00C0237D"/>
    <w:rsid w:val="00C03925"/>
    <w:rsid w:val="00C047E7"/>
    <w:rsid w:val="00C06282"/>
    <w:rsid w:val="00C07ED1"/>
    <w:rsid w:val="00C108F9"/>
    <w:rsid w:val="00C16BD6"/>
    <w:rsid w:val="00C17D45"/>
    <w:rsid w:val="00C17ED3"/>
    <w:rsid w:val="00C23D4E"/>
    <w:rsid w:val="00C2447B"/>
    <w:rsid w:val="00C336E1"/>
    <w:rsid w:val="00C3411D"/>
    <w:rsid w:val="00C3551A"/>
    <w:rsid w:val="00C41329"/>
    <w:rsid w:val="00C4177F"/>
    <w:rsid w:val="00C464F8"/>
    <w:rsid w:val="00C50E0D"/>
    <w:rsid w:val="00C56099"/>
    <w:rsid w:val="00C56A87"/>
    <w:rsid w:val="00C57B96"/>
    <w:rsid w:val="00C619FF"/>
    <w:rsid w:val="00C62FA1"/>
    <w:rsid w:val="00C66F5F"/>
    <w:rsid w:val="00C72F5E"/>
    <w:rsid w:val="00C737CB"/>
    <w:rsid w:val="00C872D5"/>
    <w:rsid w:val="00C90010"/>
    <w:rsid w:val="00C9399F"/>
    <w:rsid w:val="00C94DCF"/>
    <w:rsid w:val="00C94E0E"/>
    <w:rsid w:val="00C9694D"/>
    <w:rsid w:val="00C96E5E"/>
    <w:rsid w:val="00C97019"/>
    <w:rsid w:val="00C97516"/>
    <w:rsid w:val="00CA29DB"/>
    <w:rsid w:val="00CA57DF"/>
    <w:rsid w:val="00CA5A10"/>
    <w:rsid w:val="00CB6553"/>
    <w:rsid w:val="00CC1195"/>
    <w:rsid w:val="00CC151F"/>
    <w:rsid w:val="00CC2E08"/>
    <w:rsid w:val="00CC4BE4"/>
    <w:rsid w:val="00CC793B"/>
    <w:rsid w:val="00CD0116"/>
    <w:rsid w:val="00CD519A"/>
    <w:rsid w:val="00CD5D60"/>
    <w:rsid w:val="00CE5E8B"/>
    <w:rsid w:val="00CF033B"/>
    <w:rsid w:val="00CF3028"/>
    <w:rsid w:val="00CF6510"/>
    <w:rsid w:val="00CF7B05"/>
    <w:rsid w:val="00CF7E04"/>
    <w:rsid w:val="00D04EA3"/>
    <w:rsid w:val="00D161B4"/>
    <w:rsid w:val="00D17E48"/>
    <w:rsid w:val="00D2126B"/>
    <w:rsid w:val="00D228BE"/>
    <w:rsid w:val="00D22D14"/>
    <w:rsid w:val="00D25F75"/>
    <w:rsid w:val="00D27DE1"/>
    <w:rsid w:val="00D34FA4"/>
    <w:rsid w:val="00D3515D"/>
    <w:rsid w:val="00D40FB3"/>
    <w:rsid w:val="00D4290F"/>
    <w:rsid w:val="00D4387C"/>
    <w:rsid w:val="00D44DB1"/>
    <w:rsid w:val="00D47D67"/>
    <w:rsid w:val="00D52831"/>
    <w:rsid w:val="00D56C0A"/>
    <w:rsid w:val="00D612FC"/>
    <w:rsid w:val="00D63690"/>
    <w:rsid w:val="00D66CB2"/>
    <w:rsid w:val="00D7240A"/>
    <w:rsid w:val="00D724D7"/>
    <w:rsid w:val="00D74B7E"/>
    <w:rsid w:val="00D74F9B"/>
    <w:rsid w:val="00D77584"/>
    <w:rsid w:val="00D80BBF"/>
    <w:rsid w:val="00D84A02"/>
    <w:rsid w:val="00D85460"/>
    <w:rsid w:val="00D8796B"/>
    <w:rsid w:val="00D94F65"/>
    <w:rsid w:val="00D959D7"/>
    <w:rsid w:val="00D9636A"/>
    <w:rsid w:val="00D96744"/>
    <w:rsid w:val="00D96A48"/>
    <w:rsid w:val="00D97D95"/>
    <w:rsid w:val="00DA033D"/>
    <w:rsid w:val="00DA3F2E"/>
    <w:rsid w:val="00DA572D"/>
    <w:rsid w:val="00DA5D0D"/>
    <w:rsid w:val="00DB2DC5"/>
    <w:rsid w:val="00DB75C3"/>
    <w:rsid w:val="00DC2B2A"/>
    <w:rsid w:val="00DC2FCC"/>
    <w:rsid w:val="00DC570C"/>
    <w:rsid w:val="00DD3416"/>
    <w:rsid w:val="00DD4E4B"/>
    <w:rsid w:val="00DD5346"/>
    <w:rsid w:val="00DD64C6"/>
    <w:rsid w:val="00DE5226"/>
    <w:rsid w:val="00DE6BEB"/>
    <w:rsid w:val="00DF65D5"/>
    <w:rsid w:val="00DF716C"/>
    <w:rsid w:val="00E00123"/>
    <w:rsid w:val="00E01BDE"/>
    <w:rsid w:val="00E0451F"/>
    <w:rsid w:val="00E113C0"/>
    <w:rsid w:val="00E13541"/>
    <w:rsid w:val="00E14D72"/>
    <w:rsid w:val="00E16AFB"/>
    <w:rsid w:val="00E21E01"/>
    <w:rsid w:val="00E22ADE"/>
    <w:rsid w:val="00E240FE"/>
    <w:rsid w:val="00E24DAC"/>
    <w:rsid w:val="00E30739"/>
    <w:rsid w:val="00E3341A"/>
    <w:rsid w:val="00E4740E"/>
    <w:rsid w:val="00E53839"/>
    <w:rsid w:val="00E566E4"/>
    <w:rsid w:val="00E60B70"/>
    <w:rsid w:val="00E60C03"/>
    <w:rsid w:val="00E62A0F"/>
    <w:rsid w:val="00E62C0E"/>
    <w:rsid w:val="00E651F2"/>
    <w:rsid w:val="00E65CBA"/>
    <w:rsid w:val="00E67C6B"/>
    <w:rsid w:val="00E70186"/>
    <w:rsid w:val="00E77478"/>
    <w:rsid w:val="00E8014D"/>
    <w:rsid w:val="00E804F8"/>
    <w:rsid w:val="00E809FD"/>
    <w:rsid w:val="00E829A2"/>
    <w:rsid w:val="00E83ADE"/>
    <w:rsid w:val="00E83E25"/>
    <w:rsid w:val="00E85324"/>
    <w:rsid w:val="00E854D2"/>
    <w:rsid w:val="00E866D6"/>
    <w:rsid w:val="00E90876"/>
    <w:rsid w:val="00E91099"/>
    <w:rsid w:val="00E9434C"/>
    <w:rsid w:val="00EA0357"/>
    <w:rsid w:val="00EA27B3"/>
    <w:rsid w:val="00EA6BF0"/>
    <w:rsid w:val="00EB1E7F"/>
    <w:rsid w:val="00EB2024"/>
    <w:rsid w:val="00ED0078"/>
    <w:rsid w:val="00ED5251"/>
    <w:rsid w:val="00ED59D7"/>
    <w:rsid w:val="00ED64E9"/>
    <w:rsid w:val="00ED6A4C"/>
    <w:rsid w:val="00EF169A"/>
    <w:rsid w:val="00EF4430"/>
    <w:rsid w:val="00EF5C0C"/>
    <w:rsid w:val="00F00627"/>
    <w:rsid w:val="00F0354E"/>
    <w:rsid w:val="00F049B6"/>
    <w:rsid w:val="00F05FC6"/>
    <w:rsid w:val="00F101EC"/>
    <w:rsid w:val="00F14761"/>
    <w:rsid w:val="00F221C2"/>
    <w:rsid w:val="00F364DB"/>
    <w:rsid w:val="00F3780C"/>
    <w:rsid w:val="00F4269A"/>
    <w:rsid w:val="00F53DE9"/>
    <w:rsid w:val="00F56C3D"/>
    <w:rsid w:val="00F579EC"/>
    <w:rsid w:val="00F62BE0"/>
    <w:rsid w:val="00F62FDB"/>
    <w:rsid w:val="00F679DE"/>
    <w:rsid w:val="00F71B7F"/>
    <w:rsid w:val="00F7222C"/>
    <w:rsid w:val="00F84B14"/>
    <w:rsid w:val="00F85BE8"/>
    <w:rsid w:val="00F873AF"/>
    <w:rsid w:val="00F87C36"/>
    <w:rsid w:val="00F9223D"/>
    <w:rsid w:val="00F92B12"/>
    <w:rsid w:val="00F951E9"/>
    <w:rsid w:val="00FA3BD1"/>
    <w:rsid w:val="00FA5216"/>
    <w:rsid w:val="00FA70CB"/>
    <w:rsid w:val="00FC1DCC"/>
    <w:rsid w:val="00FC1FD8"/>
    <w:rsid w:val="00FC33F1"/>
    <w:rsid w:val="00FD1524"/>
    <w:rsid w:val="00FD30EE"/>
    <w:rsid w:val="00FD5583"/>
    <w:rsid w:val="00FE0073"/>
    <w:rsid w:val="00FF1429"/>
    <w:rsid w:val="00FF19E9"/>
    <w:rsid w:val="00FF4047"/>
    <w:rsid w:val="00FF472B"/>
    <w:rsid w:val="00FF4DE2"/>
    <w:rsid w:val="00FF745F"/>
    <w:rsid w:val="00FF7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atentStyles>
  <w:style w:type="paragraph" w:default="1" w:styleId="Normal">
    <w:name w:val="Normal"/>
    <w:qFormat/>
    <w:rsid w:val="003D3E59"/>
    <w:rPr>
      <w:sz w:val="24"/>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rFonts w:ascii="Trebuchet MS" w:hAnsi="Trebuchet MS"/>
      <w:b/>
      <w:bCs/>
      <w:sz w:val="20"/>
      <w:szCs w:val="20"/>
      <w:lang w:eastAsia="en-US"/>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paragraph" w:styleId="Revision">
    <w:name w:val="Revision"/>
    <w:hidden/>
    <w:rsid w:val="00AE59D9"/>
    <w:rPr>
      <w:rFonts w:ascii="Trebuchet MS" w:hAnsi="Trebuchet MS"/>
      <w:sz w:val="22"/>
      <w:szCs w:val="24"/>
      <w:lang w:eastAsia="en-US"/>
    </w:rPr>
  </w:style>
  <w:style w:type="character" w:customStyle="1" w:styleId="FooterChar">
    <w:name w:val="Footer Char"/>
    <w:basedOn w:val="DefaultParagraphFont"/>
    <w:link w:val="Footer"/>
    <w:uiPriority w:val="99"/>
    <w:rsid w:val="00A305CC"/>
    <w:rPr>
      <w:sz w:val="24"/>
      <w:szCs w:val="24"/>
      <w:lang w:eastAsia="en-US"/>
    </w:rPr>
  </w:style>
  <w:style w:type="paragraph" w:customStyle="1" w:styleId="IntroTo">
    <w:name w:val="IntroTo:"/>
    <w:basedOn w:val="Normal"/>
    <w:rsid w:val="0045402B"/>
    <w:pPr>
      <w:ind w:left="72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atentStyles>
  <w:style w:type="paragraph" w:default="1" w:styleId="Normal">
    <w:name w:val="Normal"/>
    <w:qFormat/>
    <w:rsid w:val="003D3E59"/>
    <w:rPr>
      <w:sz w:val="24"/>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rFonts w:ascii="Trebuchet MS" w:hAnsi="Trebuchet MS"/>
      <w:b/>
      <w:bCs/>
      <w:sz w:val="20"/>
      <w:szCs w:val="20"/>
      <w:lang w:eastAsia="en-US"/>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paragraph" w:styleId="Revision">
    <w:name w:val="Revision"/>
    <w:hidden/>
    <w:rsid w:val="00AE59D9"/>
    <w:rPr>
      <w:rFonts w:ascii="Trebuchet MS" w:hAnsi="Trebuchet MS"/>
      <w:sz w:val="22"/>
      <w:szCs w:val="24"/>
      <w:lang w:eastAsia="en-US"/>
    </w:rPr>
  </w:style>
  <w:style w:type="character" w:customStyle="1" w:styleId="FooterChar">
    <w:name w:val="Footer Char"/>
    <w:basedOn w:val="DefaultParagraphFont"/>
    <w:link w:val="Footer"/>
    <w:uiPriority w:val="99"/>
    <w:rsid w:val="00A305CC"/>
    <w:rPr>
      <w:sz w:val="24"/>
      <w:szCs w:val="24"/>
      <w:lang w:eastAsia="en-US"/>
    </w:rPr>
  </w:style>
  <w:style w:type="paragraph" w:customStyle="1" w:styleId="IntroTo">
    <w:name w:val="IntroTo:"/>
    <w:basedOn w:val="Normal"/>
    <w:rsid w:val="0045402B"/>
    <w:pPr>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1492">
      <w:bodyDiv w:val="1"/>
      <w:marLeft w:val="0"/>
      <w:marRight w:val="0"/>
      <w:marTop w:val="0"/>
      <w:marBottom w:val="0"/>
      <w:divBdr>
        <w:top w:val="none" w:sz="0" w:space="0" w:color="auto"/>
        <w:left w:val="none" w:sz="0" w:space="0" w:color="auto"/>
        <w:bottom w:val="none" w:sz="0" w:space="0" w:color="auto"/>
        <w:right w:val="none" w:sz="0" w:space="0" w:color="auto"/>
      </w:divBdr>
      <w:divsChild>
        <w:div w:id="1537694850">
          <w:marLeft w:val="0"/>
          <w:marRight w:val="0"/>
          <w:marTop w:val="0"/>
          <w:marBottom w:val="0"/>
          <w:divBdr>
            <w:top w:val="none" w:sz="0" w:space="0" w:color="auto"/>
            <w:left w:val="none" w:sz="0" w:space="0" w:color="auto"/>
            <w:bottom w:val="none" w:sz="0" w:space="0" w:color="auto"/>
            <w:right w:val="none" w:sz="0" w:space="0" w:color="auto"/>
          </w:divBdr>
          <w:divsChild>
            <w:div w:id="914516308">
              <w:marLeft w:val="0"/>
              <w:marRight w:val="0"/>
              <w:marTop w:val="0"/>
              <w:marBottom w:val="0"/>
              <w:divBdr>
                <w:top w:val="none" w:sz="0" w:space="0" w:color="auto"/>
                <w:left w:val="none" w:sz="0" w:space="0" w:color="auto"/>
                <w:bottom w:val="none" w:sz="0" w:space="0" w:color="auto"/>
                <w:right w:val="none" w:sz="0" w:space="0" w:color="auto"/>
              </w:divBdr>
              <w:divsChild>
                <w:div w:id="274875551">
                  <w:marLeft w:val="0"/>
                  <w:marRight w:val="0"/>
                  <w:marTop w:val="0"/>
                  <w:marBottom w:val="0"/>
                  <w:divBdr>
                    <w:top w:val="none" w:sz="0" w:space="0" w:color="auto"/>
                    <w:left w:val="none" w:sz="0" w:space="0" w:color="auto"/>
                    <w:bottom w:val="none" w:sz="0" w:space="0" w:color="auto"/>
                    <w:right w:val="none" w:sz="0" w:space="0" w:color="auto"/>
                  </w:divBdr>
                  <w:divsChild>
                    <w:div w:id="310063852">
                      <w:marLeft w:val="0"/>
                      <w:marRight w:val="0"/>
                      <w:marTop w:val="0"/>
                      <w:marBottom w:val="0"/>
                      <w:divBdr>
                        <w:top w:val="none" w:sz="0" w:space="0" w:color="auto"/>
                        <w:left w:val="none" w:sz="0" w:space="0" w:color="auto"/>
                        <w:bottom w:val="none" w:sz="0" w:space="0" w:color="auto"/>
                        <w:right w:val="none" w:sz="0" w:space="0" w:color="auto"/>
                      </w:divBdr>
                      <w:divsChild>
                        <w:div w:id="590356606">
                          <w:marLeft w:val="0"/>
                          <w:marRight w:val="0"/>
                          <w:marTop w:val="0"/>
                          <w:marBottom w:val="0"/>
                          <w:divBdr>
                            <w:top w:val="single" w:sz="6" w:space="0" w:color="828282"/>
                            <w:left w:val="single" w:sz="6" w:space="0" w:color="828282"/>
                            <w:bottom w:val="single" w:sz="6" w:space="0" w:color="828282"/>
                            <w:right w:val="single" w:sz="6" w:space="0" w:color="828282"/>
                          </w:divBdr>
                          <w:divsChild>
                            <w:div w:id="1459638715">
                              <w:marLeft w:val="0"/>
                              <w:marRight w:val="0"/>
                              <w:marTop w:val="0"/>
                              <w:marBottom w:val="0"/>
                              <w:divBdr>
                                <w:top w:val="none" w:sz="0" w:space="0" w:color="auto"/>
                                <w:left w:val="none" w:sz="0" w:space="0" w:color="auto"/>
                                <w:bottom w:val="none" w:sz="0" w:space="0" w:color="auto"/>
                                <w:right w:val="none" w:sz="0" w:space="0" w:color="auto"/>
                              </w:divBdr>
                              <w:divsChild>
                                <w:div w:id="1337422932">
                                  <w:marLeft w:val="0"/>
                                  <w:marRight w:val="0"/>
                                  <w:marTop w:val="0"/>
                                  <w:marBottom w:val="0"/>
                                  <w:divBdr>
                                    <w:top w:val="none" w:sz="0" w:space="0" w:color="auto"/>
                                    <w:left w:val="none" w:sz="0" w:space="0" w:color="auto"/>
                                    <w:bottom w:val="none" w:sz="0" w:space="0" w:color="auto"/>
                                    <w:right w:val="none" w:sz="0" w:space="0" w:color="auto"/>
                                  </w:divBdr>
                                  <w:divsChild>
                                    <w:div w:id="1331905773">
                                      <w:marLeft w:val="0"/>
                                      <w:marRight w:val="0"/>
                                      <w:marTop w:val="0"/>
                                      <w:marBottom w:val="0"/>
                                      <w:divBdr>
                                        <w:top w:val="none" w:sz="0" w:space="0" w:color="auto"/>
                                        <w:left w:val="none" w:sz="0" w:space="0" w:color="auto"/>
                                        <w:bottom w:val="none" w:sz="0" w:space="0" w:color="auto"/>
                                        <w:right w:val="none" w:sz="0" w:space="0" w:color="auto"/>
                                      </w:divBdr>
                                      <w:divsChild>
                                        <w:div w:id="1899785669">
                                          <w:marLeft w:val="0"/>
                                          <w:marRight w:val="0"/>
                                          <w:marTop w:val="0"/>
                                          <w:marBottom w:val="0"/>
                                          <w:divBdr>
                                            <w:top w:val="none" w:sz="0" w:space="0" w:color="auto"/>
                                            <w:left w:val="none" w:sz="0" w:space="0" w:color="auto"/>
                                            <w:bottom w:val="none" w:sz="0" w:space="0" w:color="auto"/>
                                            <w:right w:val="none" w:sz="0" w:space="0" w:color="auto"/>
                                          </w:divBdr>
                                          <w:divsChild>
                                            <w:div w:id="1468937946">
                                              <w:marLeft w:val="0"/>
                                              <w:marRight w:val="0"/>
                                              <w:marTop w:val="0"/>
                                              <w:marBottom w:val="0"/>
                                              <w:divBdr>
                                                <w:top w:val="none" w:sz="0" w:space="0" w:color="auto"/>
                                                <w:left w:val="none" w:sz="0" w:space="0" w:color="auto"/>
                                                <w:bottom w:val="none" w:sz="0" w:space="0" w:color="auto"/>
                                                <w:right w:val="none" w:sz="0" w:space="0" w:color="auto"/>
                                              </w:divBdr>
                                              <w:divsChild>
                                                <w:div w:id="2055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941763">
      <w:bodyDiv w:val="1"/>
      <w:marLeft w:val="0"/>
      <w:marRight w:val="0"/>
      <w:marTop w:val="0"/>
      <w:marBottom w:val="0"/>
      <w:divBdr>
        <w:top w:val="none" w:sz="0" w:space="0" w:color="auto"/>
        <w:left w:val="none" w:sz="0" w:space="0" w:color="auto"/>
        <w:bottom w:val="none" w:sz="0" w:space="0" w:color="auto"/>
        <w:right w:val="none" w:sz="0" w:space="0" w:color="auto"/>
      </w:divBdr>
    </w:div>
    <w:div w:id="1605577217">
      <w:bodyDiv w:val="1"/>
      <w:marLeft w:val="0"/>
      <w:marRight w:val="0"/>
      <w:marTop w:val="0"/>
      <w:marBottom w:val="0"/>
      <w:divBdr>
        <w:top w:val="none" w:sz="0" w:space="0" w:color="auto"/>
        <w:left w:val="none" w:sz="0" w:space="0" w:color="auto"/>
        <w:bottom w:val="none" w:sz="0" w:space="0" w:color="auto"/>
        <w:right w:val="none" w:sz="0" w:space="0" w:color="auto"/>
      </w:divBdr>
      <w:divsChild>
        <w:div w:id="7491131">
          <w:marLeft w:val="0"/>
          <w:marRight w:val="0"/>
          <w:marTop w:val="0"/>
          <w:marBottom w:val="0"/>
          <w:divBdr>
            <w:top w:val="none" w:sz="0" w:space="0" w:color="auto"/>
            <w:left w:val="none" w:sz="0" w:space="0" w:color="auto"/>
            <w:bottom w:val="none" w:sz="0" w:space="0" w:color="auto"/>
            <w:right w:val="none" w:sz="0" w:space="0" w:color="auto"/>
          </w:divBdr>
          <w:divsChild>
            <w:div w:id="832139205">
              <w:marLeft w:val="0"/>
              <w:marRight w:val="0"/>
              <w:marTop w:val="0"/>
              <w:marBottom w:val="0"/>
              <w:divBdr>
                <w:top w:val="none" w:sz="0" w:space="0" w:color="auto"/>
                <w:left w:val="none" w:sz="0" w:space="0" w:color="auto"/>
                <w:bottom w:val="none" w:sz="0" w:space="0" w:color="auto"/>
                <w:right w:val="none" w:sz="0" w:space="0" w:color="auto"/>
              </w:divBdr>
              <w:divsChild>
                <w:div w:id="1218781037">
                  <w:marLeft w:val="0"/>
                  <w:marRight w:val="0"/>
                  <w:marTop w:val="0"/>
                  <w:marBottom w:val="0"/>
                  <w:divBdr>
                    <w:top w:val="none" w:sz="0" w:space="0" w:color="auto"/>
                    <w:left w:val="none" w:sz="0" w:space="0" w:color="auto"/>
                    <w:bottom w:val="none" w:sz="0" w:space="0" w:color="auto"/>
                    <w:right w:val="none" w:sz="0" w:space="0" w:color="auto"/>
                  </w:divBdr>
                  <w:divsChild>
                    <w:div w:id="1921476847">
                      <w:marLeft w:val="0"/>
                      <w:marRight w:val="0"/>
                      <w:marTop w:val="0"/>
                      <w:marBottom w:val="0"/>
                      <w:divBdr>
                        <w:top w:val="none" w:sz="0" w:space="0" w:color="auto"/>
                        <w:left w:val="none" w:sz="0" w:space="0" w:color="auto"/>
                        <w:bottom w:val="none" w:sz="0" w:space="0" w:color="auto"/>
                        <w:right w:val="none" w:sz="0" w:space="0" w:color="auto"/>
                      </w:divBdr>
                      <w:divsChild>
                        <w:div w:id="1051002643">
                          <w:marLeft w:val="0"/>
                          <w:marRight w:val="0"/>
                          <w:marTop w:val="0"/>
                          <w:marBottom w:val="0"/>
                          <w:divBdr>
                            <w:top w:val="single" w:sz="6" w:space="0" w:color="828282"/>
                            <w:left w:val="single" w:sz="6" w:space="0" w:color="828282"/>
                            <w:bottom w:val="single" w:sz="6" w:space="0" w:color="828282"/>
                            <w:right w:val="single" w:sz="6" w:space="0" w:color="828282"/>
                          </w:divBdr>
                          <w:divsChild>
                            <w:div w:id="210923833">
                              <w:marLeft w:val="0"/>
                              <w:marRight w:val="0"/>
                              <w:marTop w:val="0"/>
                              <w:marBottom w:val="0"/>
                              <w:divBdr>
                                <w:top w:val="none" w:sz="0" w:space="0" w:color="auto"/>
                                <w:left w:val="none" w:sz="0" w:space="0" w:color="auto"/>
                                <w:bottom w:val="none" w:sz="0" w:space="0" w:color="auto"/>
                                <w:right w:val="none" w:sz="0" w:space="0" w:color="auto"/>
                              </w:divBdr>
                              <w:divsChild>
                                <w:div w:id="1337922848">
                                  <w:marLeft w:val="0"/>
                                  <w:marRight w:val="0"/>
                                  <w:marTop w:val="0"/>
                                  <w:marBottom w:val="0"/>
                                  <w:divBdr>
                                    <w:top w:val="none" w:sz="0" w:space="0" w:color="auto"/>
                                    <w:left w:val="none" w:sz="0" w:space="0" w:color="auto"/>
                                    <w:bottom w:val="none" w:sz="0" w:space="0" w:color="auto"/>
                                    <w:right w:val="none" w:sz="0" w:space="0" w:color="auto"/>
                                  </w:divBdr>
                                  <w:divsChild>
                                    <w:div w:id="1409116830">
                                      <w:marLeft w:val="0"/>
                                      <w:marRight w:val="0"/>
                                      <w:marTop w:val="0"/>
                                      <w:marBottom w:val="0"/>
                                      <w:divBdr>
                                        <w:top w:val="none" w:sz="0" w:space="0" w:color="auto"/>
                                        <w:left w:val="none" w:sz="0" w:space="0" w:color="auto"/>
                                        <w:bottom w:val="none" w:sz="0" w:space="0" w:color="auto"/>
                                        <w:right w:val="none" w:sz="0" w:space="0" w:color="auto"/>
                                      </w:divBdr>
                                      <w:divsChild>
                                        <w:div w:id="72553719">
                                          <w:marLeft w:val="0"/>
                                          <w:marRight w:val="0"/>
                                          <w:marTop w:val="0"/>
                                          <w:marBottom w:val="0"/>
                                          <w:divBdr>
                                            <w:top w:val="none" w:sz="0" w:space="0" w:color="auto"/>
                                            <w:left w:val="none" w:sz="0" w:space="0" w:color="auto"/>
                                            <w:bottom w:val="none" w:sz="0" w:space="0" w:color="auto"/>
                                            <w:right w:val="none" w:sz="0" w:space="0" w:color="auto"/>
                                          </w:divBdr>
                                          <w:divsChild>
                                            <w:div w:id="859123168">
                                              <w:marLeft w:val="0"/>
                                              <w:marRight w:val="0"/>
                                              <w:marTop w:val="0"/>
                                              <w:marBottom w:val="0"/>
                                              <w:divBdr>
                                                <w:top w:val="none" w:sz="0" w:space="0" w:color="auto"/>
                                                <w:left w:val="none" w:sz="0" w:space="0" w:color="auto"/>
                                                <w:bottom w:val="none" w:sz="0" w:space="0" w:color="auto"/>
                                                <w:right w:val="none" w:sz="0" w:space="0" w:color="auto"/>
                                              </w:divBdr>
                                              <w:divsChild>
                                                <w:div w:id="2037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A3700-B3DD-4F7F-8534-24838718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3231</Words>
  <Characters>18422</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&lt;&lt;enter title of instrument, including subtitle (if any)&gt;&gt;</vt:lpstr>
    </vt:vector>
  </TitlesOfParts>
  <Company>APRA</Company>
  <LinksUpToDate>false</LinksUpToDate>
  <CharactersWithSpaces>21610</CharactersWithSpaces>
  <SharedDoc>false</SharedDoc>
  <HLinks>
    <vt:vector size="18" baseType="variant">
      <vt:variant>
        <vt:i4>1048669</vt:i4>
      </vt:variant>
      <vt:variant>
        <vt:i4>6</vt:i4>
      </vt:variant>
      <vt:variant>
        <vt:i4>0</vt:i4>
      </vt:variant>
      <vt:variant>
        <vt:i4>5</vt:i4>
      </vt:variant>
      <vt:variant>
        <vt:lpwstr>http://www.apra.gov.au/lifs/ReportingFramework/Pages/LAGIC-final-reporting-requirements-LI-October-2012.aspx</vt:lpwstr>
      </vt:variant>
      <vt:variant>
        <vt:lpwstr/>
      </vt:variant>
      <vt:variant>
        <vt:i4>393236</vt:i4>
      </vt:variant>
      <vt:variant>
        <vt:i4>3</vt:i4>
      </vt:variant>
      <vt:variant>
        <vt:i4>0</vt:i4>
      </vt:variant>
      <vt:variant>
        <vt:i4>5</vt:i4>
      </vt:variant>
      <vt:variant>
        <vt:lpwstr>http://www.apra.gov.au/CrossIndustry/Consultations/Documents/120806-letter-to-industry-LAGIC-proposed-changes-to-reporting-standards.pdf</vt:lpwstr>
      </vt:variant>
      <vt:variant>
        <vt:lpwstr/>
      </vt:variant>
      <vt:variant>
        <vt:i4>5767198</vt:i4>
      </vt:variant>
      <vt:variant>
        <vt:i4>0</vt:i4>
      </vt:variant>
      <vt:variant>
        <vt:i4>0</vt:i4>
      </vt:variant>
      <vt:variant>
        <vt:i4>5</vt:i4>
      </vt:variant>
      <vt:variant>
        <vt:lpwstr>http://www.apra.gov.au/CrossIndustry/Consultations/Pages/LAGIC-Reporting-Requirements-June-2012.aspx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&lt;&lt;enter title of instrument, including subtitle (if any)&gt;&gt;</dc:title>
  <dc:creator>vxkart</dc:creator>
  <cp:lastModifiedBy>Peska, Kristen</cp:lastModifiedBy>
  <cp:revision>2</cp:revision>
  <cp:lastPrinted>2013-01-21T05:07:00Z</cp:lastPrinted>
  <dcterms:created xsi:type="dcterms:W3CDTF">2013-06-11T00:23:00Z</dcterms:created>
  <dcterms:modified xsi:type="dcterms:W3CDTF">2013-06-11T00:23:00Z</dcterms:modified>
</cp:coreProperties>
</file>