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BB71B" w14:textId="77777777" w:rsidR="005833BE" w:rsidRDefault="00F109D4" w:rsidP="009C3374">
      <w:pPr>
        <w:pStyle w:val="Heading1"/>
      </w:pPr>
      <w:r w:rsidRPr="00503E44">
        <w:t>EXPLANATORY STATEMENT</w:t>
      </w:r>
    </w:p>
    <w:p w14:paraId="6E1AF53A" w14:textId="77777777" w:rsidR="006155CB" w:rsidRDefault="006155CB" w:rsidP="006155CB"/>
    <w:p w14:paraId="1B3EB6FF" w14:textId="4FFF10F4" w:rsidR="006155CB" w:rsidRPr="006155CB" w:rsidRDefault="006155CB" w:rsidP="006155CB">
      <w:pPr>
        <w:jc w:val="center"/>
        <w:rPr>
          <w:b/>
          <w:u w:val="single"/>
        </w:rPr>
      </w:pPr>
      <w:r w:rsidRPr="006155CB">
        <w:rPr>
          <w:b/>
          <w:u w:val="single"/>
        </w:rPr>
        <w:t>Select Legislative Instrument 2013 No. 115</w:t>
      </w:r>
    </w:p>
    <w:p w14:paraId="7ABBB71C" w14:textId="77777777" w:rsidR="00F109D4" w:rsidRPr="006155CB" w:rsidRDefault="00F109D4" w:rsidP="006155CB">
      <w:pPr>
        <w:pStyle w:val="Heading2"/>
        <w:jc w:val="center"/>
        <w:rPr>
          <w:sz w:val="24"/>
          <w:szCs w:val="24"/>
        </w:rPr>
      </w:pPr>
      <w:r w:rsidRPr="006155CB">
        <w:rPr>
          <w:sz w:val="24"/>
          <w:szCs w:val="24"/>
        </w:rPr>
        <w:t xml:space="preserve">Issued by authority of the </w:t>
      </w:r>
      <w:r w:rsidR="005833BE" w:rsidRPr="006155CB">
        <w:rPr>
          <w:sz w:val="24"/>
          <w:szCs w:val="24"/>
        </w:rPr>
        <w:t>Minister for Financial Services and Superannuation</w:t>
      </w:r>
    </w:p>
    <w:p w14:paraId="7ABBB71D" w14:textId="77777777" w:rsidR="00F109D4" w:rsidRPr="00503E44" w:rsidRDefault="006353F2">
      <w:pPr>
        <w:jc w:val="center"/>
        <w:rPr>
          <w:i/>
        </w:rPr>
      </w:pPr>
      <w:r>
        <w:rPr>
          <w:i/>
        </w:rPr>
        <w:t>Corporations Act 2001</w:t>
      </w:r>
    </w:p>
    <w:p w14:paraId="7ABBB71E" w14:textId="22AE0D98" w:rsidR="00F109D4" w:rsidRDefault="00386778">
      <w:pPr>
        <w:tabs>
          <w:tab w:val="left" w:pos="1418"/>
        </w:tabs>
        <w:spacing w:after="240"/>
        <w:jc w:val="center"/>
        <w:rPr>
          <w:i/>
        </w:rPr>
      </w:pPr>
      <w:r>
        <w:rPr>
          <w:i/>
        </w:rPr>
        <w:t>Corporations</w:t>
      </w:r>
      <w:r w:rsidR="008B5C39">
        <w:rPr>
          <w:i/>
        </w:rPr>
        <w:t xml:space="preserve"> </w:t>
      </w:r>
      <w:r w:rsidR="006353F2">
        <w:rPr>
          <w:i/>
        </w:rPr>
        <w:t>Regulations 2001</w:t>
      </w:r>
      <w:bookmarkStart w:id="0" w:name="_GoBack"/>
      <w:bookmarkEnd w:id="0"/>
    </w:p>
    <w:p w14:paraId="2F4540F5" w14:textId="49376B44" w:rsidR="00C9513C" w:rsidRPr="00503E44" w:rsidRDefault="00C9513C">
      <w:pPr>
        <w:tabs>
          <w:tab w:val="left" w:pos="1418"/>
        </w:tabs>
        <w:spacing w:after="240"/>
        <w:jc w:val="center"/>
        <w:rPr>
          <w:i/>
        </w:rPr>
      </w:pPr>
      <w:r w:rsidRPr="00C9513C">
        <w:rPr>
          <w:i/>
        </w:rPr>
        <w:t>Corporations Amendment Regulation 2013 (No.</w:t>
      </w:r>
      <w:r w:rsidR="006155CB">
        <w:rPr>
          <w:i/>
        </w:rPr>
        <w:t xml:space="preserve"> </w:t>
      </w:r>
      <w:r w:rsidRPr="00C9513C">
        <w:rPr>
          <w:i/>
        </w:rPr>
        <w:t>4)</w:t>
      </w:r>
    </w:p>
    <w:p w14:paraId="7ABBB71F" w14:textId="77777777" w:rsidR="006353F2" w:rsidRPr="00B5077E" w:rsidRDefault="006353F2" w:rsidP="006353F2">
      <w:r>
        <w:t xml:space="preserve">The </w:t>
      </w:r>
      <w:r>
        <w:rPr>
          <w:i/>
        </w:rPr>
        <w:t>Corporations Act 2001</w:t>
      </w:r>
      <w:r w:rsidRPr="009E46D0">
        <w:t xml:space="preserve"> </w:t>
      </w:r>
      <w:r>
        <w:t xml:space="preserve">(the Act) provides for the regulation of corporations, </w:t>
      </w:r>
      <w:r w:rsidRPr="00B5077E">
        <w:t>financial markets, and products and services, including in relation to licensing, conduct, financial product advice and disclosure.</w:t>
      </w:r>
    </w:p>
    <w:p w14:paraId="7ABBB720" w14:textId="77777777" w:rsidR="006353F2" w:rsidRDefault="006353F2" w:rsidP="006353F2">
      <w:r w:rsidRPr="00B5077E">
        <w:t>Subsection 1364(1) of the Act provides that the Governor-General may make regulations prescribing matters required or permitted by the Act to be prescribed, or necessary or convenient to be prescribed for carrying out or giving effect to the Act.</w:t>
      </w:r>
      <w:r w:rsidR="00397BF7" w:rsidRPr="00B5077E">
        <w:t xml:space="preserve">  </w:t>
      </w:r>
    </w:p>
    <w:p w14:paraId="7ABBB721" w14:textId="77777777" w:rsidR="00B5077E" w:rsidRPr="00B5077E" w:rsidRDefault="006353F2" w:rsidP="00B5077E">
      <w:r>
        <w:t xml:space="preserve">The </w:t>
      </w:r>
      <w:r>
        <w:rPr>
          <w:i/>
        </w:rPr>
        <w:t xml:space="preserve">Corporations </w:t>
      </w:r>
      <w:r w:rsidRPr="00522C41">
        <w:rPr>
          <w:i/>
        </w:rPr>
        <w:t>Amendment</w:t>
      </w:r>
      <w:r w:rsidR="00D76EE1" w:rsidRPr="00522C41">
        <w:rPr>
          <w:i/>
        </w:rPr>
        <w:t xml:space="preserve"> </w:t>
      </w:r>
      <w:r w:rsidRPr="00522C41">
        <w:rPr>
          <w:i/>
        </w:rPr>
        <w:t>Regulation 201</w:t>
      </w:r>
      <w:r w:rsidR="00D76EE1">
        <w:rPr>
          <w:i/>
        </w:rPr>
        <w:t>3 (No.</w:t>
      </w:r>
      <w:r w:rsidR="005D387E">
        <w:rPr>
          <w:i/>
        </w:rPr>
        <w:t xml:space="preserve"> 4</w:t>
      </w:r>
      <w:r w:rsidR="00D76EE1">
        <w:rPr>
          <w:i/>
        </w:rPr>
        <w:t xml:space="preserve">) </w:t>
      </w:r>
      <w:r>
        <w:t xml:space="preserve">(the Regulation) </w:t>
      </w:r>
      <w:r w:rsidR="00B5077E">
        <w:t>makes a number of amendments to</w:t>
      </w:r>
      <w:r>
        <w:t xml:space="preserve"> the </w:t>
      </w:r>
      <w:r>
        <w:rPr>
          <w:i/>
        </w:rPr>
        <w:t>Corporations Regulations 2001</w:t>
      </w:r>
      <w:r w:rsidR="00B5077E">
        <w:t xml:space="preserve">.  </w:t>
      </w:r>
      <w:r w:rsidR="00B5077E" w:rsidRPr="00D772FD">
        <w:rPr>
          <w:szCs w:val="24"/>
        </w:rPr>
        <w:t xml:space="preserve">The amendments are in respect of the </w:t>
      </w:r>
      <w:r w:rsidR="00D772FD" w:rsidRPr="00D772FD">
        <w:rPr>
          <w:szCs w:val="24"/>
        </w:rPr>
        <w:t xml:space="preserve">treatment of stockbroking-related activities </w:t>
      </w:r>
      <w:r w:rsidR="00307055">
        <w:rPr>
          <w:szCs w:val="24"/>
        </w:rPr>
        <w:t>in relation to the bans on conflicted remuneration and asset-based fees on borrowed amounts</w:t>
      </w:r>
      <w:r w:rsidR="00F9754F">
        <w:rPr>
          <w:szCs w:val="24"/>
        </w:rPr>
        <w:t xml:space="preserve">.  These bans were </w:t>
      </w:r>
      <w:r w:rsidR="00B5077E" w:rsidRPr="00D772FD">
        <w:rPr>
          <w:szCs w:val="24"/>
        </w:rPr>
        <w:t xml:space="preserve">introduced by the </w:t>
      </w:r>
      <w:r w:rsidR="00307055" w:rsidRPr="00084A39">
        <w:rPr>
          <w:i/>
          <w:szCs w:val="24"/>
        </w:rPr>
        <w:t>Corporations Amendment (Further Future of Financial Advice Measures) Act 2012</w:t>
      </w:r>
      <w:r w:rsidR="00307055" w:rsidRPr="00084A39">
        <w:rPr>
          <w:szCs w:val="24"/>
        </w:rPr>
        <w:t>.</w:t>
      </w:r>
    </w:p>
    <w:p w14:paraId="7ABBB722" w14:textId="77777777" w:rsidR="00D772FD" w:rsidRPr="000F5620" w:rsidRDefault="00735EEA" w:rsidP="00735EEA">
      <w:r w:rsidRPr="000F5620">
        <w:t xml:space="preserve">The Regulation </w:t>
      </w:r>
      <w:r w:rsidR="00D772FD" w:rsidRPr="000F5620">
        <w:t xml:space="preserve">extends the scope of existing stockbroking-related exemptions to </w:t>
      </w:r>
      <w:r w:rsidRPr="000F5620">
        <w:t>provide that</w:t>
      </w:r>
      <w:r w:rsidR="00D772FD" w:rsidRPr="000F5620">
        <w:t>:</w:t>
      </w:r>
    </w:p>
    <w:p w14:paraId="7ABBB723" w14:textId="77777777" w:rsidR="00D772FD" w:rsidRPr="000F5620" w:rsidRDefault="000F58EE" w:rsidP="00D772FD">
      <w:pPr>
        <w:pStyle w:val="Bullet"/>
      </w:pPr>
      <w:r>
        <w:t>b</w:t>
      </w:r>
      <w:r w:rsidR="00D772FD" w:rsidRPr="000F5620">
        <w:t>rokerage</w:t>
      </w:r>
      <w:r>
        <w:t xml:space="preserve"> fees are </w:t>
      </w:r>
      <w:r w:rsidR="000F5620" w:rsidRPr="000F5620">
        <w:t xml:space="preserve">exempt from the ban </w:t>
      </w:r>
      <w:r w:rsidR="00D772FD" w:rsidRPr="000F5620">
        <w:t xml:space="preserve">on asset-based fees on borrowed amounts; and  </w:t>
      </w:r>
    </w:p>
    <w:p w14:paraId="7ABBB724" w14:textId="77777777" w:rsidR="00366456" w:rsidRPr="00366456" w:rsidRDefault="00366456" w:rsidP="00366456">
      <w:pPr>
        <w:pStyle w:val="Bullet"/>
      </w:pPr>
      <w:r w:rsidRPr="00366456">
        <w:t>fees can be paid b</w:t>
      </w:r>
      <w:r w:rsidR="00160384">
        <w:t>etween</w:t>
      </w:r>
      <w:r w:rsidRPr="00366456">
        <w:t xml:space="preserve"> licensees </w:t>
      </w:r>
      <w:r w:rsidR="00160384">
        <w:t xml:space="preserve">in relation to the dealing </w:t>
      </w:r>
      <w:r w:rsidRPr="00366456">
        <w:t>on behalf of the retail clients, where those trades are requeste</w:t>
      </w:r>
      <w:r>
        <w:t>d by the client through</w:t>
      </w:r>
      <w:r w:rsidR="00FE28C8">
        <w:t xml:space="preserve"> </w:t>
      </w:r>
      <w:r w:rsidRPr="00366456">
        <w:t>online</w:t>
      </w:r>
      <w:r w:rsidR="00160384">
        <w:t xml:space="preserve"> ‘white-label’</w:t>
      </w:r>
      <w:r w:rsidRPr="00366456">
        <w:t xml:space="preserve"> trading service</w:t>
      </w:r>
      <w:r w:rsidR="00160384">
        <w:t>s</w:t>
      </w:r>
      <w:r w:rsidR="00F9754F">
        <w:t xml:space="preserve"> and </w:t>
      </w:r>
      <w:r w:rsidR="00DB5B55">
        <w:t>where clients do not receive</w:t>
      </w:r>
      <w:r w:rsidR="000D1531">
        <w:t xml:space="preserve"> personal advice</w:t>
      </w:r>
      <w:r w:rsidRPr="00366456">
        <w:t>.</w:t>
      </w:r>
    </w:p>
    <w:p w14:paraId="7ABBB725" w14:textId="77777777" w:rsidR="00DE202A" w:rsidRDefault="00DE202A" w:rsidP="007F0E1D">
      <w:r w:rsidRPr="00DE202A">
        <w:t xml:space="preserve">The exemptions </w:t>
      </w:r>
      <w:r w:rsidR="00F9754F">
        <w:t xml:space="preserve">provided </w:t>
      </w:r>
      <w:r w:rsidRPr="00DE202A">
        <w:t>in the Regulation will be subject to a two year review to ensure that they are working as intended.  The review will be undertaken by the Australian Securities and Investments Commission and will also encompass the existing F</w:t>
      </w:r>
      <w:r w:rsidR="00F9754F">
        <w:t xml:space="preserve">uture of Financial </w:t>
      </w:r>
      <w:r w:rsidRPr="00DE202A">
        <w:t>A</w:t>
      </w:r>
      <w:r w:rsidR="00F9754F">
        <w:t>dvice (</w:t>
      </w:r>
      <w:proofErr w:type="spellStart"/>
      <w:r w:rsidR="00F9754F">
        <w:t>FOFA</w:t>
      </w:r>
      <w:proofErr w:type="spellEnd"/>
      <w:r w:rsidR="00F9754F">
        <w:t xml:space="preserve">) </w:t>
      </w:r>
      <w:r w:rsidRPr="00DE202A">
        <w:t xml:space="preserve">exemptions relating to stockbroking activities.  Regulatory amendments are not required to </w:t>
      </w:r>
      <w:r w:rsidR="00F9754F">
        <w:t>undertake</w:t>
      </w:r>
      <w:r w:rsidR="00F9754F" w:rsidRPr="00DE202A">
        <w:t xml:space="preserve"> </w:t>
      </w:r>
      <w:r w:rsidRPr="00DE202A">
        <w:t>this review.</w:t>
      </w:r>
    </w:p>
    <w:p w14:paraId="7ABBB726" w14:textId="40F3F54E" w:rsidR="00EA7326" w:rsidRPr="00EA7326" w:rsidRDefault="00EA7326" w:rsidP="00EA7326">
      <w:r w:rsidRPr="00EA7326">
        <w:t xml:space="preserve">A draft of the Regulation was published on the </w:t>
      </w:r>
      <w:proofErr w:type="spellStart"/>
      <w:r w:rsidR="00F9754F">
        <w:t>FOFA</w:t>
      </w:r>
      <w:proofErr w:type="spellEnd"/>
      <w:r w:rsidR="00F9754F">
        <w:t xml:space="preserve"> </w:t>
      </w:r>
      <w:r w:rsidRPr="00EA7326">
        <w:t xml:space="preserve">website </w:t>
      </w:r>
      <w:r w:rsidRPr="0007441F">
        <w:t xml:space="preserve">for </w:t>
      </w:r>
      <w:r w:rsidRPr="00EA7326">
        <w:t xml:space="preserve">public consultation </w:t>
      </w:r>
      <w:r w:rsidRPr="0007441F">
        <w:t xml:space="preserve">over the </w:t>
      </w:r>
      <w:r w:rsidRPr="00EA7326">
        <w:t>period</w:t>
      </w:r>
      <w:r w:rsidRPr="0007441F">
        <w:t xml:space="preserve"> </w:t>
      </w:r>
      <w:r w:rsidRPr="00EA7326">
        <w:t xml:space="preserve">7 May 2013 to 17 May 2013.  </w:t>
      </w:r>
    </w:p>
    <w:p w14:paraId="7ABBB727" w14:textId="77777777" w:rsidR="00EA7326" w:rsidRDefault="00EA7326" w:rsidP="00EA7326">
      <w:r w:rsidRPr="00EA7326">
        <w:t>A to</w:t>
      </w:r>
      <w:r w:rsidRPr="0007441F">
        <w:t xml:space="preserve">tal of seven formal submissions </w:t>
      </w:r>
      <w:r w:rsidRPr="00EA7326">
        <w:t>were received</w:t>
      </w:r>
      <w:r>
        <w:t xml:space="preserve">, </w:t>
      </w:r>
      <w:r w:rsidRPr="0007441F">
        <w:t xml:space="preserve">including </w:t>
      </w:r>
      <w:r>
        <w:t xml:space="preserve">submissions </w:t>
      </w:r>
      <w:r w:rsidRPr="00EA7326">
        <w:t xml:space="preserve">from the Stockbrokers Association of Australia, the </w:t>
      </w:r>
      <w:r w:rsidRPr="0007441F">
        <w:t>Australian Bankers Association</w:t>
      </w:r>
      <w:r w:rsidRPr="00EA7326">
        <w:t>, the Association of Financial Advisers, t</w:t>
      </w:r>
      <w:r w:rsidRPr="0007441F">
        <w:t>he Financial Services Council</w:t>
      </w:r>
      <w:r w:rsidRPr="00EA7326">
        <w:t xml:space="preserve">, the Australian </w:t>
      </w:r>
      <w:r w:rsidRPr="0007441F">
        <w:t xml:space="preserve">Investment Exchange Limited and </w:t>
      </w:r>
      <w:r w:rsidRPr="00EA7326">
        <w:t>the Australian Financial Markets Association</w:t>
      </w:r>
      <w:r w:rsidRPr="0007441F">
        <w:t>.  One confidential submission was also received.</w:t>
      </w:r>
      <w:r>
        <w:t xml:space="preserve">  In addition to the formal consultation process, targeted consultation was also undertaken.</w:t>
      </w:r>
    </w:p>
    <w:p w14:paraId="7ABBB728" w14:textId="77777777" w:rsidR="00EA7326" w:rsidRDefault="00EA7326" w:rsidP="00EA7326">
      <w:pPr>
        <w:rPr>
          <w:highlight w:val="yellow"/>
        </w:rPr>
      </w:pPr>
      <w:r w:rsidRPr="0007441F">
        <w:lastRenderedPageBreak/>
        <w:t>Several changes were made to the draft Regulation in response to stakeholder feedback.  For example</w:t>
      </w:r>
      <w:r w:rsidR="00B16601">
        <w:t xml:space="preserve">, </w:t>
      </w:r>
      <w:r w:rsidRPr="0007441F">
        <w:t>changes were made to the draft Regulation to ensure that the exemption</w:t>
      </w:r>
      <w:r w:rsidR="00D06BA6">
        <w:t xml:space="preserve"> </w:t>
      </w:r>
      <w:r w:rsidRPr="0007441F">
        <w:t xml:space="preserve">adequately defined the parties </w:t>
      </w:r>
      <w:r w:rsidR="00D06BA6">
        <w:t xml:space="preserve">that </w:t>
      </w:r>
      <w:r w:rsidR="00B16601">
        <w:t>are</w:t>
      </w:r>
      <w:r w:rsidR="00D06BA6">
        <w:t xml:space="preserve"> considered to ‘provide’ the service</w:t>
      </w:r>
      <w:r w:rsidR="00783BEC">
        <w:t xml:space="preserve"> </w:t>
      </w:r>
      <w:r w:rsidRPr="0007441F">
        <w:t xml:space="preserve">and </w:t>
      </w:r>
      <w:r w:rsidR="00B16601">
        <w:t xml:space="preserve">also to </w:t>
      </w:r>
      <w:r w:rsidRPr="0007441F">
        <w:t>a</w:t>
      </w:r>
      <w:r w:rsidR="00B16601">
        <w:t>llow</w:t>
      </w:r>
      <w:r w:rsidRPr="0007441F">
        <w:t xml:space="preserve"> for the provision of </w:t>
      </w:r>
      <w:r w:rsidR="00B16601">
        <w:t xml:space="preserve">the service by </w:t>
      </w:r>
      <w:r w:rsidRPr="0007441F">
        <w:t>telephone</w:t>
      </w:r>
      <w:r w:rsidR="00B16601">
        <w:t>,</w:t>
      </w:r>
      <w:r w:rsidRPr="0007441F">
        <w:t xml:space="preserve"> in </w:t>
      </w:r>
      <w:r w:rsidRPr="00EA7326">
        <w:t>limited</w:t>
      </w:r>
      <w:r w:rsidRPr="0007441F">
        <w:t xml:space="preserve"> circumstances.</w:t>
      </w:r>
    </w:p>
    <w:p w14:paraId="7ABBB729" w14:textId="77777777" w:rsidR="00217060" w:rsidRPr="00217060" w:rsidRDefault="006353F2" w:rsidP="007F0E1D">
      <w:pPr>
        <w:rPr>
          <w:szCs w:val="24"/>
        </w:rPr>
      </w:pPr>
      <w:r>
        <w:t xml:space="preserve">Details of the Regulation are set out in </w:t>
      </w:r>
      <w:r>
        <w:rPr>
          <w:u w:val="single"/>
        </w:rPr>
        <w:t>Attachment A</w:t>
      </w:r>
      <w:r>
        <w:t>.</w:t>
      </w:r>
      <w:r w:rsidR="007F0E1D">
        <w:t xml:space="preserve"> </w:t>
      </w:r>
      <w:r w:rsidR="00F4159A">
        <w:t xml:space="preserve"> </w:t>
      </w:r>
      <w:r w:rsidR="00217060" w:rsidRPr="00FC0185">
        <w:rPr>
          <w:szCs w:val="24"/>
        </w:rPr>
        <w:t xml:space="preserve">A statement of the Regulation’s compatibility with human rights is set out in </w:t>
      </w:r>
      <w:r w:rsidR="00217060" w:rsidRPr="00FC0185">
        <w:rPr>
          <w:szCs w:val="24"/>
          <w:u w:val="single"/>
        </w:rPr>
        <w:t>Attachment B</w:t>
      </w:r>
      <w:r w:rsidR="00217060" w:rsidRPr="00FC0185">
        <w:rPr>
          <w:color w:val="000000"/>
          <w:szCs w:val="24"/>
        </w:rPr>
        <w:t>.</w:t>
      </w:r>
    </w:p>
    <w:p w14:paraId="7ABBB72A" w14:textId="77777777" w:rsidR="006353F2" w:rsidRDefault="006353F2" w:rsidP="006353F2">
      <w:r>
        <w:t xml:space="preserve">The Regulation is a legislative instrument for the purposes of the </w:t>
      </w:r>
      <w:r>
        <w:rPr>
          <w:i/>
        </w:rPr>
        <w:t>Legislative Instruments Act 2003</w:t>
      </w:r>
      <w:r>
        <w:t>.</w:t>
      </w:r>
    </w:p>
    <w:p w14:paraId="7ABBB72B" w14:textId="77777777" w:rsidR="006353F2" w:rsidRDefault="006353F2" w:rsidP="006353F2">
      <w:r>
        <w:t>The Act does not specify any conditions that need to be satisfied before the power to make the Regulation may be exercised.</w:t>
      </w:r>
    </w:p>
    <w:p w14:paraId="7ABBB72C" w14:textId="77777777" w:rsidR="000F5620" w:rsidRPr="00D93BA6" w:rsidRDefault="009C3374" w:rsidP="000F5620">
      <w:pPr>
        <w:tabs>
          <w:tab w:val="left" w:pos="1701"/>
          <w:tab w:val="right" w:pos="9072"/>
        </w:tabs>
        <w:ind w:right="91"/>
      </w:pPr>
      <w:r>
        <w:t xml:space="preserve">The Regulation commences </w:t>
      </w:r>
      <w:r w:rsidR="000F5620">
        <w:t>the day after it is registered.</w:t>
      </w:r>
    </w:p>
    <w:p w14:paraId="7ABBB72D" w14:textId="77777777" w:rsidR="009C3374" w:rsidRDefault="009C3374" w:rsidP="009C3374">
      <w:pPr>
        <w:tabs>
          <w:tab w:val="left" w:pos="1701"/>
          <w:tab w:val="right" w:pos="9072"/>
        </w:tabs>
        <w:spacing w:line="240" w:lineRule="exact"/>
        <w:ind w:right="91"/>
      </w:pPr>
    </w:p>
    <w:p w14:paraId="7ABBB72E" w14:textId="77777777" w:rsidR="00217060" w:rsidRDefault="00217060" w:rsidP="009C3374">
      <w:pPr>
        <w:tabs>
          <w:tab w:val="left" w:pos="1701"/>
          <w:tab w:val="right" w:pos="9072"/>
        </w:tabs>
        <w:spacing w:line="240" w:lineRule="exact"/>
        <w:ind w:right="91"/>
      </w:pPr>
    </w:p>
    <w:p w14:paraId="7ABBB72F" w14:textId="77777777" w:rsidR="007F6DE8" w:rsidRDefault="007F6DE8" w:rsidP="009C3374">
      <w:pPr>
        <w:spacing w:after="240"/>
        <w:jc w:val="right"/>
        <w:rPr>
          <w:b/>
        </w:rPr>
        <w:sectPr w:rsidR="007F6DE8" w:rsidSect="00423CA3">
          <w:headerReference w:type="default" r:id="rId13"/>
          <w:footerReference w:type="default" r:id="rId14"/>
          <w:footerReference w:type="first" r:id="rId15"/>
          <w:pgSz w:w="11906" w:h="16838"/>
          <w:pgMar w:top="1440" w:right="1800" w:bottom="1440" w:left="1800" w:header="720" w:footer="720" w:gutter="0"/>
          <w:cols w:space="720"/>
          <w:titlePg/>
          <w:docGrid w:linePitch="360"/>
        </w:sectPr>
      </w:pPr>
    </w:p>
    <w:p w14:paraId="7ABBB730" w14:textId="77777777" w:rsidR="009C3374" w:rsidRPr="007163CF" w:rsidRDefault="009C3374" w:rsidP="009C3374">
      <w:pPr>
        <w:spacing w:after="240"/>
        <w:jc w:val="right"/>
        <w:rPr>
          <w:b/>
        </w:rPr>
      </w:pPr>
      <w:r w:rsidRPr="007163CF">
        <w:rPr>
          <w:b/>
        </w:rPr>
        <w:lastRenderedPageBreak/>
        <w:t>ATTACHMENT A</w:t>
      </w:r>
    </w:p>
    <w:p w14:paraId="7ABBB731" w14:textId="77777777" w:rsidR="009C3374" w:rsidRDefault="009C3374" w:rsidP="00F64D58">
      <w:pPr>
        <w:rPr>
          <w:b/>
          <w:u w:val="single"/>
        </w:rPr>
      </w:pPr>
      <w:r>
        <w:rPr>
          <w:b/>
          <w:u w:val="single"/>
        </w:rPr>
        <w:t>Details of the Corporations Amendment Regulation 201</w:t>
      </w:r>
      <w:r w:rsidR="001019E5">
        <w:rPr>
          <w:b/>
          <w:u w:val="single"/>
        </w:rPr>
        <w:t>3</w:t>
      </w:r>
      <w:r w:rsidR="00CB6E63">
        <w:rPr>
          <w:b/>
          <w:u w:val="single"/>
        </w:rPr>
        <w:t xml:space="preserve"> (No.</w:t>
      </w:r>
      <w:r w:rsidR="005D387E">
        <w:rPr>
          <w:b/>
          <w:u w:val="single"/>
        </w:rPr>
        <w:t xml:space="preserve"> 4</w:t>
      </w:r>
      <w:r w:rsidR="00CB6E63">
        <w:rPr>
          <w:b/>
          <w:u w:val="single"/>
        </w:rPr>
        <w:t>)</w:t>
      </w:r>
    </w:p>
    <w:p w14:paraId="7ABBB732" w14:textId="77777777" w:rsidR="009C3374" w:rsidRPr="00BD24D3" w:rsidRDefault="009C3374" w:rsidP="00F64D58">
      <w:pPr>
        <w:rPr>
          <w:szCs w:val="24"/>
        </w:rPr>
      </w:pPr>
      <w:r>
        <w:rPr>
          <w:szCs w:val="24"/>
          <w:u w:val="single"/>
        </w:rPr>
        <w:t>Section 1 – Name of Regulation</w:t>
      </w:r>
    </w:p>
    <w:p w14:paraId="7ABBB733" w14:textId="77777777" w:rsidR="00217060" w:rsidRPr="00FC0185" w:rsidRDefault="00217060" w:rsidP="00F64D58">
      <w:pPr>
        <w:autoSpaceDE w:val="0"/>
        <w:autoSpaceDN w:val="0"/>
        <w:adjustRightInd w:val="0"/>
      </w:pPr>
      <w:r w:rsidRPr="00FC0185">
        <w:t xml:space="preserve">This section specifies the name of the Regulation as the </w:t>
      </w:r>
      <w:r w:rsidRPr="00FC0185">
        <w:rPr>
          <w:i/>
        </w:rPr>
        <w:t>Corporations Amendment</w:t>
      </w:r>
      <w:r w:rsidR="00CB6E63">
        <w:rPr>
          <w:i/>
        </w:rPr>
        <w:t xml:space="preserve"> </w:t>
      </w:r>
      <w:r w:rsidRPr="00FC0185">
        <w:rPr>
          <w:i/>
        </w:rPr>
        <w:t>Regulation 201</w:t>
      </w:r>
      <w:r w:rsidR="004D43EB">
        <w:rPr>
          <w:i/>
        </w:rPr>
        <w:t>3</w:t>
      </w:r>
      <w:r w:rsidR="005D387E">
        <w:rPr>
          <w:i/>
        </w:rPr>
        <w:t xml:space="preserve"> (No. 4</w:t>
      </w:r>
      <w:r w:rsidR="00CB6E63">
        <w:rPr>
          <w:i/>
        </w:rPr>
        <w:t>)</w:t>
      </w:r>
      <w:r w:rsidRPr="00FC0185">
        <w:t xml:space="preserve">. </w:t>
      </w:r>
    </w:p>
    <w:p w14:paraId="7ABBB734" w14:textId="77777777" w:rsidR="009C3374" w:rsidRPr="00BD24D3" w:rsidRDefault="009C3374" w:rsidP="00F64D58">
      <w:pPr>
        <w:rPr>
          <w:szCs w:val="24"/>
        </w:rPr>
      </w:pPr>
      <w:r>
        <w:rPr>
          <w:szCs w:val="24"/>
          <w:u w:val="single"/>
        </w:rPr>
        <w:t>Section</w:t>
      </w:r>
      <w:r w:rsidRPr="00BD24D3">
        <w:rPr>
          <w:szCs w:val="24"/>
          <w:u w:val="single"/>
        </w:rPr>
        <w:t xml:space="preserve"> 2 – Commencement</w:t>
      </w:r>
    </w:p>
    <w:p w14:paraId="7ABBB735" w14:textId="77777777" w:rsidR="009C3374" w:rsidRPr="00D93BA6" w:rsidRDefault="00217060" w:rsidP="00F64D58">
      <w:pPr>
        <w:tabs>
          <w:tab w:val="left" w:pos="1701"/>
          <w:tab w:val="right" w:pos="9072"/>
        </w:tabs>
        <w:ind w:right="91"/>
      </w:pPr>
      <w:r>
        <w:t>This section specifies that the Regulation commences</w:t>
      </w:r>
      <w:r w:rsidR="00A87CCE">
        <w:t xml:space="preserve"> </w:t>
      </w:r>
      <w:r w:rsidR="0020018F">
        <w:t>the day after it is registered</w:t>
      </w:r>
      <w:r w:rsidR="009C3374">
        <w:t>.</w:t>
      </w:r>
    </w:p>
    <w:p w14:paraId="7ABBB736" w14:textId="77777777" w:rsidR="00B26C40" w:rsidRPr="00BD24D3" w:rsidRDefault="00B26C40" w:rsidP="00B26C40">
      <w:pPr>
        <w:rPr>
          <w:szCs w:val="24"/>
        </w:rPr>
      </w:pPr>
      <w:r>
        <w:rPr>
          <w:szCs w:val="24"/>
          <w:u w:val="single"/>
        </w:rPr>
        <w:t>Section</w:t>
      </w:r>
      <w:r w:rsidRPr="00BD24D3">
        <w:rPr>
          <w:szCs w:val="24"/>
          <w:u w:val="single"/>
        </w:rPr>
        <w:t xml:space="preserve"> </w:t>
      </w:r>
      <w:r>
        <w:rPr>
          <w:szCs w:val="24"/>
          <w:u w:val="single"/>
        </w:rPr>
        <w:t>3</w:t>
      </w:r>
      <w:r w:rsidRPr="00BD24D3">
        <w:rPr>
          <w:szCs w:val="24"/>
          <w:u w:val="single"/>
        </w:rPr>
        <w:t xml:space="preserve"> – </w:t>
      </w:r>
      <w:r>
        <w:rPr>
          <w:szCs w:val="24"/>
          <w:u w:val="single"/>
        </w:rPr>
        <w:t>Authority</w:t>
      </w:r>
    </w:p>
    <w:p w14:paraId="7ABBB737" w14:textId="77777777" w:rsidR="00B26C40" w:rsidRPr="001019E5" w:rsidRDefault="00B26C40" w:rsidP="00B52B57">
      <w:pPr>
        <w:spacing w:before="240"/>
        <w:rPr>
          <w:szCs w:val="24"/>
        </w:rPr>
      </w:pPr>
      <w:r w:rsidRPr="001019E5">
        <w:rPr>
          <w:szCs w:val="24"/>
        </w:rPr>
        <w:t xml:space="preserve">This section provides that the authority for making the Regulation is the </w:t>
      </w:r>
      <w:r w:rsidRPr="003F2230">
        <w:rPr>
          <w:i/>
          <w:szCs w:val="24"/>
        </w:rPr>
        <w:t>Corporations Act 2001</w:t>
      </w:r>
      <w:r w:rsidR="00B52B57">
        <w:rPr>
          <w:i/>
          <w:szCs w:val="24"/>
        </w:rPr>
        <w:t xml:space="preserve"> </w:t>
      </w:r>
      <w:r w:rsidR="00B52B57">
        <w:rPr>
          <w:szCs w:val="24"/>
        </w:rPr>
        <w:t>(the Act)</w:t>
      </w:r>
      <w:r w:rsidRPr="001019E5">
        <w:rPr>
          <w:szCs w:val="24"/>
        </w:rPr>
        <w:t>.</w:t>
      </w:r>
    </w:p>
    <w:p w14:paraId="7ABBB738" w14:textId="77777777" w:rsidR="009C3374" w:rsidRPr="00BD24D3" w:rsidRDefault="009C3374" w:rsidP="00F64D58">
      <w:pPr>
        <w:rPr>
          <w:i/>
          <w:szCs w:val="24"/>
        </w:rPr>
      </w:pPr>
      <w:r>
        <w:rPr>
          <w:szCs w:val="24"/>
          <w:u w:val="single"/>
        </w:rPr>
        <w:t>Sect</w:t>
      </w:r>
      <w:r w:rsidRPr="00BD24D3">
        <w:rPr>
          <w:szCs w:val="24"/>
          <w:u w:val="single"/>
        </w:rPr>
        <w:t xml:space="preserve">ion </w:t>
      </w:r>
      <w:r w:rsidR="00B26C40">
        <w:rPr>
          <w:szCs w:val="24"/>
          <w:u w:val="single"/>
        </w:rPr>
        <w:t>4</w:t>
      </w:r>
      <w:r w:rsidR="00B26C40" w:rsidRPr="00BD24D3">
        <w:rPr>
          <w:szCs w:val="24"/>
          <w:u w:val="single"/>
        </w:rPr>
        <w:t xml:space="preserve"> </w:t>
      </w:r>
      <w:r w:rsidRPr="00BD24D3">
        <w:rPr>
          <w:szCs w:val="24"/>
          <w:u w:val="single"/>
        </w:rPr>
        <w:t xml:space="preserve">– </w:t>
      </w:r>
      <w:r w:rsidR="00B26C40">
        <w:rPr>
          <w:szCs w:val="24"/>
          <w:u w:val="single"/>
        </w:rPr>
        <w:t>Schedule(s)</w:t>
      </w:r>
    </w:p>
    <w:p w14:paraId="7ABBB739" w14:textId="77777777" w:rsidR="00217060" w:rsidRPr="00FC0185" w:rsidRDefault="00217060" w:rsidP="00F64D58">
      <w:pPr>
        <w:autoSpaceDE w:val="0"/>
        <w:autoSpaceDN w:val="0"/>
        <w:adjustRightInd w:val="0"/>
      </w:pPr>
      <w:r w:rsidRPr="00FC0185">
        <w:t>Th</w:t>
      </w:r>
      <w:r>
        <w:t>is</w:t>
      </w:r>
      <w:r w:rsidRPr="00FC0185">
        <w:t xml:space="preserve"> section provide</w:t>
      </w:r>
      <w:r>
        <w:t>s</w:t>
      </w:r>
      <w:r w:rsidRPr="00FC0185">
        <w:t xml:space="preserve"> that Schedule 1 amend</w:t>
      </w:r>
      <w:r>
        <w:t>s</w:t>
      </w:r>
      <w:r w:rsidRPr="00FC0185">
        <w:t xml:space="preserve"> the </w:t>
      </w:r>
      <w:r w:rsidRPr="00FC0185">
        <w:rPr>
          <w:i/>
        </w:rPr>
        <w:t>Corporations Regulations 2001</w:t>
      </w:r>
      <w:r w:rsidRPr="00FC0185">
        <w:t xml:space="preserve">. </w:t>
      </w:r>
    </w:p>
    <w:p w14:paraId="7ABBB73A" w14:textId="77777777" w:rsidR="009C3374" w:rsidRPr="00F64D58" w:rsidRDefault="009C3374" w:rsidP="00F64D58">
      <w:pPr>
        <w:rPr>
          <w:b/>
          <w:szCs w:val="24"/>
        </w:rPr>
      </w:pPr>
      <w:r w:rsidRPr="00F64D58">
        <w:rPr>
          <w:b/>
          <w:bCs/>
          <w:szCs w:val="24"/>
        </w:rPr>
        <w:t>Schedule 1 – Amendment</w:t>
      </w:r>
      <w:r w:rsidR="00AA09AF">
        <w:rPr>
          <w:b/>
          <w:bCs/>
          <w:szCs w:val="24"/>
        </w:rPr>
        <w:t>s</w:t>
      </w:r>
    </w:p>
    <w:p w14:paraId="7ABBB73B" w14:textId="77777777" w:rsidR="0012508B" w:rsidRPr="00725729" w:rsidRDefault="002A4FE0" w:rsidP="002A4FE0">
      <w:pPr>
        <w:autoSpaceDE w:val="0"/>
        <w:autoSpaceDN w:val="0"/>
        <w:spacing w:after="0"/>
      </w:pPr>
      <w:r w:rsidRPr="002A4FE0">
        <w:rPr>
          <w:u w:val="single"/>
        </w:rPr>
        <w:t>Item 1</w:t>
      </w:r>
      <w:r>
        <w:t xml:space="preserve"> </w:t>
      </w:r>
      <w:r w:rsidR="0012508B">
        <w:t>amends</w:t>
      </w:r>
      <w:r w:rsidR="00FC6F54">
        <w:t xml:space="preserve"> the title of r</w:t>
      </w:r>
      <w:r w:rsidR="0020018F">
        <w:t xml:space="preserve">egulation </w:t>
      </w:r>
      <w:r w:rsidR="0012508B">
        <w:t xml:space="preserve">7.7A.12D to omit </w:t>
      </w:r>
      <w:r w:rsidR="00CB6E63">
        <w:t>‘</w:t>
      </w:r>
      <w:r w:rsidR="0012508B">
        <w:t>given to representatives</w:t>
      </w:r>
      <w:r w:rsidR="00CB6E63">
        <w:t>’</w:t>
      </w:r>
      <w:r w:rsidR="0012508B">
        <w:t>.</w:t>
      </w:r>
      <w:r w:rsidR="00FC6F54">
        <w:t xml:space="preserve"> </w:t>
      </w:r>
      <w:r w:rsidR="00FC6F54" w:rsidRPr="00725729">
        <w:t xml:space="preserve">This amendment </w:t>
      </w:r>
      <w:r w:rsidR="00020801">
        <w:t xml:space="preserve">provides a </w:t>
      </w:r>
      <w:r w:rsidR="00FC6F54" w:rsidRPr="00725729">
        <w:t>bet</w:t>
      </w:r>
      <w:r w:rsidR="00E3156E" w:rsidRPr="00725729">
        <w:t>ter descri</w:t>
      </w:r>
      <w:r w:rsidR="00020801">
        <w:t>ption of</w:t>
      </w:r>
      <w:r w:rsidR="00E3156E" w:rsidRPr="00725729">
        <w:t xml:space="preserve"> the </w:t>
      </w:r>
      <w:r w:rsidR="00501FB7" w:rsidRPr="00725729">
        <w:t xml:space="preserve">application of the </w:t>
      </w:r>
      <w:r w:rsidR="00E3156E" w:rsidRPr="00725729">
        <w:t xml:space="preserve">regulation. </w:t>
      </w:r>
    </w:p>
    <w:p w14:paraId="7ABBB73C" w14:textId="77777777" w:rsidR="00200B4D" w:rsidRPr="00725729" w:rsidRDefault="0012508B" w:rsidP="002A4FE0">
      <w:pPr>
        <w:autoSpaceDE w:val="0"/>
        <w:autoSpaceDN w:val="0"/>
        <w:spacing w:after="0"/>
      </w:pPr>
      <w:r w:rsidRPr="00725729">
        <w:rPr>
          <w:u w:val="single"/>
        </w:rPr>
        <w:t>Item 2</w:t>
      </w:r>
      <w:r w:rsidRPr="00725729">
        <w:t xml:space="preserve"> </w:t>
      </w:r>
      <w:r w:rsidR="002A4FE0" w:rsidRPr="00725729">
        <w:t xml:space="preserve">inserts new </w:t>
      </w:r>
      <w:proofErr w:type="spellStart"/>
      <w:r w:rsidR="006331EC">
        <w:t>sub</w:t>
      </w:r>
      <w:r w:rsidR="00200B4D" w:rsidRPr="00725729">
        <w:t>regulation</w:t>
      </w:r>
      <w:proofErr w:type="spellEnd"/>
      <w:r w:rsidR="00FC6F54" w:rsidRPr="00725729">
        <w:t xml:space="preserve"> 7.7A.12D(1A)</w:t>
      </w:r>
      <w:r w:rsidR="002A4FE0" w:rsidRPr="00725729">
        <w:t xml:space="preserve"> </w:t>
      </w:r>
      <w:r w:rsidR="00200B4D" w:rsidRPr="00725729">
        <w:t>which provides</w:t>
      </w:r>
      <w:r w:rsidR="007601FD" w:rsidRPr="00725729">
        <w:t xml:space="preserve"> </w:t>
      </w:r>
      <w:r w:rsidR="00200B4D" w:rsidRPr="00725729">
        <w:t>that a monetary benefit is not conflicted remuneration in circumstances</w:t>
      </w:r>
      <w:r w:rsidR="00551BD1">
        <w:t xml:space="preserve"> </w:t>
      </w:r>
      <w:r w:rsidR="00200B4D" w:rsidRPr="00725729">
        <w:t>where:</w:t>
      </w:r>
    </w:p>
    <w:p w14:paraId="7ABBB73D" w14:textId="77777777" w:rsidR="00200B4D" w:rsidRPr="00725729" w:rsidRDefault="00200B4D" w:rsidP="00725729">
      <w:pPr>
        <w:pStyle w:val="Bullet"/>
      </w:pPr>
      <w:r w:rsidRPr="00725729">
        <w:t xml:space="preserve">the benefit is </w:t>
      </w:r>
      <w:r w:rsidR="00717661">
        <w:t xml:space="preserve">a fee </w:t>
      </w:r>
      <w:r w:rsidR="00731305">
        <w:t>paid</w:t>
      </w:r>
      <w:r w:rsidR="007601FD" w:rsidRPr="00725729">
        <w:t xml:space="preserve"> </w:t>
      </w:r>
      <w:r w:rsidRPr="00725729">
        <w:t>b</w:t>
      </w:r>
      <w:r w:rsidR="004A2BF8">
        <w:t>etween</w:t>
      </w:r>
      <w:r w:rsidRPr="00725729">
        <w:t xml:space="preserve"> a </w:t>
      </w:r>
      <w:r w:rsidR="00731305">
        <w:t xml:space="preserve">trading participant </w:t>
      </w:r>
      <w:r w:rsidR="000F58EE">
        <w:t>licensee</w:t>
      </w:r>
      <w:r w:rsidRPr="00725729">
        <w:t xml:space="preserve"> </w:t>
      </w:r>
      <w:r w:rsidR="004A2BF8">
        <w:t xml:space="preserve">and </w:t>
      </w:r>
      <w:r w:rsidR="000F58EE">
        <w:t>a non</w:t>
      </w:r>
      <w:r w:rsidR="00B60A6C">
        <w:noBreakHyphen/>
      </w:r>
      <w:r w:rsidR="000F58EE">
        <w:t>trading participant licensee</w:t>
      </w:r>
      <w:r w:rsidR="00E766A7">
        <w:t>,</w:t>
      </w:r>
      <w:r w:rsidR="00725729" w:rsidRPr="00725729">
        <w:t xml:space="preserve"> in </w:t>
      </w:r>
      <w:r w:rsidR="004A2BF8">
        <w:t xml:space="preserve">relation to </w:t>
      </w:r>
      <w:r w:rsidR="00D460B4">
        <w:t>dealing</w:t>
      </w:r>
      <w:r w:rsidRPr="00725729">
        <w:t xml:space="preserve"> </w:t>
      </w:r>
      <w:r w:rsidR="004A2BF8">
        <w:t>requested by a</w:t>
      </w:r>
      <w:r w:rsidR="00366456">
        <w:t xml:space="preserve"> </w:t>
      </w:r>
      <w:r w:rsidR="001D6B48">
        <w:t xml:space="preserve">retail </w:t>
      </w:r>
      <w:r w:rsidRPr="00725729">
        <w:t>client</w:t>
      </w:r>
      <w:r w:rsidR="004A2BF8">
        <w:t xml:space="preserve"> on a ‘specified service’</w:t>
      </w:r>
      <w:r w:rsidR="00725729" w:rsidRPr="00725729">
        <w:t xml:space="preserve">; </w:t>
      </w:r>
      <w:r w:rsidR="007601FD" w:rsidRPr="00725729">
        <w:t>and</w:t>
      </w:r>
    </w:p>
    <w:p w14:paraId="7ABBB73E" w14:textId="77777777" w:rsidR="00725729" w:rsidRPr="00112DB6" w:rsidRDefault="00725729" w:rsidP="00725729">
      <w:pPr>
        <w:pStyle w:val="Bullet"/>
      </w:pPr>
      <w:r w:rsidRPr="00112DB6">
        <w:t xml:space="preserve">the trades requested by </w:t>
      </w:r>
      <w:r w:rsidR="00D460B4">
        <w:t xml:space="preserve">the retail </w:t>
      </w:r>
      <w:r w:rsidR="000F58EE" w:rsidRPr="00112DB6">
        <w:t>client</w:t>
      </w:r>
      <w:r w:rsidR="00D460B4">
        <w:t xml:space="preserve"> are executed by the </w:t>
      </w:r>
      <w:r w:rsidR="00703184" w:rsidRPr="00112DB6">
        <w:t>trading</w:t>
      </w:r>
      <w:r w:rsidRPr="00112DB6">
        <w:t xml:space="preserve"> participant</w:t>
      </w:r>
      <w:r w:rsidR="00731305">
        <w:t>;</w:t>
      </w:r>
      <w:r w:rsidR="00112DB6" w:rsidRPr="00112DB6">
        <w:t xml:space="preserve"> </w:t>
      </w:r>
      <w:r w:rsidR="00717661" w:rsidRPr="00112DB6">
        <w:t>and</w:t>
      </w:r>
    </w:p>
    <w:p w14:paraId="7ABBB73F" w14:textId="77777777" w:rsidR="00725729" w:rsidRPr="00725729" w:rsidRDefault="00725729" w:rsidP="00725729">
      <w:pPr>
        <w:pStyle w:val="Bullet"/>
      </w:pPr>
      <w:r w:rsidRPr="00725729">
        <w:t xml:space="preserve">the </w:t>
      </w:r>
      <w:r w:rsidR="00717661">
        <w:t>fee</w:t>
      </w:r>
      <w:r w:rsidRPr="00725729">
        <w:t xml:space="preserve"> is a</w:t>
      </w:r>
      <w:r w:rsidR="001D6B48">
        <w:t xml:space="preserve"> </w:t>
      </w:r>
      <w:r w:rsidRPr="00725729">
        <w:t xml:space="preserve">portion of the brokerage fee </w:t>
      </w:r>
      <w:r w:rsidR="00731305">
        <w:t>paid</w:t>
      </w:r>
      <w:r w:rsidRPr="00725729">
        <w:t xml:space="preserve"> by the client to </w:t>
      </w:r>
      <w:r w:rsidR="004A2BF8">
        <w:t>either the trading participant or non-trading licensee and is not paid to any other person</w:t>
      </w:r>
      <w:r w:rsidRPr="00725729">
        <w:t>.</w:t>
      </w:r>
    </w:p>
    <w:p w14:paraId="7ABBB740" w14:textId="77777777" w:rsidR="00703184" w:rsidRDefault="007601FD" w:rsidP="007601FD">
      <w:r w:rsidRPr="00703184">
        <w:t xml:space="preserve">The </w:t>
      </w:r>
      <w:r w:rsidR="00703184">
        <w:t xml:space="preserve">purpose of the </w:t>
      </w:r>
      <w:r w:rsidR="00E766A7">
        <w:t xml:space="preserve">provision </w:t>
      </w:r>
      <w:r w:rsidRPr="00703184">
        <w:t xml:space="preserve">is to </w:t>
      </w:r>
      <w:r w:rsidR="00725729" w:rsidRPr="00703184">
        <w:t>provide that</w:t>
      </w:r>
      <w:r w:rsidR="000078C1">
        <w:t xml:space="preserve"> a portion of </w:t>
      </w:r>
      <w:r w:rsidR="00931780">
        <w:t xml:space="preserve">the </w:t>
      </w:r>
      <w:r w:rsidR="00717661">
        <w:t xml:space="preserve">brokerage </w:t>
      </w:r>
      <w:r w:rsidR="00703184" w:rsidRPr="00703184">
        <w:t>fee</w:t>
      </w:r>
      <w:r w:rsidR="00F32CC5">
        <w:t xml:space="preserve"> paid </w:t>
      </w:r>
      <w:r w:rsidR="00931780">
        <w:t>by a retail client for the execution of trades</w:t>
      </w:r>
      <w:r w:rsidR="00E766A7">
        <w:t>,</w:t>
      </w:r>
      <w:r w:rsidR="00931780">
        <w:t xml:space="preserve"> that is subsequently </w:t>
      </w:r>
      <w:r w:rsidR="00F32CC5">
        <w:t xml:space="preserve">paid </w:t>
      </w:r>
      <w:r w:rsidR="008B5C39">
        <w:t xml:space="preserve">between the trading participant and the </w:t>
      </w:r>
      <w:r w:rsidR="000078C1">
        <w:t>non</w:t>
      </w:r>
      <w:r w:rsidR="00931780">
        <w:noBreakHyphen/>
        <w:t xml:space="preserve">trading </w:t>
      </w:r>
      <w:r w:rsidR="008B5C39">
        <w:t>licensee</w:t>
      </w:r>
      <w:r w:rsidR="00931780">
        <w:t xml:space="preserve">, is </w:t>
      </w:r>
      <w:r w:rsidR="00112DB6">
        <w:t>not subject to the ban on conflicted remuneration</w:t>
      </w:r>
      <w:r w:rsidR="00C74D14">
        <w:t xml:space="preserve"> under </w:t>
      </w:r>
      <w:r w:rsidR="00020801">
        <w:t>Division 4</w:t>
      </w:r>
      <w:r w:rsidR="00931780">
        <w:t xml:space="preserve"> of Part 7.7A of t</w:t>
      </w:r>
      <w:r w:rsidR="009E0530">
        <w:t xml:space="preserve">he Act, in circumstances </w:t>
      </w:r>
      <w:r w:rsidR="00931780">
        <w:t xml:space="preserve">where </w:t>
      </w:r>
      <w:r w:rsidR="009E0530">
        <w:t>that</w:t>
      </w:r>
      <w:r w:rsidR="00931780">
        <w:t xml:space="preserve"> fee relates to the </w:t>
      </w:r>
      <w:r w:rsidR="00931780" w:rsidRPr="00703184">
        <w:t>client</w:t>
      </w:r>
      <w:r w:rsidR="00931780">
        <w:t>’</w:t>
      </w:r>
      <w:r w:rsidR="00931780" w:rsidRPr="00703184">
        <w:t xml:space="preserve">s </w:t>
      </w:r>
      <w:r w:rsidR="009E0530">
        <w:t>request</w:t>
      </w:r>
      <w:r w:rsidR="00931780">
        <w:t xml:space="preserve"> </w:t>
      </w:r>
      <w:r w:rsidR="009E0530">
        <w:t>for</w:t>
      </w:r>
      <w:r w:rsidR="00931780">
        <w:t xml:space="preserve"> trades</w:t>
      </w:r>
      <w:r w:rsidR="00931780" w:rsidRPr="00703184">
        <w:t xml:space="preserve"> </w:t>
      </w:r>
      <w:r w:rsidR="00931780">
        <w:t>through</w:t>
      </w:r>
      <w:r w:rsidR="00931780" w:rsidRPr="00703184">
        <w:t xml:space="preserve"> </w:t>
      </w:r>
      <w:r w:rsidR="008B5C39">
        <w:t xml:space="preserve">a </w:t>
      </w:r>
      <w:r w:rsidR="00931780">
        <w:t xml:space="preserve">‘specified </w:t>
      </w:r>
      <w:r w:rsidR="00931780" w:rsidRPr="00703184">
        <w:t>service</w:t>
      </w:r>
      <w:r w:rsidR="00931780">
        <w:t>’</w:t>
      </w:r>
      <w:r w:rsidR="009E0530">
        <w:t>.</w:t>
      </w:r>
    </w:p>
    <w:p w14:paraId="7ABBB741" w14:textId="77777777" w:rsidR="00717661" w:rsidRDefault="00717661" w:rsidP="00717661">
      <w:pPr>
        <w:autoSpaceDE w:val="0"/>
        <w:autoSpaceDN w:val="0"/>
        <w:spacing w:after="0"/>
      </w:pPr>
      <w:r>
        <w:t xml:space="preserve">A definition of ‘brokerage fee’ is currently provided in </w:t>
      </w:r>
      <w:proofErr w:type="spellStart"/>
      <w:r>
        <w:t>subregulation</w:t>
      </w:r>
      <w:proofErr w:type="spellEnd"/>
      <w:r>
        <w:t xml:space="preserve"> 7.7A.12D(2). </w:t>
      </w:r>
    </w:p>
    <w:p w14:paraId="7ABBB742" w14:textId="77777777" w:rsidR="007C7D44" w:rsidRDefault="007C7D44" w:rsidP="007C7D44">
      <w:pPr>
        <w:autoSpaceDE w:val="0"/>
        <w:autoSpaceDN w:val="0"/>
        <w:spacing w:after="0"/>
      </w:pPr>
      <w:r>
        <w:rPr>
          <w:u w:val="single"/>
        </w:rPr>
        <w:t>Item 3</w:t>
      </w:r>
      <w:r w:rsidRPr="00725729">
        <w:t xml:space="preserve"> </w:t>
      </w:r>
      <w:r>
        <w:t xml:space="preserve">inserts a note which </w:t>
      </w:r>
      <w:r w:rsidR="000E7E29">
        <w:t xml:space="preserve">states </w:t>
      </w:r>
      <w:r>
        <w:t>that regulations 7.7A.17 and 7.7A</w:t>
      </w:r>
      <w:r w:rsidR="00E766A7">
        <w:t>.</w:t>
      </w:r>
      <w:r>
        <w:t>18 provide exemptions in respect of the ban on the charging of asset-based fees on borrowed amounts in relation to brokerage fees.</w:t>
      </w:r>
    </w:p>
    <w:p w14:paraId="7ABBB743" w14:textId="77777777" w:rsidR="00712BDC" w:rsidRDefault="00D71FF7" w:rsidP="00712BDC">
      <w:pPr>
        <w:autoSpaceDE w:val="0"/>
        <w:autoSpaceDN w:val="0"/>
        <w:spacing w:after="0"/>
      </w:pPr>
      <w:r>
        <w:rPr>
          <w:u w:val="single"/>
        </w:rPr>
        <w:t>Item 4</w:t>
      </w:r>
      <w:r w:rsidR="00712BDC" w:rsidRPr="00725729">
        <w:t xml:space="preserve"> </w:t>
      </w:r>
      <w:r w:rsidR="00712BDC">
        <w:t xml:space="preserve">inserts a definition of the term ‘specified service’ in </w:t>
      </w:r>
      <w:proofErr w:type="spellStart"/>
      <w:r w:rsidR="006331EC">
        <w:t>sub</w:t>
      </w:r>
      <w:r w:rsidR="00712BDC" w:rsidRPr="00725729">
        <w:t>regulation</w:t>
      </w:r>
      <w:proofErr w:type="spellEnd"/>
      <w:r w:rsidR="00712BDC" w:rsidRPr="00725729">
        <w:t xml:space="preserve"> 7.7A.</w:t>
      </w:r>
      <w:r w:rsidR="00712BDC">
        <w:t>12D(2</w:t>
      </w:r>
      <w:r w:rsidR="00712BDC" w:rsidRPr="00725729">
        <w:t>)</w:t>
      </w:r>
      <w:r w:rsidR="00712BDC">
        <w:t xml:space="preserve">.  </w:t>
      </w:r>
    </w:p>
    <w:p w14:paraId="7ABBB744" w14:textId="77777777" w:rsidR="003E2C8B" w:rsidRDefault="00B807A8" w:rsidP="00B807A8">
      <w:pPr>
        <w:autoSpaceDE w:val="0"/>
        <w:autoSpaceDN w:val="0"/>
        <w:spacing w:after="0"/>
      </w:pPr>
      <w:r>
        <w:t xml:space="preserve">The </w:t>
      </w:r>
      <w:r w:rsidR="000E7E29">
        <w:t xml:space="preserve">defined term </w:t>
      </w:r>
      <w:r>
        <w:t>clarifies the</w:t>
      </w:r>
      <w:r w:rsidR="000634E5">
        <w:t xml:space="preserve"> type of service to which </w:t>
      </w:r>
      <w:r>
        <w:t xml:space="preserve">the </w:t>
      </w:r>
      <w:r w:rsidR="000634E5">
        <w:t xml:space="preserve">exemption provided in </w:t>
      </w:r>
      <w:proofErr w:type="spellStart"/>
      <w:r w:rsidR="009E0530">
        <w:t>sub</w:t>
      </w:r>
      <w:r w:rsidR="000634E5" w:rsidRPr="00725729">
        <w:t>regulation</w:t>
      </w:r>
      <w:proofErr w:type="spellEnd"/>
      <w:r w:rsidR="000634E5" w:rsidRPr="00725729">
        <w:t xml:space="preserve"> 7.7A.12D(1A)</w:t>
      </w:r>
      <w:r w:rsidR="009E0530">
        <w:t xml:space="preserve"> applies.  </w:t>
      </w:r>
      <w:r w:rsidR="000634E5">
        <w:t xml:space="preserve">The </w:t>
      </w:r>
      <w:r w:rsidR="000E7E29">
        <w:t xml:space="preserve">defined term </w:t>
      </w:r>
      <w:r w:rsidR="000634E5">
        <w:t>s</w:t>
      </w:r>
      <w:r>
        <w:t xml:space="preserve">pecifies that </w:t>
      </w:r>
      <w:r w:rsidR="000634E5">
        <w:t>a</w:t>
      </w:r>
      <w:r>
        <w:t xml:space="preserve"> ‘specifie</w:t>
      </w:r>
      <w:r w:rsidR="008C410B">
        <w:t>d </w:t>
      </w:r>
      <w:r>
        <w:t xml:space="preserve">service’ is a </w:t>
      </w:r>
      <w:r w:rsidR="000634E5">
        <w:t xml:space="preserve">service provided for </w:t>
      </w:r>
      <w:r w:rsidR="005307E4">
        <w:t xml:space="preserve">retail </w:t>
      </w:r>
      <w:r w:rsidR="000634E5">
        <w:t>clients</w:t>
      </w:r>
      <w:r w:rsidR="00D71FF7">
        <w:t xml:space="preserve"> </w:t>
      </w:r>
      <w:r w:rsidR="000634E5">
        <w:t>which</w:t>
      </w:r>
      <w:r w:rsidR="003E2C8B">
        <w:t>:</w:t>
      </w:r>
    </w:p>
    <w:p w14:paraId="7ABBB745" w14:textId="77777777" w:rsidR="005307E4" w:rsidRDefault="005307E4" w:rsidP="005307E4">
      <w:pPr>
        <w:pStyle w:val="Bullet"/>
      </w:pPr>
      <w:r w:rsidRPr="005307E4">
        <w:lastRenderedPageBreak/>
        <w:t xml:space="preserve">is </w:t>
      </w:r>
      <w:r w:rsidR="00B57D4F" w:rsidRPr="005307E4">
        <w:t xml:space="preserve">provided under the </w:t>
      </w:r>
      <w:r w:rsidR="00B57D4F">
        <w:t>name</w:t>
      </w:r>
      <w:r w:rsidR="000E7E29">
        <w:t>,</w:t>
      </w:r>
      <w:r w:rsidR="00B57D4F">
        <w:t xml:space="preserve"> or </w:t>
      </w:r>
      <w:r w:rsidR="00B57D4F" w:rsidRPr="005307E4">
        <w:t>brand</w:t>
      </w:r>
      <w:r w:rsidR="00B57D4F">
        <w:t xml:space="preserve"> name</w:t>
      </w:r>
      <w:r w:rsidR="000E7E29">
        <w:t>,</w:t>
      </w:r>
      <w:r w:rsidR="001809A7">
        <w:t xml:space="preserve"> of either the </w:t>
      </w:r>
      <w:r>
        <w:t>non-trading</w:t>
      </w:r>
      <w:r w:rsidR="00293487">
        <w:t xml:space="preserve"> </w:t>
      </w:r>
      <w:r w:rsidR="001809A7">
        <w:t>licensee or both the non-trading licensee and the trading participant</w:t>
      </w:r>
      <w:r>
        <w:t>; and</w:t>
      </w:r>
    </w:p>
    <w:p w14:paraId="7ABBB746" w14:textId="77777777" w:rsidR="00293487" w:rsidRDefault="00293487" w:rsidP="005307E4">
      <w:pPr>
        <w:pStyle w:val="Bullet"/>
      </w:pPr>
      <w:r>
        <w:t xml:space="preserve">is </w:t>
      </w:r>
      <w:r w:rsidR="00D71FF7">
        <w:t>provided s</w:t>
      </w:r>
      <w:r w:rsidR="00AD0B5A">
        <w:t xml:space="preserve">o that trades can be undertaken on behalf of retail clients in financial products traded on prescribed </w:t>
      </w:r>
      <w:r w:rsidR="00891A3E">
        <w:t xml:space="preserve">foreign </w:t>
      </w:r>
      <w:r w:rsidR="00B57D4F">
        <w:t xml:space="preserve">or </w:t>
      </w:r>
      <w:r w:rsidR="00891A3E">
        <w:t xml:space="preserve">domestic </w:t>
      </w:r>
      <w:r w:rsidR="00AD0B5A">
        <w:t>financial markets;</w:t>
      </w:r>
      <w:r w:rsidR="00B57D4F">
        <w:t xml:space="preserve"> and</w:t>
      </w:r>
      <w:r w:rsidR="00AD0B5A">
        <w:t xml:space="preserve">  </w:t>
      </w:r>
    </w:p>
    <w:p w14:paraId="7ABBB747" w14:textId="77777777" w:rsidR="005307E4" w:rsidRDefault="005307E4" w:rsidP="005307E4">
      <w:pPr>
        <w:pStyle w:val="Bullet"/>
      </w:pPr>
      <w:r>
        <w:t xml:space="preserve">is only made available </w:t>
      </w:r>
      <w:r w:rsidR="001809A7">
        <w:t xml:space="preserve">either </w:t>
      </w:r>
      <w:r>
        <w:t>through direct electronic access</w:t>
      </w:r>
      <w:r w:rsidR="00B57D4F">
        <w:t xml:space="preserve"> (online)</w:t>
      </w:r>
      <w:r w:rsidR="001809A7">
        <w:t xml:space="preserve"> or both online and </w:t>
      </w:r>
      <w:r w:rsidR="000E7E29">
        <w:t>by</w:t>
      </w:r>
      <w:r w:rsidR="001809A7">
        <w:t xml:space="preserve"> telephone in limited circumstances (</w:t>
      </w:r>
      <w:r w:rsidR="000E7E29">
        <w:t xml:space="preserve">that is, </w:t>
      </w:r>
      <w:r w:rsidR="001809A7">
        <w:t xml:space="preserve">for a temporary period or where clients have expressed a preference to access the service via telephone) </w:t>
      </w:r>
      <w:r w:rsidR="00293487">
        <w:t>and</w:t>
      </w:r>
      <w:r w:rsidR="001809A7">
        <w:t xml:space="preserve"> where clients do not receive any financial product advice via the telephone service; and</w:t>
      </w:r>
    </w:p>
    <w:p w14:paraId="7ABBB748" w14:textId="77777777" w:rsidR="000634E5" w:rsidRPr="008C6B54" w:rsidRDefault="00B01AA3" w:rsidP="005307E4">
      <w:pPr>
        <w:pStyle w:val="Bullet"/>
      </w:pPr>
      <w:r>
        <w:t>is provided under circumstances where clients</w:t>
      </w:r>
      <w:r w:rsidR="00AD0B5A">
        <w:t xml:space="preserve"> do not </w:t>
      </w:r>
      <w:r>
        <w:t xml:space="preserve">receive personal advice from </w:t>
      </w:r>
      <w:r w:rsidR="00D71FF7">
        <w:t xml:space="preserve">the </w:t>
      </w:r>
      <w:r w:rsidR="001809A7">
        <w:t xml:space="preserve">trading participant or the non-trading </w:t>
      </w:r>
      <w:r w:rsidR="00D71FF7">
        <w:t xml:space="preserve">licensee </w:t>
      </w:r>
      <w:r w:rsidR="001809A7">
        <w:t xml:space="preserve">in relation </w:t>
      </w:r>
      <w:r>
        <w:t>to the client’s trading</w:t>
      </w:r>
      <w:r w:rsidR="00293487">
        <w:t xml:space="preserve"> </w:t>
      </w:r>
      <w:r w:rsidR="00AA109D">
        <w:t>on</w:t>
      </w:r>
      <w:r w:rsidR="00AA109D" w:rsidRPr="008C6B54">
        <w:t xml:space="preserve"> </w:t>
      </w:r>
      <w:r w:rsidR="00293487" w:rsidRPr="008C6B54">
        <w:t>the specified service.</w:t>
      </w:r>
      <w:r w:rsidRPr="008C6B54">
        <w:t xml:space="preserve"> </w:t>
      </w:r>
    </w:p>
    <w:p w14:paraId="7ABBB749" w14:textId="77777777" w:rsidR="00223B48" w:rsidRDefault="005307E4" w:rsidP="00A224EC">
      <w:r w:rsidRPr="008C6B54">
        <w:t>The purpose of the provision is t</w:t>
      </w:r>
      <w:r w:rsidR="00A224EC" w:rsidRPr="008C6B54">
        <w:t xml:space="preserve">o clarify that the </w:t>
      </w:r>
      <w:r w:rsidR="00B57D4F">
        <w:t xml:space="preserve">exemption from the ban on </w:t>
      </w:r>
      <w:r w:rsidR="008C6B54" w:rsidRPr="008C6B54">
        <w:t xml:space="preserve">conflicted remuneration </w:t>
      </w:r>
      <w:r w:rsidR="00B57D4F">
        <w:t xml:space="preserve">provided under </w:t>
      </w:r>
      <w:proofErr w:type="spellStart"/>
      <w:r w:rsidR="00B57D4F">
        <w:t>subregulation</w:t>
      </w:r>
      <w:proofErr w:type="spellEnd"/>
      <w:r w:rsidR="00B57D4F">
        <w:t xml:space="preserve"> 7.7A.12D(1A) only applies </w:t>
      </w:r>
      <w:r w:rsidR="00A224EC" w:rsidRPr="008C6B54">
        <w:t xml:space="preserve">in </w:t>
      </w:r>
      <w:r w:rsidR="00B57D4F">
        <w:t xml:space="preserve">the </w:t>
      </w:r>
      <w:r w:rsidR="00A224EC" w:rsidRPr="008C6B54">
        <w:t>specific circumstances</w:t>
      </w:r>
      <w:r w:rsidR="00C74D14" w:rsidRPr="008C6B54">
        <w:t xml:space="preserve"> where </w:t>
      </w:r>
      <w:r w:rsidR="00B57D4F">
        <w:t xml:space="preserve">online </w:t>
      </w:r>
      <w:r w:rsidR="00C74D14" w:rsidRPr="008C6B54">
        <w:t>trading service</w:t>
      </w:r>
      <w:r w:rsidR="00AA109D">
        <w:t xml:space="preserve">s are provided </w:t>
      </w:r>
      <w:r w:rsidR="00C74D14" w:rsidRPr="008C6B54">
        <w:t>to retail clients</w:t>
      </w:r>
      <w:r w:rsidR="00AA109D">
        <w:t xml:space="preserve"> in a manner </w:t>
      </w:r>
      <w:r w:rsidR="00C74D14" w:rsidRPr="008C6B54">
        <w:t xml:space="preserve">that is </w:t>
      </w:r>
      <w:r w:rsidR="008C6B54">
        <w:t>essentially identical t</w:t>
      </w:r>
      <w:r w:rsidR="00B57D4F">
        <w:t xml:space="preserve">o the online trading services </w:t>
      </w:r>
      <w:r w:rsidR="00C74D14" w:rsidRPr="008C6B54">
        <w:t>provided by trading-participant licensees.</w:t>
      </w:r>
      <w:r w:rsidR="007E29E6">
        <w:t xml:space="preserve"> </w:t>
      </w:r>
    </w:p>
    <w:p w14:paraId="7ABBB74A" w14:textId="77777777" w:rsidR="007E29E6" w:rsidRDefault="00194BA3" w:rsidP="00A224EC">
      <w:r>
        <w:t xml:space="preserve">The extension of </w:t>
      </w:r>
      <w:r w:rsidR="000304F8">
        <w:t xml:space="preserve">the </w:t>
      </w:r>
      <w:r>
        <w:t xml:space="preserve">exemption to phone services is to </w:t>
      </w:r>
      <w:r w:rsidR="000304F8">
        <w:t xml:space="preserve">enable </w:t>
      </w:r>
      <w:r>
        <w:t>service providers to manage issues such as ensuring business continuity needs</w:t>
      </w:r>
      <w:r w:rsidR="007E29E6">
        <w:t xml:space="preserve"> </w:t>
      </w:r>
      <w:r>
        <w:t>and to meet the needs of a relatively small contingent of clients that</w:t>
      </w:r>
      <w:r w:rsidR="000E7E29">
        <w:t>,</w:t>
      </w:r>
      <w:r>
        <w:t xml:space="preserve"> having been made aware of the availability of online services, have expressed a preference to access these services via the telephone.  It is not intended that cli</w:t>
      </w:r>
      <w:r w:rsidR="000B7B03">
        <w:t xml:space="preserve">ents preferring to access the </w:t>
      </w:r>
      <w:r>
        <w:t xml:space="preserve">service by telephone </w:t>
      </w:r>
      <w:r w:rsidR="000B7B03">
        <w:t>w</w:t>
      </w:r>
      <w:r>
        <w:t>ould be required to reaffirm this preference on an ongoing basis.</w:t>
      </w:r>
    </w:p>
    <w:p w14:paraId="7ABBB74B" w14:textId="77777777" w:rsidR="00986751" w:rsidRDefault="00E94516" w:rsidP="00AA109D">
      <w:r w:rsidRPr="00AA109D">
        <w:t xml:space="preserve">Items </w:t>
      </w:r>
      <w:r w:rsidR="000A4DF2" w:rsidRPr="0007441F">
        <w:t>1 through</w:t>
      </w:r>
      <w:r w:rsidR="000A4DF2" w:rsidRPr="00AA109D">
        <w:t xml:space="preserve"> 4 provide an</w:t>
      </w:r>
      <w:r w:rsidR="000A4DF2">
        <w:t xml:space="preserve"> exempt</w:t>
      </w:r>
      <w:r w:rsidR="00AA109D">
        <w:t xml:space="preserve">ion that is intended to provide certainty that, in circumstances such as those described in Example 1.1 of the Revised Explanatory Memorandum to the </w:t>
      </w:r>
      <w:r w:rsidR="00AA109D" w:rsidRPr="007E29E6">
        <w:rPr>
          <w:i/>
        </w:rPr>
        <w:t>Corporations Amendment (Further Future of Financial Advice Measures) Bill 2012</w:t>
      </w:r>
      <w:r w:rsidR="00AA109D">
        <w:t xml:space="preserve">, </w:t>
      </w:r>
      <w:r w:rsidR="0002568E">
        <w:t xml:space="preserve">the </w:t>
      </w:r>
      <w:r w:rsidR="00AA109D">
        <w:t>fees paid b</w:t>
      </w:r>
      <w:r w:rsidR="0002568E">
        <w:t>etween</w:t>
      </w:r>
      <w:r w:rsidR="00AA109D">
        <w:t xml:space="preserve"> trading participants </w:t>
      </w:r>
      <w:r w:rsidR="0002568E">
        <w:t xml:space="preserve">and </w:t>
      </w:r>
      <w:r w:rsidR="00AA109D">
        <w:t xml:space="preserve">non-trading </w:t>
      </w:r>
      <w:r w:rsidR="0002568E">
        <w:t>licensees</w:t>
      </w:r>
      <w:r w:rsidR="00AA109D">
        <w:t xml:space="preserve">, which would otherwise be expected to only have a remote influence on advice, will not be considered conflicted remuneration.  </w:t>
      </w:r>
    </w:p>
    <w:p w14:paraId="7ABBB74C" w14:textId="77777777" w:rsidR="00AA109D" w:rsidRDefault="00AA109D" w:rsidP="00AA109D">
      <w:r>
        <w:t xml:space="preserve">The exemption is intended to </w:t>
      </w:r>
      <w:r w:rsidR="0002568E">
        <w:t xml:space="preserve">provide certainty </w:t>
      </w:r>
      <w:r w:rsidR="00C27FAA">
        <w:t xml:space="preserve">in the specific circumstance described above, it is </w:t>
      </w:r>
      <w:r w:rsidR="0002568E">
        <w:t xml:space="preserve">not intended to </w:t>
      </w:r>
      <w:r>
        <w:t xml:space="preserve">limit </w:t>
      </w:r>
      <w:r w:rsidR="00C27FAA">
        <w:t xml:space="preserve">the consideration of the scope of influence criteria with respect to other types of </w:t>
      </w:r>
      <w:r w:rsidR="000B7B03">
        <w:t xml:space="preserve">broking </w:t>
      </w:r>
      <w:r w:rsidR="00C27FAA">
        <w:t>fee sharing arrangements</w:t>
      </w:r>
      <w:r w:rsidR="000B7B03">
        <w:t>.</w:t>
      </w:r>
      <w:r w:rsidR="00C27FAA">
        <w:t xml:space="preserve"> </w:t>
      </w:r>
    </w:p>
    <w:p w14:paraId="7ABBB74D" w14:textId="77777777" w:rsidR="00C478C0" w:rsidRDefault="000634E5" w:rsidP="000634E5">
      <w:pPr>
        <w:autoSpaceDE w:val="0"/>
        <w:autoSpaceDN w:val="0"/>
        <w:spacing w:after="0"/>
      </w:pPr>
      <w:r>
        <w:rPr>
          <w:u w:val="single"/>
        </w:rPr>
        <w:t>Item 5</w:t>
      </w:r>
      <w:r w:rsidRPr="00725729">
        <w:t xml:space="preserve"> </w:t>
      </w:r>
      <w:r>
        <w:t xml:space="preserve">inserts </w:t>
      </w:r>
      <w:r w:rsidR="00CB6E63">
        <w:t>S</w:t>
      </w:r>
      <w:r w:rsidR="00C478C0">
        <w:t>ubdivision 3, ‘Asset-based fees on borrowed amou</w:t>
      </w:r>
      <w:r w:rsidR="006331EC">
        <w:t xml:space="preserve">nts’, which inserts two new </w:t>
      </w:r>
      <w:r w:rsidR="00C478C0">
        <w:t>regulations.</w:t>
      </w:r>
    </w:p>
    <w:p w14:paraId="7ABBB74E" w14:textId="77777777" w:rsidR="00C478C0" w:rsidRDefault="006331EC" w:rsidP="000634E5">
      <w:pPr>
        <w:autoSpaceDE w:val="0"/>
        <w:autoSpaceDN w:val="0"/>
        <w:spacing w:after="0"/>
      </w:pPr>
      <w:r>
        <w:t>R</w:t>
      </w:r>
      <w:r w:rsidR="00C478C0">
        <w:t xml:space="preserve">egulation 7.7A.17 provides that </w:t>
      </w:r>
      <w:r w:rsidR="00AE0B2A">
        <w:t>the ban on financial services license</w:t>
      </w:r>
      <w:r w:rsidR="00717661">
        <w:t>e</w:t>
      </w:r>
      <w:r w:rsidR="00AE0B2A">
        <w:t>s charging asset</w:t>
      </w:r>
      <w:r w:rsidR="00AE0B2A">
        <w:noBreakHyphen/>
        <w:t>based fees does not apply in respect of brokerage</w:t>
      </w:r>
      <w:r w:rsidR="00991A7B">
        <w:t xml:space="preserve"> fees</w:t>
      </w:r>
      <w:r w:rsidR="00AE0B2A">
        <w:t xml:space="preserve">. </w:t>
      </w:r>
    </w:p>
    <w:p w14:paraId="7ABBB74F" w14:textId="77777777" w:rsidR="00AE0B2A" w:rsidRDefault="006331EC" w:rsidP="00AE0B2A">
      <w:pPr>
        <w:autoSpaceDE w:val="0"/>
        <w:autoSpaceDN w:val="0"/>
        <w:spacing w:after="0"/>
      </w:pPr>
      <w:r>
        <w:t>R</w:t>
      </w:r>
      <w:r w:rsidR="00AE0B2A">
        <w:t>egulation 7.7A.18 provides that the ban on authorised representatives charging asset</w:t>
      </w:r>
      <w:r w:rsidR="00AE0B2A">
        <w:noBreakHyphen/>
        <w:t>based fees does not apply in respect of brokerage</w:t>
      </w:r>
      <w:r w:rsidR="00991A7B">
        <w:t xml:space="preserve"> fees</w:t>
      </w:r>
      <w:r w:rsidR="00AE0B2A">
        <w:t xml:space="preserve">. </w:t>
      </w:r>
    </w:p>
    <w:p w14:paraId="7ABBB750" w14:textId="77777777" w:rsidR="0002568E" w:rsidRDefault="0002568E" w:rsidP="0002568E">
      <w:pPr>
        <w:autoSpaceDE w:val="0"/>
        <w:autoSpaceDN w:val="0"/>
        <w:spacing w:after="0"/>
      </w:pPr>
      <w:r>
        <w:t xml:space="preserve">The regulations refer to the definition of ‘brokerage fee’ currently provided in </w:t>
      </w:r>
      <w:proofErr w:type="spellStart"/>
      <w:r>
        <w:t>subregulation</w:t>
      </w:r>
      <w:proofErr w:type="spellEnd"/>
      <w:r>
        <w:t xml:space="preserve"> 7.7A.12D(2).</w:t>
      </w:r>
    </w:p>
    <w:p w14:paraId="7ABBB751" w14:textId="77777777" w:rsidR="00AE0B2A" w:rsidRDefault="00020801" w:rsidP="000634E5">
      <w:pPr>
        <w:autoSpaceDE w:val="0"/>
        <w:autoSpaceDN w:val="0"/>
        <w:spacing w:after="0"/>
      </w:pPr>
      <w:r>
        <w:t xml:space="preserve">Division 5 of Part 7.7A of the Act </w:t>
      </w:r>
      <w:r w:rsidR="00AE0B2A">
        <w:t xml:space="preserve">currently prescribe that licensees and their authorised representatives are prohibited from charging asset-based fees on borrowed </w:t>
      </w:r>
      <w:r w:rsidR="00AE0B2A">
        <w:lastRenderedPageBreak/>
        <w:t xml:space="preserve">amounts.  These provisions </w:t>
      </w:r>
      <w:r w:rsidR="00041388">
        <w:t>include</w:t>
      </w:r>
      <w:r w:rsidR="00AE0B2A">
        <w:t xml:space="preserve"> the charging of brokerage fees</w:t>
      </w:r>
      <w:r w:rsidR="0002568E">
        <w:t xml:space="preserve"> as defined in </w:t>
      </w:r>
      <w:proofErr w:type="spellStart"/>
      <w:r w:rsidR="00C33EC0">
        <w:t>subregulation</w:t>
      </w:r>
      <w:proofErr w:type="spellEnd"/>
      <w:r w:rsidR="00C33EC0">
        <w:t xml:space="preserve"> </w:t>
      </w:r>
      <w:r w:rsidR="0002568E">
        <w:t>7.7A.12D(2)</w:t>
      </w:r>
      <w:r w:rsidR="00AE0B2A">
        <w:t>.</w:t>
      </w:r>
    </w:p>
    <w:p w14:paraId="7ABBB752" w14:textId="77777777" w:rsidR="006331EC" w:rsidRDefault="00C478C0" w:rsidP="000634E5">
      <w:pPr>
        <w:autoSpaceDE w:val="0"/>
        <w:autoSpaceDN w:val="0"/>
        <w:spacing w:after="0"/>
      </w:pPr>
      <w:r>
        <w:t>The effect of th</w:t>
      </w:r>
      <w:r w:rsidR="00986751">
        <w:t>ese</w:t>
      </w:r>
      <w:r>
        <w:t xml:space="preserve"> </w:t>
      </w:r>
      <w:r w:rsidR="00AE0B2A">
        <w:t>regulations</w:t>
      </w:r>
      <w:r>
        <w:t xml:space="preserve"> is to </w:t>
      </w:r>
      <w:r w:rsidR="00AE0B2A">
        <w:t>provide that licensees and their authorised representatives can charge brokerage fees</w:t>
      </w:r>
      <w:r w:rsidR="00B57D4F">
        <w:t xml:space="preserve"> in circumstances </w:t>
      </w:r>
      <w:r w:rsidR="006331EC">
        <w:t>where trades are made using borrowed amounts (</w:t>
      </w:r>
      <w:r w:rsidR="00041388">
        <w:t xml:space="preserve">including </w:t>
      </w:r>
      <w:r w:rsidR="006331EC">
        <w:t xml:space="preserve">margin loans).  </w:t>
      </w:r>
    </w:p>
    <w:p w14:paraId="7ABBB753" w14:textId="77777777" w:rsidR="00EE3581" w:rsidRDefault="00EE3581" w:rsidP="00EE3581">
      <w:pPr>
        <w:autoSpaceDE w:val="0"/>
        <w:autoSpaceDN w:val="0"/>
        <w:spacing w:after="0"/>
      </w:pPr>
    </w:p>
    <w:p w14:paraId="7ABBB754" w14:textId="77777777" w:rsidR="00EE3581" w:rsidRDefault="00EE3581" w:rsidP="000634E5">
      <w:pPr>
        <w:autoSpaceDE w:val="0"/>
        <w:autoSpaceDN w:val="0"/>
        <w:spacing w:after="0"/>
      </w:pPr>
    </w:p>
    <w:p w14:paraId="7ABBB755" w14:textId="77777777" w:rsidR="0082186A" w:rsidRDefault="0082186A" w:rsidP="00F64D58">
      <w:pPr>
        <w:sectPr w:rsidR="0082186A" w:rsidSect="00CC71C0">
          <w:pgSz w:w="11906" w:h="16838"/>
          <w:pgMar w:top="1440" w:right="1800" w:bottom="1440" w:left="1800" w:header="720" w:footer="720" w:gutter="0"/>
          <w:pgNumType w:start="1"/>
          <w:cols w:space="720"/>
          <w:titlePg/>
          <w:docGrid w:linePitch="360"/>
        </w:sectPr>
      </w:pPr>
    </w:p>
    <w:p w14:paraId="7ABBB756" w14:textId="77777777" w:rsidR="009C3374" w:rsidRPr="00423CA3" w:rsidRDefault="00217060" w:rsidP="00423CA3">
      <w:pPr>
        <w:pStyle w:val="base-text-paragraph"/>
        <w:jc w:val="right"/>
        <w:rPr>
          <w:b/>
        </w:rPr>
      </w:pPr>
      <w:r w:rsidRPr="00423CA3">
        <w:rPr>
          <w:b/>
        </w:rPr>
        <w:lastRenderedPageBreak/>
        <w:t>ATTACHMENT B</w:t>
      </w:r>
    </w:p>
    <w:p w14:paraId="7ABBB757" w14:textId="77777777" w:rsidR="00E4438C" w:rsidRDefault="00E4438C" w:rsidP="00E4438C">
      <w:pPr>
        <w:pStyle w:val="Heading3"/>
        <w:jc w:val="center"/>
      </w:pPr>
      <w:r>
        <w:t>Statement of Compatibility with Human Rights</w:t>
      </w:r>
    </w:p>
    <w:p w14:paraId="7ABBB758" w14:textId="77777777" w:rsidR="00E4438C" w:rsidRPr="00E4438C" w:rsidRDefault="00E4438C" w:rsidP="00E4438C">
      <w:pPr>
        <w:jc w:val="center"/>
        <w:rPr>
          <w:i/>
        </w:rPr>
      </w:pPr>
      <w:r w:rsidRPr="00E4438C">
        <w:rPr>
          <w:i/>
        </w:rPr>
        <w:t>Prepared in accordance with Part 3 of the Human Rights (Parliamentary Scrutiny) Act 2011</w:t>
      </w:r>
    </w:p>
    <w:p w14:paraId="7ABBB759" w14:textId="76449ACF" w:rsidR="00E4438C" w:rsidRPr="009D6D0E" w:rsidRDefault="009D6D0E" w:rsidP="00E4438C">
      <w:pPr>
        <w:jc w:val="center"/>
        <w:rPr>
          <w:b/>
        </w:rPr>
      </w:pPr>
      <w:r w:rsidRPr="009D6D0E">
        <w:rPr>
          <w:b/>
        </w:rPr>
        <w:t>Corporations Amendment Regulation 201</w:t>
      </w:r>
      <w:r w:rsidR="001019E5">
        <w:rPr>
          <w:b/>
        </w:rPr>
        <w:t>3</w:t>
      </w:r>
      <w:r w:rsidR="005D387E">
        <w:rPr>
          <w:b/>
        </w:rPr>
        <w:t xml:space="preserve"> (No.</w:t>
      </w:r>
      <w:r w:rsidR="006155CB">
        <w:rPr>
          <w:b/>
        </w:rPr>
        <w:t xml:space="preserve"> </w:t>
      </w:r>
      <w:r w:rsidR="005D387E">
        <w:rPr>
          <w:b/>
        </w:rPr>
        <w:t>4)</w:t>
      </w:r>
    </w:p>
    <w:p w14:paraId="7ABBB75A"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7ABBB75B" w14:textId="77777777" w:rsidR="00E4438C" w:rsidRDefault="00E4438C" w:rsidP="00E4438C">
      <w:pPr>
        <w:pStyle w:val="Heading4"/>
      </w:pPr>
      <w:r>
        <w:t xml:space="preserve">Overview of the </w:t>
      </w:r>
      <w:r w:rsidRPr="00E4438C">
        <w:t>Legislative</w:t>
      </w:r>
      <w:r>
        <w:t xml:space="preserve"> Instrument</w:t>
      </w:r>
    </w:p>
    <w:p w14:paraId="7ABBB75C" w14:textId="77777777" w:rsidR="00A87CCE" w:rsidRDefault="0042781B" w:rsidP="0042781B">
      <w:r>
        <w:t xml:space="preserve">The </w:t>
      </w:r>
      <w:r>
        <w:rPr>
          <w:i/>
        </w:rPr>
        <w:t>Corpor</w:t>
      </w:r>
      <w:r w:rsidR="00D73AD0">
        <w:rPr>
          <w:i/>
        </w:rPr>
        <w:t xml:space="preserve">ations Amendment Regulation 2013 (No. </w:t>
      </w:r>
      <w:r w:rsidR="005D387E">
        <w:rPr>
          <w:i/>
        </w:rPr>
        <w:t>4</w:t>
      </w:r>
      <w:r w:rsidR="00D73AD0">
        <w:rPr>
          <w:i/>
        </w:rPr>
        <w:t>)</w:t>
      </w:r>
      <w:r w:rsidR="00D73AD0">
        <w:t xml:space="preserve"> (</w:t>
      </w:r>
      <w:r>
        <w:t xml:space="preserve">the Regulation) amends the </w:t>
      </w:r>
      <w:r>
        <w:rPr>
          <w:i/>
        </w:rPr>
        <w:t>Corporations Regulations 2001</w:t>
      </w:r>
      <w:r>
        <w:t xml:space="preserve">.  </w:t>
      </w:r>
    </w:p>
    <w:p w14:paraId="7ABBB75D" w14:textId="77777777" w:rsidR="00FF6769" w:rsidRPr="000F5620" w:rsidRDefault="00FF6769" w:rsidP="00FF6769">
      <w:r w:rsidRPr="000F5620">
        <w:t>The Regulation extends the scope of existing stockbroking-related exemptions to provide that:</w:t>
      </w:r>
    </w:p>
    <w:p w14:paraId="7ABBB75E" w14:textId="77777777" w:rsidR="00B57D4F" w:rsidRDefault="00891A3E" w:rsidP="005F4B24">
      <w:pPr>
        <w:pStyle w:val="Bullet"/>
      </w:pPr>
      <w:r>
        <w:t>b</w:t>
      </w:r>
      <w:r w:rsidRPr="000F5620">
        <w:t>rokerage</w:t>
      </w:r>
      <w:r>
        <w:t xml:space="preserve"> fees are </w:t>
      </w:r>
      <w:r w:rsidRPr="000F5620">
        <w:t xml:space="preserve">exempt from the ban on asset-based fees on borrowed amounts; and  </w:t>
      </w:r>
    </w:p>
    <w:p w14:paraId="7ABBB75F" w14:textId="77777777" w:rsidR="005F4B24" w:rsidRPr="00B57D4F" w:rsidRDefault="005F4B24" w:rsidP="005F4B24">
      <w:pPr>
        <w:pStyle w:val="Bullet"/>
      </w:pPr>
      <w:r w:rsidRPr="00B57D4F">
        <w:t xml:space="preserve">fees can be paid by licensees that execute trades on behalf of the retail clients of other licensees, where those trades are requested by the client through the </w:t>
      </w:r>
      <w:r w:rsidR="00DB5B55">
        <w:t xml:space="preserve">online </w:t>
      </w:r>
      <w:r w:rsidR="005B59F1">
        <w:t xml:space="preserve">broking </w:t>
      </w:r>
      <w:r w:rsidR="00DB5B55">
        <w:t>service</w:t>
      </w:r>
      <w:r w:rsidR="005B59F1">
        <w:t>s</w:t>
      </w:r>
      <w:r w:rsidR="00DB5B55">
        <w:t xml:space="preserve">, under circumstances where clients </w:t>
      </w:r>
      <w:r w:rsidR="005B59F1">
        <w:t xml:space="preserve">are not provided with </w:t>
      </w:r>
      <w:r w:rsidR="00DB5B55">
        <w:t xml:space="preserve">personal </w:t>
      </w:r>
      <w:r w:rsidR="005B59F1">
        <w:t xml:space="preserve">financial </w:t>
      </w:r>
      <w:r w:rsidR="00DB5B55">
        <w:t>advice.</w:t>
      </w:r>
    </w:p>
    <w:p w14:paraId="7ABBB760" w14:textId="77777777" w:rsidR="00E4438C" w:rsidRDefault="00E4438C" w:rsidP="00E4438C">
      <w:pPr>
        <w:pStyle w:val="Heading4"/>
      </w:pPr>
      <w:r>
        <w:t>Human rights implications</w:t>
      </w:r>
    </w:p>
    <w:p w14:paraId="7ABBB761" w14:textId="77777777" w:rsidR="00E4438C" w:rsidRDefault="00E4438C" w:rsidP="00E4438C">
      <w:r>
        <w:t>This Legislative Instrument does not engage any of the applicable rights or freedoms.</w:t>
      </w:r>
    </w:p>
    <w:p w14:paraId="7ABBB762" w14:textId="77777777" w:rsidR="00E4438C" w:rsidRDefault="00E4438C" w:rsidP="00E4438C">
      <w:pPr>
        <w:pStyle w:val="Heading4"/>
      </w:pPr>
      <w:r>
        <w:t>Conclusion</w:t>
      </w:r>
    </w:p>
    <w:p w14:paraId="7ABBB763" w14:textId="77777777" w:rsidR="00E4438C" w:rsidRDefault="00E4438C" w:rsidP="00E4438C">
      <w:r>
        <w:t>This Legislative Instrument is compatible with human rights as it does not raise any human rights issues.</w:t>
      </w:r>
    </w:p>
    <w:sectPr w:rsidR="00E4438C" w:rsidSect="00423CA3">
      <w:pgSz w:w="11906" w:h="16838"/>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BB766" w14:textId="77777777" w:rsidR="00C17C1F" w:rsidRDefault="00C17C1F" w:rsidP="006D6C83">
      <w:pPr>
        <w:spacing w:before="0" w:after="0"/>
      </w:pPr>
      <w:r>
        <w:separator/>
      </w:r>
    </w:p>
  </w:endnote>
  <w:endnote w:type="continuationSeparator" w:id="0">
    <w:p w14:paraId="7ABBB767" w14:textId="77777777" w:rsidR="00C17C1F" w:rsidRDefault="00C17C1F" w:rsidP="006D6C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BB76A" w14:textId="77777777" w:rsidR="00686636" w:rsidRDefault="00686636" w:rsidP="0068663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BB76B" w14:textId="77777777" w:rsidR="00686636" w:rsidRPr="00686636" w:rsidRDefault="00686636" w:rsidP="00686636">
    <w:pPr>
      <w:pStyle w:val="Footer"/>
      <w:jc w:val="center"/>
      <w:rPr>
        <w:b/>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BB764" w14:textId="77777777" w:rsidR="00C17C1F" w:rsidRDefault="00C17C1F" w:rsidP="006D6C83">
      <w:pPr>
        <w:spacing w:before="0" w:after="0"/>
      </w:pPr>
      <w:r>
        <w:separator/>
      </w:r>
    </w:p>
  </w:footnote>
  <w:footnote w:type="continuationSeparator" w:id="0">
    <w:p w14:paraId="7ABBB765" w14:textId="77777777" w:rsidR="00C17C1F" w:rsidRDefault="00C17C1F" w:rsidP="006D6C8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BB768" w14:textId="77777777" w:rsidR="00CC71C0" w:rsidRDefault="00CC71C0">
    <w:pPr>
      <w:pStyle w:val="Header"/>
      <w:jc w:val="center"/>
    </w:pPr>
    <w:r>
      <w:fldChar w:fldCharType="begin"/>
    </w:r>
    <w:r>
      <w:instrText xml:space="preserve"> PAGE   \* MERGEFORMAT </w:instrText>
    </w:r>
    <w:r>
      <w:fldChar w:fldCharType="separate"/>
    </w:r>
    <w:r w:rsidR="00386778">
      <w:rPr>
        <w:noProof/>
      </w:rPr>
      <w:t>3</w:t>
    </w:r>
    <w:r>
      <w:fldChar w:fldCharType="end"/>
    </w:r>
  </w:p>
  <w:p w14:paraId="7ABBB769" w14:textId="77777777" w:rsidR="0007114B" w:rsidRDefault="000711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FC5AC882"/>
    <w:lvl w:ilvl="0">
      <w:start w:val="1"/>
      <w:numFmt w:val="bullet"/>
      <w:lvlText w:val="•"/>
      <w:lvlJc w:val="left"/>
      <w:pPr>
        <w:tabs>
          <w:tab w:val="num" w:pos="567"/>
        </w:tabs>
        <w:ind w:left="567" w:hanging="567"/>
      </w:pPr>
      <w:rPr>
        <w:rFonts w:ascii="Times New Roman" w:hAnsi="Times New Roman"/>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6DE6796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7D270368"/>
    <w:multiLevelType w:val="multilevel"/>
    <w:tmpl w:val="4E2E91EC"/>
    <w:name w:val="StandardNumberedList"/>
    <w:lvl w:ilvl="0">
      <w:start w:val="1"/>
      <w:numFmt w:val="decimal"/>
      <w:pStyle w:val="OutlineNumbered1"/>
      <w:lvlText w:val="%1."/>
      <w:lvlJc w:val="left"/>
      <w:pPr>
        <w:tabs>
          <w:tab w:val="num" w:pos="567"/>
        </w:tabs>
        <w:ind w:left="567" w:hanging="567"/>
      </w:pPr>
      <w:rPr>
        <w:rFonts w:cs="Times New Roman"/>
      </w:r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3F2"/>
    <w:rsid w:val="00003CDE"/>
    <w:rsid w:val="00004D7A"/>
    <w:rsid w:val="000078C1"/>
    <w:rsid w:val="00016EA2"/>
    <w:rsid w:val="00020801"/>
    <w:rsid w:val="0002568E"/>
    <w:rsid w:val="000304F8"/>
    <w:rsid w:val="00033C5C"/>
    <w:rsid w:val="00041388"/>
    <w:rsid w:val="00050406"/>
    <w:rsid w:val="00060CFE"/>
    <w:rsid w:val="000634E5"/>
    <w:rsid w:val="00065A35"/>
    <w:rsid w:val="0007114B"/>
    <w:rsid w:val="0007441F"/>
    <w:rsid w:val="00075B8E"/>
    <w:rsid w:val="000820DD"/>
    <w:rsid w:val="00092165"/>
    <w:rsid w:val="00095211"/>
    <w:rsid w:val="000972DD"/>
    <w:rsid w:val="000A4DF2"/>
    <w:rsid w:val="000B7B03"/>
    <w:rsid w:val="000C10DF"/>
    <w:rsid w:val="000D1531"/>
    <w:rsid w:val="000E27A5"/>
    <w:rsid w:val="000E35C0"/>
    <w:rsid w:val="000E7E29"/>
    <w:rsid w:val="000F5620"/>
    <w:rsid w:val="000F58EE"/>
    <w:rsid w:val="001019E5"/>
    <w:rsid w:val="00112DB6"/>
    <w:rsid w:val="00113B45"/>
    <w:rsid w:val="00123BEE"/>
    <w:rsid w:val="00124758"/>
    <w:rsid w:val="0012508B"/>
    <w:rsid w:val="0014024E"/>
    <w:rsid w:val="001526AC"/>
    <w:rsid w:val="00160384"/>
    <w:rsid w:val="0016623F"/>
    <w:rsid w:val="00174035"/>
    <w:rsid w:val="001809A7"/>
    <w:rsid w:val="001869A3"/>
    <w:rsid w:val="00192ADF"/>
    <w:rsid w:val="00194BA3"/>
    <w:rsid w:val="00196B85"/>
    <w:rsid w:val="001B37B5"/>
    <w:rsid w:val="001B7BBD"/>
    <w:rsid w:val="001D148A"/>
    <w:rsid w:val="001D2201"/>
    <w:rsid w:val="001D437B"/>
    <w:rsid w:val="001D477E"/>
    <w:rsid w:val="001D6B48"/>
    <w:rsid w:val="001E3C0D"/>
    <w:rsid w:val="001E6A74"/>
    <w:rsid w:val="001F41D0"/>
    <w:rsid w:val="001F5113"/>
    <w:rsid w:val="001F623B"/>
    <w:rsid w:val="0020018F"/>
    <w:rsid w:val="00200B4D"/>
    <w:rsid w:val="00207425"/>
    <w:rsid w:val="00210839"/>
    <w:rsid w:val="00217060"/>
    <w:rsid w:val="00220F16"/>
    <w:rsid w:val="00223B48"/>
    <w:rsid w:val="00224783"/>
    <w:rsid w:val="002313D2"/>
    <w:rsid w:val="00244E16"/>
    <w:rsid w:val="002510F0"/>
    <w:rsid w:val="002545AC"/>
    <w:rsid w:val="00254C5B"/>
    <w:rsid w:val="00266C66"/>
    <w:rsid w:val="00280D3D"/>
    <w:rsid w:val="00285281"/>
    <w:rsid w:val="00293487"/>
    <w:rsid w:val="00295985"/>
    <w:rsid w:val="00296F87"/>
    <w:rsid w:val="00297FDB"/>
    <w:rsid w:val="002A1FE1"/>
    <w:rsid w:val="002A4FE0"/>
    <w:rsid w:val="002D28AB"/>
    <w:rsid w:val="002D366B"/>
    <w:rsid w:val="002F2937"/>
    <w:rsid w:val="00302580"/>
    <w:rsid w:val="00302EC7"/>
    <w:rsid w:val="00303131"/>
    <w:rsid w:val="00305A81"/>
    <w:rsid w:val="00307055"/>
    <w:rsid w:val="00307713"/>
    <w:rsid w:val="00310DB9"/>
    <w:rsid w:val="003342CD"/>
    <w:rsid w:val="00335042"/>
    <w:rsid w:val="00341A05"/>
    <w:rsid w:val="00355A9F"/>
    <w:rsid w:val="00366456"/>
    <w:rsid w:val="003700B3"/>
    <w:rsid w:val="00371072"/>
    <w:rsid w:val="00386778"/>
    <w:rsid w:val="00392BBA"/>
    <w:rsid w:val="00397BF7"/>
    <w:rsid w:val="003A0002"/>
    <w:rsid w:val="003A62B3"/>
    <w:rsid w:val="003C304E"/>
    <w:rsid w:val="003C65B7"/>
    <w:rsid w:val="003D2B55"/>
    <w:rsid w:val="003E0F5D"/>
    <w:rsid w:val="003E2C8B"/>
    <w:rsid w:val="003E548C"/>
    <w:rsid w:val="003E58B8"/>
    <w:rsid w:val="003E5955"/>
    <w:rsid w:val="003F043C"/>
    <w:rsid w:val="003F2230"/>
    <w:rsid w:val="0041166E"/>
    <w:rsid w:val="00423CA3"/>
    <w:rsid w:val="00426BD5"/>
    <w:rsid w:val="00426EF8"/>
    <w:rsid w:val="0042781B"/>
    <w:rsid w:val="00436835"/>
    <w:rsid w:val="00437A8D"/>
    <w:rsid w:val="004442EC"/>
    <w:rsid w:val="004651A3"/>
    <w:rsid w:val="00480377"/>
    <w:rsid w:val="004918EB"/>
    <w:rsid w:val="004A2BF8"/>
    <w:rsid w:val="004B32C7"/>
    <w:rsid w:val="004C2832"/>
    <w:rsid w:val="004C3429"/>
    <w:rsid w:val="004D058B"/>
    <w:rsid w:val="004D43EB"/>
    <w:rsid w:val="004E05AB"/>
    <w:rsid w:val="004E39E1"/>
    <w:rsid w:val="00501DF0"/>
    <w:rsid w:val="00501FB7"/>
    <w:rsid w:val="00503C53"/>
    <w:rsid w:val="00503E44"/>
    <w:rsid w:val="005045C7"/>
    <w:rsid w:val="005107E4"/>
    <w:rsid w:val="00515283"/>
    <w:rsid w:val="00522C41"/>
    <w:rsid w:val="005307E4"/>
    <w:rsid w:val="00530E6B"/>
    <w:rsid w:val="0054498C"/>
    <w:rsid w:val="0055153C"/>
    <w:rsid w:val="00551BD1"/>
    <w:rsid w:val="005533DE"/>
    <w:rsid w:val="0055675D"/>
    <w:rsid w:val="00561028"/>
    <w:rsid w:val="00561168"/>
    <w:rsid w:val="00563A43"/>
    <w:rsid w:val="005814DF"/>
    <w:rsid w:val="005833BE"/>
    <w:rsid w:val="0058624A"/>
    <w:rsid w:val="00593732"/>
    <w:rsid w:val="005A4040"/>
    <w:rsid w:val="005A4C57"/>
    <w:rsid w:val="005B06CB"/>
    <w:rsid w:val="005B4441"/>
    <w:rsid w:val="005B59F1"/>
    <w:rsid w:val="005C16A8"/>
    <w:rsid w:val="005C2DB8"/>
    <w:rsid w:val="005C6ED2"/>
    <w:rsid w:val="005D387E"/>
    <w:rsid w:val="005D7D5A"/>
    <w:rsid w:val="005F4B24"/>
    <w:rsid w:val="006005E4"/>
    <w:rsid w:val="0060130D"/>
    <w:rsid w:val="006138DD"/>
    <w:rsid w:val="00613FF9"/>
    <w:rsid w:val="006155CB"/>
    <w:rsid w:val="00631E64"/>
    <w:rsid w:val="006331EC"/>
    <w:rsid w:val="006353F2"/>
    <w:rsid w:val="0064129F"/>
    <w:rsid w:val="00641F3E"/>
    <w:rsid w:val="0065012C"/>
    <w:rsid w:val="00650A96"/>
    <w:rsid w:val="00650D20"/>
    <w:rsid w:val="00686636"/>
    <w:rsid w:val="006B01F7"/>
    <w:rsid w:val="006B462A"/>
    <w:rsid w:val="006D44BA"/>
    <w:rsid w:val="006D5087"/>
    <w:rsid w:val="006D6C83"/>
    <w:rsid w:val="006D7ACD"/>
    <w:rsid w:val="006E1088"/>
    <w:rsid w:val="0070055C"/>
    <w:rsid w:val="00703184"/>
    <w:rsid w:val="007052EF"/>
    <w:rsid w:val="00712BDC"/>
    <w:rsid w:val="00713639"/>
    <w:rsid w:val="007141AF"/>
    <w:rsid w:val="00715FD6"/>
    <w:rsid w:val="007163CF"/>
    <w:rsid w:val="00717661"/>
    <w:rsid w:val="00725729"/>
    <w:rsid w:val="00731305"/>
    <w:rsid w:val="00735EEA"/>
    <w:rsid w:val="00740CD4"/>
    <w:rsid w:val="00753393"/>
    <w:rsid w:val="00754483"/>
    <w:rsid w:val="007601FD"/>
    <w:rsid w:val="00783BEC"/>
    <w:rsid w:val="00785F5C"/>
    <w:rsid w:val="00797E1D"/>
    <w:rsid w:val="007A2C11"/>
    <w:rsid w:val="007A2D2F"/>
    <w:rsid w:val="007A5525"/>
    <w:rsid w:val="007B2359"/>
    <w:rsid w:val="007C1FC8"/>
    <w:rsid w:val="007C7D44"/>
    <w:rsid w:val="007D1F35"/>
    <w:rsid w:val="007E018D"/>
    <w:rsid w:val="007E29E6"/>
    <w:rsid w:val="007F0E1D"/>
    <w:rsid w:val="007F6DE8"/>
    <w:rsid w:val="00807E7D"/>
    <w:rsid w:val="0082186A"/>
    <w:rsid w:val="00831675"/>
    <w:rsid w:val="00832702"/>
    <w:rsid w:val="008554B4"/>
    <w:rsid w:val="00863120"/>
    <w:rsid w:val="00876D61"/>
    <w:rsid w:val="0088467C"/>
    <w:rsid w:val="00887436"/>
    <w:rsid w:val="00891A3E"/>
    <w:rsid w:val="00892835"/>
    <w:rsid w:val="008A1342"/>
    <w:rsid w:val="008B5C39"/>
    <w:rsid w:val="008C410B"/>
    <w:rsid w:val="008C6B54"/>
    <w:rsid w:val="008D16F7"/>
    <w:rsid w:val="008D44A3"/>
    <w:rsid w:val="008E006E"/>
    <w:rsid w:val="008E0855"/>
    <w:rsid w:val="008E6624"/>
    <w:rsid w:val="008F62C0"/>
    <w:rsid w:val="009003C7"/>
    <w:rsid w:val="00921D99"/>
    <w:rsid w:val="00931780"/>
    <w:rsid w:val="00942F5C"/>
    <w:rsid w:val="00957404"/>
    <w:rsid w:val="00981D89"/>
    <w:rsid w:val="00986751"/>
    <w:rsid w:val="00991243"/>
    <w:rsid w:val="00991A7B"/>
    <w:rsid w:val="00995FCF"/>
    <w:rsid w:val="00997D4A"/>
    <w:rsid w:val="009C3374"/>
    <w:rsid w:val="009D6D0E"/>
    <w:rsid w:val="009E0530"/>
    <w:rsid w:val="009E2F86"/>
    <w:rsid w:val="009E46D0"/>
    <w:rsid w:val="00A034F2"/>
    <w:rsid w:val="00A04F19"/>
    <w:rsid w:val="00A0711B"/>
    <w:rsid w:val="00A10C05"/>
    <w:rsid w:val="00A12209"/>
    <w:rsid w:val="00A135FD"/>
    <w:rsid w:val="00A16720"/>
    <w:rsid w:val="00A22404"/>
    <w:rsid w:val="00A224EC"/>
    <w:rsid w:val="00A26544"/>
    <w:rsid w:val="00A3039B"/>
    <w:rsid w:val="00A36DF3"/>
    <w:rsid w:val="00A50034"/>
    <w:rsid w:val="00A532DD"/>
    <w:rsid w:val="00A55C4F"/>
    <w:rsid w:val="00A6627D"/>
    <w:rsid w:val="00A66A03"/>
    <w:rsid w:val="00A75FBD"/>
    <w:rsid w:val="00A80BCF"/>
    <w:rsid w:val="00A87CCE"/>
    <w:rsid w:val="00AA09AF"/>
    <w:rsid w:val="00AA109D"/>
    <w:rsid w:val="00AD0B5A"/>
    <w:rsid w:val="00AD3FEF"/>
    <w:rsid w:val="00AD6AF3"/>
    <w:rsid w:val="00AE0B2A"/>
    <w:rsid w:val="00AE21F1"/>
    <w:rsid w:val="00AF2D64"/>
    <w:rsid w:val="00AF72A6"/>
    <w:rsid w:val="00B01AA3"/>
    <w:rsid w:val="00B07B0C"/>
    <w:rsid w:val="00B16601"/>
    <w:rsid w:val="00B26C40"/>
    <w:rsid w:val="00B32837"/>
    <w:rsid w:val="00B44CEF"/>
    <w:rsid w:val="00B5077E"/>
    <w:rsid w:val="00B52B57"/>
    <w:rsid w:val="00B57D4F"/>
    <w:rsid w:val="00B60A6C"/>
    <w:rsid w:val="00B807A8"/>
    <w:rsid w:val="00B8505E"/>
    <w:rsid w:val="00B915F7"/>
    <w:rsid w:val="00BA3DB2"/>
    <w:rsid w:val="00BC3171"/>
    <w:rsid w:val="00BD24D3"/>
    <w:rsid w:val="00BD61A2"/>
    <w:rsid w:val="00BE484D"/>
    <w:rsid w:val="00BF51B5"/>
    <w:rsid w:val="00BF5F8B"/>
    <w:rsid w:val="00C1415A"/>
    <w:rsid w:val="00C17C1F"/>
    <w:rsid w:val="00C22362"/>
    <w:rsid w:val="00C245F7"/>
    <w:rsid w:val="00C27FAA"/>
    <w:rsid w:val="00C33EC0"/>
    <w:rsid w:val="00C37E05"/>
    <w:rsid w:val="00C41919"/>
    <w:rsid w:val="00C42FEA"/>
    <w:rsid w:val="00C437BD"/>
    <w:rsid w:val="00C478C0"/>
    <w:rsid w:val="00C55D29"/>
    <w:rsid w:val="00C674B4"/>
    <w:rsid w:val="00C72A6F"/>
    <w:rsid w:val="00C74D14"/>
    <w:rsid w:val="00C9513C"/>
    <w:rsid w:val="00CB6E63"/>
    <w:rsid w:val="00CC71C0"/>
    <w:rsid w:val="00CC7392"/>
    <w:rsid w:val="00CE0BC1"/>
    <w:rsid w:val="00CF1EB5"/>
    <w:rsid w:val="00CF2017"/>
    <w:rsid w:val="00D06BA6"/>
    <w:rsid w:val="00D15952"/>
    <w:rsid w:val="00D306F4"/>
    <w:rsid w:val="00D34626"/>
    <w:rsid w:val="00D42527"/>
    <w:rsid w:val="00D4257A"/>
    <w:rsid w:val="00D460B4"/>
    <w:rsid w:val="00D548A8"/>
    <w:rsid w:val="00D701A8"/>
    <w:rsid w:val="00D71FF7"/>
    <w:rsid w:val="00D73AD0"/>
    <w:rsid w:val="00D76EE1"/>
    <w:rsid w:val="00D772FD"/>
    <w:rsid w:val="00D871BE"/>
    <w:rsid w:val="00D92F8B"/>
    <w:rsid w:val="00D93BA6"/>
    <w:rsid w:val="00D95D16"/>
    <w:rsid w:val="00DB5B55"/>
    <w:rsid w:val="00DC0CDE"/>
    <w:rsid w:val="00DD20EC"/>
    <w:rsid w:val="00DD436F"/>
    <w:rsid w:val="00DD58A2"/>
    <w:rsid w:val="00DD5A48"/>
    <w:rsid w:val="00DE202A"/>
    <w:rsid w:val="00DF7F86"/>
    <w:rsid w:val="00E0624D"/>
    <w:rsid w:val="00E1247D"/>
    <w:rsid w:val="00E17005"/>
    <w:rsid w:val="00E20E50"/>
    <w:rsid w:val="00E214DD"/>
    <w:rsid w:val="00E24D98"/>
    <w:rsid w:val="00E3156E"/>
    <w:rsid w:val="00E37D25"/>
    <w:rsid w:val="00E4438C"/>
    <w:rsid w:val="00E457F3"/>
    <w:rsid w:val="00E4650A"/>
    <w:rsid w:val="00E53B5C"/>
    <w:rsid w:val="00E72EE4"/>
    <w:rsid w:val="00E766A7"/>
    <w:rsid w:val="00E87291"/>
    <w:rsid w:val="00E9258A"/>
    <w:rsid w:val="00E94516"/>
    <w:rsid w:val="00EA7326"/>
    <w:rsid w:val="00EB7E71"/>
    <w:rsid w:val="00EC26F5"/>
    <w:rsid w:val="00ED3F94"/>
    <w:rsid w:val="00EE3581"/>
    <w:rsid w:val="00EF2170"/>
    <w:rsid w:val="00EF3794"/>
    <w:rsid w:val="00F049EB"/>
    <w:rsid w:val="00F06594"/>
    <w:rsid w:val="00F109D4"/>
    <w:rsid w:val="00F148C4"/>
    <w:rsid w:val="00F242F9"/>
    <w:rsid w:val="00F32CC5"/>
    <w:rsid w:val="00F33805"/>
    <w:rsid w:val="00F4159A"/>
    <w:rsid w:val="00F42492"/>
    <w:rsid w:val="00F64D58"/>
    <w:rsid w:val="00F72140"/>
    <w:rsid w:val="00F815BB"/>
    <w:rsid w:val="00F9754F"/>
    <w:rsid w:val="00FC0185"/>
    <w:rsid w:val="00FC3BB2"/>
    <w:rsid w:val="00FC6F54"/>
    <w:rsid w:val="00FE28C8"/>
    <w:rsid w:val="00FE2EFB"/>
    <w:rsid w:val="00FF1057"/>
    <w:rsid w:val="00FF37BD"/>
    <w:rsid w:val="00FF67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ABBB7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uiPriority w:val="9"/>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uiPriority w:val="9"/>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E457F3"/>
    <w:rPr>
      <w:rFonts w:ascii="Helvetica" w:hAnsi="Helvetica" w:cs="Times New Roman"/>
      <w:b/>
      <w:kern w:val="28"/>
      <w:sz w:val="24"/>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Title">
    <w:name w:val="Title"/>
    <w:basedOn w:val="Normal"/>
    <w:link w:val="TitleChar"/>
    <w:uiPriority w:val="10"/>
    <w:qFormat/>
    <w:rsid w:val="00392BBA"/>
    <w:pPr>
      <w:jc w:val="center"/>
    </w:pPr>
    <w:rPr>
      <w: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sid w:val="00392BBA"/>
  </w:style>
  <w:style w:type="character" w:customStyle="1" w:styleId="BodyTextChar">
    <w:name w:val="Body Text Char"/>
    <w:basedOn w:val="DefaultParagraphFont"/>
    <w:link w:val="BodyText"/>
    <w:uiPriority w:val="99"/>
    <w:semiHidden/>
    <w:locked/>
    <w:rPr>
      <w:rFonts w:cs="Times New Roman"/>
      <w:sz w:val="24"/>
    </w:rPr>
  </w:style>
  <w:style w:type="paragraph" w:styleId="BodyText2">
    <w:name w:val="Body Text 2"/>
    <w:basedOn w:val="Normal"/>
    <w:link w:val="BodyText2Char"/>
    <w:uiPriority w:val="99"/>
    <w:rsid w:val="00392BBA"/>
    <w:rPr>
      <w:u w:val="single"/>
    </w:r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uiPriority w:val="99"/>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rFonts w:cs="Times New Roman"/>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locked/>
    <w:rsid w:val="00E0624D"/>
    <w:rPr>
      <w:rFonts w:cs="Times New Roman"/>
      <w:color w:val="000000"/>
      <w:sz w:val="24"/>
      <w:szCs w:val="24"/>
    </w:rPr>
  </w:style>
  <w:style w:type="character" w:customStyle="1" w:styleId="BulletChar">
    <w:name w:val="Bullet Char"/>
    <w:basedOn w:val="DefaultChar"/>
    <w:link w:val="Bullet"/>
    <w:locked/>
    <w:rsid w:val="00E0624D"/>
    <w:rPr>
      <w:rFonts w:cs="Times New Roman"/>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locked/>
    <w:rsid w:val="00E0624D"/>
    <w:rPr>
      <w:rFonts w:cs="Times New Roman"/>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locked/>
    <w:rsid w:val="00E0624D"/>
    <w:rPr>
      <w:rFonts w:cs="Times New Roman"/>
      <w:color w:val="000000"/>
      <w:sz w:val="24"/>
      <w:szCs w:val="23"/>
    </w:rPr>
  </w:style>
  <w:style w:type="character" w:styleId="PlaceholderText">
    <w:name w:val="Placeholder Text"/>
    <w:basedOn w:val="DefaultParagraphFont"/>
    <w:uiPriority w:val="99"/>
    <w:semiHidden/>
    <w:rsid w:val="00A12209"/>
    <w:rPr>
      <w:rFonts w:cs="Times New Roman"/>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209"/>
    <w:rPr>
      <w:rFonts w:ascii="Tahoma" w:hAnsi="Tahoma" w:cs="Tahoma"/>
      <w:sz w:val="16"/>
      <w:szCs w:val="16"/>
    </w:rPr>
  </w:style>
  <w:style w:type="paragraph" w:styleId="Header">
    <w:name w:val="header"/>
    <w:basedOn w:val="Normal"/>
    <w:link w:val="HeaderChar"/>
    <w:uiPriority w:val="99"/>
    <w:unhideWhenUsed/>
    <w:rsid w:val="006D6C83"/>
    <w:pPr>
      <w:tabs>
        <w:tab w:val="center" w:pos="4513"/>
        <w:tab w:val="right" w:pos="9026"/>
      </w:tabs>
      <w:spacing w:before="0" w:after="0"/>
    </w:pPr>
  </w:style>
  <w:style w:type="character" w:customStyle="1" w:styleId="HeaderChar">
    <w:name w:val="Header Char"/>
    <w:basedOn w:val="DefaultParagraphFont"/>
    <w:link w:val="Header"/>
    <w:uiPriority w:val="99"/>
    <w:locked/>
    <w:rsid w:val="006D6C83"/>
    <w:rPr>
      <w:rFonts w:cs="Times New Roman"/>
      <w:sz w:val="24"/>
    </w:rPr>
  </w:style>
  <w:style w:type="paragraph" w:styleId="Footer">
    <w:name w:val="footer"/>
    <w:basedOn w:val="Normal"/>
    <w:link w:val="FooterChar"/>
    <w:uiPriority w:val="99"/>
    <w:unhideWhenUsed/>
    <w:rsid w:val="006D6C83"/>
    <w:pPr>
      <w:tabs>
        <w:tab w:val="center" w:pos="4513"/>
        <w:tab w:val="right" w:pos="9026"/>
      </w:tabs>
      <w:spacing w:before="0" w:after="0"/>
    </w:pPr>
  </w:style>
  <w:style w:type="character" w:customStyle="1" w:styleId="FooterChar">
    <w:name w:val="Footer Char"/>
    <w:basedOn w:val="DefaultParagraphFont"/>
    <w:link w:val="Footer"/>
    <w:uiPriority w:val="99"/>
    <w:locked/>
    <w:rsid w:val="006D6C83"/>
    <w:rPr>
      <w:rFonts w:cs="Times New Roman"/>
      <w:sz w:val="24"/>
    </w:rPr>
  </w:style>
  <w:style w:type="table" w:styleId="TableGrid">
    <w:name w:val="Table Grid"/>
    <w:basedOn w:val="TableNormal"/>
    <w:uiPriority w:val="59"/>
    <w:rsid w:val="00302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utlineNumbered1">
    <w:name w:val="Outline Numbered 1"/>
    <w:basedOn w:val="Normal"/>
    <w:link w:val="OutlineNumbered1Char"/>
    <w:rsid w:val="0041166E"/>
    <w:pPr>
      <w:numPr>
        <w:numId w:val="3"/>
      </w:numPr>
      <w:tabs>
        <w:tab w:val="left" w:pos="1701"/>
        <w:tab w:val="right" w:pos="9072"/>
      </w:tabs>
      <w:spacing w:line="240" w:lineRule="exact"/>
      <w:ind w:right="91"/>
    </w:pPr>
  </w:style>
  <w:style w:type="character" w:customStyle="1" w:styleId="OutlineNumbered1Char">
    <w:name w:val="Outline Numbered 1 Char"/>
    <w:basedOn w:val="DefaultParagraphFont"/>
    <w:link w:val="OutlineNumbered1"/>
    <w:locked/>
    <w:rsid w:val="0041166E"/>
    <w:rPr>
      <w:rFonts w:cs="Times New Roman"/>
      <w:sz w:val="24"/>
    </w:rPr>
  </w:style>
  <w:style w:type="paragraph" w:customStyle="1" w:styleId="OutlineNumbered2">
    <w:name w:val="Outline Numbered 2"/>
    <w:basedOn w:val="Normal"/>
    <w:link w:val="OutlineNumbered2Char"/>
    <w:rsid w:val="0041166E"/>
    <w:pPr>
      <w:numPr>
        <w:ilvl w:val="1"/>
        <w:numId w:val="3"/>
      </w:numPr>
      <w:tabs>
        <w:tab w:val="left" w:pos="1701"/>
        <w:tab w:val="right" w:pos="9072"/>
      </w:tabs>
      <w:spacing w:line="240" w:lineRule="exact"/>
      <w:ind w:right="91"/>
    </w:pPr>
  </w:style>
  <w:style w:type="character" w:customStyle="1" w:styleId="OutlineNumbered2Char">
    <w:name w:val="Outline Numbered 2 Char"/>
    <w:basedOn w:val="DefaultParagraphFont"/>
    <w:link w:val="OutlineNumbered2"/>
    <w:locked/>
    <w:rsid w:val="0041166E"/>
    <w:rPr>
      <w:rFonts w:cs="Times New Roman"/>
      <w:sz w:val="24"/>
    </w:rPr>
  </w:style>
  <w:style w:type="paragraph" w:customStyle="1" w:styleId="OutlineNumbered3">
    <w:name w:val="Outline Numbered 3"/>
    <w:basedOn w:val="Normal"/>
    <w:link w:val="OutlineNumbered3Char"/>
    <w:rsid w:val="0041166E"/>
    <w:pPr>
      <w:numPr>
        <w:ilvl w:val="2"/>
        <w:numId w:val="3"/>
      </w:numPr>
      <w:tabs>
        <w:tab w:val="right" w:pos="9072"/>
      </w:tabs>
      <w:spacing w:line="240" w:lineRule="exact"/>
      <w:ind w:right="91"/>
    </w:pPr>
  </w:style>
  <w:style w:type="character" w:customStyle="1" w:styleId="OutlineNumbered3Char">
    <w:name w:val="Outline Numbered 3 Char"/>
    <w:basedOn w:val="DefaultParagraphFont"/>
    <w:link w:val="OutlineNumbered3"/>
    <w:locked/>
    <w:rsid w:val="0041166E"/>
    <w:rPr>
      <w:rFonts w:cs="Times New Roman"/>
      <w:sz w:val="24"/>
    </w:rPr>
  </w:style>
  <w:style w:type="character" w:styleId="CommentReference">
    <w:name w:val="annotation reference"/>
    <w:basedOn w:val="DefaultParagraphFont"/>
    <w:uiPriority w:val="99"/>
    <w:semiHidden/>
    <w:unhideWhenUsed/>
    <w:rsid w:val="00F9754F"/>
    <w:rPr>
      <w:sz w:val="16"/>
      <w:szCs w:val="16"/>
    </w:rPr>
  </w:style>
  <w:style w:type="paragraph" w:styleId="CommentText">
    <w:name w:val="annotation text"/>
    <w:basedOn w:val="Normal"/>
    <w:link w:val="CommentTextChar"/>
    <w:uiPriority w:val="99"/>
    <w:semiHidden/>
    <w:unhideWhenUsed/>
    <w:rsid w:val="00F9754F"/>
    <w:rPr>
      <w:sz w:val="20"/>
    </w:rPr>
  </w:style>
  <w:style w:type="character" w:customStyle="1" w:styleId="CommentTextChar">
    <w:name w:val="Comment Text Char"/>
    <w:basedOn w:val="DefaultParagraphFont"/>
    <w:link w:val="CommentText"/>
    <w:uiPriority w:val="99"/>
    <w:semiHidden/>
    <w:rsid w:val="00F9754F"/>
  </w:style>
  <w:style w:type="paragraph" w:styleId="CommentSubject">
    <w:name w:val="annotation subject"/>
    <w:basedOn w:val="CommentText"/>
    <w:next w:val="CommentText"/>
    <w:link w:val="CommentSubjectChar"/>
    <w:uiPriority w:val="99"/>
    <w:semiHidden/>
    <w:unhideWhenUsed/>
    <w:rsid w:val="00F9754F"/>
    <w:rPr>
      <w:b/>
      <w:bCs/>
    </w:rPr>
  </w:style>
  <w:style w:type="character" w:customStyle="1" w:styleId="CommentSubjectChar">
    <w:name w:val="Comment Subject Char"/>
    <w:basedOn w:val="CommentTextChar"/>
    <w:link w:val="CommentSubject"/>
    <w:uiPriority w:val="99"/>
    <w:semiHidden/>
    <w:rsid w:val="00F975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uiPriority w:val="9"/>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uiPriority w:val="9"/>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E457F3"/>
    <w:rPr>
      <w:rFonts w:ascii="Helvetica" w:hAnsi="Helvetica" w:cs="Times New Roman"/>
      <w:b/>
      <w:kern w:val="28"/>
      <w:sz w:val="24"/>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Title">
    <w:name w:val="Title"/>
    <w:basedOn w:val="Normal"/>
    <w:link w:val="TitleChar"/>
    <w:uiPriority w:val="10"/>
    <w:qFormat/>
    <w:rsid w:val="00392BBA"/>
    <w:pPr>
      <w:jc w:val="center"/>
    </w:pPr>
    <w:rPr>
      <w: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sid w:val="00392BBA"/>
  </w:style>
  <w:style w:type="character" w:customStyle="1" w:styleId="BodyTextChar">
    <w:name w:val="Body Text Char"/>
    <w:basedOn w:val="DefaultParagraphFont"/>
    <w:link w:val="BodyText"/>
    <w:uiPriority w:val="99"/>
    <w:semiHidden/>
    <w:locked/>
    <w:rPr>
      <w:rFonts w:cs="Times New Roman"/>
      <w:sz w:val="24"/>
    </w:rPr>
  </w:style>
  <w:style w:type="paragraph" w:styleId="BodyText2">
    <w:name w:val="Body Text 2"/>
    <w:basedOn w:val="Normal"/>
    <w:link w:val="BodyText2Char"/>
    <w:uiPriority w:val="99"/>
    <w:rsid w:val="00392BBA"/>
    <w:rPr>
      <w:u w:val="single"/>
    </w:r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uiPriority w:val="99"/>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rFonts w:cs="Times New Roman"/>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locked/>
    <w:rsid w:val="00E0624D"/>
    <w:rPr>
      <w:rFonts w:cs="Times New Roman"/>
      <w:color w:val="000000"/>
      <w:sz w:val="24"/>
      <w:szCs w:val="24"/>
    </w:rPr>
  </w:style>
  <w:style w:type="character" w:customStyle="1" w:styleId="BulletChar">
    <w:name w:val="Bullet Char"/>
    <w:basedOn w:val="DefaultChar"/>
    <w:link w:val="Bullet"/>
    <w:locked/>
    <w:rsid w:val="00E0624D"/>
    <w:rPr>
      <w:rFonts w:cs="Times New Roman"/>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locked/>
    <w:rsid w:val="00E0624D"/>
    <w:rPr>
      <w:rFonts w:cs="Times New Roman"/>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locked/>
    <w:rsid w:val="00E0624D"/>
    <w:rPr>
      <w:rFonts w:cs="Times New Roman"/>
      <w:color w:val="000000"/>
      <w:sz w:val="24"/>
      <w:szCs w:val="23"/>
    </w:rPr>
  </w:style>
  <w:style w:type="character" w:styleId="PlaceholderText">
    <w:name w:val="Placeholder Text"/>
    <w:basedOn w:val="DefaultParagraphFont"/>
    <w:uiPriority w:val="99"/>
    <w:semiHidden/>
    <w:rsid w:val="00A12209"/>
    <w:rPr>
      <w:rFonts w:cs="Times New Roman"/>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209"/>
    <w:rPr>
      <w:rFonts w:ascii="Tahoma" w:hAnsi="Tahoma" w:cs="Tahoma"/>
      <w:sz w:val="16"/>
      <w:szCs w:val="16"/>
    </w:rPr>
  </w:style>
  <w:style w:type="paragraph" w:styleId="Header">
    <w:name w:val="header"/>
    <w:basedOn w:val="Normal"/>
    <w:link w:val="HeaderChar"/>
    <w:uiPriority w:val="99"/>
    <w:unhideWhenUsed/>
    <w:rsid w:val="006D6C83"/>
    <w:pPr>
      <w:tabs>
        <w:tab w:val="center" w:pos="4513"/>
        <w:tab w:val="right" w:pos="9026"/>
      </w:tabs>
      <w:spacing w:before="0" w:after="0"/>
    </w:pPr>
  </w:style>
  <w:style w:type="character" w:customStyle="1" w:styleId="HeaderChar">
    <w:name w:val="Header Char"/>
    <w:basedOn w:val="DefaultParagraphFont"/>
    <w:link w:val="Header"/>
    <w:uiPriority w:val="99"/>
    <w:locked/>
    <w:rsid w:val="006D6C83"/>
    <w:rPr>
      <w:rFonts w:cs="Times New Roman"/>
      <w:sz w:val="24"/>
    </w:rPr>
  </w:style>
  <w:style w:type="paragraph" w:styleId="Footer">
    <w:name w:val="footer"/>
    <w:basedOn w:val="Normal"/>
    <w:link w:val="FooterChar"/>
    <w:uiPriority w:val="99"/>
    <w:unhideWhenUsed/>
    <w:rsid w:val="006D6C83"/>
    <w:pPr>
      <w:tabs>
        <w:tab w:val="center" w:pos="4513"/>
        <w:tab w:val="right" w:pos="9026"/>
      </w:tabs>
      <w:spacing w:before="0" w:after="0"/>
    </w:pPr>
  </w:style>
  <w:style w:type="character" w:customStyle="1" w:styleId="FooterChar">
    <w:name w:val="Footer Char"/>
    <w:basedOn w:val="DefaultParagraphFont"/>
    <w:link w:val="Footer"/>
    <w:uiPriority w:val="99"/>
    <w:locked/>
    <w:rsid w:val="006D6C83"/>
    <w:rPr>
      <w:rFonts w:cs="Times New Roman"/>
      <w:sz w:val="24"/>
    </w:rPr>
  </w:style>
  <w:style w:type="table" w:styleId="TableGrid">
    <w:name w:val="Table Grid"/>
    <w:basedOn w:val="TableNormal"/>
    <w:uiPriority w:val="59"/>
    <w:rsid w:val="00302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utlineNumbered1">
    <w:name w:val="Outline Numbered 1"/>
    <w:basedOn w:val="Normal"/>
    <w:link w:val="OutlineNumbered1Char"/>
    <w:rsid w:val="0041166E"/>
    <w:pPr>
      <w:numPr>
        <w:numId w:val="3"/>
      </w:numPr>
      <w:tabs>
        <w:tab w:val="left" w:pos="1701"/>
        <w:tab w:val="right" w:pos="9072"/>
      </w:tabs>
      <w:spacing w:line="240" w:lineRule="exact"/>
      <w:ind w:right="91"/>
    </w:pPr>
  </w:style>
  <w:style w:type="character" w:customStyle="1" w:styleId="OutlineNumbered1Char">
    <w:name w:val="Outline Numbered 1 Char"/>
    <w:basedOn w:val="DefaultParagraphFont"/>
    <w:link w:val="OutlineNumbered1"/>
    <w:locked/>
    <w:rsid w:val="0041166E"/>
    <w:rPr>
      <w:rFonts w:cs="Times New Roman"/>
      <w:sz w:val="24"/>
    </w:rPr>
  </w:style>
  <w:style w:type="paragraph" w:customStyle="1" w:styleId="OutlineNumbered2">
    <w:name w:val="Outline Numbered 2"/>
    <w:basedOn w:val="Normal"/>
    <w:link w:val="OutlineNumbered2Char"/>
    <w:rsid w:val="0041166E"/>
    <w:pPr>
      <w:numPr>
        <w:ilvl w:val="1"/>
        <w:numId w:val="3"/>
      </w:numPr>
      <w:tabs>
        <w:tab w:val="left" w:pos="1701"/>
        <w:tab w:val="right" w:pos="9072"/>
      </w:tabs>
      <w:spacing w:line="240" w:lineRule="exact"/>
      <w:ind w:right="91"/>
    </w:pPr>
  </w:style>
  <w:style w:type="character" w:customStyle="1" w:styleId="OutlineNumbered2Char">
    <w:name w:val="Outline Numbered 2 Char"/>
    <w:basedOn w:val="DefaultParagraphFont"/>
    <w:link w:val="OutlineNumbered2"/>
    <w:locked/>
    <w:rsid w:val="0041166E"/>
    <w:rPr>
      <w:rFonts w:cs="Times New Roman"/>
      <w:sz w:val="24"/>
    </w:rPr>
  </w:style>
  <w:style w:type="paragraph" w:customStyle="1" w:styleId="OutlineNumbered3">
    <w:name w:val="Outline Numbered 3"/>
    <w:basedOn w:val="Normal"/>
    <w:link w:val="OutlineNumbered3Char"/>
    <w:rsid w:val="0041166E"/>
    <w:pPr>
      <w:numPr>
        <w:ilvl w:val="2"/>
        <w:numId w:val="3"/>
      </w:numPr>
      <w:tabs>
        <w:tab w:val="right" w:pos="9072"/>
      </w:tabs>
      <w:spacing w:line="240" w:lineRule="exact"/>
      <w:ind w:right="91"/>
    </w:pPr>
  </w:style>
  <w:style w:type="character" w:customStyle="1" w:styleId="OutlineNumbered3Char">
    <w:name w:val="Outline Numbered 3 Char"/>
    <w:basedOn w:val="DefaultParagraphFont"/>
    <w:link w:val="OutlineNumbered3"/>
    <w:locked/>
    <w:rsid w:val="0041166E"/>
    <w:rPr>
      <w:rFonts w:cs="Times New Roman"/>
      <w:sz w:val="24"/>
    </w:rPr>
  </w:style>
  <w:style w:type="character" w:styleId="CommentReference">
    <w:name w:val="annotation reference"/>
    <w:basedOn w:val="DefaultParagraphFont"/>
    <w:uiPriority w:val="99"/>
    <w:semiHidden/>
    <w:unhideWhenUsed/>
    <w:rsid w:val="00F9754F"/>
    <w:rPr>
      <w:sz w:val="16"/>
      <w:szCs w:val="16"/>
    </w:rPr>
  </w:style>
  <w:style w:type="paragraph" w:styleId="CommentText">
    <w:name w:val="annotation text"/>
    <w:basedOn w:val="Normal"/>
    <w:link w:val="CommentTextChar"/>
    <w:uiPriority w:val="99"/>
    <w:semiHidden/>
    <w:unhideWhenUsed/>
    <w:rsid w:val="00F9754F"/>
    <w:rPr>
      <w:sz w:val="20"/>
    </w:rPr>
  </w:style>
  <w:style w:type="character" w:customStyle="1" w:styleId="CommentTextChar">
    <w:name w:val="Comment Text Char"/>
    <w:basedOn w:val="DefaultParagraphFont"/>
    <w:link w:val="CommentText"/>
    <w:uiPriority w:val="99"/>
    <w:semiHidden/>
    <w:rsid w:val="00F9754F"/>
  </w:style>
  <w:style w:type="paragraph" w:styleId="CommentSubject">
    <w:name w:val="annotation subject"/>
    <w:basedOn w:val="CommentText"/>
    <w:next w:val="CommentText"/>
    <w:link w:val="CommentSubjectChar"/>
    <w:uiPriority w:val="99"/>
    <w:semiHidden/>
    <w:unhideWhenUsed/>
    <w:rsid w:val="00F9754F"/>
    <w:rPr>
      <w:b/>
      <w:bCs/>
    </w:rPr>
  </w:style>
  <w:style w:type="character" w:customStyle="1" w:styleId="CommentSubjectChar">
    <w:name w:val="Comment Subject Char"/>
    <w:basedOn w:val="CommentTextChar"/>
    <w:link w:val="CommentSubject"/>
    <w:uiPriority w:val="99"/>
    <w:semiHidden/>
    <w:rsid w:val="00F97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37474">
      <w:bodyDiv w:val="1"/>
      <w:marLeft w:val="0"/>
      <w:marRight w:val="0"/>
      <w:marTop w:val="0"/>
      <w:marBottom w:val="0"/>
      <w:divBdr>
        <w:top w:val="none" w:sz="0" w:space="0" w:color="auto"/>
        <w:left w:val="none" w:sz="0" w:space="0" w:color="auto"/>
        <w:bottom w:val="none" w:sz="0" w:space="0" w:color="auto"/>
        <w:right w:val="none" w:sz="0" w:space="0" w:color="auto"/>
      </w:divBdr>
    </w:div>
    <w:div w:id="863978080">
      <w:bodyDiv w:val="1"/>
      <w:marLeft w:val="0"/>
      <w:marRight w:val="0"/>
      <w:marTop w:val="0"/>
      <w:marBottom w:val="0"/>
      <w:divBdr>
        <w:top w:val="none" w:sz="0" w:space="0" w:color="auto"/>
        <w:left w:val="none" w:sz="0" w:space="0" w:color="auto"/>
        <w:bottom w:val="none" w:sz="0" w:space="0" w:color="auto"/>
        <w:right w:val="none" w:sz="0" w:space="0" w:color="auto"/>
      </w:divBdr>
    </w:div>
    <w:div w:id="1125195964">
      <w:marLeft w:val="0"/>
      <w:marRight w:val="0"/>
      <w:marTop w:val="0"/>
      <w:marBottom w:val="0"/>
      <w:divBdr>
        <w:top w:val="none" w:sz="0" w:space="0" w:color="auto"/>
        <w:left w:val="none" w:sz="0" w:space="0" w:color="auto"/>
        <w:bottom w:val="none" w:sz="0" w:space="0" w:color="auto"/>
        <w:right w:val="none" w:sz="0" w:space="0" w:color="auto"/>
      </w:divBdr>
    </w:div>
    <w:div w:id="1125195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Treasury Document Audit Policy</p:Name>
  <p:Description/>
  <p:Statement/>
  <p:PolicyItems>
    <p:PolicyItem featureId="Microsoft.Office.RecordsManagement.PolicyFeatures.PolicyAudit" staticId="0x010100E726210826AA43828690450C811EB923|1757814118" UniqueId="cd6ee51b-74b3-452a-9d55-03bd9a48be8f">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23" ma:contentTypeDescription="If you are creating a Word, PowerPoint or Excel document use the options available in the drop down list; for all other documents leave the content type as General Content." ma:contentTypeScope="" ma:versionID="53dc7e552d959ada8d97302801dbabe7">
  <xsd:schema xmlns:xsd="http://www.w3.org/2001/XMLSchema" xmlns:xs="http://www.w3.org/2001/XMLSchema" xmlns:p="http://schemas.microsoft.com/office/2006/metadata/properties" xmlns:ns2="378b04f6-f261-4499-b462-41ddd755ff66" targetNamespace="http://schemas.microsoft.com/office/2006/metadata/properties" ma:root="true" ma:fieldsID="8b996ababbe5a57890161772b35c4b0b" ns2:_="">
    <xsd:import namespace="378b04f6-f261-4499-b462-41ddd755ff66"/>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73B06-CC3A-4872-8EE9-6DDE7D166FF0}">
  <ds:schemaRefs>
    <ds:schemaRef ds:uri="office.server.policy"/>
  </ds:schemaRefs>
</ds:datastoreItem>
</file>

<file path=customXml/itemProps2.xml><?xml version="1.0" encoding="utf-8"?>
<ds:datastoreItem xmlns:ds="http://schemas.openxmlformats.org/officeDocument/2006/customXml" ds:itemID="{854F06BF-98A2-4B0C-BAEC-571864998D4E}">
  <ds:schemaRefs>
    <ds:schemaRef ds:uri="http://schemas.microsoft.com/sharepoint/v3/contenttype/forms"/>
  </ds:schemaRefs>
</ds:datastoreItem>
</file>

<file path=customXml/itemProps3.xml><?xml version="1.0" encoding="utf-8"?>
<ds:datastoreItem xmlns:ds="http://schemas.openxmlformats.org/officeDocument/2006/customXml" ds:itemID="{4CE75904-E1DF-468E-B61C-75B45891E4C4}">
  <ds:schemaRefs>
    <ds:schemaRef ds:uri="http://purl.org/dc/dcmitype/"/>
    <ds:schemaRef ds:uri="http://purl.org/dc/elements/1.1/"/>
    <ds:schemaRef ds:uri="http://www.w3.org/XML/1998/namespace"/>
    <ds:schemaRef ds:uri="http://schemas.microsoft.com/office/2006/documentManagement/types"/>
    <ds:schemaRef ds:uri="378b04f6-f261-4499-b462-41ddd755ff66"/>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767E94ED-A184-4212-B37B-22B044E49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D27440-8E1B-4C09-86DE-827776D6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0</TotalTime>
  <Pages>6</Pages>
  <Words>1535</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Explanatory Statement - FOFA Regulations on Grandfathering</vt:lpstr>
    </vt:vector>
  </TitlesOfParts>
  <Company>ATO</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FOFA Regulations on Grandfathering</dc:title>
  <dc:creator>Stathopoulos, Xenia</dc:creator>
  <cp:lastModifiedBy>Peska, Kristen</cp:lastModifiedBy>
  <cp:revision>3</cp:revision>
  <cp:lastPrinted>2013-05-06T01:42:00Z</cp:lastPrinted>
  <dcterms:created xsi:type="dcterms:W3CDTF">2013-06-17T01:11:00Z</dcterms:created>
  <dcterms:modified xsi:type="dcterms:W3CDTF">2013-06-17T01:12:00Z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-1139654994</vt:i4>
  </property>
  <property fmtid="{D5CDD505-2E9C-101B-9397-08002B2CF9AE}" pid="3" name="_NewReviewCycle">
    <vt:lpwstr/>
  </property>
  <property fmtid="{D5CDD505-2E9C-101B-9397-08002B2CF9AE}" pid="4" name="_EmailSubject">
    <vt:lpwstr>FRLI Lodement Form and ES [SEC=UNCLASSIFIED]</vt:lpwstr>
  </property>
  <property fmtid="{D5CDD505-2E9C-101B-9397-08002B2CF9AE}" pid="5" name="_AuthorEmail">
    <vt:lpwstr>Luke.Sheehan@TREASURY.GOV.AU</vt:lpwstr>
  </property>
  <property fmtid="{D5CDD505-2E9C-101B-9397-08002B2CF9AE}" pid="6" name="_AuthorEmailDisplayName">
    <vt:lpwstr>Sheehan, Luke</vt:lpwstr>
  </property>
  <property fmtid="{D5CDD505-2E9C-101B-9397-08002B2CF9AE}" pid="7" name="_PreviousAdHocReviewCycleID">
    <vt:i4>-943303233</vt:i4>
  </property>
  <property fmtid="{D5CDD505-2E9C-101B-9397-08002B2CF9AE}" pid="8" name="ContentTypeId">
    <vt:lpwstr>0x010100E726210826AA43828690450C811EB923009CA11FFD1E014DF4B1FA162D0F61129800080350834F0B46469CE5D2ECAC346F75</vt:lpwstr>
  </property>
  <property fmtid="{D5CDD505-2E9C-101B-9397-08002B2CF9AE}" pid="9" name="_ReviewingToolsShownOnce">
    <vt:lpwstr/>
  </property>
</Properties>
</file>