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0B3" w:rsidRPr="00BB0141" w:rsidRDefault="004A40B3" w:rsidP="004A40B3">
      <w:pPr>
        <w:rPr>
          <w:sz w:val="28"/>
        </w:rPr>
      </w:pPr>
      <w:r w:rsidRPr="00BB0141">
        <w:rPr>
          <w:noProof/>
          <w:lang w:eastAsia="en-AU"/>
        </w:rPr>
        <w:drawing>
          <wp:inline distT="0" distB="0" distL="0" distR="0" wp14:anchorId="008BEE6A" wp14:editId="13461427">
            <wp:extent cx="1419225" cy="1104900"/>
            <wp:effectExtent l="0" t="0" r="9525" b="0"/>
            <wp:docPr id="24" name="Picture 24" descr="Description: 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0B3" w:rsidRPr="00BB0141" w:rsidRDefault="004A40B3" w:rsidP="004A40B3">
      <w:pPr>
        <w:rPr>
          <w:sz w:val="19"/>
        </w:rPr>
      </w:pPr>
    </w:p>
    <w:p w:rsidR="004A40B3" w:rsidRPr="00BB0141" w:rsidRDefault="004A40B3" w:rsidP="004A40B3">
      <w:pPr>
        <w:rPr>
          <w:sz w:val="19"/>
        </w:rPr>
      </w:pPr>
      <w:bookmarkStart w:id="0" w:name="ConfidenceBlock"/>
      <w:bookmarkEnd w:id="0"/>
    </w:p>
    <w:p w:rsidR="004A40B3" w:rsidRPr="00BB0141" w:rsidRDefault="004A40B3" w:rsidP="004A40B3">
      <w:pPr>
        <w:pStyle w:val="ShortT"/>
      </w:pPr>
      <w:r w:rsidRPr="00BB0141">
        <w:t>Australian Charities and Not</w:t>
      </w:r>
      <w:r w:rsidR="00BB0141">
        <w:noBreakHyphen/>
      </w:r>
      <w:r w:rsidRPr="00BB0141">
        <w:t>for</w:t>
      </w:r>
      <w:r w:rsidR="00BB0141">
        <w:noBreakHyphen/>
      </w:r>
      <w:r w:rsidRPr="00BB0141">
        <w:t>profits Commission Amendment Regulation</w:t>
      </w:r>
      <w:r w:rsidR="00BB0141" w:rsidRPr="00BB0141">
        <w:t> </w:t>
      </w:r>
      <w:r w:rsidRPr="00BB0141">
        <w:t>2013 (No.</w:t>
      </w:r>
      <w:r w:rsidR="00BB0141" w:rsidRPr="00BB0141">
        <w:t> </w:t>
      </w:r>
      <w:r w:rsidRPr="00BB0141">
        <w:t>3)</w:t>
      </w:r>
    </w:p>
    <w:p w:rsidR="004A40B3" w:rsidRPr="00BB0141" w:rsidRDefault="004A40B3" w:rsidP="004A40B3"/>
    <w:p w:rsidR="004A40B3" w:rsidRPr="00BB0141" w:rsidRDefault="004A40B3" w:rsidP="004A40B3">
      <w:pPr>
        <w:pStyle w:val="InstNo"/>
      </w:pPr>
      <w:r w:rsidRPr="00BB0141">
        <w:t xml:space="preserve">Select Legislative Instrument </w:t>
      </w:r>
      <w:bookmarkStart w:id="1" w:name="BKCheck15B_1"/>
      <w:bookmarkEnd w:id="1"/>
      <w:r w:rsidRPr="00BB0141">
        <w:fldChar w:fldCharType="begin"/>
      </w:r>
      <w:r w:rsidRPr="00BB0141">
        <w:instrText xml:space="preserve"> DOCPROPERTY  ActNo </w:instrText>
      </w:r>
      <w:r w:rsidRPr="00BB0141">
        <w:fldChar w:fldCharType="separate"/>
      </w:r>
      <w:r w:rsidR="00584D12">
        <w:t>No. 124, 2013</w:t>
      </w:r>
      <w:r w:rsidRPr="00BB0141">
        <w:fldChar w:fldCharType="end"/>
      </w:r>
    </w:p>
    <w:p w:rsidR="00A01BCE" w:rsidRPr="00BB0141" w:rsidRDefault="00A01BCE" w:rsidP="001A0BEE">
      <w:pPr>
        <w:pStyle w:val="SignCoverPageStart"/>
        <w:spacing w:before="240"/>
      </w:pPr>
      <w:r w:rsidRPr="00BB0141">
        <w:t xml:space="preserve">I, Professor Marie Bashir AC CVO, Administrator of the Government of the Commonwealth of Australia, acting with the advice of the Federal Executive Council, make the following regulation under the </w:t>
      </w:r>
      <w:r w:rsidRPr="00BB0141">
        <w:rPr>
          <w:i/>
        </w:rPr>
        <w:t>Australian Charities and Not</w:t>
      </w:r>
      <w:r w:rsidR="00BB0141">
        <w:rPr>
          <w:i/>
        </w:rPr>
        <w:noBreakHyphen/>
      </w:r>
      <w:r w:rsidRPr="00BB0141">
        <w:rPr>
          <w:i/>
        </w:rPr>
        <w:t>for</w:t>
      </w:r>
      <w:r w:rsidR="00BB0141">
        <w:rPr>
          <w:i/>
        </w:rPr>
        <w:noBreakHyphen/>
      </w:r>
      <w:r w:rsidRPr="00BB0141">
        <w:rPr>
          <w:i/>
        </w:rPr>
        <w:t>profits Commission Act 2012</w:t>
      </w:r>
      <w:r w:rsidRPr="00BB0141">
        <w:t>.</w:t>
      </w:r>
    </w:p>
    <w:p w:rsidR="00A01BCE" w:rsidRPr="00BB0141" w:rsidRDefault="00A01BCE" w:rsidP="001A0BEE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 w:rsidRPr="00BB0141">
        <w:rPr>
          <w:sz w:val="24"/>
          <w:szCs w:val="24"/>
        </w:rPr>
        <w:t xml:space="preserve">Dated </w:t>
      </w:r>
      <w:bookmarkStart w:id="2" w:name="BKCheck15B_2"/>
      <w:bookmarkEnd w:id="2"/>
      <w:r w:rsidRPr="00BB0141">
        <w:rPr>
          <w:sz w:val="24"/>
          <w:szCs w:val="24"/>
        </w:rPr>
        <w:fldChar w:fldCharType="begin"/>
      </w:r>
      <w:r w:rsidRPr="00BB0141">
        <w:rPr>
          <w:sz w:val="24"/>
          <w:szCs w:val="24"/>
        </w:rPr>
        <w:instrText xml:space="preserve"> DOCPROPERTY  DateMade </w:instrText>
      </w:r>
      <w:r w:rsidRPr="00BB0141">
        <w:rPr>
          <w:sz w:val="24"/>
          <w:szCs w:val="24"/>
        </w:rPr>
        <w:fldChar w:fldCharType="separate"/>
      </w:r>
      <w:r w:rsidR="00584D12">
        <w:rPr>
          <w:sz w:val="24"/>
          <w:szCs w:val="24"/>
        </w:rPr>
        <w:t>13 June 2013</w:t>
      </w:r>
      <w:r w:rsidRPr="00BB0141">
        <w:rPr>
          <w:sz w:val="24"/>
          <w:szCs w:val="24"/>
        </w:rPr>
        <w:fldChar w:fldCharType="end"/>
      </w:r>
    </w:p>
    <w:p w:rsidR="00A01BCE" w:rsidRPr="00BB0141" w:rsidRDefault="00A01BCE" w:rsidP="001A0BEE">
      <w:pPr>
        <w:keepNext/>
        <w:tabs>
          <w:tab w:val="left" w:pos="3402"/>
        </w:tabs>
        <w:spacing w:before="960" w:line="300" w:lineRule="atLeast"/>
        <w:ind w:left="397" w:right="397"/>
        <w:jc w:val="right"/>
        <w:rPr>
          <w:sz w:val="24"/>
          <w:szCs w:val="24"/>
        </w:rPr>
      </w:pPr>
      <w:r w:rsidRPr="00BB0141">
        <w:t>Marie Bashir</w:t>
      </w:r>
    </w:p>
    <w:p w:rsidR="00A01BCE" w:rsidRPr="00BB0141" w:rsidRDefault="00A01BCE" w:rsidP="001A0BE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 w:rsidRPr="00BB0141">
        <w:rPr>
          <w:sz w:val="24"/>
          <w:szCs w:val="24"/>
        </w:rPr>
        <w:t>Administrator</w:t>
      </w:r>
    </w:p>
    <w:p w:rsidR="00A01BCE" w:rsidRPr="00BB0141" w:rsidRDefault="00A01BCE" w:rsidP="001A0BEE">
      <w:pPr>
        <w:keepNext/>
        <w:tabs>
          <w:tab w:val="left" w:pos="3402"/>
        </w:tabs>
        <w:spacing w:after="800" w:line="300" w:lineRule="atLeast"/>
        <w:ind w:right="397"/>
        <w:rPr>
          <w:sz w:val="24"/>
          <w:szCs w:val="24"/>
        </w:rPr>
      </w:pPr>
      <w:r w:rsidRPr="00BB0141">
        <w:rPr>
          <w:sz w:val="24"/>
          <w:szCs w:val="24"/>
        </w:rPr>
        <w:t>By Her Excellency’s Command</w:t>
      </w:r>
    </w:p>
    <w:p w:rsidR="00A01BCE" w:rsidRPr="00BB0141" w:rsidRDefault="00A01BCE" w:rsidP="001A0BEE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B0141">
        <w:rPr>
          <w:szCs w:val="22"/>
        </w:rPr>
        <w:t>David Bradbury</w:t>
      </w:r>
    </w:p>
    <w:p w:rsidR="00A01BCE" w:rsidRPr="00BB0141" w:rsidRDefault="00A01BCE" w:rsidP="001A0BEE">
      <w:pPr>
        <w:pStyle w:val="SignCoverPageEnd"/>
      </w:pPr>
      <w:r w:rsidRPr="00BB0141">
        <w:t>Assistant Treasurer</w:t>
      </w:r>
    </w:p>
    <w:p w:rsidR="00A01BCE" w:rsidRPr="00BB0141" w:rsidRDefault="00A01BCE">
      <w:pPr>
        <w:pStyle w:val="Tabletext"/>
      </w:pPr>
    </w:p>
    <w:p w:rsidR="00A01BCE" w:rsidRPr="00BB0141" w:rsidRDefault="00A01BCE" w:rsidP="00A01BCE"/>
    <w:p w:rsidR="004A40B3" w:rsidRPr="00BB0141" w:rsidRDefault="004A40B3" w:rsidP="004A40B3">
      <w:pPr>
        <w:pStyle w:val="Header"/>
        <w:tabs>
          <w:tab w:val="clear" w:pos="4150"/>
          <w:tab w:val="clear" w:pos="8307"/>
        </w:tabs>
      </w:pPr>
      <w:r w:rsidRPr="00BB0141">
        <w:rPr>
          <w:rStyle w:val="CharAmSchNo"/>
        </w:rPr>
        <w:t xml:space="preserve"> </w:t>
      </w:r>
      <w:r w:rsidRPr="00BB0141">
        <w:rPr>
          <w:rStyle w:val="CharAmSchText"/>
        </w:rPr>
        <w:t xml:space="preserve"> </w:t>
      </w:r>
    </w:p>
    <w:p w:rsidR="004A40B3" w:rsidRPr="00BB0141" w:rsidRDefault="004A40B3" w:rsidP="004A40B3">
      <w:pPr>
        <w:pStyle w:val="Header"/>
        <w:tabs>
          <w:tab w:val="clear" w:pos="4150"/>
          <w:tab w:val="clear" w:pos="8307"/>
        </w:tabs>
      </w:pPr>
      <w:r w:rsidRPr="00BB0141">
        <w:rPr>
          <w:rStyle w:val="CharAmPartNo"/>
        </w:rPr>
        <w:t xml:space="preserve"> </w:t>
      </w:r>
      <w:r w:rsidRPr="00BB0141">
        <w:rPr>
          <w:rStyle w:val="CharAmPartText"/>
        </w:rPr>
        <w:t xml:space="preserve"> </w:t>
      </w:r>
    </w:p>
    <w:p w:rsidR="001F33D5" w:rsidRPr="00BB0141" w:rsidRDefault="001F33D5" w:rsidP="001F33D5">
      <w:pPr>
        <w:sectPr w:rsidR="001F33D5" w:rsidRPr="00BB0141" w:rsidSect="00E67BB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A40B3" w:rsidRPr="00BB0141" w:rsidRDefault="004A40B3" w:rsidP="004A40B3">
      <w:pPr>
        <w:rPr>
          <w:sz w:val="36"/>
        </w:rPr>
      </w:pPr>
      <w:r w:rsidRPr="00BB0141">
        <w:rPr>
          <w:sz w:val="36"/>
        </w:rPr>
        <w:lastRenderedPageBreak/>
        <w:t>Contents</w:t>
      </w:r>
    </w:p>
    <w:bookmarkStart w:id="3" w:name="BKCheck15B_3"/>
    <w:bookmarkEnd w:id="3"/>
    <w:p w:rsidR="0009122C" w:rsidRPr="00BB0141" w:rsidRDefault="0009122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B0141">
        <w:fldChar w:fldCharType="begin"/>
      </w:r>
      <w:r w:rsidRPr="00BB0141">
        <w:instrText xml:space="preserve"> TOC \o "1-9" </w:instrText>
      </w:r>
      <w:r w:rsidRPr="00BB0141">
        <w:fldChar w:fldCharType="separate"/>
      </w:r>
      <w:r w:rsidRPr="00BB0141">
        <w:rPr>
          <w:noProof/>
        </w:rPr>
        <w:t>1</w:t>
      </w:r>
      <w:r w:rsidRPr="00BB0141">
        <w:rPr>
          <w:noProof/>
        </w:rPr>
        <w:tab/>
        <w:t>Name of regulation</w:t>
      </w:r>
      <w:r w:rsidRPr="00BB0141">
        <w:rPr>
          <w:noProof/>
        </w:rPr>
        <w:tab/>
      </w:r>
      <w:r w:rsidRPr="00BB0141">
        <w:rPr>
          <w:noProof/>
        </w:rPr>
        <w:fldChar w:fldCharType="begin"/>
      </w:r>
      <w:r w:rsidRPr="00BB0141">
        <w:rPr>
          <w:noProof/>
        </w:rPr>
        <w:instrText xml:space="preserve"> PAGEREF _Toc357777868 \h </w:instrText>
      </w:r>
      <w:r w:rsidRPr="00BB0141">
        <w:rPr>
          <w:noProof/>
        </w:rPr>
      </w:r>
      <w:r w:rsidRPr="00BB0141">
        <w:rPr>
          <w:noProof/>
        </w:rPr>
        <w:fldChar w:fldCharType="separate"/>
      </w:r>
      <w:r w:rsidR="00584D12">
        <w:rPr>
          <w:noProof/>
        </w:rPr>
        <w:t>1</w:t>
      </w:r>
      <w:r w:rsidRPr="00BB0141">
        <w:rPr>
          <w:noProof/>
        </w:rPr>
        <w:fldChar w:fldCharType="end"/>
      </w:r>
    </w:p>
    <w:p w:rsidR="0009122C" w:rsidRPr="00BB0141" w:rsidRDefault="0009122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B0141">
        <w:rPr>
          <w:noProof/>
        </w:rPr>
        <w:t>2</w:t>
      </w:r>
      <w:r w:rsidRPr="00BB0141">
        <w:rPr>
          <w:noProof/>
        </w:rPr>
        <w:tab/>
        <w:t>Commencement</w:t>
      </w:r>
      <w:r w:rsidRPr="00BB0141">
        <w:rPr>
          <w:noProof/>
        </w:rPr>
        <w:tab/>
      </w:r>
      <w:r w:rsidRPr="00BB0141">
        <w:rPr>
          <w:noProof/>
        </w:rPr>
        <w:fldChar w:fldCharType="begin"/>
      </w:r>
      <w:r w:rsidRPr="00BB0141">
        <w:rPr>
          <w:noProof/>
        </w:rPr>
        <w:instrText xml:space="preserve"> PAGEREF _Toc357777869 \h </w:instrText>
      </w:r>
      <w:r w:rsidRPr="00BB0141">
        <w:rPr>
          <w:noProof/>
        </w:rPr>
      </w:r>
      <w:r w:rsidRPr="00BB0141">
        <w:rPr>
          <w:noProof/>
        </w:rPr>
        <w:fldChar w:fldCharType="separate"/>
      </w:r>
      <w:r w:rsidR="00584D12">
        <w:rPr>
          <w:noProof/>
        </w:rPr>
        <w:t>1</w:t>
      </w:r>
      <w:r w:rsidRPr="00BB0141">
        <w:rPr>
          <w:noProof/>
        </w:rPr>
        <w:fldChar w:fldCharType="end"/>
      </w:r>
    </w:p>
    <w:p w:rsidR="0009122C" w:rsidRPr="00BB0141" w:rsidRDefault="0009122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B0141">
        <w:rPr>
          <w:noProof/>
        </w:rPr>
        <w:t>3</w:t>
      </w:r>
      <w:r w:rsidRPr="00BB0141">
        <w:rPr>
          <w:noProof/>
        </w:rPr>
        <w:tab/>
        <w:t>Authority</w:t>
      </w:r>
      <w:r w:rsidRPr="00BB0141">
        <w:rPr>
          <w:noProof/>
        </w:rPr>
        <w:tab/>
      </w:r>
      <w:r w:rsidRPr="00BB0141">
        <w:rPr>
          <w:noProof/>
        </w:rPr>
        <w:fldChar w:fldCharType="begin"/>
      </w:r>
      <w:r w:rsidRPr="00BB0141">
        <w:rPr>
          <w:noProof/>
        </w:rPr>
        <w:instrText xml:space="preserve"> PAGEREF _Toc357777870 \h </w:instrText>
      </w:r>
      <w:r w:rsidRPr="00BB0141">
        <w:rPr>
          <w:noProof/>
        </w:rPr>
      </w:r>
      <w:r w:rsidRPr="00BB0141">
        <w:rPr>
          <w:noProof/>
        </w:rPr>
        <w:fldChar w:fldCharType="separate"/>
      </w:r>
      <w:r w:rsidR="00584D12">
        <w:rPr>
          <w:noProof/>
        </w:rPr>
        <w:t>1</w:t>
      </w:r>
      <w:r w:rsidRPr="00BB0141">
        <w:rPr>
          <w:noProof/>
        </w:rPr>
        <w:fldChar w:fldCharType="end"/>
      </w:r>
    </w:p>
    <w:p w:rsidR="0009122C" w:rsidRPr="00BB0141" w:rsidRDefault="0009122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B0141">
        <w:rPr>
          <w:noProof/>
        </w:rPr>
        <w:t>4</w:t>
      </w:r>
      <w:r w:rsidRPr="00BB0141">
        <w:rPr>
          <w:noProof/>
        </w:rPr>
        <w:tab/>
        <w:t>Schedule(s)</w:t>
      </w:r>
      <w:r w:rsidRPr="00BB0141">
        <w:rPr>
          <w:noProof/>
        </w:rPr>
        <w:tab/>
      </w:r>
      <w:r w:rsidRPr="00BB0141">
        <w:rPr>
          <w:noProof/>
        </w:rPr>
        <w:fldChar w:fldCharType="begin"/>
      </w:r>
      <w:r w:rsidRPr="00BB0141">
        <w:rPr>
          <w:noProof/>
        </w:rPr>
        <w:instrText xml:space="preserve"> PAGEREF _Toc357777871 \h </w:instrText>
      </w:r>
      <w:r w:rsidRPr="00BB0141">
        <w:rPr>
          <w:noProof/>
        </w:rPr>
      </w:r>
      <w:r w:rsidRPr="00BB0141">
        <w:rPr>
          <w:noProof/>
        </w:rPr>
        <w:fldChar w:fldCharType="separate"/>
      </w:r>
      <w:r w:rsidR="00584D12">
        <w:rPr>
          <w:noProof/>
        </w:rPr>
        <w:t>1</w:t>
      </w:r>
      <w:r w:rsidRPr="00BB0141">
        <w:rPr>
          <w:noProof/>
        </w:rPr>
        <w:fldChar w:fldCharType="end"/>
      </w:r>
    </w:p>
    <w:p w:rsidR="0009122C" w:rsidRPr="00BB0141" w:rsidRDefault="0009122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B0141">
        <w:rPr>
          <w:noProof/>
        </w:rPr>
        <w:t>Schedule</w:t>
      </w:r>
      <w:r w:rsidR="00BB0141" w:rsidRPr="00BB0141">
        <w:rPr>
          <w:noProof/>
        </w:rPr>
        <w:t> </w:t>
      </w:r>
      <w:r w:rsidRPr="00BB0141">
        <w:rPr>
          <w:noProof/>
        </w:rPr>
        <w:t>1—Amendments</w:t>
      </w:r>
      <w:r w:rsidRPr="00BB0141">
        <w:rPr>
          <w:b w:val="0"/>
          <w:noProof/>
          <w:sz w:val="18"/>
        </w:rPr>
        <w:tab/>
      </w:r>
      <w:r w:rsidRPr="00BB0141">
        <w:rPr>
          <w:b w:val="0"/>
          <w:noProof/>
          <w:sz w:val="18"/>
        </w:rPr>
        <w:fldChar w:fldCharType="begin"/>
      </w:r>
      <w:r w:rsidRPr="00BB0141">
        <w:rPr>
          <w:b w:val="0"/>
          <w:noProof/>
          <w:sz w:val="18"/>
        </w:rPr>
        <w:instrText xml:space="preserve"> PAGEREF _Toc357777872 \h </w:instrText>
      </w:r>
      <w:r w:rsidRPr="00BB0141">
        <w:rPr>
          <w:b w:val="0"/>
          <w:noProof/>
          <w:sz w:val="18"/>
        </w:rPr>
      </w:r>
      <w:r w:rsidRPr="00BB0141">
        <w:rPr>
          <w:b w:val="0"/>
          <w:noProof/>
          <w:sz w:val="18"/>
        </w:rPr>
        <w:fldChar w:fldCharType="separate"/>
      </w:r>
      <w:r w:rsidR="00584D12">
        <w:rPr>
          <w:b w:val="0"/>
          <w:noProof/>
          <w:sz w:val="18"/>
        </w:rPr>
        <w:t>2</w:t>
      </w:r>
      <w:r w:rsidRPr="00BB0141">
        <w:rPr>
          <w:b w:val="0"/>
          <w:noProof/>
          <w:sz w:val="18"/>
        </w:rPr>
        <w:fldChar w:fldCharType="end"/>
      </w:r>
    </w:p>
    <w:p w:rsidR="0009122C" w:rsidRPr="00BB0141" w:rsidRDefault="0009122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B0141">
        <w:rPr>
          <w:noProof/>
        </w:rPr>
        <w:t>Australian Charities and Not</w:t>
      </w:r>
      <w:r w:rsidR="00BB0141">
        <w:rPr>
          <w:noProof/>
        </w:rPr>
        <w:noBreakHyphen/>
      </w:r>
      <w:r w:rsidRPr="00BB0141">
        <w:rPr>
          <w:noProof/>
        </w:rPr>
        <w:t>for</w:t>
      </w:r>
      <w:r w:rsidR="00BB0141">
        <w:rPr>
          <w:noProof/>
        </w:rPr>
        <w:noBreakHyphen/>
      </w:r>
      <w:r w:rsidRPr="00BB0141">
        <w:rPr>
          <w:noProof/>
        </w:rPr>
        <w:t>profits Commission Regulation</w:t>
      </w:r>
      <w:r w:rsidR="00BB0141" w:rsidRPr="00BB0141">
        <w:rPr>
          <w:noProof/>
        </w:rPr>
        <w:t> </w:t>
      </w:r>
      <w:r w:rsidRPr="00BB0141">
        <w:rPr>
          <w:noProof/>
        </w:rPr>
        <w:t>2013</w:t>
      </w:r>
      <w:r w:rsidRPr="00BB0141">
        <w:rPr>
          <w:i w:val="0"/>
          <w:noProof/>
          <w:sz w:val="18"/>
        </w:rPr>
        <w:tab/>
      </w:r>
      <w:r w:rsidRPr="00BB0141">
        <w:rPr>
          <w:i w:val="0"/>
          <w:noProof/>
          <w:sz w:val="18"/>
        </w:rPr>
        <w:fldChar w:fldCharType="begin"/>
      </w:r>
      <w:r w:rsidRPr="00BB0141">
        <w:rPr>
          <w:i w:val="0"/>
          <w:noProof/>
          <w:sz w:val="18"/>
        </w:rPr>
        <w:instrText xml:space="preserve"> PAGEREF _Toc357777873 \h </w:instrText>
      </w:r>
      <w:r w:rsidRPr="00BB0141">
        <w:rPr>
          <w:i w:val="0"/>
          <w:noProof/>
          <w:sz w:val="18"/>
        </w:rPr>
      </w:r>
      <w:r w:rsidRPr="00BB0141">
        <w:rPr>
          <w:i w:val="0"/>
          <w:noProof/>
          <w:sz w:val="18"/>
        </w:rPr>
        <w:fldChar w:fldCharType="separate"/>
      </w:r>
      <w:r w:rsidR="00584D12">
        <w:rPr>
          <w:i w:val="0"/>
          <w:noProof/>
          <w:sz w:val="18"/>
        </w:rPr>
        <w:t>2</w:t>
      </w:r>
      <w:r w:rsidRPr="00BB0141">
        <w:rPr>
          <w:i w:val="0"/>
          <w:noProof/>
          <w:sz w:val="18"/>
        </w:rPr>
        <w:fldChar w:fldCharType="end"/>
      </w:r>
    </w:p>
    <w:p w:rsidR="004A40B3" w:rsidRPr="00BB0141" w:rsidRDefault="0009122C" w:rsidP="004A40B3">
      <w:r w:rsidRPr="00BB0141">
        <w:fldChar w:fldCharType="end"/>
      </w:r>
    </w:p>
    <w:p w:rsidR="001F33D5" w:rsidRPr="00BB0141" w:rsidRDefault="001F33D5" w:rsidP="001F33D5">
      <w:pPr>
        <w:sectPr w:rsidR="001F33D5" w:rsidRPr="00BB0141" w:rsidSect="00E67BB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CA1F8E" w:rsidRPr="00BB0141" w:rsidRDefault="00CA1F8E" w:rsidP="00CA1F8E">
      <w:pPr>
        <w:pStyle w:val="ActHead5"/>
      </w:pPr>
      <w:bookmarkStart w:id="4" w:name="_Toc357777868"/>
      <w:r w:rsidRPr="00BB0141">
        <w:rPr>
          <w:rStyle w:val="CharSectno"/>
        </w:rPr>
        <w:lastRenderedPageBreak/>
        <w:t>1</w:t>
      </w:r>
      <w:r w:rsidRPr="00BB0141">
        <w:t xml:space="preserve">  Name of regulation</w:t>
      </w:r>
      <w:bookmarkEnd w:id="4"/>
    </w:p>
    <w:p w:rsidR="00CA1F8E" w:rsidRPr="00BB0141" w:rsidRDefault="00CA1F8E" w:rsidP="00CA1F8E">
      <w:pPr>
        <w:pStyle w:val="subsection"/>
      </w:pPr>
      <w:r w:rsidRPr="00BB0141">
        <w:tab/>
      </w:r>
      <w:r w:rsidRPr="00BB0141">
        <w:tab/>
        <w:t xml:space="preserve">This regulation is the </w:t>
      </w:r>
      <w:r w:rsidRPr="00BB0141">
        <w:rPr>
          <w:i/>
        </w:rPr>
        <w:t>Australian Charities and Not</w:t>
      </w:r>
      <w:r w:rsidR="00BB0141">
        <w:rPr>
          <w:i/>
        </w:rPr>
        <w:noBreakHyphen/>
      </w:r>
      <w:r w:rsidRPr="00BB0141">
        <w:rPr>
          <w:i/>
        </w:rPr>
        <w:t>for</w:t>
      </w:r>
      <w:r w:rsidR="00BB0141">
        <w:rPr>
          <w:i/>
        </w:rPr>
        <w:noBreakHyphen/>
      </w:r>
      <w:r w:rsidRPr="00BB0141">
        <w:rPr>
          <w:i/>
        </w:rPr>
        <w:t>profits Commission Amendment Regulation</w:t>
      </w:r>
      <w:r w:rsidR="00BB0141" w:rsidRPr="00BB0141">
        <w:rPr>
          <w:i/>
        </w:rPr>
        <w:t> </w:t>
      </w:r>
      <w:r w:rsidRPr="00BB0141">
        <w:rPr>
          <w:i/>
        </w:rPr>
        <w:t>2013 (No.</w:t>
      </w:r>
      <w:r w:rsidR="00BB0141" w:rsidRPr="00BB0141">
        <w:rPr>
          <w:i/>
        </w:rPr>
        <w:t> </w:t>
      </w:r>
      <w:r w:rsidR="009E29E5" w:rsidRPr="00BB0141">
        <w:rPr>
          <w:i/>
        </w:rPr>
        <w:t>3</w:t>
      </w:r>
      <w:r w:rsidRPr="00BB0141">
        <w:rPr>
          <w:i/>
        </w:rPr>
        <w:t>)</w:t>
      </w:r>
      <w:r w:rsidRPr="00BB0141">
        <w:t>.</w:t>
      </w:r>
    </w:p>
    <w:p w:rsidR="00CA1F8E" w:rsidRPr="00BB0141" w:rsidRDefault="00CA1F8E" w:rsidP="00CA1F8E">
      <w:pPr>
        <w:pStyle w:val="ActHead5"/>
      </w:pPr>
      <w:bookmarkStart w:id="5" w:name="_Toc357777869"/>
      <w:r w:rsidRPr="00BB0141">
        <w:rPr>
          <w:rStyle w:val="CharSectno"/>
        </w:rPr>
        <w:t>2</w:t>
      </w:r>
      <w:r w:rsidRPr="00BB0141">
        <w:t xml:space="preserve">  Commencement</w:t>
      </w:r>
      <w:bookmarkEnd w:id="5"/>
    </w:p>
    <w:p w:rsidR="00CA1F8E" w:rsidRPr="00BB0141" w:rsidRDefault="00CA1F8E" w:rsidP="004C41B2">
      <w:pPr>
        <w:pStyle w:val="subsection"/>
      </w:pPr>
      <w:bookmarkStart w:id="6" w:name="_GoBack"/>
      <w:r w:rsidRPr="00BB0141">
        <w:tab/>
      </w:r>
      <w:r w:rsidRPr="00BB0141">
        <w:tab/>
        <w:t>This regulation commences on the day after it is registered.</w:t>
      </w:r>
      <w:bookmarkEnd w:id="6"/>
    </w:p>
    <w:p w:rsidR="00CA1F8E" w:rsidRPr="00BB0141" w:rsidRDefault="00CA1F8E" w:rsidP="00CA1F8E">
      <w:pPr>
        <w:pStyle w:val="ActHead5"/>
      </w:pPr>
      <w:bookmarkStart w:id="7" w:name="_Toc357777870"/>
      <w:r w:rsidRPr="00BB0141">
        <w:rPr>
          <w:rStyle w:val="CharSectno"/>
        </w:rPr>
        <w:t>3</w:t>
      </w:r>
      <w:r w:rsidRPr="00BB0141">
        <w:t xml:space="preserve">  Authority</w:t>
      </w:r>
      <w:bookmarkEnd w:id="7"/>
    </w:p>
    <w:p w:rsidR="00CA1F8E" w:rsidRPr="00BB0141" w:rsidRDefault="00CA1F8E" w:rsidP="00CA1F8E">
      <w:pPr>
        <w:pStyle w:val="subsection"/>
      </w:pPr>
      <w:r w:rsidRPr="00BB0141">
        <w:tab/>
      </w:r>
      <w:r w:rsidRPr="00BB0141">
        <w:tab/>
        <w:t xml:space="preserve">This regulation is made under the </w:t>
      </w:r>
      <w:r w:rsidRPr="00BB0141">
        <w:rPr>
          <w:i/>
        </w:rPr>
        <w:t>Australian Charities and Not</w:t>
      </w:r>
      <w:r w:rsidR="00BB0141">
        <w:rPr>
          <w:i/>
        </w:rPr>
        <w:noBreakHyphen/>
      </w:r>
      <w:r w:rsidRPr="00BB0141">
        <w:rPr>
          <w:i/>
        </w:rPr>
        <w:t>for</w:t>
      </w:r>
      <w:r w:rsidR="00BB0141">
        <w:rPr>
          <w:i/>
        </w:rPr>
        <w:noBreakHyphen/>
      </w:r>
      <w:r w:rsidRPr="00BB0141">
        <w:rPr>
          <w:i/>
        </w:rPr>
        <w:t>profits Commission Act 2012.</w:t>
      </w:r>
    </w:p>
    <w:p w:rsidR="00CA1F8E" w:rsidRPr="00BB0141" w:rsidRDefault="00CA1F8E" w:rsidP="00CA1F8E">
      <w:pPr>
        <w:pStyle w:val="ActHead5"/>
      </w:pPr>
      <w:bookmarkStart w:id="8" w:name="_Toc357777871"/>
      <w:r w:rsidRPr="00BB0141">
        <w:rPr>
          <w:rStyle w:val="CharSectno"/>
        </w:rPr>
        <w:t>4</w:t>
      </w:r>
      <w:r w:rsidRPr="00BB0141">
        <w:t xml:space="preserve">  Schedule(s)</w:t>
      </w:r>
      <w:bookmarkEnd w:id="8"/>
    </w:p>
    <w:p w:rsidR="00CA1F8E" w:rsidRPr="00BB0141" w:rsidRDefault="00CA1F8E" w:rsidP="00CA1F8E">
      <w:pPr>
        <w:pStyle w:val="subsection"/>
      </w:pPr>
      <w:r w:rsidRPr="00BB0141">
        <w:tab/>
      </w:r>
      <w:r w:rsidRPr="00BB0141">
        <w:tab/>
        <w:t>Each instrument that is specified in a Schedule</w:t>
      </w:r>
      <w:r w:rsidR="00F9028A" w:rsidRPr="00BB0141">
        <w:t xml:space="preserve"> </w:t>
      </w:r>
      <w:r w:rsidRPr="00BB0141">
        <w:t>to this instrument is amended or repealed as set out in the applicable items in the Schedule</w:t>
      </w:r>
      <w:r w:rsidR="00F9028A" w:rsidRPr="00BB0141">
        <w:t xml:space="preserve"> </w:t>
      </w:r>
      <w:r w:rsidRPr="00BB0141">
        <w:t>concerned, and any other item in a Schedule</w:t>
      </w:r>
      <w:r w:rsidR="00F9028A" w:rsidRPr="00BB0141">
        <w:t xml:space="preserve"> </w:t>
      </w:r>
      <w:r w:rsidRPr="00BB0141">
        <w:t>to this instrument has effect according to its terms.</w:t>
      </w:r>
    </w:p>
    <w:p w:rsidR="00043762" w:rsidRPr="00BB0141" w:rsidRDefault="00043762" w:rsidP="00043762">
      <w:pPr>
        <w:pStyle w:val="ActHead6"/>
        <w:pageBreakBefore/>
      </w:pPr>
      <w:bookmarkStart w:id="9" w:name="_Toc357777872"/>
      <w:bookmarkStart w:id="10" w:name="opcAmSched"/>
      <w:bookmarkStart w:id="11" w:name="opcCurrentFind"/>
      <w:r w:rsidRPr="00BB0141">
        <w:rPr>
          <w:rStyle w:val="CharAmSchNo"/>
        </w:rPr>
        <w:lastRenderedPageBreak/>
        <w:t>Schedule</w:t>
      </w:r>
      <w:r w:rsidR="00BB0141" w:rsidRPr="00BB0141">
        <w:rPr>
          <w:rStyle w:val="CharAmSchNo"/>
        </w:rPr>
        <w:t> </w:t>
      </w:r>
      <w:r w:rsidRPr="00BB0141">
        <w:rPr>
          <w:rStyle w:val="CharAmSchNo"/>
        </w:rPr>
        <w:t>1</w:t>
      </w:r>
      <w:r w:rsidRPr="00BB0141">
        <w:t>—</w:t>
      </w:r>
      <w:r w:rsidRPr="00BB0141">
        <w:rPr>
          <w:rStyle w:val="CharAmSchText"/>
        </w:rPr>
        <w:t>Amendments</w:t>
      </w:r>
      <w:bookmarkEnd w:id="9"/>
    </w:p>
    <w:bookmarkEnd w:id="10"/>
    <w:bookmarkEnd w:id="11"/>
    <w:p w:rsidR="00043762" w:rsidRPr="00BB0141" w:rsidRDefault="00043762" w:rsidP="00043762">
      <w:pPr>
        <w:pStyle w:val="Header"/>
      </w:pPr>
      <w:r w:rsidRPr="00BB0141">
        <w:rPr>
          <w:rStyle w:val="CharAmPartNo"/>
        </w:rPr>
        <w:t xml:space="preserve"> </w:t>
      </w:r>
      <w:r w:rsidRPr="00BB0141">
        <w:rPr>
          <w:rStyle w:val="CharAmPartText"/>
        </w:rPr>
        <w:t xml:space="preserve"> </w:t>
      </w:r>
    </w:p>
    <w:p w:rsidR="00F9028A" w:rsidRPr="00BB0141" w:rsidRDefault="00F9028A" w:rsidP="00F9028A">
      <w:pPr>
        <w:pStyle w:val="ActHead9"/>
      </w:pPr>
      <w:bookmarkStart w:id="12" w:name="_Toc357777873"/>
      <w:r w:rsidRPr="00BB0141">
        <w:t>Australian Charities and Not</w:t>
      </w:r>
      <w:r w:rsidR="00BB0141">
        <w:noBreakHyphen/>
      </w:r>
      <w:r w:rsidRPr="00BB0141">
        <w:t>for</w:t>
      </w:r>
      <w:r w:rsidR="00BB0141">
        <w:noBreakHyphen/>
      </w:r>
      <w:r w:rsidRPr="00BB0141">
        <w:t>profits Commission Regulation</w:t>
      </w:r>
      <w:r w:rsidR="00BB0141" w:rsidRPr="00BB0141">
        <w:t> </w:t>
      </w:r>
      <w:r w:rsidRPr="00BB0141">
        <w:t>201</w:t>
      </w:r>
      <w:r w:rsidR="00154083" w:rsidRPr="00BB0141">
        <w:t>3</w:t>
      </w:r>
      <w:bookmarkEnd w:id="12"/>
    </w:p>
    <w:p w:rsidR="0081080D" w:rsidRPr="00BB0141" w:rsidRDefault="00043762" w:rsidP="00D1003E">
      <w:pPr>
        <w:pStyle w:val="ItemHead"/>
        <w:tabs>
          <w:tab w:val="left" w:pos="6663"/>
        </w:tabs>
        <w:rPr>
          <w:rFonts w:cs="Arial"/>
          <w:i/>
        </w:rPr>
      </w:pPr>
      <w:r w:rsidRPr="00BB0141">
        <w:t xml:space="preserve">1  </w:t>
      </w:r>
      <w:r w:rsidR="00820A84" w:rsidRPr="00BB0141">
        <w:rPr>
          <w:rFonts w:cs="Arial"/>
        </w:rPr>
        <w:t>Section</w:t>
      </w:r>
      <w:r w:rsidR="00BB0141" w:rsidRPr="00BB0141">
        <w:rPr>
          <w:rFonts w:cs="Arial"/>
        </w:rPr>
        <w:t> </w:t>
      </w:r>
      <w:r w:rsidR="00E82D61" w:rsidRPr="00BB0141">
        <w:rPr>
          <w:rFonts w:cs="Arial"/>
        </w:rPr>
        <w:t>4</w:t>
      </w:r>
    </w:p>
    <w:p w:rsidR="00820A84" w:rsidRPr="00BB0141" w:rsidRDefault="00043762" w:rsidP="00043762">
      <w:pPr>
        <w:pStyle w:val="Item"/>
      </w:pPr>
      <w:r w:rsidRPr="00BB0141">
        <w:t>I</w:t>
      </w:r>
      <w:r w:rsidR="00820A84" w:rsidRPr="00BB0141">
        <w:t>nsert</w:t>
      </w:r>
      <w:r w:rsidRPr="00BB0141">
        <w:t>:</w:t>
      </w:r>
    </w:p>
    <w:p w:rsidR="00820A84" w:rsidRPr="00BB0141" w:rsidRDefault="00820A84" w:rsidP="00043762">
      <w:pPr>
        <w:pStyle w:val="Definition"/>
      </w:pPr>
      <w:r w:rsidRPr="00BB0141">
        <w:rPr>
          <w:b/>
          <w:i/>
        </w:rPr>
        <w:t>accounting standards—</w:t>
      </w:r>
      <w:r w:rsidRPr="00BB0141">
        <w:t>see section</w:t>
      </w:r>
      <w:r w:rsidR="00BB0141" w:rsidRPr="00BB0141">
        <w:t> </w:t>
      </w:r>
      <w:r w:rsidRPr="00BB0141">
        <w:t>300</w:t>
      </w:r>
      <w:r w:rsidR="00BB0141">
        <w:noBreakHyphen/>
      </w:r>
      <w:r w:rsidRPr="00BB0141">
        <w:t>5 of the Act.</w:t>
      </w:r>
    </w:p>
    <w:p w:rsidR="005E240E" w:rsidRPr="00BB0141" w:rsidRDefault="005E240E" w:rsidP="005E240E">
      <w:pPr>
        <w:pStyle w:val="ItemHead"/>
        <w:tabs>
          <w:tab w:val="left" w:pos="6663"/>
        </w:tabs>
        <w:rPr>
          <w:rFonts w:cs="Arial"/>
          <w:i/>
        </w:rPr>
      </w:pPr>
      <w:r w:rsidRPr="00BB0141">
        <w:t xml:space="preserve">2  </w:t>
      </w:r>
      <w:r w:rsidRPr="00BB0141">
        <w:rPr>
          <w:rFonts w:cs="Arial"/>
        </w:rPr>
        <w:t>Section</w:t>
      </w:r>
      <w:r w:rsidR="00BB0141" w:rsidRPr="00BB0141">
        <w:rPr>
          <w:rFonts w:cs="Arial"/>
        </w:rPr>
        <w:t> </w:t>
      </w:r>
      <w:r w:rsidRPr="00BB0141">
        <w:rPr>
          <w:rFonts w:cs="Arial"/>
        </w:rPr>
        <w:t>4</w:t>
      </w:r>
    </w:p>
    <w:p w:rsidR="005E240E" w:rsidRPr="00BB0141" w:rsidRDefault="005E240E" w:rsidP="005E240E">
      <w:pPr>
        <w:pStyle w:val="Item"/>
      </w:pPr>
      <w:r w:rsidRPr="00BB0141">
        <w:t>Insert:</w:t>
      </w:r>
    </w:p>
    <w:p w:rsidR="005E240E" w:rsidRPr="00BB0141" w:rsidRDefault="005E240E" w:rsidP="005E240E">
      <w:pPr>
        <w:pStyle w:val="Definition"/>
      </w:pPr>
      <w:r w:rsidRPr="00BB0141">
        <w:rPr>
          <w:b/>
          <w:i/>
        </w:rPr>
        <w:t xml:space="preserve">general purpose </w:t>
      </w:r>
      <w:r w:rsidR="00F647DF" w:rsidRPr="00BB0141">
        <w:rPr>
          <w:b/>
          <w:i/>
        </w:rPr>
        <w:t>financial statement</w:t>
      </w:r>
      <w:r w:rsidRPr="00BB0141">
        <w:t xml:space="preserve"> has the meaning given by the accounting standards.</w:t>
      </w:r>
    </w:p>
    <w:p w:rsidR="00E82D61" w:rsidRPr="00BB0141" w:rsidRDefault="005E240E" w:rsidP="004C41B2">
      <w:pPr>
        <w:pStyle w:val="ItemHead"/>
        <w:tabs>
          <w:tab w:val="left" w:pos="6663"/>
        </w:tabs>
      </w:pPr>
      <w:r w:rsidRPr="00BB0141">
        <w:t>3</w:t>
      </w:r>
      <w:r w:rsidR="004C41B2" w:rsidRPr="00BB0141">
        <w:t xml:space="preserve">  </w:t>
      </w:r>
      <w:r w:rsidR="00E82D61" w:rsidRPr="00BB0141">
        <w:t>Section</w:t>
      </w:r>
      <w:r w:rsidR="00BB0141" w:rsidRPr="00BB0141">
        <w:t> </w:t>
      </w:r>
      <w:r w:rsidR="00E82D61" w:rsidRPr="00BB0141">
        <w:t>4</w:t>
      </w:r>
    </w:p>
    <w:p w:rsidR="00E82D61" w:rsidRPr="00BB0141" w:rsidRDefault="00E82D61" w:rsidP="00E82D61">
      <w:pPr>
        <w:pStyle w:val="Item"/>
      </w:pPr>
      <w:r w:rsidRPr="00BB0141">
        <w:t>Insert:</w:t>
      </w:r>
    </w:p>
    <w:p w:rsidR="00E82D61" w:rsidRPr="00BB0141" w:rsidRDefault="00E82D61" w:rsidP="00E82D61">
      <w:pPr>
        <w:pStyle w:val="Definition"/>
      </w:pPr>
      <w:r w:rsidRPr="00BB0141">
        <w:rPr>
          <w:b/>
          <w:i/>
        </w:rPr>
        <w:t xml:space="preserve">special purpose </w:t>
      </w:r>
      <w:r w:rsidR="00F647DF" w:rsidRPr="00BB0141">
        <w:rPr>
          <w:b/>
          <w:i/>
        </w:rPr>
        <w:t>financial statement</w:t>
      </w:r>
      <w:r w:rsidRPr="00BB0141">
        <w:t xml:space="preserve"> means a </w:t>
      </w:r>
      <w:r w:rsidR="00F647DF" w:rsidRPr="00BB0141">
        <w:t>financial statement</w:t>
      </w:r>
      <w:r w:rsidRPr="00BB0141">
        <w:t xml:space="preserve"> that is not a general purpose </w:t>
      </w:r>
      <w:r w:rsidR="00F647DF" w:rsidRPr="00BB0141">
        <w:t>financial statement</w:t>
      </w:r>
      <w:r w:rsidRPr="00BB0141">
        <w:t>.</w:t>
      </w:r>
    </w:p>
    <w:p w:rsidR="004C41B2" w:rsidRPr="00BB0141" w:rsidRDefault="005E240E" w:rsidP="004C41B2">
      <w:pPr>
        <w:pStyle w:val="ItemHead"/>
        <w:tabs>
          <w:tab w:val="left" w:pos="6663"/>
        </w:tabs>
      </w:pPr>
      <w:r w:rsidRPr="00BB0141">
        <w:t>4</w:t>
      </w:r>
      <w:r w:rsidR="00E82D61" w:rsidRPr="00BB0141">
        <w:t xml:space="preserve">  </w:t>
      </w:r>
      <w:r w:rsidR="004C41B2" w:rsidRPr="00BB0141">
        <w:t>At the end of the regulation</w:t>
      </w:r>
    </w:p>
    <w:p w:rsidR="004C41B2" w:rsidRPr="00BB0141" w:rsidRDefault="004C41B2" w:rsidP="004C41B2">
      <w:pPr>
        <w:pStyle w:val="Item"/>
      </w:pPr>
      <w:r w:rsidRPr="00BB0141">
        <w:t>Add:</w:t>
      </w:r>
    </w:p>
    <w:p w:rsidR="004C41B2" w:rsidRPr="00BB0141" w:rsidRDefault="004C41B2" w:rsidP="004C41B2">
      <w:pPr>
        <w:pStyle w:val="ActHead3"/>
      </w:pPr>
      <w:bookmarkStart w:id="13" w:name="_Toc357777874"/>
      <w:r w:rsidRPr="00BB0141">
        <w:rPr>
          <w:rStyle w:val="CharDivNo"/>
        </w:rPr>
        <w:t>Division</w:t>
      </w:r>
      <w:r w:rsidR="00BB0141" w:rsidRPr="00BB0141">
        <w:rPr>
          <w:rStyle w:val="CharDivNo"/>
        </w:rPr>
        <w:t> </w:t>
      </w:r>
      <w:r w:rsidRPr="00BB0141">
        <w:rPr>
          <w:rStyle w:val="CharDivNo"/>
        </w:rPr>
        <w:t>60</w:t>
      </w:r>
      <w:r w:rsidRPr="00BB0141">
        <w:t>—</w:t>
      </w:r>
      <w:r w:rsidRPr="00BB0141">
        <w:rPr>
          <w:rStyle w:val="CharDivText"/>
        </w:rPr>
        <w:t>Requirements for annual financial reports</w:t>
      </w:r>
      <w:bookmarkEnd w:id="13"/>
    </w:p>
    <w:p w:rsidR="004C41B2" w:rsidRPr="00BB0141" w:rsidRDefault="004C41B2" w:rsidP="004C41B2">
      <w:pPr>
        <w:pStyle w:val="ActHead4"/>
      </w:pPr>
      <w:bookmarkStart w:id="14" w:name="_Toc357777875"/>
      <w:r w:rsidRPr="00BB0141">
        <w:rPr>
          <w:rStyle w:val="CharSubdNo"/>
        </w:rPr>
        <w:t>Subdivision</w:t>
      </w:r>
      <w:r w:rsidR="00BB0141" w:rsidRPr="00BB0141">
        <w:rPr>
          <w:rStyle w:val="CharSubdNo"/>
        </w:rPr>
        <w:t> </w:t>
      </w:r>
      <w:r w:rsidRPr="00BB0141">
        <w:rPr>
          <w:rStyle w:val="CharSubdNo"/>
        </w:rPr>
        <w:t>60</w:t>
      </w:r>
      <w:r w:rsidR="00BB0141" w:rsidRPr="00BB0141">
        <w:rPr>
          <w:rStyle w:val="CharSubdNo"/>
        </w:rPr>
        <w:noBreakHyphen/>
      </w:r>
      <w:r w:rsidRPr="00BB0141">
        <w:rPr>
          <w:rStyle w:val="CharSubdNo"/>
        </w:rPr>
        <w:t>A</w:t>
      </w:r>
      <w:r w:rsidRPr="00BB0141">
        <w:t>—</w:t>
      </w:r>
      <w:r w:rsidRPr="00BB0141">
        <w:rPr>
          <w:rStyle w:val="CharSubdText"/>
        </w:rPr>
        <w:t>Purpose of Division</w:t>
      </w:r>
      <w:r w:rsidR="00BB0141" w:rsidRPr="00BB0141">
        <w:rPr>
          <w:rStyle w:val="CharSubdText"/>
        </w:rPr>
        <w:t> </w:t>
      </w:r>
      <w:r w:rsidRPr="00BB0141">
        <w:rPr>
          <w:rStyle w:val="CharSubdText"/>
        </w:rPr>
        <w:t>60</w:t>
      </w:r>
      <w:bookmarkEnd w:id="14"/>
    </w:p>
    <w:p w:rsidR="004C41B2" w:rsidRPr="00BB0141" w:rsidRDefault="004C41B2" w:rsidP="004C41B2">
      <w:pPr>
        <w:pStyle w:val="ActHead5"/>
      </w:pPr>
      <w:bookmarkStart w:id="15" w:name="_Toc357777876"/>
      <w:r w:rsidRPr="00BB0141">
        <w:rPr>
          <w:rStyle w:val="CharSectno"/>
        </w:rPr>
        <w:t>60.1</w:t>
      </w:r>
      <w:r w:rsidRPr="00BB0141">
        <w:t xml:space="preserve">  Purpose</w:t>
      </w:r>
      <w:bookmarkEnd w:id="15"/>
    </w:p>
    <w:p w:rsidR="004C41B2" w:rsidRPr="00BB0141" w:rsidRDefault="004C41B2" w:rsidP="004C41B2">
      <w:pPr>
        <w:pStyle w:val="subsection"/>
      </w:pPr>
      <w:r w:rsidRPr="00BB0141">
        <w:tab/>
      </w:r>
      <w:r w:rsidRPr="00BB0141">
        <w:tab/>
        <w:t>For subsection</w:t>
      </w:r>
      <w:r w:rsidR="00BB0141" w:rsidRPr="00BB0141">
        <w:t> </w:t>
      </w:r>
      <w:r w:rsidRPr="00BB0141">
        <w:t>60</w:t>
      </w:r>
      <w:r w:rsidR="00BB0141">
        <w:noBreakHyphen/>
      </w:r>
      <w:r w:rsidRPr="00BB0141">
        <w:t>15(1) of the Act, this Division prescribes requirements for annual financial reports.</w:t>
      </w:r>
    </w:p>
    <w:p w:rsidR="004C41B2" w:rsidRPr="00BB0141" w:rsidRDefault="004C41B2" w:rsidP="004C41B2">
      <w:pPr>
        <w:pStyle w:val="ActHead4"/>
        <w:rPr>
          <w:color w:val="000000" w:themeColor="text1"/>
        </w:rPr>
      </w:pPr>
      <w:bookmarkStart w:id="16" w:name="_Toc357777877"/>
      <w:r w:rsidRPr="00BB0141">
        <w:rPr>
          <w:rStyle w:val="CharSubdNo"/>
        </w:rPr>
        <w:lastRenderedPageBreak/>
        <w:t>Subdivision</w:t>
      </w:r>
      <w:r w:rsidR="00BB0141" w:rsidRPr="00BB0141">
        <w:rPr>
          <w:rStyle w:val="CharSubdNo"/>
        </w:rPr>
        <w:t> </w:t>
      </w:r>
      <w:r w:rsidRPr="00BB0141">
        <w:rPr>
          <w:rStyle w:val="CharSubdNo"/>
        </w:rPr>
        <w:t>60</w:t>
      </w:r>
      <w:r w:rsidR="00BB0141" w:rsidRPr="00BB0141">
        <w:rPr>
          <w:rStyle w:val="CharSubdNo"/>
        </w:rPr>
        <w:noBreakHyphen/>
      </w:r>
      <w:r w:rsidRPr="00BB0141">
        <w:rPr>
          <w:rStyle w:val="CharSubdNo"/>
        </w:rPr>
        <w:t>B</w:t>
      </w:r>
      <w:r w:rsidRPr="00BB0141">
        <w:rPr>
          <w:color w:val="000000" w:themeColor="text1"/>
        </w:rPr>
        <w:t>—</w:t>
      </w:r>
      <w:r w:rsidRPr="00BB0141">
        <w:rPr>
          <w:rStyle w:val="CharSubdText"/>
        </w:rPr>
        <w:t>Requirements for annual financial reports (core rules)</w:t>
      </w:r>
      <w:bookmarkEnd w:id="16"/>
    </w:p>
    <w:p w:rsidR="004C41B2" w:rsidRPr="00BB0141" w:rsidRDefault="004C41B2" w:rsidP="004C41B2">
      <w:pPr>
        <w:pStyle w:val="ActHead5"/>
        <w:rPr>
          <w:color w:val="000000" w:themeColor="text1"/>
        </w:rPr>
      </w:pPr>
      <w:bookmarkStart w:id="17" w:name="_Toc357777878"/>
      <w:r w:rsidRPr="00BB0141">
        <w:rPr>
          <w:rStyle w:val="CharSectno"/>
        </w:rPr>
        <w:t>60.5</w:t>
      </w:r>
      <w:r w:rsidRPr="00BB0141">
        <w:rPr>
          <w:color w:val="000000" w:themeColor="text1"/>
        </w:rPr>
        <w:t xml:space="preserve">  Contents of annual financial report</w:t>
      </w:r>
      <w:bookmarkEnd w:id="17"/>
    </w:p>
    <w:p w:rsidR="004C41B2" w:rsidRPr="00BB0141" w:rsidRDefault="004C41B2" w:rsidP="004C41B2">
      <w:pPr>
        <w:pStyle w:val="subsection"/>
        <w:rPr>
          <w:color w:val="000000" w:themeColor="text1"/>
        </w:rPr>
      </w:pPr>
      <w:r w:rsidRPr="00BB0141">
        <w:rPr>
          <w:color w:val="000000" w:themeColor="text1"/>
        </w:rPr>
        <w:tab/>
      </w:r>
      <w:r w:rsidRPr="00BB0141">
        <w:rPr>
          <w:color w:val="000000" w:themeColor="text1"/>
        </w:rPr>
        <w:tab/>
        <w:t>A registered entity’s financial report for a financial year consists of:</w:t>
      </w:r>
    </w:p>
    <w:p w:rsidR="004C41B2" w:rsidRPr="00BB0141" w:rsidRDefault="004C41B2" w:rsidP="004C41B2">
      <w:pPr>
        <w:pStyle w:val="paragraph"/>
        <w:rPr>
          <w:color w:val="000000" w:themeColor="text1"/>
        </w:rPr>
      </w:pPr>
      <w:r w:rsidRPr="00BB0141">
        <w:rPr>
          <w:color w:val="000000" w:themeColor="text1"/>
        </w:rPr>
        <w:tab/>
        <w:t>(a)</w:t>
      </w:r>
      <w:r w:rsidRPr="00BB0141">
        <w:rPr>
          <w:color w:val="000000" w:themeColor="text1"/>
        </w:rPr>
        <w:tab/>
        <w:t xml:space="preserve">the registered entity’s financial statements for the year (see </w:t>
      </w:r>
      <w:r w:rsidR="00FE27AF" w:rsidRPr="00BB0141">
        <w:rPr>
          <w:color w:val="000000" w:themeColor="text1"/>
        </w:rPr>
        <w:t>section</w:t>
      </w:r>
      <w:r w:rsidR="00BB0141" w:rsidRPr="00BB0141">
        <w:rPr>
          <w:color w:val="000000" w:themeColor="text1"/>
        </w:rPr>
        <w:t> </w:t>
      </w:r>
      <w:r w:rsidRPr="00BB0141">
        <w:rPr>
          <w:color w:val="000000" w:themeColor="text1"/>
        </w:rPr>
        <w:t>60.10); and</w:t>
      </w:r>
    </w:p>
    <w:p w:rsidR="004C41B2" w:rsidRPr="00BB0141" w:rsidRDefault="004C41B2" w:rsidP="004C41B2">
      <w:pPr>
        <w:pStyle w:val="paragraph"/>
        <w:rPr>
          <w:color w:val="000000" w:themeColor="text1"/>
        </w:rPr>
      </w:pPr>
      <w:r w:rsidRPr="00BB0141">
        <w:rPr>
          <w:color w:val="000000" w:themeColor="text1"/>
        </w:rPr>
        <w:tab/>
        <w:t>(b)</w:t>
      </w:r>
      <w:r w:rsidRPr="00BB0141">
        <w:rPr>
          <w:color w:val="000000" w:themeColor="text1"/>
        </w:rPr>
        <w:tab/>
        <w:t>the notes to the financial statements (see</w:t>
      </w:r>
      <w:r w:rsidR="00FE27AF" w:rsidRPr="00BB0141">
        <w:rPr>
          <w:color w:val="000000" w:themeColor="text1"/>
        </w:rPr>
        <w:t xml:space="preserve"> section</w:t>
      </w:r>
      <w:r w:rsidR="00BB0141" w:rsidRPr="00BB0141">
        <w:rPr>
          <w:color w:val="000000" w:themeColor="text1"/>
        </w:rPr>
        <w:t> </w:t>
      </w:r>
      <w:r w:rsidRPr="00BB0141">
        <w:rPr>
          <w:color w:val="000000" w:themeColor="text1"/>
        </w:rPr>
        <w:t>60.10); and</w:t>
      </w:r>
    </w:p>
    <w:p w:rsidR="004C41B2" w:rsidRPr="00BB0141" w:rsidRDefault="004C41B2" w:rsidP="004C41B2">
      <w:pPr>
        <w:pStyle w:val="paragraph"/>
        <w:rPr>
          <w:color w:val="000000" w:themeColor="text1"/>
        </w:rPr>
      </w:pPr>
      <w:r w:rsidRPr="00BB0141">
        <w:rPr>
          <w:color w:val="000000" w:themeColor="text1"/>
        </w:rPr>
        <w:tab/>
        <w:t>(c)</w:t>
      </w:r>
      <w:r w:rsidRPr="00BB0141">
        <w:rPr>
          <w:color w:val="000000" w:themeColor="text1"/>
        </w:rPr>
        <w:tab/>
        <w:t xml:space="preserve">the responsible entities’ declaration about the statements and notes (see </w:t>
      </w:r>
      <w:r w:rsidR="00FE27AF" w:rsidRPr="00BB0141">
        <w:rPr>
          <w:color w:val="000000" w:themeColor="text1"/>
        </w:rPr>
        <w:t>section</w:t>
      </w:r>
      <w:r w:rsidR="00BB0141" w:rsidRPr="00BB0141">
        <w:rPr>
          <w:color w:val="000000" w:themeColor="text1"/>
        </w:rPr>
        <w:t> </w:t>
      </w:r>
      <w:r w:rsidRPr="00BB0141">
        <w:rPr>
          <w:color w:val="000000" w:themeColor="text1"/>
        </w:rPr>
        <w:t>60.15).</w:t>
      </w:r>
    </w:p>
    <w:p w:rsidR="004C41B2" w:rsidRPr="00BB0141" w:rsidRDefault="004C41B2" w:rsidP="004C41B2">
      <w:pPr>
        <w:pStyle w:val="ActHead5"/>
        <w:rPr>
          <w:color w:val="000000" w:themeColor="text1"/>
        </w:rPr>
      </w:pPr>
      <w:bookmarkStart w:id="18" w:name="_Toc357777879"/>
      <w:r w:rsidRPr="00BB0141">
        <w:rPr>
          <w:rStyle w:val="CharSectno"/>
        </w:rPr>
        <w:t>60.10</w:t>
      </w:r>
      <w:r w:rsidRPr="00BB0141">
        <w:rPr>
          <w:color w:val="000000" w:themeColor="text1"/>
        </w:rPr>
        <w:t xml:space="preserve">  Financial statements and notes</w:t>
      </w:r>
      <w:bookmarkEnd w:id="18"/>
    </w:p>
    <w:p w:rsidR="004C41B2" w:rsidRPr="00BB0141" w:rsidRDefault="004C41B2" w:rsidP="004C41B2">
      <w:pPr>
        <w:pStyle w:val="subsection"/>
        <w:rPr>
          <w:color w:val="000000" w:themeColor="text1"/>
        </w:rPr>
      </w:pPr>
      <w:r w:rsidRPr="00BB0141">
        <w:rPr>
          <w:color w:val="000000" w:themeColor="text1"/>
        </w:rPr>
        <w:tab/>
        <w:t>(1)</w:t>
      </w:r>
      <w:r w:rsidRPr="00BB0141">
        <w:rPr>
          <w:color w:val="000000" w:themeColor="text1"/>
        </w:rPr>
        <w:tab/>
        <w:t>The financial statements for the financial year are the financial statements in relation to the registered entity that are required to be prepared by the accounting standards.</w:t>
      </w:r>
    </w:p>
    <w:p w:rsidR="004C41B2" w:rsidRPr="00BB0141" w:rsidRDefault="004C41B2" w:rsidP="004C41B2">
      <w:pPr>
        <w:pStyle w:val="subsection"/>
        <w:rPr>
          <w:color w:val="000000" w:themeColor="text1"/>
        </w:rPr>
      </w:pPr>
      <w:r w:rsidRPr="00BB0141">
        <w:rPr>
          <w:color w:val="000000" w:themeColor="text1"/>
        </w:rPr>
        <w:tab/>
        <w:t>(2)</w:t>
      </w:r>
      <w:r w:rsidRPr="00BB0141">
        <w:rPr>
          <w:color w:val="000000" w:themeColor="text1"/>
        </w:rPr>
        <w:tab/>
        <w:t>The notes to the financial statements are:</w:t>
      </w:r>
    </w:p>
    <w:p w:rsidR="004C41B2" w:rsidRPr="00BB0141" w:rsidRDefault="004C41B2" w:rsidP="004C41B2">
      <w:pPr>
        <w:pStyle w:val="paragraph"/>
        <w:rPr>
          <w:color w:val="000000" w:themeColor="text1"/>
        </w:rPr>
      </w:pPr>
      <w:r w:rsidRPr="00BB0141">
        <w:rPr>
          <w:color w:val="000000" w:themeColor="text1"/>
        </w:rPr>
        <w:tab/>
        <w:t>(a)</w:t>
      </w:r>
      <w:r w:rsidRPr="00BB0141">
        <w:rPr>
          <w:color w:val="000000" w:themeColor="text1"/>
        </w:rPr>
        <w:tab/>
        <w:t>notes required by the accounting standards; and</w:t>
      </w:r>
    </w:p>
    <w:p w:rsidR="004C41B2" w:rsidRPr="00BB0141" w:rsidRDefault="004C41B2" w:rsidP="004C41B2">
      <w:pPr>
        <w:pStyle w:val="paragraph"/>
        <w:rPr>
          <w:color w:val="000000" w:themeColor="text1"/>
        </w:rPr>
      </w:pPr>
      <w:r w:rsidRPr="00BB0141">
        <w:rPr>
          <w:color w:val="000000" w:themeColor="text1"/>
        </w:rPr>
        <w:tab/>
        <w:t>(b)</w:t>
      </w:r>
      <w:r w:rsidRPr="00BB0141">
        <w:rPr>
          <w:color w:val="000000" w:themeColor="text1"/>
        </w:rPr>
        <w:tab/>
        <w:t>any other information necessary to give a true and fair view of the financial position and performance of the registered entity.</w:t>
      </w:r>
    </w:p>
    <w:p w:rsidR="004C41B2" w:rsidRPr="00BB0141" w:rsidRDefault="004C41B2" w:rsidP="004C41B2">
      <w:pPr>
        <w:pStyle w:val="subsection"/>
        <w:rPr>
          <w:color w:val="000000" w:themeColor="text1"/>
        </w:rPr>
      </w:pPr>
      <w:r w:rsidRPr="00BB0141">
        <w:rPr>
          <w:color w:val="000000" w:themeColor="text1"/>
        </w:rPr>
        <w:tab/>
        <w:t>(3)</w:t>
      </w:r>
      <w:r w:rsidRPr="00BB0141">
        <w:rPr>
          <w:color w:val="000000" w:themeColor="text1"/>
        </w:rPr>
        <w:tab/>
        <w:t>The financial statements and notes:</w:t>
      </w:r>
    </w:p>
    <w:p w:rsidR="004C41B2" w:rsidRPr="00BB0141" w:rsidRDefault="004C41B2" w:rsidP="004C41B2">
      <w:pPr>
        <w:pStyle w:val="paragraph"/>
        <w:rPr>
          <w:color w:val="000000" w:themeColor="text1"/>
        </w:rPr>
      </w:pPr>
      <w:r w:rsidRPr="00BB0141">
        <w:rPr>
          <w:color w:val="000000" w:themeColor="text1"/>
        </w:rPr>
        <w:tab/>
        <w:t>(a)</w:t>
      </w:r>
      <w:r w:rsidRPr="00BB0141">
        <w:rPr>
          <w:color w:val="000000" w:themeColor="text1"/>
        </w:rPr>
        <w:tab/>
        <w:t>must give a true and fair view of the financial position and performance of the registered entity; and</w:t>
      </w:r>
    </w:p>
    <w:p w:rsidR="004C41B2" w:rsidRPr="00BB0141" w:rsidRDefault="004C41B2" w:rsidP="004C41B2">
      <w:pPr>
        <w:pStyle w:val="paragraph"/>
        <w:rPr>
          <w:color w:val="000000" w:themeColor="text1"/>
        </w:rPr>
      </w:pPr>
      <w:r w:rsidRPr="00BB0141">
        <w:rPr>
          <w:color w:val="000000" w:themeColor="text1"/>
        </w:rPr>
        <w:tab/>
        <w:t>(b)</w:t>
      </w:r>
      <w:r w:rsidRPr="00BB0141">
        <w:rPr>
          <w:color w:val="000000" w:themeColor="text1"/>
        </w:rPr>
        <w:tab/>
        <w:t>subject to Subdivision</w:t>
      </w:r>
      <w:r w:rsidR="00BB0141" w:rsidRPr="00BB0141">
        <w:rPr>
          <w:color w:val="000000" w:themeColor="text1"/>
        </w:rPr>
        <w:t> </w:t>
      </w:r>
      <w:r w:rsidRPr="00BB0141">
        <w:rPr>
          <w:color w:val="000000" w:themeColor="text1"/>
        </w:rPr>
        <w:t>60</w:t>
      </w:r>
      <w:r w:rsidR="00BB0141">
        <w:rPr>
          <w:color w:val="000000" w:themeColor="text1"/>
        </w:rPr>
        <w:noBreakHyphen/>
      </w:r>
      <w:r w:rsidRPr="00BB0141">
        <w:rPr>
          <w:color w:val="000000" w:themeColor="text1"/>
        </w:rPr>
        <w:t>C, must comply with the accounting standards.</w:t>
      </w:r>
    </w:p>
    <w:p w:rsidR="00E82D61" w:rsidRPr="00BB0141" w:rsidRDefault="004C41B2" w:rsidP="004C41B2">
      <w:pPr>
        <w:pStyle w:val="notetext"/>
        <w:rPr>
          <w:color w:val="000000" w:themeColor="text1"/>
        </w:rPr>
      </w:pPr>
      <w:r w:rsidRPr="00BB0141">
        <w:rPr>
          <w:color w:val="000000" w:themeColor="text1"/>
        </w:rPr>
        <w:t>Note 1:</w:t>
      </w:r>
      <w:r w:rsidRPr="00BB0141">
        <w:rPr>
          <w:color w:val="000000" w:themeColor="text1"/>
        </w:rPr>
        <w:tab/>
      </w:r>
      <w:r w:rsidR="00E82D61" w:rsidRPr="00BB0141">
        <w:rPr>
          <w:color w:val="000000" w:themeColor="text1"/>
        </w:rPr>
        <w:t xml:space="preserve">The accounting standards set out the test for whether a registered entity will need to prepare a general purpose </w:t>
      </w:r>
      <w:r w:rsidR="00F647DF" w:rsidRPr="00BB0141">
        <w:rPr>
          <w:color w:val="000000" w:themeColor="text1"/>
        </w:rPr>
        <w:t>financial statement</w:t>
      </w:r>
      <w:r w:rsidR="00E82D61" w:rsidRPr="00BB0141">
        <w:rPr>
          <w:color w:val="000000" w:themeColor="text1"/>
        </w:rPr>
        <w:t xml:space="preserve"> or can instead prepare a special purpose </w:t>
      </w:r>
      <w:r w:rsidR="00F647DF" w:rsidRPr="00BB0141">
        <w:rPr>
          <w:color w:val="000000" w:themeColor="text1"/>
        </w:rPr>
        <w:t>financial statement</w:t>
      </w:r>
      <w:r w:rsidR="00E82D61" w:rsidRPr="00BB0141">
        <w:rPr>
          <w:color w:val="000000" w:themeColor="text1"/>
        </w:rPr>
        <w:t>. See section</w:t>
      </w:r>
      <w:r w:rsidR="00BB0141" w:rsidRPr="00BB0141">
        <w:rPr>
          <w:color w:val="000000" w:themeColor="text1"/>
        </w:rPr>
        <w:t> </w:t>
      </w:r>
      <w:r w:rsidR="00E82D61" w:rsidRPr="00BB0141">
        <w:rPr>
          <w:color w:val="000000" w:themeColor="text1"/>
        </w:rPr>
        <w:t xml:space="preserve">60.30 for the accounting standards that must be complied with in preparing a special purpose </w:t>
      </w:r>
      <w:r w:rsidR="00F647DF" w:rsidRPr="00BB0141">
        <w:rPr>
          <w:color w:val="000000" w:themeColor="text1"/>
        </w:rPr>
        <w:t>financial statement</w:t>
      </w:r>
      <w:r w:rsidR="00E82D61" w:rsidRPr="00BB0141">
        <w:rPr>
          <w:color w:val="000000" w:themeColor="text1"/>
        </w:rPr>
        <w:t>.</w:t>
      </w:r>
    </w:p>
    <w:p w:rsidR="004C41B2" w:rsidRPr="00BB0141" w:rsidRDefault="004C41B2" w:rsidP="004C41B2">
      <w:pPr>
        <w:pStyle w:val="notetext"/>
        <w:rPr>
          <w:color w:val="000000" w:themeColor="text1"/>
        </w:rPr>
      </w:pPr>
      <w:r w:rsidRPr="00BB0141">
        <w:rPr>
          <w:color w:val="000000" w:themeColor="text1"/>
        </w:rPr>
        <w:t>Note 2:</w:t>
      </w:r>
      <w:r w:rsidRPr="00BB0141">
        <w:rPr>
          <w:color w:val="000000" w:themeColor="text1"/>
        </w:rPr>
        <w:tab/>
        <w:t>If the financial statements and notes prepared in compliance with the accounting standards would not give a true and fair view, additional</w:t>
      </w:r>
      <w:r w:rsidRPr="00BB0141">
        <w:rPr>
          <w:b/>
          <w:bCs/>
          <w:color w:val="000000" w:themeColor="text1"/>
        </w:rPr>
        <w:t xml:space="preserve"> </w:t>
      </w:r>
      <w:r w:rsidRPr="00BB0141">
        <w:rPr>
          <w:color w:val="000000" w:themeColor="text1"/>
        </w:rPr>
        <w:lastRenderedPageBreak/>
        <w:t xml:space="preserve">information must be included in the notes to the financial statements under </w:t>
      </w:r>
      <w:r w:rsidR="00BB0141" w:rsidRPr="00BB0141">
        <w:rPr>
          <w:color w:val="000000" w:themeColor="text1"/>
        </w:rPr>
        <w:t>paragraph (</w:t>
      </w:r>
      <w:r w:rsidRPr="00BB0141">
        <w:rPr>
          <w:color w:val="000000" w:themeColor="text1"/>
        </w:rPr>
        <w:t>2)(b).</w:t>
      </w:r>
    </w:p>
    <w:p w:rsidR="004C41B2" w:rsidRPr="00BB0141" w:rsidRDefault="004C41B2" w:rsidP="004C41B2">
      <w:pPr>
        <w:pStyle w:val="ActHead5"/>
        <w:rPr>
          <w:color w:val="000000" w:themeColor="text1"/>
        </w:rPr>
      </w:pPr>
      <w:bookmarkStart w:id="19" w:name="_Toc357777880"/>
      <w:r w:rsidRPr="00BB0141">
        <w:rPr>
          <w:rStyle w:val="CharSectno"/>
        </w:rPr>
        <w:t>60.15</w:t>
      </w:r>
      <w:r w:rsidRPr="00BB0141">
        <w:rPr>
          <w:color w:val="000000" w:themeColor="text1"/>
        </w:rPr>
        <w:t xml:space="preserve">  Responsible entities’ declaration</w:t>
      </w:r>
      <w:bookmarkEnd w:id="19"/>
    </w:p>
    <w:p w:rsidR="004C41B2" w:rsidRPr="00BB0141" w:rsidRDefault="004C41B2" w:rsidP="004C41B2">
      <w:pPr>
        <w:pStyle w:val="subsection"/>
        <w:rPr>
          <w:color w:val="000000" w:themeColor="text1"/>
        </w:rPr>
      </w:pPr>
      <w:r w:rsidRPr="00BB0141">
        <w:rPr>
          <w:color w:val="000000" w:themeColor="text1"/>
        </w:rPr>
        <w:tab/>
        <w:t>(1)</w:t>
      </w:r>
      <w:r w:rsidRPr="00BB0141">
        <w:rPr>
          <w:color w:val="000000" w:themeColor="text1"/>
        </w:rPr>
        <w:tab/>
        <w:t xml:space="preserve">The </w:t>
      </w:r>
      <w:r w:rsidRPr="00BB0141">
        <w:rPr>
          <w:b/>
          <w:i/>
          <w:color w:val="000000" w:themeColor="text1"/>
        </w:rPr>
        <w:t>responsible entities’ declaration</w:t>
      </w:r>
      <w:r w:rsidRPr="00BB0141">
        <w:rPr>
          <w:color w:val="000000" w:themeColor="text1"/>
        </w:rPr>
        <w:t xml:space="preserve"> is a declaration by the responsible entities of the registered entity that states:</w:t>
      </w:r>
    </w:p>
    <w:p w:rsidR="004C41B2" w:rsidRPr="00BB0141" w:rsidRDefault="004C41B2" w:rsidP="004C41B2">
      <w:pPr>
        <w:pStyle w:val="paragraph"/>
        <w:rPr>
          <w:color w:val="000000" w:themeColor="text1"/>
        </w:rPr>
      </w:pPr>
      <w:r w:rsidRPr="00BB0141">
        <w:rPr>
          <w:color w:val="000000" w:themeColor="text1"/>
        </w:rPr>
        <w:tab/>
        <w:t>(a)</w:t>
      </w:r>
      <w:r w:rsidRPr="00BB0141">
        <w:rPr>
          <w:color w:val="000000" w:themeColor="text1"/>
        </w:rPr>
        <w:tab/>
        <w:t>whether, in their opinion, there are reasonable grounds to believe that the registered entity is able to pay all of its debts, as and when they become due and payable; and</w:t>
      </w:r>
    </w:p>
    <w:p w:rsidR="004C41B2" w:rsidRPr="00BB0141" w:rsidRDefault="004C41B2" w:rsidP="004C41B2">
      <w:pPr>
        <w:pStyle w:val="paragraph"/>
        <w:rPr>
          <w:color w:val="000000" w:themeColor="text1"/>
        </w:rPr>
      </w:pPr>
      <w:r w:rsidRPr="00BB0141">
        <w:rPr>
          <w:color w:val="000000" w:themeColor="text1"/>
        </w:rPr>
        <w:tab/>
        <w:t>(b)</w:t>
      </w:r>
      <w:r w:rsidRPr="00BB0141">
        <w:rPr>
          <w:color w:val="000000" w:themeColor="text1"/>
        </w:rPr>
        <w:tab/>
        <w:t>whether, in their opinion, the financial statements and notes satisfy the requirements of the Act.</w:t>
      </w:r>
    </w:p>
    <w:p w:rsidR="004C41B2" w:rsidRPr="00BB0141" w:rsidRDefault="004C41B2" w:rsidP="004C41B2">
      <w:pPr>
        <w:pStyle w:val="subsection"/>
        <w:rPr>
          <w:color w:val="000000" w:themeColor="text1"/>
        </w:rPr>
      </w:pPr>
      <w:r w:rsidRPr="00BB0141">
        <w:rPr>
          <w:color w:val="000000" w:themeColor="text1"/>
        </w:rPr>
        <w:tab/>
        <w:t>(2)</w:t>
      </w:r>
      <w:r w:rsidRPr="00BB0141">
        <w:rPr>
          <w:color w:val="000000" w:themeColor="text1"/>
        </w:rPr>
        <w:tab/>
        <w:t>The declaration must be signed by a responsible entity that is authorised to do so by the responsible entities.</w:t>
      </w:r>
    </w:p>
    <w:p w:rsidR="004C41B2" w:rsidRPr="00BB0141" w:rsidRDefault="004C41B2" w:rsidP="004C41B2">
      <w:pPr>
        <w:pStyle w:val="ActHead4"/>
        <w:rPr>
          <w:color w:val="000000" w:themeColor="text1"/>
        </w:rPr>
      </w:pPr>
      <w:bookmarkStart w:id="20" w:name="_Toc357777881"/>
      <w:r w:rsidRPr="00BB0141">
        <w:rPr>
          <w:rStyle w:val="CharSubdNo"/>
        </w:rPr>
        <w:t>Subdivision</w:t>
      </w:r>
      <w:r w:rsidR="00BB0141" w:rsidRPr="00BB0141">
        <w:rPr>
          <w:rStyle w:val="CharSubdNo"/>
        </w:rPr>
        <w:t> </w:t>
      </w:r>
      <w:r w:rsidRPr="00BB0141">
        <w:rPr>
          <w:rStyle w:val="CharSubdNo"/>
        </w:rPr>
        <w:t>60</w:t>
      </w:r>
      <w:r w:rsidR="00BB0141" w:rsidRPr="00BB0141">
        <w:rPr>
          <w:rStyle w:val="CharSubdNo"/>
        </w:rPr>
        <w:noBreakHyphen/>
      </w:r>
      <w:r w:rsidRPr="00BB0141">
        <w:rPr>
          <w:rStyle w:val="CharSubdNo"/>
        </w:rPr>
        <w:t>C</w:t>
      </w:r>
      <w:r w:rsidRPr="00BB0141">
        <w:rPr>
          <w:color w:val="000000" w:themeColor="text1"/>
        </w:rPr>
        <w:t>—</w:t>
      </w:r>
      <w:r w:rsidRPr="00BB0141">
        <w:rPr>
          <w:rStyle w:val="CharSubdText"/>
        </w:rPr>
        <w:t>Requirements for annual financial reports (special rules)</w:t>
      </w:r>
      <w:bookmarkEnd w:id="20"/>
    </w:p>
    <w:p w:rsidR="004C41B2" w:rsidRPr="00BB0141" w:rsidRDefault="004C41B2" w:rsidP="004C41B2">
      <w:pPr>
        <w:pStyle w:val="ActHead5"/>
        <w:rPr>
          <w:color w:val="000000" w:themeColor="text1"/>
        </w:rPr>
      </w:pPr>
      <w:bookmarkStart w:id="21" w:name="_Toc357777882"/>
      <w:r w:rsidRPr="00BB0141">
        <w:rPr>
          <w:rStyle w:val="CharSectno"/>
        </w:rPr>
        <w:t>60.20</w:t>
      </w:r>
      <w:r w:rsidRPr="00BB0141">
        <w:rPr>
          <w:color w:val="000000" w:themeColor="text1"/>
        </w:rPr>
        <w:t xml:space="preserve">  Application of Subdivision</w:t>
      </w:r>
      <w:r w:rsidR="00BB0141" w:rsidRPr="00BB0141">
        <w:rPr>
          <w:color w:val="000000" w:themeColor="text1"/>
        </w:rPr>
        <w:t> </w:t>
      </w:r>
      <w:r w:rsidRPr="00BB0141">
        <w:rPr>
          <w:color w:val="000000" w:themeColor="text1"/>
        </w:rPr>
        <w:t>60</w:t>
      </w:r>
      <w:r w:rsidR="00BB0141">
        <w:rPr>
          <w:color w:val="000000" w:themeColor="text1"/>
        </w:rPr>
        <w:noBreakHyphen/>
      </w:r>
      <w:r w:rsidRPr="00BB0141">
        <w:rPr>
          <w:color w:val="000000" w:themeColor="text1"/>
        </w:rPr>
        <w:t>C</w:t>
      </w:r>
      <w:bookmarkEnd w:id="21"/>
    </w:p>
    <w:p w:rsidR="004C41B2" w:rsidRPr="00BB0141" w:rsidRDefault="004C41B2" w:rsidP="004C41B2">
      <w:pPr>
        <w:pStyle w:val="subsection"/>
        <w:rPr>
          <w:color w:val="000000" w:themeColor="text1"/>
        </w:rPr>
      </w:pPr>
      <w:r w:rsidRPr="00BB0141">
        <w:rPr>
          <w:color w:val="000000" w:themeColor="text1"/>
        </w:rPr>
        <w:tab/>
      </w:r>
      <w:r w:rsidRPr="00BB0141">
        <w:rPr>
          <w:color w:val="000000" w:themeColor="text1"/>
        </w:rPr>
        <w:tab/>
        <w:t>This Subdivision applies if the accounting standards are inconsistent with Subdivisions</w:t>
      </w:r>
      <w:r w:rsidR="00BB0141" w:rsidRPr="00BB0141">
        <w:rPr>
          <w:color w:val="000000" w:themeColor="text1"/>
        </w:rPr>
        <w:t> </w:t>
      </w:r>
      <w:r w:rsidRPr="00BB0141">
        <w:rPr>
          <w:color w:val="000000" w:themeColor="text1"/>
        </w:rPr>
        <w:t>60</w:t>
      </w:r>
      <w:r w:rsidR="00BB0141">
        <w:rPr>
          <w:color w:val="000000" w:themeColor="text1"/>
        </w:rPr>
        <w:noBreakHyphen/>
      </w:r>
      <w:r w:rsidRPr="00BB0141">
        <w:rPr>
          <w:color w:val="000000" w:themeColor="text1"/>
        </w:rPr>
        <w:t>E and 60</w:t>
      </w:r>
      <w:r w:rsidR="00BB0141">
        <w:rPr>
          <w:color w:val="000000" w:themeColor="text1"/>
        </w:rPr>
        <w:noBreakHyphen/>
      </w:r>
      <w:r w:rsidRPr="00BB0141">
        <w:rPr>
          <w:color w:val="000000" w:themeColor="text1"/>
        </w:rPr>
        <w:t>G of the Act.</w:t>
      </w:r>
    </w:p>
    <w:p w:rsidR="004C41B2" w:rsidRPr="00BB0141" w:rsidRDefault="004C41B2" w:rsidP="004C41B2">
      <w:pPr>
        <w:pStyle w:val="ActHead5"/>
        <w:rPr>
          <w:color w:val="000000" w:themeColor="text1"/>
        </w:rPr>
      </w:pPr>
      <w:bookmarkStart w:id="22" w:name="_Toc357777883"/>
      <w:r w:rsidRPr="00BB0141">
        <w:rPr>
          <w:rStyle w:val="CharSectno"/>
        </w:rPr>
        <w:t>60.25</w:t>
      </w:r>
      <w:r w:rsidRPr="00BB0141">
        <w:rPr>
          <w:color w:val="000000" w:themeColor="text1"/>
        </w:rPr>
        <w:t xml:space="preserve">  Resolution of inconsistency</w:t>
      </w:r>
      <w:bookmarkEnd w:id="22"/>
    </w:p>
    <w:p w:rsidR="004C41B2" w:rsidRPr="00BB0141" w:rsidRDefault="004C41B2" w:rsidP="004C41B2">
      <w:pPr>
        <w:pStyle w:val="subsection"/>
        <w:rPr>
          <w:color w:val="000000" w:themeColor="text1"/>
        </w:rPr>
      </w:pPr>
      <w:r w:rsidRPr="00BB0141">
        <w:rPr>
          <w:color w:val="000000" w:themeColor="text1"/>
        </w:rPr>
        <w:tab/>
      </w:r>
      <w:r w:rsidRPr="00BB0141">
        <w:rPr>
          <w:color w:val="000000" w:themeColor="text1"/>
        </w:rPr>
        <w:tab/>
        <w:t>The financial statements and notes mentioned in Subdivision</w:t>
      </w:r>
      <w:r w:rsidR="00BB0141" w:rsidRPr="00BB0141">
        <w:rPr>
          <w:color w:val="000000" w:themeColor="text1"/>
        </w:rPr>
        <w:t> </w:t>
      </w:r>
      <w:r w:rsidRPr="00BB0141">
        <w:rPr>
          <w:color w:val="000000" w:themeColor="text1"/>
        </w:rPr>
        <w:t>60</w:t>
      </w:r>
      <w:r w:rsidR="00BB0141">
        <w:rPr>
          <w:color w:val="000000" w:themeColor="text1"/>
        </w:rPr>
        <w:noBreakHyphen/>
      </w:r>
      <w:r w:rsidRPr="00BB0141">
        <w:rPr>
          <w:color w:val="000000" w:themeColor="text1"/>
        </w:rPr>
        <w:t>B do not have to comply with the accounting standards to the extent to which the accounting standards are inconsistent with Subdivisions</w:t>
      </w:r>
      <w:r w:rsidR="00BB0141" w:rsidRPr="00BB0141">
        <w:rPr>
          <w:color w:val="000000" w:themeColor="text1"/>
        </w:rPr>
        <w:t> </w:t>
      </w:r>
      <w:r w:rsidRPr="00BB0141">
        <w:rPr>
          <w:color w:val="000000" w:themeColor="text1"/>
        </w:rPr>
        <w:t>60</w:t>
      </w:r>
      <w:r w:rsidR="00BB0141">
        <w:rPr>
          <w:color w:val="000000" w:themeColor="text1"/>
        </w:rPr>
        <w:noBreakHyphen/>
      </w:r>
      <w:r w:rsidRPr="00BB0141">
        <w:rPr>
          <w:color w:val="000000" w:themeColor="text1"/>
        </w:rPr>
        <w:t>E and 60</w:t>
      </w:r>
      <w:r w:rsidR="00BB0141">
        <w:rPr>
          <w:color w:val="000000" w:themeColor="text1"/>
        </w:rPr>
        <w:noBreakHyphen/>
      </w:r>
      <w:r w:rsidRPr="00BB0141">
        <w:rPr>
          <w:color w:val="000000" w:themeColor="text1"/>
        </w:rPr>
        <w:t>G of the Act.</w:t>
      </w:r>
    </w:p>
    <w:p w:rsidR="004C41B2" w:rsidRPr="00BB0141" w:rsidRDefault="004C41B2" w:rsidP="004C41B2">
      <w:pPr>
        <w:pStyle w:val="notetext"/>
        <w:rPr>
          <w:color w:val="000000" w:themeColor="text1"/>
        </w:rPr>
      </w:pPr>
      <w:r w:rsidRPr="00BB0141">
        <w:rPr>
          <w:color w:val="000000" w:themeColor="text1"/>
        </w:rPr>
        <w:t>Note 1:</w:t>
      </w:r>
      <w:r w:rsidRPr="00BB0141">
        <w:rPr>
          <w:color w:val="000000" w:themeColor="text1"/>
        </w:rPr>
        <w:tab/>
        <w:t>In requiring further information under Subdivision</w:t>
      </w:r>
      <w:r w:rsidR="00BB0141" w:rsidRPr="00BB0141">
        <w:rPr>
          <w:color w:val="000000" w:themeColor="text1"/>
        </w:rPr>
        <w:t> </w:t>
      </w:r>
      <w:r w:rsidRPr="00BB0141">
        <w:rPr>
          <w:color w:val="000000" w:themeColor="text1"/>
        </w:rPr>
        <w:t>60</w:t>
      </w:r>
      <w:r w:rsidR="00BB0141">
        <w:rPr>
          <w:color w:val="000000" w:themeColor="text1"/>
        </w:rPr>
        <w:noBreakHyphen/>
      </w:r>
      <w:r w:rsidRPr="00BB0141">
        <w:rPr>
          <w:color w:val="000000" w:themeColor="text1"/>
        </w:rPr>
        <w:t>E, or allowing joint and collective reporting under Subdivision</w:t>
      </w:r>
      <w:r w:rsidR="00BB0141" w:rsidRPr="00BB0141">
        <w:rPr>
          <w:color w:val="000000" w:themeColor="text1"/>
        </w:rPr>
        <w:t> </w:t>
      </w:r>
      <w:r w:rsidRPr="00BB0141">
        <w:rPr>
          <w:color w:val="000000" w:themeColor="text1"/>
        </w:rPr>
        <w:t>60</w:t>
      </w:r>
      <w:r w:rsidR="00BB0141">
        <w:rPr>
          <w:color w:val="000000" w:themeColor="text1"/>
        </w:rPr>
        <w:noBreakHyphen/>
      </w:r>
      <w:r w:rsidRPr="00BB0141">
        <w:rPr>
          <w:color w:val="000000" w:themeColor="text1"/>
        </w:rPr>
        <w:t>G, the Commissioner may specify requirements relating to the information or reports, including particular accounting standards that do not need to be complied with.</w:t>
      </w:r>
    </w:p>
    <w:p w:rsidR="004C41B2" w:rsidRPr="00BB0141" w:rsidRDefault="004C41B2" w:rsidP="004C41B2">
      <w:pPr>
        <w:pStyle w:val="notetext"/>
        <w:rPr>
          <w:color w:val="000000" w:themeColor="text1"/>
        </w:rPr>
      </w:pPr>
      <w:r w:rsidRPr="00BB0141">
        <w:rPr>
          <w:color w:val="000000" w:themeColor="text1"/>
        </w:rPr>
        <w:t>Note 2:</w:t>
      </w:r>
      <w:r w:rsidRPr="00BB0141">
        <w:rPr>
          <w:color w:val="000000" w:themeColor="text1"/>
        </w:rPr>
        <w:tab/>
        <w:t xml:space="preserve">A registered entity would not breach a requirement in the accounting standards to prepare a general purpose </w:t>
      </w:r>
      <w:r w:rsidR="00F647DF" w:rsidRPr="00BB0141">
        <w:rPr>
          <w:color w:val="000000" w:themeColor="text1"/>
        </w:rPr>
        <w:t>financial statement</w:t>
      </w:r>
      <w:r w:rsidRPr="00BB0141">
        <w:rPr>
          <w:color w:val="000000" w:themeColor="text1"/>
        </w:rPr>
        <w:t xml:space="preserve"> if this Subdivision does not require the entity to comply with the requirement.</w:t>
      </w:r>
    </w:p>
    <w:p w:rsidR="004C41B2" w:rsidRPr="00BB0141" w:rsidRDefault="004C41B2" w:rsidP="004C41B2">
      <w:pPr>
        <w:pStyle w:val="ActHead5"/>
        <w:rPr>
          <w:color w:val="000000" w:themeColor="text1"/>
        </w:rPr>
      </w:pPr>
      <w:bookmarkStart w:id="23" w:name="_Toc357777884"/>
      <w:r w:rsidRPr="00BB0141">
        <w:rPr>
          <w:rStyle w:val="CharSectno"/>
        </w:rPr>
        <w:lastRenderedPageBreak/>
        <w:t>60.30</w:t>
      </w:r>
      <w:r w:rsidRPr="00BB0141">
        <w:rPr>
          <w:color w:val="000000" w:themeColor="text1"/>
        </w:rPr>
        <w:t xml:space="preserve">  Special purpose </w:t>
      </w:r>
      <w:r w:rsidR="00F647DF" w:rsidRPr="00BB0141">
        <w:rPr>
          <w:color w:val="000000" w:themeColor="text1"/>
        </w:rPr>
        <w:t>financial statement</w:t>
      </w:r>
      <w:r w:rsidRPr="00BB0141">
        <w:rPr>
          <w:color w:val="000000" w:themeColor="text1"/>
        </w:rPr>
        <w:t>s</w:t>
      </w:r>
      <w:bookmarkEnd w:id="23"/>
    </w:p>
    <w:p w:rsidR="004C41B2" w:rsidRPr="00BB0141" w:rsidRDefault="004C41B2" w:rsidP="004C41B2">
      <w:pPr>
        <w:pStyle w:val="subsection"/>
      </w:pPr>
      <w:r w:rsidRPr="00BB0141">
        <w:tab/>
        <w:t>(1)</w:t>
      </w:r>
      <w:r w:rsidRPr="00BB0141">
        <w:tab/>
        <w:t>This section applies if a registered entity:</w:t>
      </w:r>
    </w:p>
    <w:p w:rsidR="00A810B4" w:rsidRPr="00BB0141" w:rsidRDefault="004C41B2" w:rsidP="004C41B2">
      <w:pPr>
        <w:pStyle w:val="paragraph"/>
      </w:pPr>
      <w:r w:rsidRPr="00BB0141">
        <w:tab/>
        <w:t>(a)</w:t>
      </w:r>
      <w:r w:rsidRPr="00BB0141">
        <w:tab/>
      </w:r>
      <w:r w:rsidR="00A810B4" w:rsidRPr="00BB0141">
        <w:t xml:space="preserve">is not required to prepare a general purpose </w:t>
      </w:r>
      <w:r w:rsidR="00F647DF" w:rsidRPr="00BB0141">
        <w:t>financial statement</w:t>
      </w:r>
      <w:r w:rsidR="005E240E" w:rsidRPr="00BB0141">
        <w:t>; and</w:t>
      </w:r>
    </w:p>
    <w:p w:rsidR="00A810B4" w:rsidRPr="00BB0141" w:rsidRDefault="005E240E" w:rsidP="00A810B4">
      <w:pPr>
        <w:pStyle w:val="paragraph"/>
      </w:pPr>
      <w:r w:rsidRPr="00BB0141">
        <w:tab/>
        <w:t>(b</w:t>
      </w:r>
      <w:r w:rsidR="00A810B4" w:rsidRPr="00BB0141">
        <w:t>)</w:t>
      </w:r>
      <w:r w:rsidR="00A810B4" w:rsidRPr="00BB0141">
        <w:tab/>
        <w:t>does not propose to</w:t>
      </w:r>
      <w:r w:rsidRPr="00BB0141">
        <w:t xml:space="preserve"> </w:t>
      </w:r>
      <w:r w:rsidR="00A810B4" w:rsidRPr="00BB0141">
        <w:t xml:space="preserve">prepare a general purpose </w:t>
      </w:r>
      <w:r w:rsidR="00F647DF" w:rsidRPr="00BB0141">
        <w:t>financial statement</w:t>
      </w:r>
      <w:r w:rsidR="00A810B4" w:rsidRPr="00BB0141">
        <w:t>.</w:t>
      </w:r>
    </w:p>
    <w:p w:rsidR="004C41B2" w:rsidRPr="00BB0141" w:rsidRDefault="004C41B2" w:rsidP="00BE6785">
      <w:pPr>
        <w:pStyle w:val="subsection"/>
      </w:pPr>
      <w:r w:rsidRPr="00BB0141">
        <w:tab/>
        <w:t>(2)</w:t>
      </w:r>
      <w:r w:rsidRPr="00BB0141">
        <w:tab/>
        <w:t xml:space="preserve">Each accounting standard mentioned in the following table is taken to apply in relation to the registered entity and </w:t>
      </w:r>
      <w:r w:rsidR="00BB7212" w:rsidRPr="00BB0141">
        <w:t xml:space="preserve">the preparation of </w:t>
      </w:r>
      <w:r w:rsidR="00FE27AF" w:rsidRPr="00BB0141">
        <w:t xml:space="preserve">a </w:t>
      </w:r>
      <w:r w:rsidRPr="00BB0141">
        <w:t xml:space="preserve">special purpose </w:t>
      </w:r>
      <w:r w:rsidR="00F647DF" w:rsidRPr="00BB0141">
        <w:t>financial statement</w:t>
      </w:r>
      <w:r w:rsidR="00BE6785" w:rsidRPr="00BB0141">
        <w:t xml:space="preserve"> unless </w:t>
      </w:r>
      <w:r w:rsidRPr="00BB0141">
        <w:t xml:space="preserve">the Commissioner allows the registered entity not to comply with </w:t>
      </w:r>
      <w:r w:rsidR="00BE6785" w:rsidRPr="00BB0141">
        <w:t xml:space="preserve">part or all of </w:t>
      </w:r>
      <w:r w:rsidRPr="00BB0141">
        <w:t>the accounting standard.</w:t>
      </w:r>
    </w:p>
    <w:p w:rsidR="004C41B2" w:rsidRPr="00BB0141" w:rsidRDefault="004C41B2" w:rsidP="004C41B2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6373"/>
      </w:tblGrid>
      <w:tr w:rsidR="004C41B2" w:rsidRPr="00BB0141" w:rsidTr="004C41B2">
        <w:trPr>
          <w:tblHeader/>
        </w:trPr>
        <w:tc>
          <w:tcPr>
            <w:tcW w:w="7087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C41B2" w:rsidRPr="00BB0141" w:rsidRDefault="004C41B2" w:rsidP="004C41B2">
            <w:pPr>
              <w:pStyle w:val="TableHeading"/>
            </w:pPr>
            <w:r w:rsidRPr="00BB0141">
              <w:t>Accounting standards</w:t>
            </w:r>
          </w:p>
        </w:tc>
      </w:tr>
      <w:tr w:rsidR="004C41B2" w:rsidRPr="00BB0141" w:rsidTr="004C41B2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C41B2" w:rsidRPr="00BB0141" w:rsidRDefault="004C41B2" w:rsidP="004C41B2">
            <w:pPr>
              <w:pStyle w:val="TableHeading"/>
            </w:pPr>
            <w:r w:rsidRPr="00BB0141">
              <w:t>Item</w:t>
            </w:r>
          </w:p>
        </w:tc>
        <w:tc>
          <w:tcPr>
            <w:tcW w:w="637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C41B2" w:rsidRPr="00BB0141" w:rsidRDefault="004C41B2" w:rsidP="004C41B2">
            <w:pPr>
              <w:pStyle w:val="TableHeading"/>
            </w:pPr>
            <w:r w:rsidRPr="00BB0141">
              <w:t>Standard</w:t>
            </w:r>
          </w:p>
        </w:tc>
      </w:tr>
      <w:tr w:rsidR="004C41B2" w:rsidRPr="00BB0141" w:rsidTr="004C41B2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4C41B2" w:rsidRPr="00BB0141" w:rsidRDefault="004C41B2" w:rsidP="004C41B2">
            <w:pPr>
              <w:pStyle w:val="Tabletext"/>
            </w:pPr>
            <w:r w:rsidRPr="00BB0141">
              <w:t>1</w:t>
            </w:r>
          </w:p>
        </w:tc>
        <w:tc>
          <w:tcPr>
            <w:tcW w:w="6373" w:type="dxa"/>
            <w:tcBorders>
              <w:top w:val="single" w:sz="12" w:space="0" w:color="auto"/>
            </w:tcBorders>
            <w:shd w:val="clear" w:color="auto" w:fill="auto"/>
          </w:tcPr>
          <w:p w:rsidR="004C41B2" w:rsidRPr="00BB0141" w:rsidRDefault="004C41B2" w:rsidP="004C41B2">
            <w:pPr>
              <w:pStyle w:val="Tabletext"/>
            </w:pPr>
            <w:r w:rsidRPr="00BB0141">
              <w:t xml:space="preserve">AASB 101, </w:t>
            </w:r>
            <w:r w:rsidRPr="00BB0141">
              <w:rPr>
                <w:i/>
              </w:rPr>
              <w:t>Presentation of Financial Statements</w:t>
            </w:r>
          </w:p>
        </w:tc>
      </w:tr>
      <w:tr w:rsidR="004C41B2" w:rsidRPr="00BB0141" w:rsidTr="004C41B2">
        <w:tc>
          <w:tcPr>
            <w:tcW w:w="714" w:type="dxa"/>
            <w:shd w:val="clear" w:color="auto" w:fill="auto"/>
          </w:tcPr>
          <w:p w:rsidR="004C41B2" w:rsidRPr="00BB0141" w:rsidRDefault="004C41B2" w:rsidP="004C41B2">
            <w:pPr>
              <w:pStyle w:val="Tabletext"/>
            </w:pPr>
            <w:r w:rsidRPr="00BB0141">
              <w:t>2</w:t>
            </w:r>
          </w:p>
        </w:tc>
        <w:tc>
          <w:tcPr>
            <w:tcW w:w="6373" w:type="dxa"/>
            <w:shd w:val="clear" w:color="auto" w:fill="auto"/>
          </w:tcPr>
          <w:p w:rsidR="004C41B2" w:rsidRPr="00BB0141" w:rsidRDefault="004C41B2" w:rsidP="004C41B2">
            <w:pPr>
              <w:pStyle w:val="Tabletext"/>
            </w:pPr>
            <w:r w:rsidRPr="00BB0141">
              <w:t xml:space="preserve">AASB 107, </w:t>
            </w:r>
            <w:r w:rsidRPr="00BB0141">
              <w:rPr>
                <w:i/>
              </w:rPr>
              <w:t>Statement of Cash Flows</w:t>
            </w:r>
          </w:p>
        </w:tc>
      </w:tr>
      <w:tr w:rsidR="004C41B2" w:rsidRPr="00BB0141" w:rsidTr="004C41B2">
        <w:tc>
          <w:tcPr>
            <w:tcW w:w="714" w:type="dxa"/>
            <w:shd w:val="clear" w:color="auto" w:fill="auto"/>
          </w:tcPr>
          <w:p w:rsidR="004C41B2" w:rsidRPr="00BB0141" w:rsidRDefault="004C41B2" w:rsidP="004C41B2">
            <w:pPr>
              <w:pStyle w:val="Tabletext"/>
            </w:pPr>
            <w:r w:rsidRPr="00BB0141">
              <w:t>3</w:t>
            </w:r>
          </w:p>
        </w:tc>
        <w:tc>
          <w:tcPr>
            <w:tcW w:w="6373" w:type="dxa"/>
            <w:shd w:val="clear" w:color="auto" w:fill="auto"/>
          </w:tcPr>
          <w:p w:rsidR="004C41B2" w:rsidRPr="00BB0141" w:rsidRDefault="004C41B2" w:rsidP="004C41B2">
            <w:pPr>
              <w:pStyle w:val="Tabletext"/>
            </w:pPr>
            <w:r w:rsidRPr="00BB0141">
              <w:t xml:space="preserve">AASB 108, </w:t>
            </w:r>
            <w:r w:rsidRPr="00BB0141">
              <w:rPr>
                <w:i/>
              </w:rPr>
              <w:t>Accounting Policies, Changes in Accounting Estimates and Errors</w:t>
            </w:r>
          </w:p>
        </w:tc>
      </w:tr>
      <w:tr w:rsidR="004C41B2" w:rsidRPr="00BB0141" w:rsidTr="004C41B2">
        <w:tc>
          <w:tcPr>
            <w:tcW w:w="714" w:type="dxa"/>
            <w:shd w:val="clear" w:color="auto" w:fill="auto"/>
          </w:tcPr>
          <w:p w:rsidR="004C41B2" w:rsidRPr="00BB0141" w:rsidRDefault="004C41B2" w:rsidP="004C41B2">
            <w:pPr>
              <w:pStyle w:val="Tabletext"/>
            </w:pPr>
            <w:r w:rsidRPr="00BB0141">
              <w:t>4</w:t>
            </w:r>
          </w:p>
        </w:tc>
        <w:tc>
          <w:tcPr>
            <w:tcW w:w="6373" w:type="dxa"/>
            <w:shd w:val="clear" w:color="auto" w:fill="auto"/>
          </w:tcPr>
          <w:p w:rsidR="004C41B2" w:rsidRPr="00BB0141" w:rsidRDefault="004C41B2" w:rsidP="004C41B2">
            <w:pPr>
              <w:pStyle w:val="Tabletext"/>
            </w:pPr>
            <w:r w:rsidRPr="00BB0141">
              <w:t xml:space="preserve">AASB 1031, </w:t>
            </w:r>
            <w:r w:rsidRPr="00BB0141">
              <w:rPr>
                <w:i/>
              </w:rPr>
              <w:t>Materiality</w:t>
            </w:r>
          </w:p>
        </w:tc>
      </w:tr>
      <w:tr w:rsidR="004C41B2" w:rsidRPr="00BB0141" w:rsidTr="004C41B2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4C41B2" w:rsidRPr="00BB0141" w:rsidRDefault="004C41B2" w:rsidP="004C41B2">
            <w:pPr>
              <w:pStyle w:val="Tabletext"/>
            </w:pPr>
            <w:r w:rsidRPr="00BB0141">
              <w:t>5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shd w:val="clear" w:color="auto" w:fill="auto"/>
          </w:tcPr>
          <w:p w:rsidR="004C41B2" w:rsidRPr="00BB0141" w:rsidRDefault="004C41B2" w:rsidP="004C41B2">
            <w:pPr>
              <w:pStyle w:val="Tabletext"/>
            </w:pPr>
            <w:r w:rsidRPr="00BB0141">
              <w:t xml:space="preserve">AASB 1048, </w:t>
            </w:r>
            <w:r w:rsidRPr="00BB0141">
              <w:rPr>
                <w:i/>
              </w:rPr>
              <w:t>Interpretation of Standards</w:t>
            </w:r>
          </w:p>
        </w:tc>
      </w:tr>
      <w:tr w:rsidR="004C41B2" w:rsidRPr="00BB0141" w:rsidTr="004C41B2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4C41B2" w:rsidRPr="00BB0141" w:rsidRDefault="004C41B2" w:rsidP="004C41B2">
            <w:pPr>
              <w:pStyle w:val="Tabletext"/>
            </w:pPr>
            <w:r w:rsidRPr="00BB0141">
              <w:t>6</w:t>
            </w:r>
          </w:p>
        </w:tc>
        <w:tc>
          <w:tcPr>
            <w:tcW w:w="6373" w:type="dxa"/>
            <w:tcBorders>
              <w:bottom w:val="single" w:sz="12" w:space="0" w:color="auto"/>
            </w:tcBorders>
            <w:shd w:val="clear" w:color="auto" w:fill="auto"/>
          </w:tcPr>
          <w:p w:rsidR="004C41B2" w:rsidRPr="00BB0141" w:rsidRDefault="004C41B2" w:rsidP="004C41B2">
            <w:pPr>
              <w:pStyle w:val="Tabletext"/>
            </w:pPr>
            <w:r w:rsidRPr="00BB0141">
              <w:t xml:space="preserve">AASB 1054, </w:t>
            </w:r>
            <w:r w:rsidRPr="00BB0141">
              <w:rPr>
                <w:i/>
              </w:rPr>
              <w:t>Australian Additional Disclosures</w:t>
            </w:r>
          </w:p>
        </w:tc>
      </w:tr>
    </w:tbl>
    <w:p w:rsidR="00BB7212" w:rsidRPr="00BB0141" w:rsidRDefault="00BB7212" w:rsidP="00BB7212">
      <w:pPr>
        <w:pStyle w:val="Tabletext"/>
      </w:pPr>
    </w:p>
    <w:p w:rsidR="00BB7212" w:rsidRPr="00BB0141" w:rsidRDefault="00BB7212" w:rsidP="00BB7212">
      <w:pPr>
        <w:pStyle w:val="subsection"/>
      </w:pPr>
      <w:r w:rsidRPr="00BB0141">
        <w:tab/>
        <w:t>(3)</w:t>
      </w:r>
      <w:r w:rsidRPr="00BB0141">
        <w:tab/>
        <w:t xml:space="preserve">However, </w:t>
      </w:r>
      <w:r w:rsidR="00BB0141" w:rsidRPr="00BB0141">
        <w:t>subsection (</w:t>
      </w:r>
      <w:r w:rsidRPr="00BB0141">
        <w:t xml:space="preserve">2) </w:t>
      </w:r>
      <w:r w:rsidR="006023BA" w:rsidRPr="00BB0141">
        <w:t>does not apply to any part of an accounting standard referred to in the table in that subsection that is expressed to apply only to a reporting entity.</w:t>
      </w:r>
    </w:p>
    <w:p w:rsidR="004C41B2" w:rsidRPr="00BB0141" w:rsidRDefault="004C41B2" w:rsidP="004C41B2">
      <w:pPr>
        <w:pStyle w:val="ActHead4"/>
        <w:rPr>
          <w:color w:val="000000" w:themeColor="text1"/>
        </w:rPr>
      </w:pPr>
      <w:bookmarkStart w:id="24" w:name="_Toc357777885"/>
      <w:r w:rsidRPr="00BB0141">
        <w:rPr>
          <w:rStyle w:val="CharSubdNo"/>
        </w:rPr>
        <w:t>Subdivision</w:t>
      </w:r>
      <w:r w:rsidR="00BB0141" w:rsidRPr="00BB0141">
        <w:rPr>
          <w:rStyle w:val="CharSubdNo"/>
        </w:rPr>
        <w:t> </w:t>
      </w:r>
      <w:r w:rsidRPr="00BB0141">
        <w:rPr>
          <w:rStyle w:val="CharSubdNo"/>
        </w:rPr>
        <w:t>60</w:t>
      </w:r>
      <w:r w:rsidR="00BB0141" w:rsidRPr="00BB0141">
        <w:rPr>
          <w:rStyle w:val="CharSubdNo"/>
        </w:rPr>
        <w:noBreakHyphen/>
      </w:r>
      <w:r w:rsidRPr="00BB0141">
        <w:rPr>
          <w:rStyle w:val="CharSubdNo"/>
        </w:rPr>
        <w:t>D</w:t>
      </w:r>
      <w:r w:rsidRPr="00BB0141">
        <w:rPr>
          <w:color w:val="000000" w:themeColor="text1"/>
        </w:rPr>
        <w:t>—</w:t>
      </w:r>
      <w:r w:rsidRPr="00BB0141">
        <w:rPr>
          <w:rStyle w:val="CharSubdText"/>
        </w:rPr>
        <w:t>Requirements for annual financial reports (transitional rules)</w:t>
      </w:r>
      <w:bookmarkEnd w:id="24"/>
    </w:p>
    <w:p w:rsidR="004C41B2" w:rsidRPr="00BB0141" w:rsidRDefault="004C41B2" w:rsidP="004C41B2">
      <w:pPr>
        <w:pStyle w:val="ActHead5"/>
        <w:rPr>
          <w:color w:val="000000" w:themeColor="text1"/>
        </w:rPr>
      </w:pPr>
      <w:bookmarkStart w:id="25" w:name="_Toc357777886"/>
      <w:r w:rsidRPr="00BB0141">
        <w:rPr>
          <w:rStyle w:val="CharSectno"/>
        </w:rPr>
        <w:t>60.35</w:t>
      </w:r>
      <w:r w:rsidRPr="00BB0141">
        <w:rPr>
          <w:color w:val="000000" w:themeColor="text1"/>
        </w:rPr>
        <w:t xml:space="preserve">  Application of Subdivision</w:t>
      </w:r>
      <w:r w:rsidR="00BB0141" w:rsidRPr="00BB0141">
        <w:rPr>
          <w:color w:val="000000" w:themeColor="text1"/>
        </w:rPr>
        <w:t> </w:t>
      </w:r>
      <w:r w:rsidRPr="00BB0141">
        <w:rPr>
          <w:color w:val="000000" w:themeColor="text1"/>
        </w:rPr>
        <w:t>60</w:t>
      </w:r>
      <w:r w:rsidR="00BB0141">
        <w:rPr>
          <w:color w:val="000000" w:themeColor="text1"/>
        </w:rPr>
        <w:noBreakHyphen/>
      </w:r>
      <w:r w:rsidRPr="00BB0141">
        <w:rPr>
          <w:color w:val="000000" w:themeColor="text1"/>
        </w:rPr>
        <w:t>D</w:t>
      </w:r>
      <w:bookmarkEnd w:id="25"/>
    </w:p>
    <w:p w:rsidR="004C41B2" w:rsidRPr="00BB0141" w:rsidRDefault="004C41B2" w:rsidP="004C41B2">
      <w:pPr>
        <w:pStyle w:val="subsection"/>
        <w:rPr>
          <w:color w:val="000000" w:themeColor="text1"/>
        </w:rPr>
      </w:pPr>
      <w:r w:rsidRPr="00BB0141">
        <w:rPr>
          <w:color w:val="000000" w:themeColor="text1"/>
        </w:rPr>
        <w:tab/>
      </w:r>
      <w:r w:rsidRPr="00BB0141">
        <w:rPr>
          <w:color w:val="000000" w:themeColor="text1"/>
        </w:rPr>
        <w:tab/>
        <w:t>This Subdivision applies if a registered entity:</w:t>
      </w:r>
    </w:p>
    <w:p w:rsidR="004C41B2" w:rsidRPr="00BB0141" w:rsidRDefault="004C41B2" w:rsidP="004C41B2">
      <w:pPr>
        <w:pStyle w:val="paragraph"/>
      </w:pPr>
      <w:r w:rsidRPr="00BB0141">
        <w:lastRenderedPageBreak/>
        <w:tab/>
        <w:t>(a)</w:t>
      </w:r>
      <w:r w:rsidRPr="00BB0141">
        <w:tab/>
        <w:t xml:space="preserve">was not required, under an Australian law, to prepare a financial report that complied with the accounting standards </w:t>
      </w:r>
      <w:r w:rsidRPr="00BB0141">
        <w:rPr>
          <w:color w:val="000000" w:themeColor="text1"/>
        </w:rPr>
        <w:t xml:space="preserve">in the </w:t>
      </w:r>
      <w:r w:rsidRPr="00BB0141">
        <w:t>2012</w:t>
      </w:r>
      <w:r w:rsidR="00BB0141">
        <w:noBreakHyphen/>
      </w:r>
      <w:r w:rsidRPr="00BB0141">
        <w:t xml:space="preserve">13 financial year, or a substituted accounting period that commenced during </w:t>
      </w:r>
      <w:r w:rsidRPr="00BB0141">
        <w:rPr>
          <w:color w:val="000000" w:themeColor="text1"/>
        </w:rPr>
        <w:t xml:space="preserve">the </w:t>
      </w:r>
      <w:r w:rsidRPr="00BB0141">
        <w:t>2012</w:t>
      </w:r>
      <w:r w:rsidR="00BB0141">
        <w:noBreakHyphen/>
      </w:r>
      <w:r w:rsidRPr="00BB0141">
        <w:t>13 financial year; and</w:t>
      </w:r>
    </w:p>
    <w:p w:rsidR="004C41B2" w:rsidRPr="00BB0141" w:rsidRDefault="004C41B2" w:rsidP="004C41B2">
      <w:pPr>
        <w:pStyle w:val="paragraph"/>
      </w:pPr>
      <w:r w:rsidRPr="00BB0141">
        <w:tab/>
        <w:t>(b)</w:t>
      </w:r>
      <w:r w:rsidRPr="00BB0141">
        <w:tab/>
        <w:t>did not prepare a financial report for that financial year</w:t>
      </w:r>
      <w:r w:rsidR="00261B01" w:rsidRPr="00BB0141">
        <w:t>,</w:t>
      </w:r>
      <w:r w:rsidRPr="00BB0141">
        <w:t xml:space="preserve"> or substituted accounting period</w:t>
      </w:r>
      <w:r w:rsidR="00261B01" w:rsidRPr="00BB0141">
        <w:t>, that:</w:t>
      </w:r>
    </w:p>
    <w:p w:rsidR="00261B01" w:rsidRPr="00BB0141" w:rsidRDefault="00261B01" w:rsidP="00261B01">
      <w:pPr>
        <w:pStyle w:val="paragraphsub"/>
      </w:pPr>
      <w:r w:rsidRPr="00BB0141">
        <w:tab/>
        <w:t>(i)</w:t>
      </w:r>
      <w:r w:rsidRPr="00BB0141">
        <w:tab/>
        <w:t xml:space="preserve">complied with the </w:t>
      </w:r>
      <w:r w:rsidR="005E240E" w:rsidRPr="00BB0141">
        <w:t>accounting</w:t>
      </w:r>
      <w:r w:rsidRPr="00BB0141">
        <w:t xml:space="preserve"> standards; or</w:t>
      </w:r>
    </w:p>
    <w:p w:rsidR="00261B01" w:rsidRPr="00BB0141" w:rsidRDefault="00261B01" w:rsidP="00261B01">
      <w:pPr>
        <w:pStyle w:val="paragraphsub"/>
      </w:pPr>
      <w:r w:rsidRPr="00BB0141">
        <w:tab/>
        <w:t>(ii)</w:t>
      </w:r>
      <w:r w:rsidRPr="00BB0141">
        <w:tab/>
        <w:t xml:space="preserve">purported to comply with the </w:t>
      </w:r>
      <w:r w:rsidR="005E240E" w:rsidRPr="00BB0141">
        <w:t>accounting</w:t>
      </w:r>
      <w:r w:rsidRPr="00BB0141">
        <w:t xml:space="preserve"> standards.</w:t>
      </w:r>
    </w:p>
    <w:p w:rsidR="004C41B2" w:rsidRPr="00BB0141" w:rsidRDefault="004C41B2" w:rsidP="004C41B2">
      <w:pPr>
        <w:pStyle w:val="ActHead5"/>
        <w:rPr>
          <w:color w:val="000000" w:themeColor="text1"/>
        </w:rPr>
      </w:pPr>
      <w:bookmarkStart w:id="26" w:name="_Toc357777887"/>
      <w:r w:rsidRPr="00BB0141">
        <w:rPr>
          <w:rStyle w:val="CharSectno"/>
        </w:rPr>
        <w:t>60.40</w:t>
      </w:r>
      <w:r w:rsidRPr="00BB0141">
        <w:rPr>
          <w:color w:val="000000" w:themeColor="text1"/>
        </w:rPr>
        <w:t xml:space="preserve">  Financial statement</w:t>
      </w:r>
      <w:bookmarkEnd w:id="26"/>
    </w:p>
    <w:p w:rsidR="004C41B2" w:rsidRPr="00BB0141" w:rsidRDefault="004C41B2" w:rsidP="004C41B2">
      <w:pPr>
        <w:pStyle w:val="subsection"/>
      </w:pPr>
      <w:r w:rsidRPr="00BB0141">
        <w:tab/>
        <w:t>(1)</w:t>
      </w:r>
      <w:r w:rsidRPr="00BB0141">
        <w:tab/>
        <w:t xml:space="preserve">The registered entity’s </w:t>
      </w:r>
      <w:r w:rsidRPr="00BB0141">
        <w:rPr>
          <w:color w:val="000000" w:themeColor="text1"/>
        </w:rPr>
        <w:t xml:space="preserve">financial statement for the </w:t>
      </w:r>
      <w:r w:rsidRPr="00BB0141">
        <w:t>2013</w:t>
      </w:r>
      <w:r w:rsidR="00BB0141">
        <w:noBreakHyphen/>
      </w:r>
      <w:r w:rsidRPr="00BB0141">
        <w:t xml:space="preserve">14 financial year, or a substituted accounting period that commences during </w:t>
      </w:r>
      <w:r w:rsidRPr="00BB0141">
        <w:rPr>
          <w:color w:val="000000" w:themeColor="text1"/>
        </w:rPr>
        <w:t xml:space="preserve">the </w:t>
      </w:r>
      <w:r w:rsidRPr="00BB0141">
        <w:t>2013</w:t>
      </w:r>
      <w:r w:rsidR="00BB0141">
        <w:noBreakHyphen/>
      </w:r>
      <w:r w:rsidRPr="00BB0141">
        <w:t>14 financial year, must comply with section</w:t>
      </w:r>
      <w:r w:rsidR="00BB0141" w:rsidRPr="00BB0141">
        <w:t> </w:t>
      </w:r>
      <w:r w:rsidRPr="00BB0141">
        <w:t>60.10</w:t>
      </w:r>
      <w:r w:rsidR="005E240E" w:rsidRPr="00BB0141">
        <w:t>,</w:t>
      </w:r>
      <w:r w:rsidRPr="00BB0141">
        <w:t xml:space="preserve"> </w:t>
      </w:r>
      <w:r w:rsidR="00BB0141" w:rsidRPr="00BB0141">
        <w:t>subsection (</w:t>
      </w:r>
      <w:r w:rsidRPr="00BB0141">
        <w:t>2)</w:t>
      </w:r>
      <w:r w:rsidR="005E240E" w:rsidRPr="00BB0141">
        <w:t xml:space="preserve"> or </w:t>
      </w:r>
      <w:r w:rsidR="00BB0141" w:rsidRPr="00BB0141">
        <w:t>subsection (</w:t>
      </w:r>
      <w:r w:rsidR="005E240E" w:rsidRPr="00BB0141">
        <w:t>3)</w:t>
      </w:r>
      <w:r w:rsidRPr="00BB0141">
        <w:t>.</w:t>
      </w:r>
    </w:p>
    <w:p w:rsidR="004C41B2" w:rsidRPr="00BB0141" w:rsidRDefault="004C41B2" w:rsidP="004C41B2">
      <w:pPr>
        <w:pStyle w:val="subsection"/>
      </w:pPr>
      <w:r w:rsidRPr="00BB0141">
        <w:tab/>
        <w:t>(2)</w:t>
      </w:r>
      <w:r w:rsidRPr="00BB0141">
        <w:tab/>
      </w:r>
      <w:r w:rsidR="005E240E" w:rsidRPr="00BB0141">
        <w:t>For a medium registered entity, a</w:t>
      </w:r>
      <w:r w:rsidRPr="00BB0141">
        <w:t xml:space="preserve"> statement that complies with this subsection must consist of the information set out in the following table.</w:t>
      </w:r>
    </w:p>
    <w:p w:rsidR="004C41B2" w:rsidRPr="00BB0141" w:rsidRDefault="004C41B2" w:rsidP="004C41B2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6373"/>
      </w:tblGrid>
      <w:tr w:rsidR="004C41B2" w:rsidRPr="00BB0141" w:rsidTr="004C41B2">
        <w:trPr>
          <w:tblHeader/>
        </w:trPr>
        <w:tc>
          <w:tcPr>
            <w:tcW w:w="7087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C41B2" w:rsidRPr="00BB0141" w:rsidRDefault="004C41B2" w:rsidP="004C41B2">
            <w:pPr>
              <w:pStyle w:val="TableHeading"/>
            </w:pPr>
            <w:r w:rsidRPr="00BB0141">
              <w:t>Information</w:t>
            </w:r>
          </w:p>
        </w:tc>
      </w:tr>
      <w:tr w:rsidR="004C41B2" w:rsidRPr="00BB0141" w:rsidTr="004C41B2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C41B2" w:rsidRPr="00BB0141" w:rsidRDefault="004C41B2" w:rsidP="004C41B2">
            <w:pPr>
              <w:pStyle w:val="TableHeading"/>
            </w:pPr>
            <w:r w:rsidRPr="00BB0141">
              <w:t>Item</w:t>
            </w:r>
          </w:p>
        </w:tc>
        <w:tc>
          <w:tcPr>
            <w:tcW w:w="637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C41B2" w:rsidRPr="00BB0141" w:rsidRDefault="004C41B2" w:rsidP="004C41B2">
            <w:pPr>
              <w:pStyle w:val="TableHeading"/>
            </w:pPr>
            <w:r w:rsidRPr="00BB0141">
              <w:t>Information</w:t>
            </w:r>
          </w:p>
        </w:tc>
      </w:tr>
      <w:tr w:rsidR="004C41B2" w:rsidRPr="00BB0141" w:rsidTr="004C41B2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4C41B2" w:rsidRPr="00BB0141" w:rsidRDefault="004C41B2" w:rsidP="004C41B2">
            <w:pPr>
              <w:pStyle w:val="Tabletext"/>
            </w:pPr>
          </w:p>
        </w:tc>
        <w:tc>
          <w:tcPr>
            <w:tcW w:w="6373" w:type="dxa"/>
            <w:tcBorders>
              <w:top w:val="single" w:sz="12" w:space="0" w:color="auto"/>
            </w:tcBorders>
            <w:shd w:val="clear" w:color="auto" w:fill="auto"/>
          </w:tcPr>
          <w:p w:rsidR="004C41B2" w:rsidRPr="00BB0141" w:rsidRDefault="004C41B2" w:rsidP="004C41B2">
            <w:pPr>
              <w:pStyle w:val="TableHeading"/>
              <w:rPr>
                <w:i/>
              </w:rPr>
            </w:pPr>
            <w:r w:rsidRPr="00BB0141">
              <w:rPr>
                <w:i/>
              </w:rPr>
              <w:t>Income statement—gross income</w:t>
            </w:r>
          </w:p>
        </w:tc>
      </w:tr>
      <w:tr w:rsidR="004C41B2" w:rsidRPr="00BB0141" w:rsidTr="004C41B2">
        <w:tc>
          <w:tcPr>
            <w:tcW w:w="714" w:type="dxa"/>
            <w:shd w:val="clear" w:color="auto" w:fill="auto"/>
          </w:tcPr>
          <w:p w:rsidR="004C41B2" w:rsidRPr="00BB0141" w:rsidRDefault="004C41B2" w:rsidP="004C41B2">
            <w:pPr>
              <w:pStyle w:val="Tabletext"/>
            </w:pPr>
            <w:r w:rsidRPr="00BB0141">
              <w:t>1</w:t>
            </w:r>
          </w:p>
        </w:tc>
        <w:tc>
          <w:tcPr>
            <w:tcW w:w="6373" w:type="dxa"/>
            <w:shd w:val="clear" w:color="auto" w:fill="auto"/>
          </w:tcPr>
          <w:p w:rsidR="004C41B2" w:rsidRPr="00BB0141" w:rsidRDefault="00F647DF" w:rsidP="00F647DF">
            <w:pPr>
              <w:pStyle w:val="Tabletext"/>
            </w:pPr>
            <w:r w:rsidRPr="00BB0141">
              <w:t>Government grants</w:t>
            </w:r>
          </w:p>
        </w:tc>
      </w:tr>
      <w:tr w:rsidR="004C41B2" w:rsidRPr="00BB0141" w:rsidTr="004C41B2">
        <w:tc>
          <w:tcPr>
            <w:tcW w:w="714" w:type="dxa"/>
            <w:shd w:val="clear" w:color="auto" w:fill="auto"/>
          </w:tcPr>
          <w:p w:rsidR="004C41B2" w:rsidRPr="00BB0141" w:rsidRDefault="00002040" w:rsidP="004C41B2">
            <w:pPr>
              <w:pStyle w:val="Tabletext"/>
            </w:pPr>
            <w:r w:rsidRPr="00BB0141">
              <w:t>2</w:t>
            </w:r>
          </w:p>
        </w:tc>
        <w:tc>
          <w:tcPr>
            <w:tcW w:w="6373" w:type="dxa"/>
            <w:shd w:val="clear" w:color="auto" w:fill="auto"/>
          </w:tcPr>
          <w:p w:rsidR="004C41B2" w:rsidRPr="00BB0141" w:rsidRDefault="004C41B2" w:rsidP="004C41B2">
            <w:pPr>
              <w:pStyle w:val="Tabletext"/>
            </w:pPr>
            <w:r w:rsidRPr="00BB0141">
              <w:t>Donations and bequests</w:t>
            </w:r>
          </w:p>
        </w:tc>
      </w:tr>
      <w:tr w:rsidR="004C41B2" w:rsidRPr="00BB0141" w:rsidTr="004C41B2">
        <w:tc>
          <w:tcPr>
            <w:tcW w:w="714" w:type="dxa"/>
            <w:shd w:val="clear" w:color="auto" w:fill="auto"/>
          </w:tcPr>
          <w:p w:rsidR="004C41B2" w:rsidRPr="00BB0141" w:rsidRDefault="00002040" w:rsidP="004C41B2">
            <w:pPr>
              <w:pStyle w:val="Tabletext"/>
            </w:pPr>
            <w:r w:rsidRPr="00BB0141">
              <w:t>3</w:t>
            </w:r>
          </w:p>
        </w:tc>
        <w:tc>
          <w:tcPr>
            <w:tcW w:w="6373" w:type="dxa"/>
            <w:shd w:val="clear" w:color="auto" w:fill="auto"/>
          </w:tcPr>
          <w:p w:rsidR="004C41B2" w:rsidRPr="00BB0141" w:rsidRDefault="004C41B2" w:rsidP="004C41B2">
            <w:pPr>
              <w:pStyle w:val="Tabletext"/>
            </w:pPr>
            <w:r w:rsidRPr="00BB0141">
              <w:t>All other revenue</w:t>
            </w:r>
          </w:p>
        </w:tc>
      </w:tr>
      <w:tr w:rsidR="004C41B2" w:rsidRPr="00BB0141" w:rsidTr="004C41B2">
        <w:tc>
          <w:tcPr>
            <w:tcW w:w="714" w:type="dxa"/>
            <w:shd w:val="clear" w:color="auto" w:fill="auto"/>
          </w:tcPr>
          <w:p w:rsidR="004C41B2" w:rsidRPr="00BB0141" w:rsidRDefault="00002040" w:rsidP="004C41B2">
            <w:pPr>
              <w:pStyle w:val="Tabletext"/>
            </w:pPr>
            <w:r w:rsidRPr="00BB0141">
              <w:t>4</w:t>
            </w:r>
          </w:p>
        </w:tc>
        <w:tc>
          <w:tcPr>
            <w:tcW w:w="6373" w:type="dxa"/>
            <w:shd w:val="clear" w:color="auto" w:fill="auto"/>
          </w:tcPr>
          <w:p w:rsidR="004C41B2" w:rsidRPr="00BB0141" w:rsidRDefault="004C41B2" w:rsidP="004C41B2">
            <w:pPr>
              <w:pStyle w:val="Tabletext"/>
            </w:pPr>
            <w:r w:rsidRPr="00BB0141">
              <w:t>Total revenue</w:t>
            </w:r>
          </w:p>
        </w:tc>
      </w:tr>
      <w:tr w:rsidR="004C41B2" w:rsidRPr="00BB0141" w:rsidTr="004C41B2">
        <w:tc>
          <w:tcPr>
            <w:tcW w:w="714" w:type="dxa"/>
            <w:shd w:val="clear" w:color="auto" w:fill="auto"/>
          </w:tcPr>
          <w:p w:rsidR="004C41B2" w:rsidRPr="00BB0141" w:rsidRDefault="00002040" w:rsidP="004C41B2">
            <w:pPr>
              <w:pStyle w:val="Tabletext"/>
            </w:pPr>
            <w:r w:rsidRPr="00BB0141">
              <w:t>5</w:t>
            </w:r>
          </w:p>
        </w:tc>
        <w:tc>
          <w:tcPr>
            <w:tcW w:w="6373" w:type="dxa"/>
            <w:shd w:val="clear" w:color="auto" w:fill="auto"/>
          </w:tcPr>
          <w:p w:rsidR="004C41B2" w:rsidRPr="00BB0141" w:rsidRDefault="005E240E" w:rsidP="004C41B2">
            <w:pPr>
              <w:pStyle w:val="Tabletext"/>
            </w:pPr>
            <w:r w:rsidRPr="00BB0141">
              <w:t>Other income</w:t>
            </w:r>
          </w:p>
        </w:tc>
      </w:tr>
      <w:tr w:rsidR="004C41B2" w:rsidRPr="00BB0141" w:rsidTr="004C41B2">
        <w:tc>
          <w:tcPr>
            <w:tcW w:w="714" w:type="dxa"/>
            <w:shd w:val="clear" w:color="auto" w:fill="auto"/>
          </w:tcPr>
          <w:p w:rsidR="004C41B2" w:rsidRPr="00BB0141" w:rsidRDefault="00002040" w:rsidP="004C41B2">
            <w:pPr>
              <w:pStyle w:val="Tabletext"/>
            </w:pPr>
            <w:r w:rsidRPr="00BB0141">
              <w:t>6</w:t>
            </w:r>
          </w:p>
        </w:tc>
        <w:tc>
          <w:tcPr>
            <w:tcW w:w="6373" w:type="dxa"/>
            <w:shd w:val="clear" w:color="auto" w:fill="auto"/>
          </w:tcPr>
          <w:p w:rsidR="004C41B2" w:rsidRPr="00BB0141" w:rsidRDefault="004C41B2" w:rsidP="004C41B2">
            <w:pPr>
              <w:pStyle w:val="Tabletext"/>
            </w:pPr>
            <w:r w:rsidRPr="00BB0141">
              <w:t>Total gross income</w:t>
            </w:r>
          </w:p>
        </w:tc>
      </w:tr>
      <w:tr w:rsidR="004C41B2" w:rsidRPr="00BB0141" w:rsidTr="004C41B2">
        <w:tc>
          <w:tcPr>
            <w:tcW w:w="714" w:type="dxa"/>
            <w:shd w:val="clear" w:color="auto" w:fill="auto"/>
          </w:tcPr>
          <w:p w:rsidR="004C41B2" w:rsidRPr="00BB0141" w:rsidRDefault="004C41B2" w:rsidP="004C41B2">
            <w:pPr>
              <w:pStyle w:val="Tabletext"/>
            </w:pPr>
          </w:p>
        </w:tc>
        <w:tc>
          <w:tcPr>
            <w:tcW w:w="6373" w:type="dxa"/>
            <w:shd w:val="clear" w:color="auto" w:fill="auto"/>
          </w:tcPr>
          <w:p w:rsidR="004C41B2" w:rsidRPr="00BB0141" w:rsidRDefault="004C41B2" w:rsidP="004C41B2">
            <w:pPr>
              <w:pStyle w:val="TableHeading"/>
              <w:rPr>
                <w:i/>
              </w:rPr>
            </w:pPr>
            <w:r w:rsidRPr="00BB0141">
              <w:rPr>
                <w:i/>
              </w:rPr>
              <w:t>Income statement—expenses</w:t>
            </w:r>
          </w:p>
        </w:tc>
      </w:tr>
      <w:tr w:rsidR="004C41B2" w:rsidRPr="00BB0141" w:rsidTr="004C41B2">
        <w:tc>
          <w:tcPr>
            <w:tcW w:w="714" w:type="dxa"/>
            <w:shd w:val="clear" w:color="auto" w:fill="auto"/>
          </w:tcPr>
          <w:p w:rsidR="004C41B2" w:rsidRPr="00BB0141" w:rsidRDefault="00002040" w:rsidP="004C41B2">
            <w:pPr>
              <w:pStyle w:val="Tabletext"/>
            </w:pPr>
            <w:r w:rsidRPr="00BB0141">
              <w:t>7</w:t>
            </w:r>
          </w:p>
        </w:tc>
        <w:tc>
          <w:tcPr>
            <w:tcW w:w="6373" w:type="dxa"/>
            <w:shd w:val="clear" w:color="auto" w:fill="auto"/>
          </w:tcPr>
          <w:p w:rsidR="00261B01" w:rsidRPr="00BB0141" w:rsidRDefault="00261B01" w:rsidP="005E240E">
            <w:pPr>
              <w:pStyle w:val="Tabletext"/>
            </w:pPr>
            <w:r w:rsidRPr="00BB0141">
              <w:t>Employee expenses</w:t>
            </w:r>
          </w:p>
        </w:tc>
      </w:tr>
      <w:tr w:rsidR="00C703C0" w:rsidRPr="00BB0141" w:rsidTr="00C739AE">
        <w:tc>
          <w:tcPr>
            <w:tcW w:w="714" w:type="dxa"/>
            <w:shd w:val="clear" w:color="auto" w:fill="auto"/>
          </w:tcPr>
          <w:p w:rsidR="00C703C0" w:rsidRPr="00BB0141" w:rsidRDefault="00C703C0" w:rsidP="00C739AE">
            <w:pPr>
              <w:pStyle w:val="Tabletext"/>
            </w:pPr>
            <w:r w:rsidRPr="00BB0141">
              <w:t>8</w:t>
            </w:r>
          </w:p>
        </w:tc>
        <w:tc>
          <w:tcPr>
            <w:tcW w:w="6373" w:type="dxa"/>
            <w:shd w:val="clear" w:color="auto" w:fill="auto"/>
          </w:tcPr>
          <w:p w:rsidR="00C703C0" w:rsidRPr="00BB0141" w:rsidRDefault="00C703C0" w:rsidP="00C739AE">
            <w:pPr>
              <w:pStyle w:val="Tabletext"/>
            </w:pPr>
            <w:r w:rsidRPr="00BB0141">
              <w:t>Grants and donations made by the registered entity for use in Australia</w:t>
            </w:r>
          </w:p>
        </w:tc>
      </w:tr>
      <w:tr w:rsidR="00C703C0" w:rsidRPr="00BB0141" w:rsidTr="00C739AE">
        <w:tc>
          <w:tcPr>
            <w:tcW w:w="714" w:type="dxa"/>
            <w:shd w:val="clear" w:color="auto" w:fill="auto"/>
          </w:tcPr>
          <w:p w:rsidR="00C703C0" w:rsidRPr="00BB0141" w:rsidRDefault="00C703C0" w:rsidP="00C739AE">
            <w:pPr>
              <w:pStyle w:val="Tabletext"/>
            </w:pPr>
            <w:r w:rsidRPr="00BB0141">
              <w:t>9</w:t>
            </w:r>
          </w:p>
        </w:tc>
        <w:tc>
          <w:tcPr>
            <w:tcW w:w="6373" w:type="dxa"/>
            <w:shd w:val="clear" w:color="auto" w:fill="auto"/>
          </w:tcPr>
          <w:p w:rsidR="00C703C0" w:rsidRPr="00BB0141" w:rsidRDefault="00C703C0" w:rsidP="00C739AE">
            <w:pPr>
              <w:pStyle w:val="Tabletext"/>
            </w:pPr>
            <w:r w:rsidRPr="00BB0141">
              <w:t>Grants and donations made by the registered entity for use outside Australia</w:t>
            </w:r>
          </w:p>
        </w:tc>
      </w:tr>
      <w:tr w:rsidR="004C41B2" w:rsidRPr="00BB0141" w:rsidTr="004C41B2">
        <w:tc>
          <w:tcPr>
            <w:tcW w:w="714" w:type="dxa"/>
            <w:shd w:val="clear" w:color="auto" w:fill="auto"/>
          </w:tcPr>
          <w:p w:rsidR="004C41B2" w:rsidRPr="00BB0141" w:rsidRDefault="00C703C0" w:rsidP="004C41B2">
            <w:pPr>
              <w:pStyle w:val="Tabletext"/>
            </w:pPr>
            <w:r w:rsidRPr="00BB0141">
              <w:lastRenderedPageBreak/>
              <w:t>10</w:t>
            </w:r>
          </w:p>
        </w:tc>
        <w:tc>
          <w:tcPr>
            <w:tcW w:w="6373" w:type="dxa"/>
            <w:shd w:val="clear" w:color="auto" w:fill="auto"/>
          </w:tcPr>
          <w:p w:rsidR="004C41B2" w:rsidRPr="00BB0141" w:rsidRDefault="004C41B2" w:rsidP="004C41B2">
            <w:pPr>
              <w:pStyle w:val="Tabletext"/>
            </w:pPr>
            <w:r w:rsidRPr="00BB0141">
              <w:t>All other expenses</w:t>
            </w:r>
          </w:p>
        </w:tc>
      </w:tr>
      <w:tr w:rsidR="004C41B2" w:rsidRPr="00BB0141" w:rsidTr="004C41B2">
        <w:tc>
          <w:tcPr>
            <w:tcW w:w="714" w:type="dxa"/>
            <w:shd w:val="clear" w:color="auto" w:fill="auto"/>
          </w:tcPr>
          <w:p w:rsidR="004C41B2" w:rsidRPr="00BB0141" w:rsidRDefault="00C703C0" w:rsidP="004C41B2">
            <w:pPr>
              <w:pStyle w:val="Tabletext"/>
            </w:pPr>
            <w:r w:rsidRPr="00BB0141">
              <w:t>11</w:t>
            </w:r>
          </w:p>
        </w:tc>
        <w:tc>
          <w:tcPr>
            <w:tcW w:w="6373" w:type="dxa"/>
            <w:shd w:val="clear" w:color="auto" w:fill="auto"/>
          </w:tcPr>
          <w:p w:rsidR="004C41B2" w:rsidRPr="00BB0141" w:rsidRDefault="004C41B2" w:rsidP="004C41B2">
            <w:pPr>
              <w:pStyle w:val="Tabletext"/>
            </w:pPr>
            <w:r w:rsidRPr="00BB0141">
              <w:t>Total expenses</w:t>
            </w:r>
          </w:p>
        </w:tc>
      </w:tr>
      <w:tr w:rsidR="004C41B2" w:rsidRPr="00BB0141" w:rsidTr="004C41B2">
        <w:tc>
          <w:tcPr>
            <w:tcW w:w="714" w:type="dxa"/>
            <w:shd w:val="clear" w:color="auto" w:fill="auto"/>
          </w:tcPr>
          <w:p w:rsidR="004C41B2" w:rsidRPr="00BB0141" w:rsidRDefault="004C41B2" w:rsidP="004C41B2">
            <w:pPr>
              <w:pStyle w:val="Tabletext"/>
            </w:pPr>
          </w:p>
        </w:tc>
        <w:tc>
          <w:tcPr>
            <w:tcW w:w="6373" w:type="dxa"/>
            <w:shd w:val="clear" w:color="auto" w:fill="auto"/>
          </w:tcPr>
          <w:p w:rsidR="004C41B2" w:rsidRPr="00BB0141" w:rsidRDefault="004C41B2" w:rsidP="005E240E">
            <w:pPr>
              <w:pStyle w:val="TableHeading"/>
              <w:rPr>
                <w:i/>
              </w:rPr>
            </w:pPr>
            <w:r w:rsidRPr="00BB0141">
              <w:rPr>
                <w:i/>
              </w:rPr>
              <w:t>Incom</w:t>
            </w:r>
            <w:r w:rsidR="005E240E" w:rsidRPr="00BB0141">
              <w:rPr>
                <w:i/>
              </w:rPr>
              <w:t>e statement—net surplus/deficit</w:t>
            </w:r>
          </w:p>
        </w:tc>
      </w:tr>
      <w:tr w:rsidR="00261B01" w:rsidRPr="00BB0141" w:rsidTr="005E240E">
        <w:tc>
          <w:tcPr>
            <w:tcW w:w="714" w:type="dxa"/>
            <w:shd w:val="clear" w:color="auto" w:fill="auto"/>
          </w:tcPr>
          <w:p w:rsidR="00261B01" w:rsidRPr="00BB0141" w:rsidRDefault="00C703C0" w:rsidP="00C621D3">
            <w:pPr>
              <w:pStyle w:val="Tabletext"/>
            </w:pPr>
            <w:r w:rsidRPr="00BB0141">
              <w:t>12</w:t>
            </w:r>
          </w:p>
        </w:tc>
        <w:tc>
          <w:tcPr>
            <w:tcW w:w="6373" w:type="dxa"/>
            <w:shd w:val="clear" w:color="auto" w:fill="auto"/>
          </w:tcPr>
          <w:p w:rsidR="00261B01" w:rsidRPr="00BB0141" w:rsidRDefault="005E240E" w:rsidP="00C703C0">
            <w:pPr>
              <w:pStyle w:val="Tabletext"/>
            </w:pPr>
            <w:r w:rsidRPr="00BB0141">
              <w:t>Net surplus/</w:t>
            </w:r>
            <w:r w:rsidR="00C703C0" w:rsidRPr="00BB0141">
              <w:t>deficit</w:t>
            </w:r>
          </w:p>
        </w:tc>
      </w:tr>
      <w:tr w:rsidR="004C41B2" w:rsidRPr="00BB0141" w:rsidTr="004C41B2">
        <w:tc>
          <w:tcPr>
            <w:tcW w:w="714" w:type="dxa"/>
            <w:shd w:val="clear" w:color="auto" w:fill="auto"/>
          </w:tcPr>
          <w:p w:rsidR="004C41B2" w:rsidRPr="00BB0141" w:rsidRDefault="004C41B2" w:rsidP="004C41B2">
            <w:pPr>
              <w:pStyle w:val="Tabletext"/>
            </w:pPr>
          </w:p>
        </w:tc>
        <w:tc>
          <w:tcPr>
            <w:tcW w:w="6373" w:type="dxa"/>
            <w:shd w:val="clear" w:color="auto" w:fill="auto"/>
          </w:tcPr>
          <w:p w:rsidR="004C41B2" w:rsidRPr="00BB0141" w:rsidRDefault="004C41B2" w:rsidP="004C41B2">
            <w:pPr>
              <w:pStyle w:val="TableHeading"/>
              <w:rPr>
                <w:i/>
              </w:rPr>
            </w:pPr>
            <w:r w:rsidRPr="00BB0141">
              <w:rPr>
                <w:i/>
              </w:rPr>
              <w:t>Balance sheet—assets</w:t>
            </w:r>
          </w:p>
        </w:tc>
      </w:tr>
      <w:tr w:rsidR="004C41B2" w:rsidRPr="00BB0141" w:rsidTr="004C41B2">
        <w:tc>
          <w:tcPr>
            <w:tcW w:w="714" w:type="dxa"/>
            <w:shd w:val="clear" w:color="auto" w:fill="auto"/>
          </w:tcPr>
          <w:p w:rsidR="004C41B2" w:rsidRPr="00BB0141" w:rsidRDefault="00C703C0" w:rsidP="004C41B2">
            <w:pPr>
              <w:pStyle w:val="Tabletext"/>
            </w:pPr>
            <w:r w:rsidRPr="00BB0141">
              <w:t>13</w:t>
            </w:r>
          </w:p>
        </w:tc>
        <w:tc>
          <w:tcPr>
            <w:tcW w:w="6373" w:type="dxa"/>
            <w:shd w:val="clear" w:color="auto" w:fill="auto"/>
          </w:tcPr>
          <w:p w:rsidR="004C41B2" w:rsidRPr="00BB0141" w:rsidRDefault="005E240E" w:rsidP="004C41B2">
            <w:pPr>
              <w:pStyle w:val="Tabletext"/>
            </w:pPr>
            <w:r w:rsidRPr="00BB0141">
              <w:t>Total current assets</w:t>
            </w:r>
          </w:p>
        </w:tc>
      </w:tr>
      <w:tr w:rsidR="004C41B2" w:rsidRPr="00BB0141" w:rsidTr="004C41B2">
        <w:tc>
          <w:tcPr>
            <w:tcW w:w="714" w:type="dxa"/>
            <w:shd w:val="clear" w:color="auto" w:fill="auto"/>
          </w:tcPr>
          <w:p w:rsidR="004C41B2" w:rsidRPr="00BB0141" w:rsidRDefault="00C703C0" w:rsidP="004C41B2">
            <w:pPr>
              <w:pStyle w:val="Tabletext"/>
            </w:pPr>
            <w:r w:rsidRPr="00BB0141">
              <w:t>14</w:t>
            </w:r>
          </w:p>
        </w:tc>
        <w:tc>
          <w:tcPr>
            <w:tcW w:w="6373" w:type="dxa"/>
            <w:shd w:val="clear" w:color="auto" w:fill="auto"/>
          </w:tcPr>
          <w:p w:rsidR="004C41B2" w:rsidRPr="00BB0141" w:rsidRDefault="005E240E" w:rsidP="004C41B2">
            <w:pPr>
              <w:pStyle w:val="Tabletext"/>
            </w:pPr>
            <w:r w:rsidRPr="00BB0141">
              <w:t>Total non</w:t>
            </w:r>
            <w:r w:rsidR="00BB0141">
              <w:noBreakHyphen/>
            </w:r>
            <w:r w:rsidRPr="00BB0141">
              <w:t>current assets</w:t>
            </w:r>
          </w:p>
        </w:tc>
      </w:tr>
      <w:tr w:rsidR="004C41B2" w:rsidRPr="00BB0141" w:rsidTr="004C41B2">
        <w:tc>
          <w:tcPr>
            <w:tcW w:w="714" w:type="dxa"/>
            <w:shd w:val="clear" w:color="auto" w:fill="auto"/>
          </w:tcPr>
          <w:p w:rsidR="004C41B2" w:rsidRPr="00BB0141" w:rsidRDefault="00C703C0" w:rsidP="004C41B2">
            <w:pPr>
              <w:pStyle w:val="Tabletext"/>
            </w:pPr>
            <w:r w:rsidRPr="00BB0141">
              <w:t>15</w:t>
            </w:r>
          </w:p>
        </w:tc>
        <w:tc>
          <w:tcPr>
            <w:tcW w:w="6373" w:type="dxa"/>
            <w:shd w:val="clear" w:color="auto" w:fill="auto"/>
          </w:tcPr>
          <w:p w:rsidR="004C41B2" w:rsidRPr="00BB0141" w:rsidRDefault="005E240E" w:rsidP="004C41B2">
            <w:pPr>
              <w:pStyle w:val="Tabletext"/>
            </w:pPr>
            <w:r w:rsidRPr="00BB0141">
              <w:t>Total assets</w:t>
            </w:r>
          </w:p>
        </w:tc>
      </w:tr>
      <w:tr w:rsidR="004C41B2" w:rsidRPr="00BB0141" w:rsidTr="004C41B2">
        <w:tc>
          <w:tcPr>
            <w:tcW w:w="714" w:type="dxa"/>
            <w:shd w:val="clear" w:color="auto" w:fill="auto"/>
          </w:tcPr>
          <w:p w:rsidR="004C41B2" w:rsidRPr="00BB0141" w:rsidRDefault="004C41B2" w:rsidP="004C41B2">
            <w:pPr>
              <w:pStyle w:val="Tabletext"/>
            </w:pPr>
          </w:p>
        </w:tc>
        <w:tc>
          <w:tcPr>
            <w:tcW w:w="6373" w:type="dxa"/>
            <w:shd w:val="clear" w:color="auto" w:fill="auto"/>
          </w:tcPr>
          <w:p w:rsidR="004C41B2" w:rsidRPr="00BB0141" w:rsidRDefault="004C41B2" w:rsidP="004C41B2">
            <w:pPr>
              <w:pStyle w:val="TableHeading"/>
              <w:rPr>
                <w:i/>
              </w:rPr>
            </w:pPr>
            <w:r w:rsidRPr="00BB0141">
              <w:rPr>
                <w:i/>
              </w:rPr>
              <w:t>Balance sheet—liabilities</w:t>
            </w:r>
          </w:p>
        </w:tc>
      </w:tr>
      <w:tr w:rsidR="004C41B2" w:rsidRPr="00BB0141" w:rsidTr="004C41B2">
        <w:tc>
          <w:tcPr>
            <w:tcW w:w="714" w:type="dxa"/>
            <w:shd w:val="clear" w:color="auto" w:fill="auto"/>
          </w:tcPr>
          <w:p w:rsidR="004C41B2" w:rsidRPr="00BB0141" w:rsidRDefault="00C703C0" w:rsidP="004C41B2">
            <w:pPr>
              <w:pStyle w:val="Tabletext"/>
            </w:pPr>
            <w:r w:rsidRPr="00BB0141">
              <w:t>16</w:t>
            </w:r>
          </w:p>
        </w:tc>
        <w:tc>
          <w:tcPr>
            <w:tcW w:w="6373" w:type="dxa"/>
            <w:shd w:val="clear" w:color="auto" w:fill="auto"/>
          </w:tcPr>
          <w:p w:rsidR="004C41B2" w:rsidRPr="00BB0141" w:rsidRDefault="004C41B2" w:rsidP="004C41B2">
            <w:pPr>
              <w:pStyle w:val="Tabletext"/>
            </w:pPr>
            <w:r w:rsidRPr="00BB0141">
              <w:t>Total current liabilities</w:t>
            </w:r>
          </w:p>
        </w:tc>
      </w:tr>
      <w:tr w:rsidR="004C41B2" w:rsidRPr="00BB0141" w:rsidTr="004C41B2">
        <w:tc>
          <w:tcPr>
            <w:tcW w:w="714" w:type="dxa"/>
            <w:shd w:val="clear" w:color="auto" w:fill="auto"/>
          </w:tcPr>
          <w:p w:rsidR="004C41B2" w:rsidRPr="00BB0141" w:rsidRDefault="00002040" w:rsidP="004C41B2">
            <w:pPr>
              <w:pStyle w:val="Tabletext"/>
            </w:pPr>
            <w:r w:rsidRPr="00BB0141">
              <w:t>1</w:t>
            </w:r>
            <w:r w:rsidR="00C703C0" w:rsidRPr="00BB0141">
              <w:t>7</w:t>
            </w:r>
          </w:p>
        </w:tc>
        <w:tc>
          <w:tcPr>
            <w:tcW w:w="6373" w:type="dxa"/>
            <w:shd w:val="clear" w:color="auto" w:fill="auto"/>
          </w:tcPr>
          <w:p w:rsidR="004C41B2" w:rsidRPr="00BB0141" w:rsidRDefault="004C41B2" w:rsidP="004C41B2">
            <w:pPr>
              <w:pStyle w:val="Tabletext"/>
            </w:pPr>
            <w:r w:rsidRPr="00BB0141">
              <w:t>Total non</w:t>
            </w:r>
            <w:r w:rsidR="00BB0141">
              <w:noBreakHyphen/>
            </w:r>
            <w:r w:rsidRPr="00BB0141">
              <w:t>current liabilities</w:t>
            </w:r>
          </w:p>
        </w:tc>
      </w:tr>
      <w:tr w:rsidR="004C41B2" w:rsidRPr="00BB0141" w:rsidTr="004C41B2">
        <w:tc>
          <w:tcPr>
            <w:tcW w:w="714" w:type="dxa"/>
            <w:shd w:val="clear" w:color="auto" w:fill="auto"/>
          </w:tcPr>
          <w:p w:rsidR="004C41B2" w:rsidRPr="00BB0141" w:rsidRDefault="00C703C0" w:rsidP="004C41B2">
            <w:pPr>
              <w:pStyle w:val="Tabletext"/>
            </w:pPr>
            <w:r w:rsidRPr="00BB0141">
              <w:t>18</w:t>
            </w:r>
          </w:p>
        </w:tc>
        <w:tc>
          <w:tcPr>
            <w:tcW w:w="6373" w:type="dxa"/>
            <w:shd w:val="clear" w:color="auto" w:fill="auto"/>
          </w:tcPr>
          <w:p w:rsidR="004C41B2" w:rsidRPr="00BB0141" w:rsidRDefault="004C41B2" w:rsidP="004C41B2">
            <w:pPr>
              <w:pStyle w:val="Tabletext"/>
            </w:pPr>
            <w:r w:rsidRPr="00BB0141">
              <w:t>Total liabilities</w:t>
            </w:r>
          </w:p>
        </w:tc>
      </w:tr>
      <w:tr w:rsidR="004C41B2" w:rsidRPr="00BB0141" w:rsidTr="004C41B2">
        <w:tc>
          <w:tcPr>
            <w:tcW w:w="714" w:type="dxa"/>
            <w:shd w:val="clear" w:color="auto" w:fill="auto"/>
          </w:tcPr>
          <w:p w:rsidR="004C41B2" w:rsidRPr="00BB0141" w:rsidRDefault="004C41B2" w:rsidP="004C41B2">
            <w:pPr>
              <w:pStyle w:val="Tabletext"/>
            </w:pPr>
          </w:p>
        </w:tc>
        <w:tc>
          <w:tcPr>
            <w:tcW w:w="6373" w:type="dxa"/>
            <w:shd w:val="clear" w:color="auto" w:fill="auto"/>
          </w:tcPr>
          <w:p w:rsidR="004C41B2" w:rsidRPr="00BB0141" w:rsidRDefault="005E240E" w:rsidP="004C41B2">
            <w:pPr>
              <w:pStyle w:val="Tabletext"/>
              <w:rPr>
                <w:b/>
                <w:i/>
              </w:rPr>
            </w:pPr>
            <w:r w:rsidRPr="00BB0141">
              <w:rPr>
                <w:b/>
                <w:i/>
              </w:rPr>
              <w:t>Balance sheet—net assets/liabilities</w:t>
            </w:r>
          </w:p>
        </w:tc>
      </w:tr>
      <w:tr w:rsidR="004C41B2" w:rsidRPr="00BB0141" w:rsidTr="004C41B2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4C41B2" w:rsidRPr="00BB0141" w:rsidRDefault="00C703C0" w:rsidP="004C41B2">
            <w:pPr>
              <w:pStyle w:val="Tabletext"/>
            </w:pPr>
            <w:r w:rsidRPr="00BB0141">
              <w:t>19</w:t>
            </w:r>
          </w:p>
        </w:tc>
        <w:tc>
          <w:tcPr>
            <w:tcW w:w="6373" w:type="dxa"/>
            <w:tcBorders>
              <w:bottom w:val="single" w:sz="12" w:space="0" w:color="auto"/>
            </w:tcBorders>
            <w:shd w:val="clear" w:color="auto" w:fill="auto"/>
          </w:tcPr>
          <w:p w:rsidR="004C41B2" w:rsidRPr="00BB0141" w:rsidRDefault="00FE27AF" w:rsidP="00FE27AF">
            <w:pPr>
              <w:pStyle w:val="Tabletext"/>
            </w:pPr>
            <w:r w:rsidRPr="00BB0141">
              <w:t>Net assets/liabilities</w:t>
            </w:r>
          </w:p>
        </w:tc>
      </w:tr>
    </w:tbl>
    <w:p w:rsidR="004771D1" w:rsidRPr="00BB0141" w:rsidRDefault="004771D1" w:rsidP="004771D1">
      <w:pPr>
        <w:pStyle w:val="notetext"/>
      </w:pPr>
      <w:bookmarkStart w:id="27" w:name="OPCSB_AmendSchdB5"/>
      <w:r w:rsidRPr="00BB0141">
        <w:t>Note 1:</w:t>
      </w:r>
      <w:r w:rsidRPr="00BB0141">
        <w:tab/>
        <w:t>This information is also proposed to be contained in the medium registered entity’s 2014 Annual Information Statement.</w:t>
      </w:r>
    </w:p>
    <w:p w:rsidR="004771D1" w:rsidRPr="00BB0141" w:rsidRDefault="004771D1" w:rsidP="004771D1">
      <w:pPr>
        <w:pStyle w:val="notetext"/>
      </w:pPr>
      <w:r w:rsidRPr="00BB0141">
        <w:t>Note 2:</w:t>
      </w:r>
      <w:r w:rsidRPr="00BB0141">
        <w:tab/>
        <w:t xml:space="preserve">Government grants are grants that </w:t>
      </w:r>
      <w:r w:rsidR="0018354A" w:rsidRPr="00BB0141">
        <w:t>the medium</w:t>
      </w:r>
      <w:r w:rsidRPr="00BB0141">
        <w:t xml:space="preserve"> registered entity receives from the Commonwealth, a State or Territory or a local government body.</w:t>
      </w:r>
    </w:p>
    <w:p w:rsidR="005E240E" w:rsidRPr="00BB0141" w:rsidRDefault="005E240E" w:rsidP="005E240E">
      <w:pPr>
        <w:pStyle w:val="subsection"/>
      </w:pPr>
      <w:r w:rsidRPr="00BB0141">
        <w:tab/>
        <w:t>(3)</w:t>
      </w:r>
      <w:r w:rsidRPr="00BB0141">
        <w:tab/>
        <w:t>For a large registered entity, a statement that complies with this subsection must consist of the information set out in the following table.</w:t>
      </w:r>
    </w:p>
    <w:p w:rsidR="005E240E" w:rsidRPr="00BB0141" w:rsidRDefault="005E240E" w:rsidP="005E240E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6373"/>
      </w:tblGrid>
      <w:tr w:rsidR="005E240E" w:rsidRPr="00BB0141" w:rsidTr="005E240E">
        <w:trPr>
          <w:tblHeader/>
        </w:trPr>
        <w:tc>
          <w:tcPr>
            <w:tcW w:w="7087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5E240E" w:rsidRPr="00BB0141" w:rsidRDefault="005E240E" w:rsidP="005E240E">
            <w:pPr>
              <w:pStyle w:val="TableHeading"/>
            </w:pPr>
            <w:r w:rsidRPr="00BB0141">
              <w:t>Information</w:t>
            </w:r>
          </w:p>
        </w:tc>
      </w:tr>
      <w:tr w:rsidR="005E240E" w:rsidRPr="00BB0141" w:rsidTr="005E240E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E240E" w:rsidRPr="00BB0141" w:rsidRDefault="005E240E" w:rsidP="005E240E">
            <w:pPr>
              <w:pStyle w:val="TableHeading"/>
            </w:pPr>
            <w:r w:rsidRPr="00BB0141">
              <w:t>Item</w:t>
            </w:r>
          </w:p>
        </w:tc>
        <w:tc>
          <w:tcPr>
            <w:tcW w:w="637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E240E" w:rsidRPr="00BB0141" w:rsidRDefault="005E240E" w:rsidP="005E240E">
            <w:pPr>
              <w:pStyle w:val="TableHeading"/>
            </w:pPr>
            <w:r w:rsidRPr="00BB0141">
              <w:t>Information</w:t>
            </w:r>
          </w:p>
        </w:tc>
      </w:tr>
      <w:tr w:rsidR="005E240E" w:rsidRPr="00BB0141" w:rsidTr="005E240E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5E240E" w:rsidRPr="00BB0141" w:rsidRDefault="005E240E" w:rsidP="005E240E">
            <w:pPr>
              <w:pStyle w:val="Tabletext"/>
            </w:pPr>
          </w:p>
        </w:tc>
        <w:tc>
          <w:tcPr>
            <w:tcW w:w="6373" w:type="dxa"/>
            <w:tcBorders>
              <w:top w:val="single" w:sz="12" w:space="0" w:color="auto"/>
            </w:tcBorders>
            <w:shd w:val="clear" w:color="auto" w:fill="auto"/>
          </w:tcPr>
          <w:p w:rsidR="005E240E" w:rsidRPr="00BB0141" w:rsidRDefault="005E240E" w:rsidP="005E240E">
            <w:pPr>
              <w:pStyle w:val="TableHeading"/>
              <w:rPr>
                <w:i/>
              </w:rPr>
            </w:pPr>
            <w:r w:rsidRPr="00BB0141">
              <w:rPr>
                <w:i/>
              </w:rPr>
              <w:t>Income statement—gross income</w:t>
            </w:r>
          </w:p>
        </w:tc>
      </w:tr>
      <w:tr w:rsidR="005E240E" w:rsidRPr="00BB0141" w:rsidTr="005E240E">
        <w:tc>
          <w:tcPr>
            <w:tcW w:w="714" w:type="dxa"/>
            <w:shd w:val="clear" w:color="auto" w:fill="auto"/>
          </w:tcPr>
          <w:p w:rsidR="005E240E" w:rsidRPr="00BB0141" w:rsidRDefault="005E240E" w:rsidP="005E240E">
            <w:pPr>
              <w:pStyle w:val="Tabletext"/>
            </w:pPr>
            <w:r w:rsidRPr="00BB0141">
              <w:t>1</w:t>
            </w:r>
          </w:p>
        </w:tc>
        <w:tc>
          <w:tcPr>
            <w:tcW w:w="6373" w:type="dxa"/>
            <w:shd w:val="clear" w:color="auto" w:fill="auto"/>
          </w:tcPr>
          <w:p w:rsidR="005E240E" w:rsidRPr="00BB0141" w:rsidRDefault="005E240E" w:rsidP="00F647DF">
            <w:pPr>
              <w:pStyle w:val="Tabletext"/>
            </w:pPr>
            <w:r w:rsidRPr="00BB0141">
              <w:t>Government grants</w:t>
            </w:r>
          </w:p>
        </w:tc>
      </w:tr>
      <w:tr w:rsidR="005E240E" w:rsidRPr="00BB0141" w:rsidTr="005E240E">
        <w:tc>
          <w:tcPr>
            <w:tcW w:w="714" w:type="dxa"/>
            <w:shd w:val="clear" w:color="auto" w:fill="auto"/>
          </w:tcPr>
          <w:p w:rsidR="005E240E" w:rsidRPr="00BB0141" w:rsidRDefault="00002040" w:rsidP="005E240E">
            <w:pPr>
              <w:pStyle w:val="Tabletext"/>
            </w:pPr>
            <w:r w:rsidRPr="00BB0141">
              <w:t>2</w:t>
            </w:r>
          </w:p>
        </w:tc>
        <w:tc>
          <w:tcPr>
            <w:tcW w:w="6373" w:type="dxa"/>
            <w:shd w:val="clear" w:color="auto" w:fill="auto"/>
          </w:tcPr>
          <w:p w:rsidR="005E240E" w:rsidRPr="00BB0141" w:rsidRDefault="005E240E" w:rsidP="005E240E">
            <w:pPr>
              <w:pStyle w:val="Tabletext"/>
            </w:pPr>
            <w:r w:rsidRPr="00BB0141">
              <w:t>Donations and bequests</w:t>
            </w:r>
          </w:p>
        </w:tc>
      </w:tr>
      <w:tr w:rsidR="005E240E" w:rsidRPr="00BB0141" w:rsidTr="005E240E">
        <w:tc>
          <w:tcPr>
            <w:tcW w:w="714" w:type="dxa"/>
            <w:shd w:val="clear" w:color="auto" w:fill="auto"/>
          </w:tcPr>
          <w:p w:rsidR="005E240E" w:rsidRPr="00BB0141" w:rsidRDefault="00002040" w:rsidP="005E240E">
            <w:pPr>
              <w:pStyle w:val="Tabletext"/>
            </w:pPr>
            <w:r w:rsidRPr="00BB0141">
              <w:t>3</w:t>
            </w:r>
          </w:p>
        </w:tc>
        <w:tc>
          <w:tcPr>
            <w:tcW w:w="6373" w:type="dxa"/>
            <w:shd w:val="clear" w:color="auto" w:fill="auto"/>
          </w:tcPr>
          <w:p w:rsidR="005E240E" w:rsidRPr="00BB0141" w:rsidRDefault="005E240E" w:rsidP="005E240E">
            <w:pPr>
              <w:pStyle w:val="Tabletext"/>
            </w:pPr>
            <w:r w:rsidRPr="00BB0141">
              <w:t>All other revenue</w:t>
            </w:r>
          </w:p>
        </w:tc>
      </w:tr>
      <w:tr w:rsidR="005E240E" w:rsidRPr="00BB0141" w:rsidTr="005E240E">
        <w:tc>
          <w:tcPr>
            <w:tcW w:w="714" w:type="dxa"/>
            <w:shd w:val="clear" w:color="auto" w:fill="auto"/>
          </w:tcPr>
          <w:p w:rsidR="005E240E" w:rsidRPr="00BB0141" w:rsidRDefault="00002040" w:rsidP="005E240E">
            <w:pPr>
              <w:pStyle w:val="Tabletext"/>
            </w:pPr>
            <w:r w:rsidRPr="00BB0141">
              <w:t>4</w:t>
            </w:r>
          </w:p>
        </w:tc>
        <w:tc>
          <w:tcPr>
            <w:tcW w:w="6373" w:type="dxa"/>
            <w:shd w:val="clear" w:color="auto" w:fill="auto"/>
          </w:tcPr>
          <w:p w:rsidR="005E240E" w:rsidRPr="00BB0141" w:rsidRDefault="005E240E" w:rsidP="005E240E">
            <w:pPr>
              <w:pStyle w:val="Tabletext"/>
            </w:pPr>
            <w:r w:rsidRPr="00BB0141">
              <w:t>Total revenue</w:t>
            </w:r>
          </w:p>
        </w:tc>
      </w:tr>
      <w:tr w:rsidR="005E240E" w:rsidRPr="00BB0141" w:rsidTr="005E240E">
        <w:tc>
          <w:tcPr>
            <w:tcW w:w="714" w:type="dxa"/>
            <w:shd w:val="clear" w:color="auto" w:fill="auto"/>
          </w:tcPr>
          <w:p w:rsidR="005E240E" w:rsidRPr="00BB0141" w:rsidRDefault="00002040" w:rsidP="005E240E">
            <w:pPr>
              <w:pStyle w:val="Tabletext"/>
            </w:pPr>
            <w:r w:rsidRPr="00BB0141">
              <w:lastRenderedPageBreak/>
              <w:t>5</w:t>
            </w:r>
          </w:p>
        </w:tc>
        <w:tc>
          <w:tcPr>
            <w:tcW w:w="6373" w:type="dxa"/>
            <w:shd w:val="clear" w:color="auto" w:fill="auto"/>
          </w:tcPr>
          <w:p w:rsidR="005E240E" w:rsidRPr="00BB0141" w:rsidRDefault="00002040" w:rsidP="005E240E">
            <w:pPr>
              <w:pStyle w:val="Tabletext"/>
            </w:pPr>
            <w:r w:rsidRPr="00BB0141">
              <w:t>Other income</w:t>
            </w:r>
          </w:p>
        </w:tc>
      </w:tr>
      <w:tr w:rsidR="005E240E" w:rsidRPr="00BB0141" w:rsidTr="005E240E">
        <w:tc>
          <w:tcPr>
            <w:tcW w:w="714" w:type="dxa"/>
            <w:shd w:val="clear" w:color="auto" w:fill="auto"/>
          </w:tcPr>
          <w:p w:rsidR="005E240E" w:rsidRPr="00BB0141" w:rsidRDefault="00002040" w:rsidP="005E240E">
            <w:pPr>
              <w:pStyle w:val="Tabletext"/>
            </w:pPr>
            <w:r w:rsidRPr="00BB0141">
              <w:t>6</w:t>
            </w:r>
          </w:p>
        </w:tc>
        <w:tc>
          <w:tcPr>
            <w:tcW w:w="6373" w:type="dxa"/>
            <w:shd w:val="clear" w:color="auto" w:fill="auto"/>
          </w:tcPr>
          <w:p w:rsidR="005E240E" w:rsidRPr="00BB0141" w:rsidRDefault="005E240E" w:rsidP="005E240E">
            <w:pPr>
              <w:pStyle w:val="Tabletext"/>
            </w:pPr>
            <w:r w:rsidRPr="00BB0141">
              <w:t>Total gross income</w:t>
            </w:r>
          </w:p>
        </w:tc>
      </w:tr>
      <w:tr w:rsidR="005E240E" w:rsidRPr="00BB0141" w:rsidTr="005E240E">
        <w:tc>
          <w:tcPr>
            <w:tcW w:w="714" w:type="dxa"/>
            <w:shd w:val="clear" w:color="auto" w:fill="auto"/>
          </w:tcPr>
          <w:p w:rsidR="005E240E" w:rsidRPr="00BB0141" w:rsidRDefault="005E240E" w:rsidP="005E240E">
            <w:pPr>
              <w:pStyle w:val="Tabletext"/>
            </w:pPr>
          </w:p>
        </w:tc>
        <w:tc>
          <w:tcPr>
            <w:tcW w:w="6373" w:type="dxa"/>
            <w:shd w:val="clear" w:color="auto" w:fill="auto"/>
          </w:tcPr>
          <w:p w:rsidR="005E240E" w:rsidRPr="00BB0141" w:rsidRDefault="005E240E" w:rsidP="005E240E">
            <w:pPr>
              <w:pStyle w:val="TableHeading"/>
              <w:rPr>
                <w:i/>
              </w:rPr>
            </w:pPr>
            <w:r w:rsidRPr="00BB0141">
              <w:rPr>
                <w:i/>
              </w:rPr>
              <w:t>Income statement—expenses</w:t>
            </w:r>
          </w:p>
        </w:tc>
      </w:tr>
      <w:tr w:rsidR="005E240E" w:rsidRPr="00BB0141" w:rsidTr="005E240E">
        <w:tc>
          <w:tcPr>
            <w:tcW w:w="714" w:type="dxa"/>
            <w:shd w:val="clear" w:color="auto" w:fill="auto"/>
          </w:tcPr>
          <w:p w:rsidR="005E240E" w:rsidRPr="00BB0141" w:rsidRDefault="00002040" w:rsidP="005E240E">
            <w:pPr>
              <w:pStyle w:val="Tabletext"/>
            </w:pPr>
            <w:r w:rsidRPr="00BB0141">
              <w:t>7</w:t>
            </w:r>
          </w:p>
        </w:tc>
        <w:tc>
          <w:tcPr>
            <w:tcW w:w="6373" w:type="dxa"/>
            <w:shd w:val="clear" w:color="auto" w:fill="auto"/>
          </w:tcPr>
          <w:p w:rsidR="005E240E" w:rsidRPr="00BB0141" w:rsidRDefault="005E240E" w:rsidP="00002040">
            <w:pPr>
              <w:pStyle w:val="Tabletext"/>
            </w:pPr>
            <w:r w:rsidRPr="00BB0141">
              <w:t>Employee expenses</w:t>
            </w:r>
          </w:p>
        </w:tc>
      </w:tr>
      <w:tr w:rsidR="005E240E" w:rsidRPr="00BB0141" w:rsidTr="005E240E">
        <w:tc>
          <w:tcPr>
            <w:tcW w:w="714" w:type="dxa"/>
            <w:shd w:val="clear" w:color="auto" w:fill="auto"/>
          </w:tcPr>
          <w:p w:rsidR="005E240E" w:rsidRPr="00BB0141" w:rsidRDefault="00002040" w:rsidP="005E240E">
            <w:pPr>
              <w:pStyle w:val="Tabletext"/>
            </w:pPr>
            <w:r w:rsidRPr="00BB0141">
              <w:t>8</w:t>
            </w:r>
          </w:p>
        </w:tc>
        <w:tc>
          <w:tcPr>
            <w:tcW w:w="6373" w:type="dxa"/>
            <w:shd w:val="clear" w:color="auto" w:fill="auto"/>
          </w:tcPr>
          <w:p w:rsidR="005E240E" w:rsidRPr="00BB0141" w:rsidRDefault="00F647DF" w:rsidP="00F647DF">
            <w:pPr>
              <w:pStyle w:val="Tabletext"/>
            </w:pPr>
            <w:r w:rsidRPr="00BB0141">
              <w:t>Interest</w:t>
            </w:r>
          </w:p>
        </w:tc>
      </w:tr>
      <w:tr w:rsidR="00C703C0" w:rsidRPr="00BB0141" w:rsidTr="00A40270">
        <w:tc>
          <w:tcPr>
            <w:tcW w:w="714" w:type="dxa"/>
            <w:shd w:val="clear" w:color="auto" w:fill="auto"/>
          </w:tcPr>
          <w:p w:rsidR="00C703C0" w:rsidRPr="00BB0141" w:rsidRDefault="00C703C0" w:rsidP="00A40270">
            <w:pPr>
              <w:pStyle w:val="Tabletext"/>
            </w:pPr>
            <w:r w:rsidRPr="00BB0141">
              <w:t>9</w:t>
            </w:r>
          </w:p>
        </w:tc>
        <w:tc>
          <w:tcPr>
            <w:tcW w:w="6373" w:type="dxa"/>
            <w:shd w:val="clear" w:color="auto" w:fill="auto"/>
          </w:tcPr>
          <w:p w:rsidR="00C703C0" w:rsidRPr="00BB0141" w:rsidRDefault="00C703C0" w:rsidP="00A40270">
            <w:pPr>
              <w:pStyle w:val="Tabletext"/>
            </w:pPr>
            <w:r w:rsidRPr="00BB0141">
              <w:t>Grants and donations made by the registered entity for use in Australia</w:t>
            </w:r>
          </w:p>
        </w:tc>
      </w:tr>
      <w:tr w:rsidR="00C703C0" w:rsidRPr="00BB0141" w:rsidTr="00A40270">
        <w:tc>
          <w:tcPr>
            <w:tcW w:w="714" w:type="dxa"/>
            <w:shd w:val="clear" w:color="auto" w:fill="auto"/>
          </w:tcPr>
          <w:p w:rsidR="00C703C0" w:rsidRPr="00BB0141" w:rsidRDefault="00C703C0" w:rsidP="00A40270">
            <w:pPr>
              <w:pStyle w:val="Tabletext"/>
            </w:pPr>
            <w:r w:rsidRPr="00BB0141">
              <w:t>10</w:t>
            </w:r>
          </w:p>
        </w:tc>
        <w:tc>
          <w:tcPr>
            <w:tcW w:w="6373" w:type="dxa"/>
            <w:shd w:val="clear" w:color="auto" w:fill="auto"/>
          </w:tcPr>
          <w:p w:rsidR="00C703C0" w:rsidRPr="00BB0141" w:rsidRDefault="00C703C0" w:rsidP="00A40270">
            <w:pPr>
              <w:pStyle w:val="Tabletext"/>
            </w:pPr>
            <w:r w:rsidRPr="00BB0141">
              <w:t>Grants and donations made by the registered entity for use outside Australia</w:t>
            </w:r>
          </w:p>
        </w:tc>
      </w:tr>
      <w:tr w:rsidR="005E240E" w:rsidRPr="00BB0141" w:rsidTr="005E240E">
        <w:tc>
          <w:tcPr>
            <w:tcW w:w="714" w:type="dxa"/>
            <w:shd w:val="clear" w:color="auto" w:fill="auto"/>
          </w:tcPr>
          <w:p w:rsidR="005E240E" w:rsidRPr="00BB0141" w:rsidRDefault="00C703C0" w:rsidP="005E240E">
            <w:pPr>
              <w:pStyle w:val="Tabletext"/>
            </w:pPr>
            <w:r w:rsidRPr="00BB0141">
              <w:t>11</w:t>
            </w:r>
          </w:p>
        </w:tc>
        <w:tc>
          <w:tcPr>
            <w:tcW w:w="6373" w:type="dxa"/>
            <w:shd w:val="clear" w:color="auto" w:fill="auto"/>
          </w:tcPr>
          <w:p w:rsidR="005E240E" w:rsidRPr="00BB0141" w:rsidRDefault="005E240E" w:rsidP="005E240E">
            <w:pPr>
              <w:pStyle w:val="Tabletext"/>
            </w:pPr>
            <w:r w:rsidRPr="00BB0141">
              <w:t>All other expenses</w:t>
            </w:r>
          </w:p>
        </w:tc>
      </w:tr>
      <w:tr w:rsidR="005E240E" w:rsidRPr="00BB0141" w:rsidTr="005E240E">
        <w:tc>
          <w:tcPr>
            <w:tcW w:w="714" w:type="dxa"/>
            <w:shd w:val="clear" w:color="auto" w:fill="auto"/>
          </w:tcPr>
          <w:p w:rsidR="005E240E" w:rsidRPr="00BB0141" w:rsidRDefault="00C703C0" w:rsidP="005E240E">
            <w:pPr>
              <w:pStyle w:val="Tabletext"/>
            </w:pPr>
            <w:r w:rsidRPr="00BB0141">
              <w:t>12</w:t>
            </w:r>
          </w:p>
        </w:tc>
        <w:tc>
          <w:tcPr>
            <w:tcW w:w="6373" w:type="dxa"/>
            <w:shd w:val="clear" w:color="auto" w:fill="auto"/>
          </w:tcPr>
          <w:p w:rsidR="005E240E" w:rsidRPr="00BB0141" w:rsidRDefault="005E240E" w:rsidP="005E240E">
            <w:pPr>
              <w:pStyle w:val="Tabletext"/>
            </w:pPr>
            <w:r w:rsidRPr="00BB0141">
              <w:t>Total expenses</w:t>
            </w:r>
          </w:p>
        </w:tc>
      </w:tr>
      <w:tr w:rsidR="005E240E" w:rsidRPr="00BB0141" w:rsidTr="005E240E">
        <w:tc>
          <w:tcPr>
            <w:tcW w:w="714" w:type="dxa"/>
            <w:shd w:val="clear" w:color="auto" w:fill="auto"/>
          </w:tcPr>
          <w:p w:rsidR="005E240E" w:rsidRPr="00BB0141" w:rsidRDefault="005E240E" w:rsidP="005E240E">
            <w:pPr>
              <w:pStyle w:val="Tabletext"/>
            </w:pPr>
          </w:p>
        </w:tc>
        <w:tc>
          <w:tcPr>
            <w:tcW w:w="6373" w:type="dxa"/>
            <w:shd w:val="clear" w:color="auto" w:fill="auto"/>
          </w:tcPr>
          <w:p w:rsidR="005E240E" w:rsidRPr="00BB0141" w:rsidRDefault="005E240E" w:rsidP="00002040">
            <w:pPr>
              <w:pStyle w:val="TableHeading"/>
              <w:rPr>
                <w:i/>
              </w:rPr>
            </w:pPr>
            <w:r w:rsidRPr="00BB0141">
              <w:rPr>
                <w:i/>
              </w:rPr>
              <w:t>Income sta</w:t>
            </w:r>
            <w:r w:rsidR="00002040" w:rsidRPr="00BB0141">
              <w:rPr>
                <w:i/>
              </w:rPr>
              <w:t>tement—net surplus/deficit</w:t>
            </w:r>
          </w:p>
        </w:tc>
      </w:tr>
      <w:tr w:rsidR="005E240E" w:rsidRPr="00BB0141" w:rsidTr="005E240E">
        <w:tc>
          <w:tcPr>
            <w:tcW w:w="714" w:type="dxa"/>
            <w:shd w:val="clear" w:color="auto" w:fill="auto"/>
          </w:tcPr>
          <w:p w:rsidR="005E240E" w:rsidRPr="00BB0141" w:rsidRDefault="00C703C0" w:rsidP="00C621D3">
            <w:pPr>
              <w:pStyle w:val="Tabletext"/>
            </w:pPr>
            <w:r w:rsidRPr="00BB0141">
              <w:t>13</w:t>
            </w:r>
          </w:p>
        </w:tc>
        <w:tc>
          <w:tcPr>
            <w:tcW w:w="6373" w:type="dxa"/>
            <w:shd w:val="clear" w:color="auto" w:fill="auto"/>
          </w:tcPr>
          <w:p w:rsidR="005E240E" w:rsidRPr="00BB0141" w:rsidRDefault="00C703C0" w:rsidP="00C703C0">
            <w:pPr>
              <w:pStyle w:val="Tabletext"/>
            </w:pPr>
            <w:r w:rsidRPr="00BB0141">
              <w:t>Net surplus/deficit</w:t>
            </w:r>
          </w:p>
        </w:tc>
      </w:tr>
      <w:tr w:rsidR="005E240E" w:rsidRPr="00BB0141" w:rsidTr="005E240E">
        <w:tc>
          <w:tcPr>
            <w:tcW w:w="714" w:type="dxa"/>
            <w:shd w:val="clear" w:color="auto" w:fill="auto"/>
          </w:tcPr>
          <w:p w:rsidR="005E240E" w:rsidRPr="00BB0141" w:rsidRDefault="005E240E" w:rsidP="005E240E">
            <w:pPr>
              <w:pStyle w:val="Tabletext"/>
            </w:pPr>
          </w:p>
        </w:tc>
        <w:tc>
          <w:tcPr>
            <w:tcW w:w="6373" w:type="dxa"/>
            <w:shd w:val="clear" w:color="auto" w:fill="auto"/>
          </w:tcPr>
          <w:p w:rsidR="005E240E" w:rsidRPr="00BB0141" w:rsidRDefault="005E240E" w:rsidP="005E240E">
            <w:pPr>
              <w:pStyle w:val="TableHeading"/>
              <w:rPr>
                <w:i/>
              </w:rPr>
            </w:pPr>
            <w:r w:rsidRPr="00BB0141">
              <w:rPr>
                <w:i/>
              </w:rPr>
              <w:t>Balance sheet—assets</w:t>
            </w:r>
          </w:p>
        </w:tc>
      </w:tr>
      <w:tr w:rsidR="005E240E" w:rsidRPr="00BB0141" w:rsidTr="005E240E">
        <w:tc>
          <w:tcPr>
            <w:tcW w:w="714" w:type="dxa"/>
            <w:shd w:val="clear" w:color="auto" w:fill="auto"/>
          </w:tcPr>
          <w:p w:rsidR="005E240E" w:rsidRPr="00BB0141" w:rsidRDefault="00C703C0" w:rsidP="005E240E">
            <w:pPr>
              <w:pStyle w:val="Tabletext"/>
            </w:pPr>
            <w:r w:rsidRPr="00BB0141">
              <w:t>14</w:t>
            </w:r>
          </w:p>
        </w:tc>
        <w:tc>
          <w:tcPr>
            <w:tcW w:w="6373" w:type="dxa"/>
            <w:shd w:val="clear" w:color="auto" w:fill="auto"/>
          </w:tcPr>
          <w:p w:rsidR="005E240E" w:rsidRPr="00BB0141" w:rsidRDefault="005E240E" w:rsidP="005E240E">
            <w:pPr>
              <w:pStyle w:val="Tabletext"/>
            </w:pPr>
            <w:r w:rsidRPr="00BB0141">
              <w:t>Total current assets</w:t>
            </w:r>
          </w:p>
        </w:tc>
      </w:tr>
      <w:tr w:rsidR="005E240E" w:rsidRPr="00BB0141" w:rsidTr="005E240E">
        <w:tc>
          <w:tcPr>
            <w:tcW w:w="714" w:type="dxa"/>
            <w:shd w:val="clear" w:color="auto" w:fill="auto"/>
          </w:tcPr>
          <w:p w:rsidR="005E240E" w:rsidRPr="00BB0141" w:rsidRDefault="00C703C0" w:rsidP="005E240E">
            <w:pPr>
              <w:pStyle w:val="Tabletext"/>
            </w:pPr>
            <w:r w:rsidRPr="00BB0141">
              <w:t>15</w:t>
            </w:r>
          </w:p>
        </w:tc>
        <w:tc>
          <w:tcPr>
            <w:tcW w:w="6373" w:type="dxa"/>
            <w:shd w:val="clear" w:color="auto" w:fill="auto"/>
          </w:tcPr>
          <w:p w:rsidR="005E240E" w:rsidRPr="00BB0141" w:rsidRDefault="00002040" w:rsidP="005E240E">
            <w:pPr>
              <w:pStyle w:val="Tabletext"/>
            </w:pPr>
            <w:r w:rsidRPr="00BB0141">
              <w:t>Non</w:t>
            </w:r>
            <w:r w:rsidR="00BB0141">
              <w:noBreakHyphen/>
            </w:r>
            <w:r w:rsidRPr="00BB0141">
              <w:t>current loans</w:t>
            </w:r>
          </w:p>
        </w:tc>
      </w:tr>
      <w:tr w:rsidR="005E240E" w:rsidRPr="00BB0141" w:rsidTr="005E240E">
        <w:tc>
          <w:tcPr>
            <w:tcW w:w="714" w:type="dxa"/>
            <w:shd w:val="clear" w:color="auto" w:fill="auto"/>
          </w:tcPr>
          <w:p w:rsidR="005E240E" w:rsidRPr="00BB0141" w:rsidRDefault="00C703C0" w:rsidP="005E240E">
            <w:pPr>
              <w:pStyle w:val="Tabletext"/>
            </w:pPr>
            <w:r w:rsidRPr="00BB0141">
              <w:t>16</w:t>
            </w:r>
          </w:p>
        </w:tc>
        <w:tc>
          <w:tcPr>
            <w:tcW w:w="6373" w:type="dxa"/>
            <w:shd w:val="clear" w:color="auto" w:fill="auto"/>
          </w:tcPr>
          <w:p w:rsidR="005E240E" w:rsidRPr="00BB0141" w:rsidRDefault="005E240E" w:rsidP="005E240E">
            <w:pPr>
              <w:pStyle w:val="Tabletext"/>
            </w:pPr>
            <w:r w:rsidRPr="00BB0141">
              <w:t>Other non</w:t>
            </w:r>
            <w:r w:rsidR="00BB0141">
              <w:noBreakHyphen/>
            </w:r>
            <w:r w:rsidRPr="00BB0141">
              <w:t>current assets</w:t>
            </w:r>
          </w:p>
        </w:tc>
      </w:tr>
      <w:tr w:rsidR="005E240E" w:rsidRPr="00BB0141" w:rsidTr="005E240E">
        <w:tc>
          <w:tcPr>
            <w:tcW w:w="714" w:type="dxa"/>
            <w:shd w:val="clear" w:color="auto" w:fill="auto"/>
          </w:tcPr>
          <w:p w:rsidR="005E240E" w:rsidRPr="00BB0141" w:rsidRDefault="00C703C0" w:rsidP="005E240E">
            <w:pPr>
              <w:pStyle w:val="Tabletext"/>
            </w:pPr>
            <w:r w:rsidRPr="00BB0141">
              <w:t>17</w:t>
            </w:r>
          </w:p>
        </w:tc>
        <w:tc>
          <w:tcPr>
            <w:tcW w:w="6373" w:type="dxa"/>
            <w:shd w:val="clear" w:color="auto" w:fill="auto"/>
          </w:tcPr>
          <w:p w:rsidR="005E240E" w:rsidRPr="00BB0141" w:rsidRDefault="005E240E" w:rsidP="005E240E">
            <w:pPr>
              <w:pStyle w:val="Tabletext"/>
            </w:pPr>
            <w:r w:rsidRPr="00BB0141">
              <w:t>Total non</w:t>
            </w:r>
            <w:r w:rsidR="00BB0141">
              <w:noBreakHyphen/>
            </w:r>
            <w:r w:rsidRPr="00BB0141">
              <w:t>current assets</w:t>
            </w:r>
          </w:p>
        </w:tc>
      </w:tr>
      <w:tr w:rsidR="005E240E" w:rsidRPr="00BB0141" w:rsidTr="005E240E">
        <w:tc>
          <w:tcPr>
            <w:tcW w:w="714" w:type="dxa"/>
            <w:shd w:val="clear" w:color="auto" w:fill="auto"/>
          </w:tcPr>
          <w:p w:rsidR="005E240E" w:rsidRPr="00BB0141" w:rsidRDefault="00C703C0" w:rsidP="005E240E">
            <w:pPr>
              <w:pStyle w:val="Tabletext"/>
            </w:pPr>
            <w:r w:rsidRPr="00BB0141">
              <w:t>18</w:t>
            </w:r>
          </w:p>
        </w:tc>
        <w:tc>
          <w:tcPr>
            <w:tcW w:w="6373" w:type="dxa"/>
            <w:shd w:val="clear" w:color="auto" w:fill="auto"/>
          </w:tcPr>
          <w:p w:rsidR="005E240E" w:rsidRPr="00BB0141" w:rsidRDefault="005E240E" w:rsidP="005E240E">
            <w:pPr>
              <w:pStyle w:val="Tabletext"/>
            </w:pPr>
            <w:r w:rsidRPr="00BB0141">
              <w:t>Total assets</w:t>
            </w:r>
          </w:p>
        </w:tc>
      </w:tr>
      <w:tr w:rsidR="005E240E" w:rsidRPr="00BB0141" w:rsidTr="005E240E">
        <w:tc>
          <w:tcPr>
            <w:tcW w:w="714" w:type="dxa"/>
            <w:shd w:val="clear" w:color="auto" w:fill="auto"/>
          </w:tcPr>
          <w:p w:rsidR="005E240E" w:rsidRPr="00BB0141" w:rsidRDefault="005E240E" w:rsidP="005E240E">
            <w:pPr>
              <w:pStyle w:val="Tabletext"/>
            </w:pPr>
          </w:p>
        </w:tc>
        <w:tc>
          <w:tcPr>
            <w:tcW w:w="6373" w:type="dxa"/>
            <w:shd w:val="clear" w:color="auto" w:fill="auto"/>
          </w:tcPr>
          <w:p w:rsidR="005E240E" w:rsidRPr="00BB0141" w:rsidRDefault="005E240E" w:rsidP="005E240E">
            <w:pPr>
              <w:pStyle w:val="TableHeading"/>
              <w:rPr>
                <w:i/>
              </w:rPr>
            </w:pPr>
            <w:r w:rsidRPr="00BB0141">
              <w:rPr>
                <w:i/>
              </w:rPr>
              <w:t>Balance sheet—liabilities</w:t>
            </w:r>
          </w:p>
        </w:tc>
      </w:tr>
      <w:tr w:rsidR="005E240E" w:rsidRPr="00BB0141" w:rsidTr="005E240E">
        <w:tc>
          <w:tcPr>
            <w:tcW w:w="714" w:type="dxa"/>
            <w:shd w:val="clear" w:color="auto" w:fill="auto"/>
          </w:tcPr>
          <w:p w:rsidR="005E240E" w:rsidRPr="00BB0141" w:rsidRDefault="00C703C0" w:rsidP="005E240E">
            <w:pPr>
              <w:pStyle w:val="Tabletext"/>
            </w:pPr>
            <w:r w:rsidRPr="00BB0141">
              <w:t>19</w:t>
            </w:r>
          </w:p>
        </w:tc>
        <w:tc>
          <w:tcPr>
            <w:tcW w:w="6373" w:type="dxa"/>
            <w:shd w:val="clear" w:color="auto" w:fill="auto"/>
          </w:tcPr>
          <w:p w:rsidR="005E240E" w:rsidRPr="00BB0141" w:rsidRDefault="005E240E" w:rsidP="005E240E">
            <w:pPr>
              <w:pStyle w:val="Tabletext"/>
            </w:pPr>
            <w:r w:rsidRPr="00BB0141">
              <w:t>Total current liabilities</w:t>
            </w:r>
          </w:p>
        </w:tc>
      </w:tr>
      <w:tr w:rsidR="005E240E" w:rsidRPr="00BB0141" w:rsidTr="005E240E">
        <w:tc>
          <w:tcPr>
            <w:tcW w:w="714" w:type="dxa"/>
            <w:shd w:val="clear" w:color="auto" w:fill="auto"/>
          </w:tcPr>
          <w:p w:rsidR="005E240E" w:rsidRPr="00BB0141" w:rsidRDefault="00C703C0" w:rsidP="005E240E">
            <w:pPr>
              <w:pStyle w:val="Tabletext"/>
            </w:pPr>
            <w:r w:rsidRPr="00BB0141">
              <w:t>20</w:t>
            </w:r>
          </w:p>
        </w:tc>
        <w:tc>
          <w:tcPr>
            <w:tcW w:w="6373" w:type="dxa"/>
            <w:shd w:val="clear" w:color="auto" w:fill="auto"/>
          </w:tcPr>
          <w:p w:rsidR="005E240E" w:rsidRPr="00BB0141" w:rsidRDefault="005E240E" w:rsidP="005E240E">
            <w:pPr>
              <w:pStyle w:val="Tabletext"/>
            </w:pPr>
            <w:r w:rsidRPr="00BB0141">
              <w:t>Non</w:t>
            </w:r>
            <w:r w:rsidR="00BB0141">
              <w:noBreakHyphen/>
            </w:r>
            <w:r w:rsidRPr="00BB0141">
              <w:t>current loans</w:t>
            </w:r>
          </w:p>
        </w:tc>
      </w:tr>
      <w:tr w:rsidR="005E240E" w:rsidRPr="00BB0141" w:rsidTr="005E240E">
        <w:tc>
          <w:tcPr>
            <w:tcW w:w="714" w:type="dxa"/>
            <w:shd w:val="clear" w:color="auto" w:fill="auto"/>
          </w:tcPr>
          <w:p w:rsidR="005E240E" w:rsidRPr="00BB0141" w:rsidRDefault="00C703C0" w:rsidP="005E240E">
            <w:pPr>
              <w:pStyle w:val="Tabletext"/>
            </w:pPr>
            <w:r w:rsidRPr="00BB0141">
              <w:t>21</w:t>
            </w:r>
          </w:p>
        </w:tc>
        <w:tc>
          <w:tcPr>
            <w:tcW w:w="6373" w:type="dxa"/>
            <w:shd w:val="clear" w:color="auto" w:fill="auto"/>
          </w:tcPr>
          <w:p w:rsidR="005E240E" w:rsidRPr="00BB0141" w:rsidRDefault="005E240E" w:rsidP="00002040">
            <w:pPr>
              <w:pStyle w:val="Tabletext"/>
            </w:pPr>
            <w:r w:rsidRPr="00BB0141">
              <w:t xml:space="preserve">Other </w:t>
            </w:r>
            <w:r w:rsidR="00002040" w:rsidRPr="00BB0141">
              <w:t>non</w:t>
            </w:r>
            <w:r w:rsidR="00BB0141">
              <w:noBreakHyphen/>
            </w:r>
            <w:r w:rsidR="00002040" w:rsidRPr="00BB0141">
              <w:t>current</w:t>
            </w:r>
            <w:r w:rsidRPr="00BB0141">
              <w:t xml:space="preserve"> liabilities</w:t>
            </w:r>
          </w:p>
        </w:tc>
      </w:tr>
      <w:tr w:rsidR="005E240E" w:rsidRPr="00BB0141" w:rsidTr="005E240E">
        <w:tc>
          <w:tcPr>
            <w:tcW w:w="714" w:type="dxa"/>
            <w:shd w:val="clear" w:color="auto" w:fill="auto"/>
          </w:tcPr>
          <w:p w:rsidR="005E240E" w:rsidRPr="00BB0141" w:rsidRDefault="00C703C0" w:rsidP="005E240E">
            <w:pPr>
              <w:pStyle w:val="Tabletext"/>
            </w:pPr>
            <w:r w:rsidRPr="00BB0141">
              <w:t>22</w:t>
            </w:r>
          </w:p>
        </w:tc>
        <w:tc>
          <w:tcPr>
            <w:tcW w:w="6373" w:type="dxa"/>
            <w:shd w:val="clear" w:color="auto" w:fill="auto"/>
          </w:tcPr>
          <w:p w:rsidR="005E240E" w:rsidRPr="00BB0141" w:rsidRDefault="005E240E" w:rsidP="005E240E">
            <w:pPr>
              <w:pStyle w:val="Tabletext"/>
            </w:pPr>
            <w:r w:rsidRPr="00BB0141">
              <w:t>Total non</w:t>
            </w:r>
            <w:r w:rsidR="00BB0141">
              <w:noBreakHyphen/>
            </w:r>
            <w:r w:rsidRPr="00BB0141">
              <w:t>current liabilities</w:t>
            </w:r>
          </w:p>
        </w:tc>
      </w:tr>
      <w:tr w:rsidR="005E240E" w:rsidRPr="00BB0141" w:rsidTr="005E240E">
        <w:tc>
          <w:tcPr>
            <w:tcW w:w="714" w:type="dxa"/>
            <w:shd w:val="clear" w:color="auto" w:fill="auto"/>
          </w:tcPr>
          <w:p w:rsidR="005E240E" w:rsidRPr="00BB0141" w:rsidRDefault="00C703C0" w:rsidP="005E240E">
            <w:pPr>
              <w:pStyle w:val="Tabletext"/>
            </w:pPr>
            <w:r w:rsidRPr="00BB0141">
              <w:t>23</w:t>
            </w:r>
          </w:p>
        </w:tc>
        <w:tc>
          <w:tcPr>
            <w:tcW w:w="6373" w:type="dxa"/>
            <w:shd w:val="clear" w:color="auto" w:fill="auto"/>
          </w:tcPr>
          <w:p w:rsidR="005E240E" w:rsidRPr="00BB0141" w:rsidRDefault="005E240E" w:rsidP="005E240E">
            <w:pPr>
              <w:pStyle w:val="Tabletext"/>
            </w:pPr>
            <w:r w:rsidRPr="00BB0141">
              <w:t>Total liabilities</w:t>
            </w:r>
          </w:p>
        </w:tc>
      </w:tr>
      <w:tr w:rsidR="005E240E" w:rsidRPr="00BB0141" w:rsidTr="005E240E">
        <w:tc>
          <w:tcPr>
            <w:tcW w:w="714" w:type="dxa"/>
            <w:shd w:val="clear" w:color="auto" w:fill="auto"/>
          </w:tcPr>
          <w:p w:rsidR="005E240E" w:rsidRPr="00BB0141" w:rsidRDefault="005E240E" w:rsidP="005E240E">
            <w:pPr>
              <w:pStyle w:val="Tabletext"/>
            </w:pPr>
          </w:p>
        </w:tc>
        <w:tc>
          <w:tcPr>
            <w:tcW w:w="6373" w:type="dxa"/>
            <w:shd w:val="clear" w:color="auto" w:fill="auto"/>
          </w:tcPr>
          <w:p w:rsidR="005E240E" w:rsidRPr="00BB0141" w:rsidRDefault="00002040" w:rsidP="005E240E">
            <w:pPr>
              <w:pStyle w:val="Tabletext"/>
              <w:rPr>
                <w:b/>
                <w:i/>
              </w:rPr>
            </w:pPr>
            <w:r w:rsidRPr="00BB0141">
              <w:rPr>
                <w:b/>
                <w:i/>
              </w:rPr>
              <w:t>Balance sheet—net assets/liabilities</w:t>
            </w:r>
          </w:p>
        </w:tc>
      </w:tr>
      <w:tr w:rsidR="005E240E" w:rsidRPr="00BB0141" w:rsidTr="005E240E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5E240E" w:rsidRPr="00BB0141" w:rsidRDefault="00C703C0" w:rsidP="005E240E">
            <w:pPr>
              <w:pStyle w:val="Tabletext"/>
            </w:pPr>
            <w:r w:rsidRPr="00BB0141">
              <w:t>24</w:t>
            </w:r>
          </w:p>
        </w:tc>
        <w:tc>
          <w:tcPr>
            <w:tcW w:w="6373" w:type="dxa"/>
            <w:tcBorders>
              <w:bottom w:val="single" w:sz="12" w:space="0" w:color="auto"/>
            </w:tcBorders>
            <w:shd w:val="clear" w:color="auto" w:fill="auto"/>
          </w:tcPr>
          <w:p w:rsidR="005E240E" w:rsidRPr="00BB0141" w:rsidRDefault="00FE27AF" w:rsidP="00FE27AF">
            <w:pPr>
              <w:pStyle w:val="Tabletext"/>
            </w:pPr>
            <w:r w:rsidRPr="00BB0141">
              <w:t>Net assets/liabilities</w:t>
            </w:r>
          </w:p>
        </w:tc>
      </w:tr>
    </w:tbl>
    <w:p w:rsidR="004771D1" w:rsidRPr="00BB0141" w:rsidRDefault="004771D1" w:rsidP="004771D1">
      <w:pPr>
        <w:pStyle w:val="notetext"/>
      </w:pPr>
      <w:bookmarkStart w:id="28" w:name="CB_S5P9L5C1"/>
      <w:bookmarkEnd w:id="27"/>
      <w:bookmarkEnd w:id="28"/>
      <w:r w:rsidRPr="00BB0141">
        <w:t>Note 1:</w:t>
      </w:r>
      <w:r w:rsidRPr="00BB0141">
        <w:tab/>
        <w:t>This information is also proposed to be contained in the large registered entity’s 2014 Annual Information Statement.</w:t>
      </w:r>
    </w:p>
    <w:p w:rsidR="0081080D" w:rsidRPr="00BB0141" w:rsidRDefault="00F647DF" w:rsidP="00BB0141">
      <w:pPr>
        <w:pStyle w:val="notetext"/>
      </w:pPr>
      <w:r w:rsidRPr="00BB0141">
        <w:t>Note</w:t>
      </w:r>
      <w:r w:rsidR="004771D1" w:rsidRPr="00BB0141">
        <w:t xml:space="preserve"> 2</w:t>
      </w:r>
      <w:r w:rsidRPr="00BB0141">
        <w:t>:</w:t>
      </w:r>
      <w:r w:rsidRPr="00BB0141">
        <w:tab/>
        <w:t xml:space="preserve">Government grants are grants that </w:t>
      </w:r>
      <w:r w:rsidR="0018354A" w:rsidRPr="00BB0141">
        <w:t>the large</w:t>
      </w:r>
      <w:r w:rsidRPr="00BB0141">
        <w:t xml:space="preserve"> registered entity receives from the Commonwealth, a State or Territory or a local government body.</w:t>
      </w:r>
    </w:p>
    <w:sectPr w:rsidR="0081080D" w:rsidRPr="00BB0141" w:rsidSect="00E67BB7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 w:code="9"/>
      <w:pgMar w:top="2381" w:right="2409" w:bottom="4252" w:left="2409" w:header="720" w:footer="340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FA9" w:rsidRDefault="00614FA9">
      <w:r>
        <w:separator/>
      </w:r>
    </w:p>
  </w:endnote>
  <w:endnote w:type="continuationSeparator" w:id="0">
    <w:p w:rsidR="00614FA9" w:rsidRDefault="0061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BB7" w:rsidRPr="00E67BB7" w:rsidRDefault="00E67BB7" w:rsidP="00E67BB7">
    <w:pPr>
      <w:pStyle w:val="Footer"/>
      <w:rPr>
        <w:sz w:val="18"/>
      </w:rPr>
    </w:pPr>
    <w:r>
      <w:rPr>
        <w:sz w:val="18"/>
      </w:rPr>
      <w:t>OPC50363</w:t>
    </w:r>
    <w:r w:rsidRPr="00E67BB7">
      <w:rPr>
        <w:sz w:val="18"/>
      </w:rPr>
      <w:t xml:space="preserve">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03"/>
    </w:tblGrid>
    <w:tr w:rsidR="001F33D5" w:rsidTr="007946FE">
      <w:tc>
        <w:tcPr>
          <w:tcW w:w="7303" w:type="dxa"/>
        </w:tcPr>
        <w:p w:rsidR="001F33D5" w:rsidRDefault="001F33D5" w:rsidP="007946FE">
          <w:pPr>
            <w:rPr>
              <w:sz w:val="18"/>
            </w:rPr>
          </w:pPr>
        </w:p>
      </w:tc>
    </w:tr>
  </w:tbl>
  <w:p w:rsidR="001F33D5" w:rsidRPr="006D3667" w:rsidRDefault="00E67BB7" w:rsidP="00E67BB7">
    <w:pPr>
      <w:pStyle w:val="Footer"/>
    </w:pPr>
    <w:r>
      <w:t>OPC50363</w:t>
    </w:r>
    <w:r w:rsidRPr="00E67BB7">
      <w:rPr>
        <w:sz w:val="18"/>
      </w:rPr>
      <w:t xml:space="preserve">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BB7" w:rsidRPr="00E67BB7" w:rsidRDefault="00E67BB7" w:rsidP="00E67BB7">
    <w:pPr>
      <w:pStyle w:val="Footer"/>
      <w:rPr>
        <w:sz w:val="18"/>
      </w:rPr>
    </w:pPr>
    <w:r>
      <w:rPr>
        <w:sz w:val="18"/>
      </w:rPr>
      <w:t>OPC50363</w:t>
    </w:r>
    <w:r w:rsidRPr="00E67BB7">
      <w:rPr>
        <w:sz w:val="18"/>
      </w:rPr>
      <w:t xml:space="preserve">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3D5" w:rsidRPr="00E67BB7" w:rsidRDefault="001F33D5" w:rsidP="002B5B89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1F33D5" w:rsidRPr="00E67BB7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1F33D5" w:rsidRPr="00E67BB7" w:rsidRDefault="001F33D5" w:rsidP="00E33C1C">
          <w:pPr>
            <w:spacing w:line="0" w:lineRule="atLeast"/>
            <w:rPr>
              <w:rFonts w:cs="Times New Roman"/>
              <w:sz w:val="18"/>
            </w:rPr>
          </w:pPr>
          <w:r w:rsidRPr="00E67BB7">
            <w:rPr>
              <w:rFonts w:cs="Times New Roman"/>
              <w:i/>
              <w:sz w:val="18"/>
            </w:rPr>
            <w:fldChar w:fldCharType="begin"/>
          </w:r>
          <w:r w:rsidRPr="00E67BB7">
            <w:rPr>
              <w:rFonts w:cs="Times New Roman"/>
              <w:i/>
              <w:sz w:val="18"/>
            </w:rPr>
            <w:instrText xml:space="preserve"> PAGE </w:instrText>
          </w:r>
          <w:r w:rsidRPr="00E67BB7">
            <w:rPr>
              <w:rFonts w:cs="Times New Roman"/>
              <w:i/>
              <w:sz w:val="18"/>
            </w:rPr>
            <w:fldChar w:fldCharType="separate"/>
          </w:r>
          <w:r w:rsidR="007379E6">
            <w:rPr>
              <w:rFonts w:cs="Times New Roman"/>
              <w:i/>
              <w:noProof/>
              <w:sz w:val="18"/>
            </w:rPr>
            <w:t>ii</w:t>
          </w:r>
          <w:r w:rsidRPr="00E67BB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1F33D5" w:rsidRPr="00E67BB7" w:rsidRDefault="001F33D5" w:rsidP="00E33C1C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E67BB7">
            <w:rPr>
              <w:rFonts w:cs="Times New Roman"/>
              <w:i/>
              <w:sz w:val="18"/>
            </w:rPr>
            <w:fldChar w:fldCharType="begin"/>
          </w:r>
          <w:r w:rsidRPr="00E67BB7">
            <w:rPr>
              <w:rFonts w:cs="Times New Roman"/>
              <w:i/>
              <w:sz w:val="18"/>
            </w:rPr>
            <w:instrText xml:space="preserve"> DOCPROPERTY ShortT </w:instrText>
          </w:r>
          <w:r w:rsidRPr="00E67BB7">
            <w:rPr>
              <w:rFonts w:cs="Times New Roman"/>
              <w:i/>
              <w:sz w:val="18"/>
            </w:rPr>
            <w:fldChar w:fldCharType="separate"/>
          </w:r>
          <w:r w:rsidR="00584D12">
            <w:rPr>
              <w:rFonts w:cs="Times New Roman"/>
              <w:i/>
              <w:sz w:val="18"/>
            </w:rPr>
            <w:t>Australian Charities and Not</w:t>
          </w:r>
          <w:r w:rsidR="00584D12">
            <w:rPr>
              <w:rFonts w:cs="Times New Roman"/>
              <w:i/>
              <w:sz w:val="18"/>
            </w:rPr>
            <w:noBreakHyphen/>
            <w:t>for</w:t>
          </w:r>
          <w:r w:rsidR="00584D12">
            <w:rPr>
              <w:rFonts w:cs="Times New Roman"/>
              <w:i/>
              <w:sz w:val="18"/>
            </w:rPr>
            <w:noBreakHyphen/>
            <w:t>profits Commission Amendment Regulation 2013 (No. 3)</w:t>
          </w:r>
          <w:r w:rsidRPr="00E67BB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1F33D5" w:rsidRPr="00E67BB7" w:rsidRDefault="001F33D5" w:rsidP="00E33C1C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E67BB7">
            <w:rPr>
              <w:rFonts w:cs="Times New Roman"/>
              <w:i/>
              <w:sz w:val="18"/>
            </w:rPr>
            <w:fldChar w:fldCharType="begin"/>
          </w:r>
          <w:r w:rsidRPr="00E67BB7">
            <w:rPr>
              <w:rFonts w:cs="Times New Roman"/>
              <w:i/>
              <w:sz w:val="18"/>
            </w:rPr>
            <w:instrText xml:space="preserve"> DOCPROPERTY ActNo </w:instrText>
          </w:r>
          <w:r w:rsidRPr="00E67BB7">
            <w:rPr>
              <w:rFonts w:cs="Times New Roman"/>
              <w:i/>
              <w:sz w:val="18"/>
            </w:rPr>
            <w:fldChar w:fldCharType="separate"/>
          </w:r>
          <w:r w:rsidR="00584D12">
            <w:rPr>
              <w:rFonts w:cs="Times New Roman"/>
              <w:i/>
              <w:sz w:val="18"/>
            </w:rPr>
            <w:t>No. 124, 2013</w:t>
          </w:r>
          <w:r w:rsidRPr="00E67BB7">
            <w:rPr>
              <w:rFonts w:cs="Times New Roman"/>
              <w:i/>
              <w:sz w:val="18"/>
            </w:rPr>
            <w:fldChar w:fldCharType="end"/>
          </w:r>
        </w:p>
      </w:tc>
    </w:tr>
    <w:tr w:rsidR="001F33D5" w:rsidRPr="00E67BB7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1F33D5" w:rsidRPr="00E67BB7" w:rsidRDefault="001F33D5" w:rsidP="007946FE">
          <w:pPr>
            <w:jc w:val="right"/>
            <w:rPr>
              <w:rFonts w:cs="Times New Roman"/>
              <w:sz w:val="18"/>
            </w:rPr>
          </w:pPr>
        </w:p>
      </w:tc>
    </w:tr>
  </w:tbl>
  <w:p w:rsidR="001F33D5" w:rsidRPr="00E67BB7" w:rsidRDefault="00E67BB7" w:rsidP="00E67BB7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OPC50363</w:t>
    </w:r>
    <w:r w:rsidRPr="00E67BB7">
      <w:rPr>
        <w:rFonts w:cs="Times New Roman"/>
        <w:i/>
        <w:sz w:val="18"/>
      </w:rPr>
      <w:t xml:space="preserve">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3D5" w:rsidRPr="00E33C1C" w:rsidRDefault="001F33D5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1F33D5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1F33D5" w:rsidRDefault="001F33D5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584D12">
            <w:rPr>
              <w:i/>
              <w:sz w:val="18"/>
            </w:rPr>
            <w:t>No. 124,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1F33D5" w:rsidRDefault="001F33D5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84D12">
            <w:rPr>
              <w:i/>
              <w:sz w:val="18"/>
            </w:rPr>
            <w:t>Australian Charities and Not</w:t>
          </w:r>
          <w:r w:rsidR="00584D12">
            <w:rPr>
              <w:i/>
              <w:sz w:val="18"/>
            </w:rPr>
            <w:noBreakHyphen/>
            <w:t>for</w:t>
          </w:r>
          <w:r w:rsidR="00584D12">
            <w:rPr>
              <w:i/>
              <w:sz w:val="18"/>
            </w:rPr>
            <w:noBreakHyphen/>
            <w:t>profits Commission Amendment Regulation 2013 (No. 3)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1F33D5" w:rsidRDefault="001F33D5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F342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F33D5" w:rsidTr="007946F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1F33D5" w:rsidRDefault="001F33D5" w:rsidP="007946FE">
          <w:pPr>
            <w:rPr>
              <w:sz w:val="18"/>
            </w:rPr>
          </w:pPr>
        </w:p>
      </w:tc>
    </w:tr>
  </w:tbl>
  <w:p w:rsidR="001F33D5" w:rsidRPr="00ED79B6" w:rsidRDefault="00E67BB7" w:rsidP="00E67BB7">
    <w:pPr>
      <w:rPr>
        <w:i/>
        <w:sz w:val="18"/>
      </w:rPr>
    </w:pPr>
    <w:r>
      <w:rPr>
        <w:i/>
        <w:sz w:val="18"/>
      </w:rPr>
      <w:t>OPC50363</w:t>
    </w:r>
    <w:r w:rsidRPr="00E67BB7">
      <w:rPr>
        <w:rFonts w:cs="Times New Roman"/>
        <w:i/>
        <w:sz w:val="18"/>
      </w:rPr>
      <w:t xml:space="preserve">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3D5" w:rsidRPr="00E67BB7" w:rsidRDefault="001F33D5" w:rsidP="001F6924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1F33D5" w:rsidRPr="00E67BB7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1F33D5" w:rsidRPr="00E67BB7" w:rsidRDefault="001F33D5" w:rsidP="00E33C1C">
          <w:pPr>
            <w:spacing w:line="0" w:lineRule="atLeast"/>
            <w:rPr>
              <w:rFonts w:cs="Times New Roman"/>
              <w:sz w:val="18"/>
            </w:rPr>
          </w:pPr>
          <w:r w:rsidRPr="00E67BB7">
            <w:rPr>
              <w:rFonts w:cs="Times New Roman"/>
              <w:i/>
              <w:sz w:val="18"/>
            </w:rPr>
            <w:fldChar w:fldCharType="begin"/>
          </w:r>
          <w:r w:rsidRPr="00E67BB7">
            <w:rPr>
              <w:rFonts w:cs="Times New Roman"/>
              <w:i/>
              <w:sz w:val="18"/>
            </w:rPr>
            <w:instrText xml:space="preserve"> PAGE </w:instrText>
          </w:r>
          <w:r w:rsidRPr="00E67BB7">
            <w:rPr>
              <w:rFonts w:cs="Times New Roman"/>
              <w:i/>
              <w:sz w:val="18"/>
            </w:rPr>
            <w:fldChar w:fldCharType="separate"/>
          </w:r>
          <w:r w:rsidR="009F3425">
            <w:rPr>
              <w:rFonts w:cs="Times New Roman"/>
              <w:i/>
              <w:noProof/>
              <w:sz w:val="18"/>
            </w:rPr>
            <w:t>8</w:t>
          </w:r>
          <w:r w:rsidRPr="00E67BB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1F33D5" w:rsidRPr="00E67BB7" w:rsidRDefault="001F33D5" w:rsidP="00E33C1C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E67BB7">
            <w:rPr>
              <w:rFonts w:cs="Times New Roman"/>
              <w:i/>
              <w:sz w:val="18"/>
            </w:rPr>
            <w:fldChar w:fldCharType="begin"/>
          </w:r>
          <w:r w:rsidRPr="00E67BB7">
            <w:rPr>
              <w:rFonts w:cs="Times New Roman"/>
              <w:i/>
              <w:sz w:val="18"/>
            </w:rPr>
            <w:instrText xml:space="preserve"> DOCPROPERTY ShortT </w:instrText>
          </w:r>
          <w:r w:rsidRPr="00E67BB7">
            <w:rPr>
              <w:rFonts w:cs="Times New Roman"/>
              <w:i/>
              <w:sz w:val="18"/>
            </w:rPr>
            <w:fldChar w:fldCharType="separate"/>
          </w:r>
          <w:r w:rsidR="00584D12">
            <w:rPr>
              <w:rFonts w:cs="Times New Roman"/>
              <w:i/>
              <w:sz w:val="18"/>
            </w:rPr>
            <w:t>Australian Charities and Not</w:t>
          </w:r>
          <w:r w:rsidR="00584D12">
            <w:rPr>
              <w:rFonts w:cs="Times New Roman"/>
              <w:i/>
              <w:sz w:val="18"/>
            </w:rPr>
            <w:noBreakHyphen/>
            <w:t>for</w:t>
          </w:r>
          <w:r w:rsidR="00584D12">
            <w:rPr>
              <w:rFonts w:cs="Times New Roman"/>
              <w:i/>
              <w:sz w:val="18"/>
            </w:rPr>
            <w:noBreakHyphen/>
            <w:t>profits Commission Amendment Regulation 2013 (No. 3)</w:t>
          </w:r>
          <w:r w:rsidRPr="00E67BB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1F33D5" w:rsidRPr="00E67BB7" w:rsidRDefault="001F33D5" w:rsidP="00E33C1C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E67BB7">
            <w:rPr>
              <w:rFonts w:cs="Times New Roman"/>
              <w:i/>
              <w:sz w:val="18"/>
            </w:rPr>
            <w:fldChar w:fldCharType="begin"/>
          </w:r>
          <w:r w:rsidRPr="00E67BB7">
            <w:rPr>
              <w:rFonts w:cs="Times New Roman"/>
              <w:i/>
              <w:sz w:val="18"/>
            </w:rPr>
            <w:instrText xml:space="preserve"> DOCPROPERTY ActNo </w:instrText>
          </w:r>
          <w:r w:rsidRPr="00E67BB7">
            <w:rPr>
              <w:rFonts w:cs="Times New Roman"/>
              <w:i/>
              <w:sz w:val="18"/>
            </w:rPr>
            <w:fldChar w:fldCharType="separate"/>
          </w:r>
          <w:r w:rsidR="00584D12">
            <w:rPr>
              <w:rFonts w:cs="Times New Roman"/>
              <w:i/>
              <w:sz w:val="18"/>
            </w:rPr>
            <w:t>No. 124, 2013</w:t>
          </w:r>
          <w:r w:rsidRPr="00E67BB7">
            <w:rPr>
              <w:rFonts w:cs="Times New Roman"/>
              <w:i/>
              <w:sz w:val="18"/>
            </w:rPr>
            <w:fldChar w:fldCharType="end"/>
          </w:r>
        </w:p>
      </w:tc>
    </w:tr>
    <w:tr w:rsidR="001F33D5" w:rsidRPr="00E67BB7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1F33D5" w:rsidRPr="00E67BB7" w:rsidRDefault="001F33D5" w:rsidP="007946FE">
          <w:pPr>
            <w:jc w:val="right"/>
            <w:rPr>
              <w:rFonts w:cs="Times New Roman"/>
              <w:sz w:val="18"/>
            </w:rPr>
          </w:pPr>
        </w:p>
      </w:tc>
    </w:tr>
  </w:tbl>
  <w:p w:rsidR="001F33D5" w:rsidRPr="00E67BB7" w:rsidRDefault="00E67BB7" w:rsidP="00E67BB7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OPC50363</w:t>
    </w:r>
    <w:r w:rsidRPr="00E67BB7">
      <w:rPr>
        <w:rFonts w:cs="Times New Roman"/>
        <w:i/>
        <w:sz w:val="18"/>
      </w:rPr>
      <w:t xml:space="preserve">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3D5" w:rsidRPr="00E33C1C" w:rsidRDefault="001F33D5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1F33D5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1F33D5" w:rsidRDefault="001F33D5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584D12">
            <w:rPr>
              <w:i/>
              <w:sz w:val="18"/>
            </w:rPr>
            <w:t>No. 124,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1F33D5" w:rsidRDefault="001F33D5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84D12">
            <w:rPr>
              <w:i/>
              <w:sz w:val="18"/>
            </w:rPr>
            <w:t>Australian Charities and Not</w:t>
          </w:r>
          <w:r w:rsidR="00584D12">
            <w:rPr>
              <w:i/>
              <w:sz w:val="18"/>
            </w:rPr>
            <w:noBreakHyphen/>
            <w:t>for</w:t>
          </w:r>
          <w:r w:rsidR="00584D12">
            <w:rPr>
              <w:i/>
              <w:sz w:val="18"/>
            </w:rPr>
            <w:noBreakHyphen/>
            <w:t>profits Commission Amendment Regulation 2013 (No. 3)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1F33D5" w:rsidRDefault="001F33D5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F3425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F33D5" w:rsidTr="007946F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1F33D5" w:rsidRDefault="001F33D5" w:rsidP="007946FE">
          <w:pPr>
            <w:rPr>
              <w:sz w:val="18"/>
            </w:rPr>
          </w:pPr>
        </w:p>
      </w:tc>
    </w:tr>
  </w:tbl>
  <w:p w:rsidR="001F33D5" w:rsidRPr="00ED79B6" w:rsidRDefault="00E67BB7" w:rsidP="00E67BB7">
    <w:pPr>
      <w:rPr>
        <w:i/>
        <w:sz w:val="18"/>
      </w:rPr>
    </w:pPr>
    <w:r>
      <w:rPr>
        <w:i/>
        <w:sz w:val="18"/>
      </w:rPr>
      <w:t>OPC50363</w:t>
    </w:r>
    <w:r w:rsidRPr="00E67BB7">
      <w:rPr>
        <w:rFonts w:cs="Times New Roman"/>
        <w:i/>
        <w:sz w:val="18"/>
      </w:rPr>
      <w:t xml:space="preserve">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FA9" w:rsidRDefault="00614F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FA9" w:rsidRDefault="00614FA9">
      <w:r>
        <w:separator/>
      </w:r>
    </w:p>
  </w:footnote>
  <w:footnote w:type="continuationSeparator" w:id="0">
    <w:p w:rsidR="00614FA9" w:rsidRDefault="00614F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3D5" w:rsidRPr="005F1388" w:rsidRDefault="001F33D5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3D5" w:rsidRPr="005F1388" w:rsidRDefault="001F33D5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3D5" w:rsidRPr="005F1388" w:rsidRDefault="001F33D5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3D5" w:rsidRPr="00ED79B6" w:rsidRDefault="001F33D5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3D5" w:rsidRPr="00ED79B6" w:rsidRDefault="001F33D5" w:rsidP="00AB3315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3D5" w:rsidRPr="00ED79B6" w:rsidRDefault="001F33D5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3D5" w:rsidRPr="00A961C4" w:rsidRDefault="001F33D5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9F3425">
      <w:rPr>
        <w:b/>
        <w:sz w:val="20"/>
      </w:rPr>
      <w:fldChar w:fldCharType="separate"/>
    </w:r>
    <w:r w:rsidR="009F342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9F3425">
      <w:rPr>
        <w:sz w:val="20"/>
      </w:rPr>
      <w:fldChar w:fldCharType="separate"/>
    </w:r>
    <w:r w:rsidR="009F3425">
      <w:rPr>
        <w:noProof/>
        <w:sz w:val="20"/>
      </w:rPr>
      <w:t>Amendments</w:t>
    </w:r>
    <w:r>
      <w:rPr>
        <w:sz w:val="20"/>
      </w:rPr>
      <w:fldChar w:fldCharType="end"/>
    </w:r>
  </w:p>
  <w:p w:rsidR="001F33D5" w:rsidRPr="00A961C4" w:rsidRDefault="001F33D5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1F33D5" w:rsidRPr="00A961C4" w:rsidRDefault="001F33D5" w:rsidP="00B63BDE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3D5" w:rsidRPr="00A961C4" w:rsidRDefault="001F33D5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9F3425">
      <w:rPr>
        <w:sz w:val="20"/>
      </w:rPr>
      <w:fldChar w:fldCharType="separate"/>
    </w:r>
    <w:r w:rsidR="009F3425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9F3425">
      <w:rPr>
        <w:b/>
        <w:sz w:val="20"/>
      </w:rPr>
      <w:fldChar w:fldCharType="separate"/>
    </w:r>
    <w:r w:rsidR="009F3425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1F33D5" w:rsidRPr="00A961C4" w:rsidRDefault="001F33D5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1F33D5" w:rsidRPr="00A961C4" w:rsidRDefault="001F33D5" w:rsidP="00E443FC">
    <w:pPr>
      <w:pBdr>
        <w:bottom w:val="single" w:sz="6" w:space="1" w:color="auto"/>
      </w:pBd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5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F42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A47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BE8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E420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30D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EC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A49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D2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0E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D0F28C3"/>
    <w:multiLevelType w:val="multilevel"/>
    <w:tmpl w:val="59822638"/>
    <w:name w:val="StandardBulletedList"/>
    <w:lvl w:ilvl="0">
      <w:start w:val="1"/>
      <w:numFmt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4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7"/>
  </w:num>
  <w:num w:numId="16">
    <w:abstractNumId w:val="13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A84"/>
    <w:rsid w:val="00002040"/>
    <w:rsid w:val="00002328"/>
    <w:rsid w:val="000047FD"/>
    <w:rsid w:val="000056EE"/>
    <w:rsid w:val="00010203"/>
    <w:rsid w:val="00012A4E"/>
    <w:rsid w:val="00013A38"/>
    <w:rsid w:val="0001739E"/>
    <w:rsid w:val="00020180"/>
    <w:rsid w:val="000215E5"/>
    <w:rsid w:val="00023FD2"/>
    <w:rsid w:val="000272EF"/>
    <w:rsid w:val="0003434D"/>
    <w:rsid w:val="0003498B"/>
    <w:rsid w:val="0004081D"/>
    <w:rsid w:val="00041CAF"/>
    <w:rsid w:val="00043762"/>
    <w:rsid w:val="000472C2"/>
    <w:rsid w:val="000510B9"/>
    <w:rsid w:val="00051C9B"/>
    <w:rsid w:val="000551A3"/>
    <w:rsid w:val="00055E25"/>
    <w:rsid w:val="00065A0E"/>
    <w:rsid w:val="0006722F"/>
    <w:rsid w:val="00070E97"/>
    <w:rsid w:val="00071791"/>
    <w:rsid w:val="000721B0"/>
    <w:rsid w:val="000753EE"/>
    <w:rsid w:val="00075B3D"/>
    <w:rsid w:val="00076B35"/>
    <w:rsid w:val="00076C30"/>
    <w:rsid w:val="0008137D"/>
    <w:rsid w:val="00085877"/>
    <w:rsid w:val="00086090"/>
    <w:rsid w:val="00086E1D"/>
    <w:rsid w:val="0009122C"/>
    <w:rsid w:val="00092802"/>
    <w:rsid w:val="00095CC4"/>
    <w:rsid w:val="00096596"/>
    <w:rsid w:val="000A3C52"/>
    <w:rsid w:val="000B052B"/>
    <w:rsid w:val="000B0A20"/>
    <w:rsid w:val="000B26C3"/>
    <w:rsid w:val="000B52F3"/>
    <w:rsid w:val="000B68A5"/>
    <w:rsid w:val="000C2AB1"/>
    <w:rsid w:val="000C56FE"/>
    <w:rsid w:val="000C78B5"/>
    <w:rsid w:val="000D112D"/>
    <w:rsid w:val="000D363E"/>
    <w:rsid w:val="000D7167"/>
    <w:rsid w:val="000D736B"/>
    <w:rsid w:val="000E081D"/>
    <w:rsid w:val="000E470D"/>
    <w:rsid w:val="000F140F"/>
    <w:rsid w:val="000F3758"/>
    <w:rsid w:val="00102347"/>
    <w:rsid w:val="00110F98"/>
    <w:rsid w:val="0011161E"/>
    <w:rsid w:val="0011172E"/>
    <w:rsid w:val="00111E48"/>
    <w:rsid w:val="0011314E"/>
    <w:rsid w:val="00114286"/>
    <w:rsid w:val="00117290"/>
    <w:rsid w:val="00121B18"/>
    <w:rsid w:val="00122CA1"/>
    <w:rsid w:val="0012560F"/>
    <w:rsid w:val="00126D00"/>
    <w:rsid w:val="00133419"/>
    <w:rsid w:val="00134204"/>
    <w:rsid w:val="001363F5"/>
    <w:rsid w:val="00137EF4"/>
    <w:rsid w:val="00145C33"/>
    <w:rsid w:val="0014660D"/>
    <w:rsid w:val="001509A9"/>
    <w:rsid w:val="00150A12"/>
    <w:rsid w:val="001510F9"/>
    <w:rsid w:val="00152824"/>
    <w:rsid w:val="00153593"/>
    <w:rsid w:val="00154083"/>
    <w:rsid w:val="001544DD"/>
    <w:rsid w:val="00156A5A"/>
    <w:rsid w:val="00157E82"/>
    <w:rsid w:val="0016543E"/>
    <w:rsid w:val="0016552E"/>
    <w:rsid w:val="001661B3"/>
    <w:rsid w:val="00171A0A"/>
    <w:rsid w:val="0017420C"/>
    <w:rsid w:val="00176457"/>
    <w:rsid w:val="0017669E"/>
    <w:rsid w:val="00176BCE"/>
    <w:rsid w:val="00180CD3"/>
    <w:rsid w:val="0018354A"/>
    <w:rsid w:val="001840EA"/>
    <w:rsid w:val="00190D22"/>
    <w:rsid w:val="00191B57"/>
    <w:rsid w:val="001A062E"/>
    <w:rsid w:val="001A25BD"/>
    <w:rsid w:val="001A2921"/>
    <w:rsid w:val="001A2B82"/>
    <w:rsid w:val="001A745A"/>
    <w:rsid w:val="001B4168"/>
    <w:rsid w:val="001B680B"/>
    <w:rsid w:val="001B750D"/>
    <w:rsid w:val="001C2D2D"/>
    <w:rsid w:val="001C48B6"/>
    <w:rsid w:val="001C52FA"/>
    <w:rsid w:val="001C6C78"/>
    <w:rsid w:val="001C6E23"/>
    <w:rsid w:val="001D1730"/>
    <w:rsid w:val="001D49E7"/>
    <w:rsid w:val="001D7DD2"/>
    <w:rsid w:val="001E1FF9"/>
    <w:rsid w:val="001E551F"/>
    <w:rsid w:val="001F0F35"/>
    <w:rsid w:val="001F1819"/>
    <w:rsid w:val="001F204C"/>
    <w:rsid w:val="001F24CF"/>
    <w:rsid w:val="001F33D5"/>
    <w:rsid w:val="001F3BBE"/>
    <w:rsid w:val="001F3D0A"/>
    <w:rsid w:val="001F4F27"/>
    <w:rsid w:val="0020253A"/>
    <w:rsid w:val="0020488A"/>
    <w:rsid w:val="0020650F"/>
    <w:rsid w:val="002102D6"/>
    <w:rsid w:val="00210A9C"/>
    <w:rsid w:val="002125DA"/>
    <w:rsid w:val="00220EDA"/>
    <w:rsid w:val="00222DA1"/>
    <w:rsid w:val="00223A7F"/>
    <w:rsid w:val="002250FB"/>
    <w:rsid w:val="002271DC"/>
    <w:rsid w:val="00230352"/>
    <w:rsid w:val="00236609"/>
    <w:rsid w:val="00240CD1"/>
    <w:rsid w:val="00253EE7"/>
    <w:rsid w:val="00254B2F"/>
    <w:rsid w:val="00254C12"/>
    <w:rsid w:val="00260641"/>
    <w:rsid w:val="00261B01"/>
    <w:rsid w:val="00262431"/>
    <w:rsid w:val="00265E15"/>
    <w:rsid w:val="00265ED0"/>
    <w:rsid w:val="002673BD"/>
    <w:rsid w:val="00270826"/>
    <w:rsid w:val="0027106F"/>
    <w:rsid w:val="002741DF"/>
    <w:rsid w:val="00274D3D"/>
    <w:rsid w:val="002757D6"/>
    <w:rsid w:val="002870C2"/>
    <w:rsid w:val="002937F9"/>
    <w:rsid w:val="00293C63"/>
    <w:rsid w:val="002957A9"/>
    <w:rsid w:val="00296435"/>
    <w:rsid w:val="0029646C"/>
    <w:rsid w:val="00296E69"/>
    <w:rsid w:val="002A57A4"/>
    <w:rsid w:val="002B2A9A"/>
    <w:rsid w:val="002B43B9"/>
    <w:rsid w:val="002C0290"/>
    <w:rsid w:val="002C0E89"/>
    <w:rsid w:val="002C42F1"/>
    <w:rsid w:val="002C77BC"/>
    <w:rsid w:val="002C79E4"/>
    <w:rsid w:val="002C7F8D"/>
    <w:rsid w:val="002D35D3"/>
    <w:rsid w:val="002D658C"/>
    <w:rsid w:val="002E4402"/>
    <w:rsid w:val="002F05DB"/>
    <w:rsid w:val="002F11AE"/>
    <w:rsid w:val="002F149C"/>
    <w:rsid w:val="002F461B"/>
    <w:rsid w:val="002F7F66"/>
    <w:rsid w:val="00302D1D"/>
    <w:rsid w:val="00304F86"/>
    <w:rsid w:val="003061E9"/>
    <w:rsid w:val="0030627F"/>
    <w:rsid w:val="00307011"/>
    <w:rsid w:val="00312BF2"/>
    <w:rsid w:val="00320E92"/>
    <w:rsid w:val="003229AA"/>
    <w:rsid w:val="00323901"/>
    <w:rsid w:val="003242D2"/>
    <w:rsid w:val="00325C10"/>
    <w:rsid w:val="003269CD"/>
    <w:rsid w:val="00327AAB"/>
    <w:rsid w:val="0033106A"/>
    <w:rsid w:val="00332345"/>
    <w:rsid w:val="003328BD"/>
    <w:rsid w:val="003332AF"/>
    <w:rsid w:val="00336768"/>
    <w:rsid w:val="00336E26"/>
    <w:rsid w:val="003412DC"/>
    <w:rsid w:val="00343A1B"/>
    <w:rsid w:val="00343EA6"/>
    <w:rsid w:val="00347380"/>
    <w:rsid w:val="00347ABE"/>
    <w:rsid w:val="00347EA5"/>
    <w:rsid w:val="00351600"/>
    <w:rsid w:val="003526D3"/>
    <w:rsid w:val="003567D5"/>
    <w:rsid w:val="003570F6"/>
    <w:rsid w:val="00363C3E"/>
    <w:rsid w:val="0036497C"/>
    <w:rsid w:val="00364DB8"/>
    <w:rsid w:val="00365485"/>
    <w:rsid w:val="00365707"/>
    <w:rsid w:val="00366209"/>
    <w:rsid w:val="003722D5"/>
    <w:rsid w:val="00374DBE"/>
    <w:rsid w:val="00377C91"/>
    <w:rsid w:val="0038715C"/>
    <w:rsid w:val="00390E65"/>
    <w:rsid w:val="00393A96"/>
    <w:rsid w:val="00395FAC"/>
    <w:rsid w:val="00396732"/>
    <w:rsid w:val="003A0C0D"/>
    <w:rsid w:val="003A271A"/>
    <w:rsid w:val="003A3291"/>
    <w:rsid w:val="003A358A"/>
    <w:rsid w:val="003A3951"/>
    <w:rsid w:val="003A4C15"/>
    <w:rsid w:val="003B55ED"/>
    <w:rsid w:val="003C1016"/>
    <w:rsid w:val="003C41F2"/>
    <w:rsid w:val="003C6D45"/>
    <w:rsid w:val="003C700C"/>
    <w:rsid w:val="003C7261"/>
    <w:rsid w:val="003D0A16"/>
    <w:rsid w:val="003D1F25"/>
    <w:rsid w:val="003D20DD"/>
    <w:rsid w:val="003D4D52"/>
    <w:rsid w:val="003D5B35"/>
    <w:rsid w:val="003E5662"/>
    <w:rsid w:val="003E64C5"/>
    <w:rsid w:val="003F18D4"/>
    <w:rsid w:val="003F1A97"/>
    <w:rsid w:val="003F1AF9"/>
    <w:rsid w:val="00402E52"/>
    <w:rsid w:val="00403373"/>
    <w:rsid w:val="00403AE4"/>
    <w:rsid w:val="0040581C"/>
    <w:rsid w:val="00406A94"/>
    <w:rsid w:val="004070A9"/>
    <w:rsid w:val="00411455"/>
    <w:rsid w:val="004120B2"/>
    <w:rsid w:val="00416A06"/>
    <w:rsid w:val="004207D7"/>
    <w:rsid w:val="00420E93"/>
    <w:rsid w:val="00424431"/>
    <w:rsid w:val="0042496B"/>
    <w:rsid w:val="00425581"/>
    <w:rsid w:val="00427249"/>
    <w:rsid w:val="00440DE0"/>
    <w:rsid w:val="00441257"/>
    <w:rsid w:val="00442444"/>
    <w:rsid w:val="004454CF"/>
    <w:rsid w:val="0044728E"/>
    <w:rsid w:val="00447FF1"/>
    <w:rsid w:val="0045063A"/>
    <w:rsid w:val="00454D0B"/>
    <w:rsid w:val="00456454"/>
    <w:rsid w:val="00471344"/>
    <w:rsid w:val="0047221D"/>
    <w:rsid w:val="004742DF"/>
    <w:rsid w:val="00474383"/>
    <w:rsid w:val="004771D1"/>
    <w:rsid w:val="00477B83"/>
    <w:rsid w:val="00480BB9"/>
    <w:rsid w:val="004825F7"/>
    <w:rsid w:val="00482B0A"/>
    <w:rsid w:val="00484935"/>
    <w:rsid w:val="00487A4B"/>
    <w:rsid w:val="00492AF6"/>
    <w:rsid w:val="00495EBA"/>
    <w:rsid w:val="00495FD3"/>
    <w:rsid w:val="00497DA1"/>
    <w:rsid w:val="004A0E15"/>
    <w:rsid w:val="004A2609"/>
    <w:rsid w:val="004A40B3"/>
    <w:rsid w:val="004A6E4A"/>
    <w:rsid w:val="004A79EF"/>
    <w:rsid w:val="004B088C"/>
    <w:rsid w:val="004B0996"/>
    <w:rsid w:val="004B1E60"/>
    <w:rsid w:val="004B3683"/>
    <w:rsid w:val="004B4514"/>
    <w:rsid w:val="004B717C"/>
    <w:rsid w:val="004C0190"/>
    <w:rsid w:val="004C3A75"/>
    <w:rsid w:val="004C41B2"/>
    <w:rsid w:val="004C6D83"/>
    <w:rsid w:val="004D25B2"/>
    <w:rsid w:val="004D2CCB"/>
    <w:rsid w:val="004D460F"/>
    <w:rsid w:val="004E01BE"/>
    <w:rsid w:val="004E1500"/>
    <w:rsid w:val="004E3375"/>
    <w:rsid w:val="004E3516"/>
    <w:rsid w:val="004E6672"/>
    <w:rsid w:val="004E70BA"/>
    <w:rsid w:val="004F0A32"/>
    <w:rsid w:val="004F586F"/>
    <w:rsid w:val="004F6F63"/>
    <w:rsid w:val="004F78A7"/>
    <w:rsid w:val="005027C5"/>
    <w:rsid w:val="005069EE"/>
    <w:rsid w:val="00507C08"/>
    <w:rsid w:val="00512C3B"/>
    <w:rsid w:val="0051543A"/>
    <w:rsid w:val="00517E9B"/>
    <w:rsid w:val="0052196C"/>
    <w:rsid w:val="00524BE1"/>
    <w:rsid w:val="00524C2B"/>
    <w:rsid w:val="0052732A"/>
    <w:rsid w:val="00535BFA"/>
    <w:rsid w:val="005430FE"/>
    <w:rsid w:val="00553BBD"/>
    <w:rsid w:val="00553CCE"/>
    <w:rsid w:val="005547EB"/>
    <w:rsid w:val="005548F9"/>
    <w:rsid w:val="00555098"/>
    <w:rsid w:val="00555A6B"/>
    <w:rsid w:val="00560D28"/>
    <w:rsid w:val="00561460"/>
    <w:rsid w:val="00562B29"/>
    <w:rsid w:val="00564001"/>
    <w:rsid w:val="0056559C"/>
    <w:rsid w:val="005665B2"/>
    <w:rsid w:val="00571FCD"/>
    <w:rsid w:val="005732A7"/>
    <w:rsid w:val="00574A09"/>
    <w:rsid w:val="00574CAE"/>
    <w:rsid w:val="00577475"/>
    <w:rsid w:val="00580E49"/>
    <w:rsid w:val="005818B9"/>
    <w:rsid w:val="00584A71"/>
    <w:rsid w:val="00584D12"/>
    <w:rsid w:val="00585544"/>
    <w:rsid w:val="005867F2"/>
    <w:rsid w:val="00590B66"/>
    <w:rsid w:val="005914FF"/>
    <w:rsid w:val="00594F6A"/>
    <w:rsid w:val="00596B78"/>
    <w:rsid w:val="005A04A5"/>
    <w:rsid w:val="005A0F53"/>
    <w:rsid w:val="005A2A56"/>
    <w:rsid w:val="005A388A"/>
    <w:rsid w:val="005A5E49"/>
    <w:rsid w:val="005B19A9"/>
    <w:rsid w:val="005B2816"/>
    <w:rsid w:val="005C20BB"/>
    <w:rsid w:val="005C3553"/>
    <w:rsid w:val="005C5586"/>
    <w:rsid w:val="005C70B1"/>
    <w:rsid w:val="005C713B"/>
    <w:rsid w:val="005C7760"/>
    <w:rsid w:val="005C7BB8"/>
    <w:rsid w:val="005D40F1"/>
    <w:rsid w:val="005D491C"/>
    <w:rsid w:val="005D5651"/>
    <w:rsid w:val="005D68FA"/>
    <w:rsid w:val="005D6F22"/>
    <w:rsid w:val="005E240E"/>
    <w:rsid w:val="005E3C9E"/>
    <w:rsid w:val="005E42DE"/>
    <w:rsid w:val="005E5309"/>
    <w:rsid w:val="005E5BF6"/>
    <w:rsid w:val="005E6D7C"/>
    <w:rsid w:val="005F17D7"/>
    <w:rsid w:val="005F5365"/>
    <w:rsid w:val="005F667E"/>
    <w:rsid w:val="006023BA"/>
    <w:rsid w:val="0060499E"/>
    <w:rsid w:val="00605C1C"/>
    <w:rsid w:val="00610CB1"/>
    <w:rsid w:val="00612688"/>
    <w:rsid w:val="006133D2"/>
    <w:rsid w:val="00614FA9"/>
    <w:rsid w:val="00616A20"/>
    <w:rsid w:val="0062109B"/>
    <w:rsid w:val="006228F8"/>
    <w:rsid w:val="00625EBE"/>
    <w:rsid w:val="00626972"/>
    <w:rsid w:val="00630C62"/>
    <w:rsid w:val="006334F8"/>
    <w:rsid w:val="00641CB9"/>
    <w:rsid w:val="00642014"/>
    <w:rsid w:val="0064304E"/>
    <w:rsid w:val="00645165"/>
    <w:rsid w:val="00645A49"/>
    <w:rsid w:val="00647421"/>
    <w:rsid w:val="006503AC"/>
    <w:rsid w:val="0065051F"/>
    <w:rsid w:val="00651A97"/>
    <w:rsid w:val="006548E6"/>
    <w:rsid w:val="00657009"/>
    <w:rsid w:val="00657047"/>
    <w:rsid w:val="0065794A"/>
    <w:rsid w:val="0066285C"/>
    <w:rsid w:val="00666109"/>
    <w:rsid w:val="006671F5"/>
    <w:rsid w:val="00670112"/>
    <w:rsid w:val="00672003"/>
    <w:rsid w:val="00672979"/>
    <w:rsid w:val="00675602"/>
    <w:rsid w:val="00675DB2"/>
    <w:rsid w:val="00680DF0"/>
    <w:rsid w:val="00686152"/>
    <w:rsid w:val="00686485"/>
    <w:rsid w:val="00691AD5"/>
    <w:rsid w:val="006941E1"/>
    <w:rsid w:val="006A1BED"/>
    <w:rsid w:val="006A4638"/>
    <w:rsid w:val="006A4BA5"/>
    <w:rsid w:val="006B141F"/>
    <w:rsid w:val="006B28EE"/>
    <w:rsid w:val="006B3F9E"/>
    <w:rsid w:val="006B6FE0"/>
    <w:rsid w:val="006C18DA"/>
    <w:rsid w:val="006C31CA"/>
    <w:rsid w:val="006C4BED"/>
    <w:rsid w:val="006C53D2"/>
    <w:rsid w:val="006C795D"/>
    <w:rsid w:val="006D0603"/>
    <w:rsid w:val="006D18DE"/>
    <w:rsid w:val="006E23CD"/>
    <w:rsid w:val="006E6AF8"/>
    <w:rsid w:val="006E6B71"/>
    <w:rsid w:val="006F2504"/>
    <w:rsid w:val="006F4850"/>
    <w:rsid w:val="007014F3"/>
    <w:rsid w:val="0070264A"/>
    <w:rsid w:val="007037DD"/>
    <w:rsid w:val="00711719"/>
    <w:rsid w:val="00714984"/>
    <w:rsid w:val="00715B04"/>
    <w:rsid w:val="007162B1"/>
    <w:rsid w:val="00717563"/>
    <w:rsid w:val="00725A68"/>
    <w:rsid w:val="00730AB3"/>
    <w:rsid w:val="00732425"/>
    <w:rsid w:val="00733D1E"/>
    <w:rsid w:val="00733ED9"/>
    <w:rsid w:val="0073521A"/>
    <w:rsid w:val="007352EF"/>
    <w:rsid w:val="00735B24"/>
    <w:rsid w:val="0073761F"/>
    <w:rsid w:val="007379E6"/>
    <w:rsid w:val="00741706"/>
    <w:rsid w:val="00742BE4"/>
    <w:rsid w:val="0074530F"/>
    <w:rsid w:val="00746C84"/>
    <w:rsid w:val="007507CB"/>
    <w:rsid w:val="00750F54"/>
    <w:rsid w:val="007576E3"/>
    <w:rsid w:val="00757D9D"/>
    <w:rsid w:val="007600AC"/>
    <w:rsid w:val="00761E10"/>
    <w:rsid w:val="007640FB"/>
    <w:rsid w:val="00767850"/>
    <w:rsid w:val="00771FC5"/>
    <w:rsid w:val="00772F15"/>
    <w:rsid w:val="007755B6"/>
    <w:rsid w:val="00776570"/>
    <w:rsid w:val="0077765E"/>
    <w:rsid w:val="007803FF"/>
    <w:rsid w:val="007821E0"/>
    <w:rsid w:val="0078324E"/>
    <w:rsid w:val="00785DFE"/>
    <w:rsid w:val="00787D5F"/>
    <w:rsid w:val="00787E97"/>
    <w:rsid w:val="007916FB"/>
    <w:rsid w:val="00792C57"/>
    <w:rsid w:val="00792D08"/>
    <w:rsid w:val="007952D3"/>
    <w:rsid w:val="0079643C"/>
    <w:rsid w:val="0079710F"/>
    <w:rsid w:val="00797C09"/>
    <w:rsid w:val="007A0273"/>
    <w:rsid w:val="007A1349"/>
    <w:rsid w:val="007A18FD"/>
    <w:rsid w:val="007A3567"/>
    <w:rsid w:val="007A7801"/>
    <w:rsid w:val="007B0E83"/>
    <w:rsid w:val="007B5948"/>
    <w:rsid w:val="007C012A"/>
    <w:rsid w:val="007C0378"/>
    <w:rsid w:val="007C18C3"/>
    <w:rsid w:val="007C23A0"/>
    <w:rsid w:val="007C27A1"/>
    <w:rsid w:val="007C378E"/>
    <w:rsid w:val="007C49D9"/>
    <w:rsid w:val="007C7ED2"/>
    <w:rsid w:val="007D1730"/>
    <w:rsid w:val="007D2042"/>
    <w:rsid w:val="007D4230"/>
    <w:rsid w:val="007D4D7B"/>
    <w:rsid w:val="007E21C3"/>
    <w:rsid w:val="007E35B3"/>
    <w:rsid w:val="007E5420"/>
    <w:rsid w:val="007F6065"/>
    <w:rsid w:val="007F6B43"/>
    <w:rsid w:val="00800EE9"/>
    <w:rsid w:val="00802693"/>
    <w:rsid w:val="00805B1D"/>
    <w:rsid w:val="0081080D"/>
    <w:rsid w:val="00812E73"/>
    <w:rsid w:val="008200F1"/>
    <w:rsid w:val="008209F2"/>
    <w:rsid w:val="00820A84"/>
    <w:rsid w:val="00820E6A"/>
    <w:rsid w:val="00826D3D"/>
    <w:rsid w:val="0083232E"/>
    <w:rsid w:val="00833881"/>
    <w:rsid w:val="00834026"/>
    <w:rsid w:val="00836F81"/>
    <w:rsid w:val="00837950"/>
    <w:rsid w:val="00837A57"/>
    <w:rsid w:val="008405E8"/>
    <w:rsid w:val="00841489"/>
    <w:rsid w:val="008421EA"/>
    <w:rsid w:val="008529D0"/>
    <w:rsid w:val="00855B7C"/>
    <w:rsid w:val="008621D6"/>
    <w:rsid w:val="00871BD1"/>
    <w:rsid w:val="00872D79"/>
    <w:rsid w:val="008800E2"/>
    <w:rsid w:val="00880302"/>
    <w:rsid w:val="00884A91"/>
    <w:rsid w:val="00884AF0"/>
    <w:rsid w:val="00885A66"/>
    <w:rsid w:val="00890489"/>
    <w:rsid w:val="00890A16"/>
    <w:rsid w:val="008911A6"/>
    <w:rsid w:val="008A0D3A"/>
    <w:rsid w:val="008A0EF2"/>
    <w:rsid w:val="008A1B60"/>
    <w:rsid w:val="008A3D32"/>
    <w:rsid w:val="008A5870"/>
    <w:rsid w:val="008A5DD5"/>
    <w:rsid w:val="008A7759"/>
    <w:rsid w:val="008B02F9"/>
    <w:rsid w:val="008B09DB"/>
    <w:rsid w:val="008B7DD7"/>
    <w:rsid w:val="008C117F"/>
    <w:rsid w:val="008C15A7"/>
    <w:rsid w:val="008C1D70"/>
    <w:rsid w:val="008C2B87"/>
    <w:rsid w:val="008C38FE"/>
    <w:rsid w:val="008C628F"/>
    <w:rsid w:val="008C6FFC"/>
    <w:rsid w:val="008D027A"/>
    <w:rsid w:val="008D2C3B"/>
    <w:rsid w:val="008D2F4A"/>
    <w:rsid w:val="008D3896"/>
    <w:rsid w:val="008D3FB6"/>
    <w:rsid w:val="008D64ED"/>
    <w:rsid w:val="008E02E5"/>
    <w:rsid w:val="008E1131"/>
    <w:rsid w:val="008E45F9"/>
    <w:rsid w:val="008E74ED"/>
    <w:rsid w:val="008E7D39"/>
    <w:rsid w:val="008F5EC2"/>
    <w:rsid w:val="00901DA5"/>
    <w:rsid w:val="00902FB5"/>
    <w:rsid w:val="0090335E"/>
    <w:rsid w:val="009042F5"/>
    <w:rsid w:val="0090513D"/>
    <w:rsid w:val="00905A06"/>
    <w:rsid w:val="00906D49"/>
    <w:rsid w:val="009070F5"/>
    <w:rsid w:val="009123E3"/>
    <w:rsid w:val="009125B8"/>
    <w:rsid w:val="00913ECD"/>
    <w:rsid w:val="009149F1"/>
    <w:rsid w:val="00914CC9"/>
    <w:rsid w:val="00915994"/>
    <w:rsid w:val="00922335"/>
    <w:rsid w:val="00923493"/>
    <w:rsid w:val="0092413C"/>
    <w:rsid w:val="00924C24"/>
    <w:rsid w:val="0093033C"/>
    <w:rsid w:val="00930C1D"/>
    <w:rsid w:val="009356C5"/>
    <w:rsid w:val="009360BD"/>
    <w:rsid w:val="00942C0F"/>
    <w:rsid w:val="009437DF"/>
    <w:rsid w:val="00944599"/>
    <w:rsid w:val="00946AE0"/>
    <w:rsid w:val="00950B11"/>
    <w:rsid w:val="0095322A"/>
    <w:rsid w:val="009553F5"/>
    <w:rsid w:val="00960E91"/>
    <w:rsid w:val="009665AC"/>
    <w:rsid w:val="00966987"/>
    <w:rsid w:val="009669B2"/>
    <w:rsid w:val="00966D2A"/>
    <w:rsid w:val="009676B9"/>
    <w:rsid w:val="00967ED2"/>
    <w:rsid w:val="00970DE9"/>
    <w:rsid w:val="009746D4"/>
    <w:rsid w:val="00982FFF"/>
    <w:rsid w:val="00983F35"/>
    <w:rsid w:val="00985B59"/>
    <w:rsid w:val="009875AB"/>
    <w:rsid w:val="00987DF2"/>
    <w:rsid w:val="009901D6"/>
    <w:rsid w:val="00992087"/>
    <w:rsid w:val="00992710"/>
    <w:rsid w:val="009955A7"/>
    <w:rsid w:val="00996B0A"/>
    <w:rsid w:val="009A4BDC"/>
    <w:rsid w:val="009A595E"/>
    <w:rsid w:val="009B10B3"/>
    <w:rsid w:val="009B242B"/>
    <w:rsid w:val="009B252C"/>
    <w:rsid w:val="009C5777"/>
    <w:rsid w:val="009E2539"/>
    <w:rsid w:val="009E29E5"/>
    <w:rsid w:val="009E3171"/>
    <w:rsid w:val="009E39CE"/>
    <w:rsid w:val="009E5220"/>
    <w:rsid w:val="009E6F97"/>
    <w:rsid w:val="009E7685"/>
    <w:rsid w:val="009F2748"/>
    <w:rsid w:val="009F3211"/>
    <w:rsid w:val="009F3425"/>
    <w:rsid w:val="009F3F34"/>
    <w:rsid w:val="009F46E7"/>
    <w:rsid w:val="009F4E21"/>
    <w:rsid w:val="00A01333"/>
    <w:rsid w:val="00A01BCE"/>
    <w:rsid w:val="00A01FB2"/>
    <w:rsid w:val="00A07733"/>
    <w:rsid w:val="00A12816"/>
    <w:rsid w:val="00A1281A"/>
    <w:rsid w:val="00A12B40"/>
    <w:rsid w:val="00A162E6"/>
    <w:rsid w:val="00A17D1D"/>
    <w:rsid w:val="00A20966"/>
    <w:rsid w:val="00A2158C"/>
    <w:rsid w:val="00A240E5"/>
    <w:rsid w:val="00A26EC4"/>
    <w:rsid w:val="00A30A15"/>
    <w:rsid w:val="00A31BE9"/>
    <w:rsid w:val="00A33BCC"/>
    <w:rsid w:val="00A3491E"/>
    <w:rsid w:val="00A37E7E"/>
    <w:rsid w:val="00A40509"/>
    <w:rsid w:val="00A40923"/>
    <w:rsid w:val="00A41806"/>
    <w:rsid w:val="00A428C2"/>
    <w:rsid w:val="00A43AF6"/>
    <w:rsid w:val="00A45C77"/>
    <w:rsid w:val="00A4716C"/>
    <w:rsid w:val="00A479AA"/>
    <w:rsid w:val="00A53C1D"/>
    <w:rsid w:val="00A5794C"/>
    <w:rsid w:val="00A60B79"/>
    <w:rsid w:val="00A611D5"/>
    <w:rsid w:val="00A64421"/>
    <w:rsid w:val="00A64D50"/>
    <w:rsid w:val="00A650BA"/>
    <w:rsid w:val="00A65E59"/>
    <w:rsid w:val="00A67535"/>
    <w:rsid w:val="00A67927"/>
    <w:rsid w:val="00A715A3"/>
    <w:rsid w:val="00A7238F"/>
    <w:rsid w:val="00A725A4"/>
    <w:rsid w:val="00A7626C"/>
    <w:rsid w:val="00A810B4"/>
    <w:rsid w:val="00A91F48"/>
    <w:rsid w:val="00A939BC"/>
    <w:rsid w:val="00A9492D"/>
    <w:rsid w:val="00A955D9"/>
    <w:rsid w:val="00AA04DF"/>
    <w:rsid w:val="00AA43E4"/>
    <w:rsid w:val="00AA64FB"/>
    <w:rsid w:val="00AA7FC2"/>
    <w:rsid w:val="00AB0406"/>
    <w:rsid w:val="00AB3442"/>
    <w:rsid w:val="00AB3647"/>
    <w:rsid w:val="00AB370F"/>
    <w:rsid w:val="00AB3AB7"/>
    <w:rsid w:val="00AB492E"/>
    <w:rsid w:val="00AB539C"/>
    <w:rsid w:val="00AC0714"/>
    <w:rsid w:val="00AC2749"/>
    <w:rsid w:val="00AC4206"/>
    <w:rsid w:val="00AC5561"/>
    <w:rsid w:val="00AC7CC2"/>
    <w:rsid w:val="00AD2FDA"/>
    <w:rsid w:val="00AD3862"/>
    <w:rsid w:val="00AD4C82"/>
    <w:rsid w:val="00AD56FF"/>
    <w:rsid w:val="00AD6369"/>
    <w:rsid w:val="00AD7490"/>
    <w:rsid w:val="00AE03C2"/>
    <w:rsid w:val="00AE3BDB"/>
    <w:rsid w:val="00AE5649"/>
    <w:rsid w:val="00AF319F"/>
    <w:rsid w:val="00AF74AC"/>
    <w:rsid w:val="00AF77CA"/>
    <w:rsid w:val="00B022E4"/>
    <w:rsid w:val="00B02301"/>
    <w:rsid w:val="00B02802"/>
    <w:rsid w:val="00B0347E"/>
    <w:rsid w:val="00B07D2B"/>
    <w:rsid w:val="00B11FF4"/>
    <w:rsid w:val="00B1270A"/>
    <w:rsid w:val="00B12ACE"/>
    <w:rsid w:val="00B15265"/>
    <w:rsid w:val="00B1702C"/>
    <w:rsid w:val="00B20DCA"/>
    <w:rsid w:val="00B23D22"/>
    <w:rsid w:val="00B267A3"/>
    <w:rsid w:val="00B2730F"/>
    <w:rsid w:val="00B30277"/>
    <w:rsid w:val="00B30A73"/>
    <w:rsid w:val="00B312AC"/>
    <w:rsid w:val="00B32109"/>
    <w:rsid w:val="00B341F1"/>
    <w:rsid w:val="00B35329"/>
    <w:rsid w:val="00B4067E"/>
    <w:rsid w:val="00B41788"/>
    <w:rsid w:val="00B41A08"/>
    <w:rsid w:val="00B425A5"/>
    <w:rsid w:val="00B4372D"/>
    <w:rsid w:val="00B440EB"/>
    <w:rsid w:val="00B44A30"/>
    <w:rsid w:val="00B50B2D"/>
    <w:rsid w:val="00B564FE"/>
    <w:rsid w:val="00B56B8D"/>
    <w:rsid w:val="00B579AC"/>
    <w:rsid w:val="00B602AB"/>
    <w:rsid w:val="00B61209"/>
    <w:rsid w:val="00B64636"/>
    <w:rsid w:val="00B64D46"/>
    <w:rsid w:val="00B65B18"/>
    <w:rsid w:val="00B65D30"/>
    <w:rsid w:val="00B6604D"/>
    <w:rsid w:val="00B664EF"/>
    <w:rsid w:val="00B74EBD"/>
    <w:rsid w:val="00B750D0"/>
    <w:rsid w:val="00B75420"/>
    <w:rsid w:val="00B75D7B"/>
    <w:rsid w:val="00B76F60"/>
    <w:rsid w:val="00B77245"/>
    <w:rsid w:val="00B779A9"/>
    <w:rsid w:val="00B82EAA"/>
    <w:rsid w:val="00B83763"/>
    <w:rsid w:val="00B83997"/>
    <w:rsid w:val="00B84B3B"/>
    <w:rsid w:val="00B91BFB"/>
    <w:rsid w:val="00B922ED"/>
    <w:rsid w:val="00B94533"/>
    <w:rsid w:val="00B947B5"/>
    <w:rsid w:val="00B94967"/>
    <w:rsid w:val="00BA3AA3"/>
    <w:rsid w:val="00BA454E"/>
    <w:rsid w:val="00BA4CD6"/>
    <w:rsid w:val="00BA4E2C"/>
    <w:rsid w:val="00BA56DA"/>
    <w:rsid w:val="00BA5A9A"/>
    <w:rsid w:val="00BA61EE"/>
    <w:rsid w:val="00BA761C"/>
    <w:rsid w:val="00BB0141"/>
    <w:rsid w:val="00BB342D"/>
    <w:rsid w:val="00BB4AFF"/>
    <w:rsid w:val="00BB626D"/>
    <w:rsid w:val="00BB7212"/>
    <w:rsid w:val="00BC3D9E"/>
    <w:rsid w:val="00BC63F3"/>
    <w:rsid w:val="00BC79CF"/>
    <w:rsid w:val="00BD0739"/>
    <w:rsid w:val="00BD12AB"/>
    <w:rsid w:val="00BD1A10"/>
    <w:rsid w:val="00BD324B"/>
    <w:rsid w:val="00BD3F1E"/>
    <w:rsid w:val="00BD4BF4"/>
    <w:rsid w:val="00BD6EAC"/>
    <w:rsid w:val="00BE325A"/>
    <w:rsid w:val="00BE63CA"/>
    <w:rsid w:val="00BE6785"/>
    <w:rsid w:val="00BF039D"/>
    <w:rsid w:val="00BF12B8"/>
    <w:rsid w:val="00BF45FB"/>
    <w:rsid w:val="00BF65E6"/>
    <w:rsid w:val="00BF6D49"/>
    <w:rsid w:val="00C00E04"/>
    <w:rsid w:val="00C01793"/>
    <w:rsid w:val="00C01E41"/>
    <w:rsid w:val="00C02DBF"/>
    <w:rsid w:val="00C03332"/>
    <w:rsid w:val="00C0430D"/>
    <w:rsid w:val="00C06014"/>
    <w:rsid w:val="00C0678D"/>
    <w:rsid w:val="00C071C9"/>
    <w:rsid w:val="00C13C8E"/>
    <w:rsid w:val="00C14020"/>
    <w:rsid w:val="00C143E8"/>
    <w:rsid w:val="00C17668"/>
    <w:rsid w:val="00C24D82"/>
    <w:rsid w:val="00C26338"/>
    <w:rsid w:val="00C2651E"/>
    <w:rsid w:val="00C321EA"/>
    <w:rsid w:val="00C33891"/>
    <w:rsid w:val="00C33E69"/>
    <w:rsid w:val="00C34875"/>
    <w:rsid w:val="00C34B2A"/>
    <w:rsid w:val="00C47091"/>
    <w:rsid w:val="00C50FB8"/>
    <w:rsid w:val="00C5123D"/>
    <w:rsid w:val="00C534C8"/>
    <w:rsid w:val="00C54244"/>
    <w:rsid w:val="00C5685E"/>
    <w:rsid w:val="00C56C15"/>
    <w:rsid w:val="00C621D3"/>
    <w:rsid w:val="00C63BD4"/>
    <w:rsid w:val="00C65016"/>
    <w:rsid w:val="00C703C0"/>
    <w:rsid w:val="00C70AEF"/>
    <w:rsid w:val="00C70FAF"/>
    <w:rsid w:val="00C73929"/>
    <w:rsid w:val="00C757B2"/>
    <w:rsid w:val="00C77407"/>
    <w:rsid w:val="00C82B39"/>
    <w:rsid w:val="00C82D38"/>
    <w:rsid w:val="00C839E5"/>
    <w:rsid w:val="00C83FC3"/>
    <w:rsid w:val="00C84977"/>
    <w:rsid w:val="00C85260"/>
    <w:rsid w:val="00C861D2"/>
    <w:rsid w:val="00C92281"/>
    <w:rsid w:val="00C92CDA"/>
    <w:rsid w:val="00C9472B"/>
    <w:rsid w:val="00C95A4E"/>
    <w:rsid w:val="00C96597"/>
    <w:rsid w:val="00C969F3"/>
    <w:rsid w:val="00C97211"/>
    <w:rsid w:val="00CA12A7"/>
    <w:rsid w:val="00CA1EB2"/>
    <w:rsid w:val="00CA1F8E"/>
    <w:rsid w:val="00CA2653"/>
    <w:rsid w:val="00CB2099"/>
    <w:rsid w:val="00CB269D"/>
    <w:rsid w:val="00CB418B"/>
    <w:rsid w:val="00CB69DC"/>
    <w:rsid w:val="00CC0028"/>
    <w:rsid w:val="00CC1069"/>
    <w:rsid w:val="00CC4EF4"/>
    <w:rsid w:val="00CC5842"/>
    <w:rsid w:val="00CC5A7E"/>
    <w:rsid w:val="00CC60E7"/>
    <w:rsid w:val="00CC7753"/>
    <w:rsid w:val="00CD0C0E"/>
    <w:rsid w:val="00CD11C3"/>
    <w:rsid w:val="00CD2143"/>
    <w:rsid w:val="00CD22C1"/>
    <w:rsid w:val="00CD5C01"/>
    <w:rsid w:val="00CE233A"/>
    <w:rsid w:val="00CF60F8"/>
    <w:rsid w:val="00D035FA"/>
    <w:rsid w:val="00D1003E"/>
    <w:rsid w:val="00D10555"/>
    <w:rsid w:val="00D1206A"/>
    <w:rsid w:val="00D222D8"/>
    <w:rsid w:val="00D27EAA"/>
    <w:rsid w:val="00D30298"/>
    <w:rsid w:val="00D304D1"/>
    <w:rsid w:val="00D33DA9"/>
    <w:rsid w:val="00D34D9F"/>
    <w:rsid w:val="00D36966"/>
    <w:rsid w:val="00D40E4E"/>
    <w:rsid w:val="00D4327E"/>
    <w:rsid w:val="00D43C47"/>
    <w:rsid w:val="00D4502B"/>
    <w:rsid w:val="00D50A88"/>
    <w:rsid w:val="00D50AA7"/>
    <w:rsid w:val="00D50D04"/>
    <w:rsid w:val="00D51A6A"/>
    <w:rsid w:val="00D52833"/>
    <w:rsid w:val="00D54A51"/>
    <w:rsid w:val="00D57238"/>
    <w:rsid w:val="00D608D7"/>
    <w:rsid w:val="00D61C41"/>
    <w:rsid w:val="00D62311"/>
    <w:rsid w:val="00D62BB9"/>
    <w:rsid w:val="00D72203"/>
    <w:rsid w:val="00D72818"/>
    <w:rsid w:val="00D72D29"/>
    <w:rsid w:val="00D7390C"/>
    <w:rsid w:val="00D81D67"/>
    <w:rsid w:val="00D873E7"/>
    <w:rsid w:val="00D93293"/>
    <w:rsid w:val="00D9415C"/>
    <w:rsid w:val="00D9574F"/>
    <w:rsid w:val="00D96034"/>
    <w:rsid w:val="00D96FAA"/>
    <w:rsid w:val="00D97C6A"/>
    <w:rsid w:val="00D97F3C"/>
    <w:rsid w:val="00DA0654"/>
    <w:rsid w:val="00DA39B1"/>
    <w:rsid w:val="00DB2833"/>
    <w:rsid w:val="00DB6AD2"/>
    <w:rsid w:val="00DB6EFB"/>
    <w:rsid w:val="00DB78AA"/>
    <w:rsid w:val="00DB7978"/>
    <w:rsid w:val="00DC13C7"/>
    <w:rsid w:val="00DC686D"/>
    <w:rsid w:val="00DD3616"/>
    <w:rsid w:val="00DE0A50"/>
    <w:rsid w:val="00DE0B13"/>
    <w:rsid w:val="00DE2A58"/>
    <w:rsid w:val="00DE69A2"/>
    <w:rsid w:val="00DF7A67"/>
    <w:rsid w:val="00E0170F"/>
    <w:rsid w:val="00E01972"/>
    <w:rsid w:val="00E046CD"/>
    <w:rsid w:val="00E06384"/>
    <w:rsid w:val="00E115EE"/>
    <w:rsid w:val="00E147C5"/>
    <w:rsid w:val="00E14C28"/>
    <w:rsid w:val="00E212D0"/>
    <w:rsid w:val="00E21C9C"/>
    <w:rsid w:val="00E22161"/>
    <w:rsid w:val="00E2378E"/>
    <w:rsid w:val="00E26CDE"/>
    <w:rsid w:val="00E3021A"/>
    <w:rsid w:val="00E30BFD"/>
    <w:rsid w:val="00E326F4"/>
    <w:rsid w:val="00E34B83"/>
    <w:rsid w:val="00E36DF4"/>
    <w:rsid w:val="00E371BB"/>
    <w:rsid w:val="00E42DB0"/>
    <w:rsid w:val="00E476B6"/>
    <w:rsid w:val="00E51B0C"/>
    <w:rsid w:val="00E51FF8"/>
    <w:rsid w:val="00E529BC"/>
    <w:rsid w:val="00E537B4"/>
    <w:rsid w:val="00E61DD6"/>
    <w:rsid w:val="00E62BED"/>
    <w:rsid w:val="00E67BB7"/>
    <w:rsid w:val="00E73A1B"/>
    <w:rsid w:val="00E76310"/>
    <w:rsid w:val="00E7672E"/>
    <w:rsid w:val="00E82D61"/>
    <w:rsid w:val="00E83CB5"/>
    <w:rsid w:val="00E8563B"/>
    <w:rsid w:val="00E861ED"/>
    <w:rsid w:val="00E876A1"/>
    <w:rsid w:val="00E91A76"/>
    <w:rsid w:val="00E924EE"/>
    <w:rsid w:val="00E9436A"/>
    <w:rsid w:val="00E94FEE"/>
    <w:rsid w:val="00E95A6B"/>
    <w:rsid w:val="00EA0056"/>
    <w:rsid w:val="00EA14B9"/>
    <w:rsid w:val="00EA6EA3"/>
    <w:rsid w:val="00EB00FD"/>
    <w:rsid w:val="00EB0254"/>
    <w:rsid w:val="00EB31CA"/>
    <w:rsid w:val="00EB7BDE"/>
    <w:rsid w:val="00EC0C5E"/>
    <w:rsid w:val="00EC1470"/>
    <w:rsid w:val="00EC18DC"/>
    <w:rsid w:val="00EC590B"/>
    <w:rsid w:val="00EC6938"/>
    <w:rsid w:val="00ED148F"/>
    <w:rsid w:val="00ED153A"/>
    <w:rsid w:val="00ED310D"/>
    <w:rsid w:val="00ED3249"/>
    <w:rsid w:val="00ED3B47"/>
    <w:rsid w:val="00EE54A3"/>
    <w:rsid w:val="00EE7017"/>
    <w:rsid w:val="00EE7651"/>
    <w:rsid w:val="00EF2A15"/>
    <w:rsid w:val="00EF2F9D"/>
    <w:rsid w:val="00EF4880"/>
    <w:rsid w:val="00EF4F03"/>
    <w:rsid w:val="00EF511E"/>
    <w:rsid w:val="00EF54E6"/>
    <w:rsid w:val="00F00C4C"/>
    <w:rsid w:val="00F02FB6"/>
    <w:rsid w:val="00F03BA0"/>
    <w:rsid w:val="00F04553"/>
    <w:rsid w:val="00F057F6"/>
    <w:rsid w:val="00F07689"/>
    <w:rsid w:val="00F10548"/>
    <w:rsid w:val="00F126D4"/>
    <w:rsid w:val="00F12ACC"/>
    <w:rsid w:val="00F1343A"/>
    <w:rsid w:val="00F13B15"/>
    <w:rsid w:val="00F1449F"/>
    <w:rsid w:val="00F21027"/>
    <w:rsid w:val="00F3058D"/>
    <w:rsid w:val="00F33606"/>
    <w:rsid w:val="00F35903"/>
    <w:rsid w:val="00F3623A"/>
    <w:rsid w:val="00F3797F"/>
    <w:rsid w:val="00F41EA3"/>
    <w:rsid w:val="00F4594E"/>
    <w:rsid w:val="00F4771F"/>
    <w:rsid w:val="00F504C6"/>
    <w:rsid w:val="00F5332E"/>
    <w:rsid w:val="00F54B0B"/>
    <w:rsid w:val="00F54EC9"/>
    <w:rsid w:val="00F55371"/>
    <w:rsid w:val="00F57858"/>
    <w:rsid w:val="00F60524"/>
    <w:rsid w:val="00F60AAA"/>
    <w:rsid w:val="00F61562"/>
    <w:rsid w:val="00F647DF"/>
    <w:rsid w:val="00F72662"/>
    <w:rsid w:val="00F7544B"/>
    <w:rsid w:val="00F8004D"/>
    <w:rsid w:val="00F80AF7"/>
    <w:rsid w:val="00F81BE7"/>
    <w:rsid w:val="00F8464C"/>
    <w:rsid w:val="00F85736"/>
    <w:rsid w:val="00F8632C"/>
    <w:rsid w:val="00F87B42"/>
    <w:rsid w:val="00F9028A"/>
    <w:rsid w:val="00F94878"/>
    <w:rsid w:val="00F94F72"/>
    <w:rsid w:val="00F96701"/>
    <w:rsid w:val="00FA2260"/>
    <w:rsid w:val="00FA33E4"/>
    <w:rsid w:val="00FA61AA"/>
    <w:rsid w:val="00FA6DE7"/>
    <w:rsid w:val="00FB2A3E"/>
    <w:rsid w:val="00FB2C93"/>
    <w:rsid w:val="00FB515C"/>
    <w:rsid w:val="00FC1CF1"/>
    <w:rsid w:val="00FD0E8A"/>
    <w:rsid w:val="00FD189C"/>
    <w:rsid w:val="00FD212A"/>
    <w:rsid w:val="00FD41B2"/>
    <w:rsid w:val="00FD4915"/>
    <w:rsid w:val="00FD4B3A"/>
    <w:rsid w:val="00FD4C92"/>
    <w:rsid w:val="00FD5E5F"/>
    <w:rsid w:val="00FE27AF"/>
    <w:rsid w:val="00FE401B"/>
    <w:rsid w:val="00FE6284"/>
    <w:rsid w:val="00FF20D1"/>
    <w:rsid w:val="00FF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B0141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2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2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2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BB0141"/>
    <w:pPr>
      <w:tabs>
        <w:tab w:val="center" w:pos="4153"/>
        <w:tab w:val="right" w:pos="8306"/>
      </w:tabs>
    </w:pPr>
    <w:rPr>
      <w:sz w:val="22"/>
      <w:szCs w:val="24"/>
    </w:rPr>
  </w:style>
  <w:style w:type="paragraph" w:customStyle="1" w:styleId="ENotesText">
    <w:name w:val="ENotesText"/>
    <w:basedOn w:val="OPCParaBase"/>
    <w:next w:val="Normal"/>
    <w:rsid w:val="00BB0141"/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772F15"/>
    <w:rPr>
      <w:color w:val="auto"/>
      <w:u w:val="single"/>
    </w:rPr>
  </w:style>
  <w:style w:type="paragraph" w:styleId="Header">
    <w:name w:val="header"/>
    <w:basedOn w:val="OPCParaBase"/>
    <w:link w:val="HeaderChar"/>
    <w:unhideWhenUsed/>
    <w:rsid w:val="00BB014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rsid w:val="00BB0141"/>
    <w:rPr>
      <w:color w:val="0000FF"/>
      <w:u w:val="single"/>
    </w:rPr>
  </w:style>
  <w:style w:type="character" w:styleId="LineNumber">
    <w:name w:val="line number"/>
    <w:basedOn w:val="OPCCharBase"/>
    <w:uiPriority w:val="99"/>
    <w:unhideWhenUsed/>
    <w:rsid w:val="00BB0141"/>
    <w:rPr>
      <w:sz w:val="16"/>
    </w:rPr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character" w:styleId="PageNumber">
    <w:name w:val="page number"/>
    <w:basedOn w:val="DefaultParagraphFont"/>
    <w:rsid w:val="00043762"/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BB0141"/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F1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772F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OPCCharBase"/>
    <w:qFormat/>
    <w:rsid w:val="00BB0141"/>
  </w:style>
  <w:style w:type="character" w:customStyle="1" w:styleId="CharAmSchText">
    <w:name w:val="CharAmSchText"/>
    <w:basedOn w:val="OPCCharBase"/>
    <w:qFormat/>
    <w:rsid w:val="00BB0141"/>
  </w:style>
  <w:style w:type="character" w:customStyle="1" w:styleId="CharChapNo">
    <w:name w:val="CharChapNo"/>
    <w:basedOn w:val="OPCCharBase"/>
    <w:uiPriority w:val="1"/>
    <w:qFormat/>
    <w:rsid w:val="00BB0141"/>
  </w:style>
  <w:style w:type="character" w:customStyle="1" w:styleId="CharChapText">
    <w:name w:val="CharChapText"/>
    <w:basedOn w:val="OPCCharBase"/>
    <w:uiPriority w:val="1"/>
    <w:qFormat/>
    <w:rsid w:val="00BB0141"/>
  </w:style>
  <w:style w:type="character" w:customStyle="1" w:styleId="CharDivNo">
    <w:name w:val="CharDivNo"/>
    <w:basedOn w:val="OPCCharBase"/>
    <w:uiPriority w:val="1"/>
    <w:qFormat/>
    <w:rsid w:val="00BB0141"/>
  </w:style>
  <w:style w:type="character" w:customStyle="1" w:styleId="CharDivText">
    <w:name w:val="CharDivText"/>
    <w:basedOn w:val="OPCCharBase"/>
    <w:uiPriority w:val="1"/>
    <w:qFormat/>
    <w:rsid w:val="00BB0141"/>
  </w:style>
  <w:style w:type="character" w:customStyle="1" w:styleId="CharPartNo">
    <w:name w:val="CharPartNo"/>
    <w:basedOn w:val="OPCCharBase"/>
    <w:uiPriority w:val="1"/>
    <w:qFormat/>
    <w:rsid w:val="00BB0141"/>
  </w:style>
  <w:style w:type="character" w:customStyle="1" w:styleId="CharPartText">
    <w:name w:val="CharPartText"/>
    <w:basedOn w:val="OPCCharBase"/>
    <w:uiPriority w:val="1"/>
    <w:qFormat/>
    <w:rsid w:val="00BB0141"/>
  </w:style>
  <w:style w:type="character" w:customStyle="1" w:styleId="OPCCharBase">
    <w:name w:val="OPCCharBase"/>
    <w:uiPriority w:val="1"/>
    <w:qFormat/>
    <w:rsid w:val="00BB0141"/>
  </w:style>
  <w:style w:type="paragraph" w:customStyle="1" w:styleId="OPCParaBase">
    <w:name w:val="OPCParaBase"/>
    <w:qFormat/>
    <w:rsid w:val="00BB0141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BB0141"/>
  </w:style>
  <w:style w:type="character" w:styleId="EndnoteReference">
    <w:name w:val="endnote reference"/>
    <w:basedOn w:val="DefaultParagraphFont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</w:rPr>
  </w:style>
  <w:style w:type="character" w:styleId="FootnoteReference">
    <w:name w:val="footnote reference"/>
    <w:basedOn w:val="DefaultParagraphFont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772F15"/>
    <w:rPr>
      <w:sz w:val="20"/>
    </w:rPr>
  </w:style>
  <w:style w:type="paragraph" w:customStyle="1" w:styleId="Formula">
    <w:name w:val="Formula"/>
    <w:basedOn w:val="OPCParaBase"/>
    <w:rsid w:val="00BB0141"/>
    <w:pPr>
      <w:spacing w:line="240" w:lineRule="auto"/>
      <w:ind w:left="1134"/>
    </w:pPr>
    <w:rPr>
      <w:sz w:val="20"/>
    </w:rPr>
  </w:style>
  <w:style w:type="paragraph" w:customStyle="1" w:styleId="ShortT">
    <w:name w:val="ShortT"/>
    <w:basedOn w:val="OPCParaBase"/>
    <w:next w:val="Normal"/>
    <w:qFormat/>
    <w:rsid w:val="00BB0141"/>
    <w:pPr>
      <w:spacing w:line="240" w:lineRule="auto"/>
    </w:pPr>
    <w:rPr>
      <w:b/>
      <w:sz w:val="40"/>
    </w:rPr>
  </w:style>
  <w:style w:type="paragraph" w:customStyle="1" w:styleId="Penalty">
    <w:name w:val="Penalty"/>
    <w:basedOn w:val="OPCParaBase"/>
    <w:rsid w:val="00BB014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ActHead1">
    <w:name w:val="ActHead 1"/>
    <w:aliases w:val="c"/>
    <w:basedOn w:val="OPCParaBase"/>
    <w:next w:val="Normal"/>
    <w:qFormat/>
    <w:rsid w:val="00BB014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OC1">
    <w:name w:val="toc 1"/>
    <w:basedOn w:val="OPCParaBase"/>
    <w:next w:val="Normal"/>
    <w:uiPriority w:val="39"/>
    <w:unhideWhenUsed/>
    <w:rsid w:val="00BB0141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B0141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B0141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BB0141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B014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B0141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BB0141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BB0141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B0141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PageBreak">
    <w:name w:val="PageBreak"/>
    <w:aliases w:val="pb"/>
    <w:basedOn w:val="OPCParaBase"/>
    <w:rsid w:val="00BB0141"/>
    <w:pPr>
      <w:spacing w:line="240" w:lineRule="auto"/>
    </w:pPr>
    <w:rPr>
      <w:sz w:val="20"/>
    </w:rPr>
  </w:style>
  <w:style w:type="paragraph" w:customStyle="1" w:styleId="ActHead2">
    <w:name w:val="ActHead 2"/>
    <w:aliases w:val="p"/>
    <w:basedOn w:val="OPCParaBase"/>
    <w:next w:val="ActHead3"/>
    <w:qFormat/>
    <w:rsid w:val="00BB014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BalloonText">
    <w:name w:val="Balloon Text"/>
    <w:basedOn w:val="Normal"/>
    <w:link w:val="BalloonTextChar"/>
    <w:uiPriority w:val="99"/>
    <w:unhideWhenUsed/>
    <w:rsid w:val="00BB0141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rsid w:val="00772F15"/>
    <w:rPr>
      <w:sz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character" w:customStyle="1" w:styleId="FooterChar">
    <w:name w:val="Footer Char"/>
    <w:basedOn w:val="DefaultParagraphFont"/>
    <w:link w:val="Footer"/>
    <w:rsid w:val="00BB0141"/>
    <w:rPr>
      <w:sz w:val="22"/>
      <w:szCs w:val="24"/>
    </w:rPr>
  </w:style>
  <w:style w:type="character" w:customStyle="1" w:styleId="HeaderChar">
    <w:name w:val="Header Char"/>
    <w:basedOn w:val="DefaultParagraphFont"/>
    <w:link w:val="Header"/>
    <w:rsid w:val="00BB0141"/>
    <w:rPr>
      <w:sz w:val="16"/>
    </w:rPr>
  </w:style>
  <w:style w:type="paragraph" w:customStyle="1" w:styleId="ActHead3">
    <w:name w:val="ActHead 3"/>
    <w:aliases w:val="d"/>
    <w:basedOn w:val="OPCParaBase"/>
    <w:next w:val="ActHead4"/>
    <w:qFormat/>
    <w:rsid w:val="00BB014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link w:val="ActHead4Char"/>
    <w:qFormat/>
    <w:rsid w:val="00BB014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B014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B014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B014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B014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B014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B0141"/>
  </w:style>
  <w:style w:type="paragraph" w:customStyle="1" w:styleId="Blocks">
    <w:name w:val="Blocks"/>
    <w:aliases w:val="bb"/>
    <w:basedOn w:val="OPCParaBase"/>
    <w:qFormat/>
    <w:rsid w:val="00BB014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B014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B014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B0141"/>
    <w:rPr>
      <w:i/>
    </w:rPr>
  </w:style>
  <w:style w:type="paragraph" w:customStyle="1" w:styleId="BoxList">
    <w:name w:val="BoxList"/>
    <w:aliases w:val="bl"/>
    <w:basedOn w:val="BoxText"/>
    <w:qFormat/>
    <w:rsid w:val="00BB014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B014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B014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B0141"/>
    <w:pPr>
      <w:ind w:left="1985" w:hanging="851"/>
    </w:pPr>
  </w:style>
  <w:style w:type="character" w:customStyle="1" w:styleId="CharAmPartNo">
    <w:name w:val="CharAmPartNo"/>
    <w:basedOn w:val="OPCCharBase"/>
    <w:qFormat/>
    <w:rsid w:val="00BB0141"/>
  </w:style>
  <w:style w:type="character" w:customStyle="1" w:styleId="CharAmPartText">
    <w:name w:val="CharAmPartText"/>
    <w:basedOn w:val="OPCCharBase"/>
    <w:qFormat/>
    <w:rsid w:val="00BB0141"/>
  </w:style>
  <w:style w:type="character" w:customStyle="1" w:styleId="CharBoldItalic">
    <w:name w:val="CharBoldItalic"/>
    <w:basedOn w:val="OPCCharBase"/>
    <w:uiPriority w:val="1"/>
    <w:qFormat/>
    <w:rsid w:val="00BB0141"/>
    <w:rPr>
      <w:b/>
      <w:i/>
    </w:rPr>
  </w:style>
  <w:style w:type="character" w:customStyle="1" w:styleId="CharItalic">
    <w:name w:val="CharItalic"/>
    <w:basedOn w:val="OPCCharBase"/>
    <w:uiPriority w:val="1"/>
    <w:qFormat/>
    <w:rsid w:val="00BB0141"/>
    <w:rPr>
      <w:i/>
    </w:rPr>
  </w:style>
  <w:style w:type="character" w:customStyle="1" w:styleId="CharSubdNo">
    <w:name w:val="CharSubdNo"/>
    <w:basedOn w:val="OPCCharBase"/>
    <w:uiPriority w:val="1"/>
    <w:qFormat/>
    <w:rsid w:val="00BB0141"/>
  </w:style>
  <w:style w:type="character" w:customStyle="1" w:styleId="CharSubdText">
    <w:name w:val="CharSubdText"/>
    <w:basedOn w:val="OPCCharBase"/>
    <w:uiPriority w:val="1"/>
    <w:qFormat/>
    <w:rsid w:val="00BB0141"/>
  </w:style>
  <w:style w:type="paragraph" w:customStyle="1" w:styleId="CTA--">
    <w:name w:val="CTA --"/>
    <w:basedOn w:val="OPCParaBase"/>
    <w:next w:val="Normal"/>
    <w:rsid w:val="00BB014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B014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B014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B014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B014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B014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B014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B014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B014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B014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B014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B014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B014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B014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B014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B014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B014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B014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B014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B014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House">
    <w:name w:val="House"/>
    <w:basedOn w:val="OPCParaBase"/>
    <w:rsid w:val="00BB014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B014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B014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B014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B014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B014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BB0141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B014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BB014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BB0141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BB014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B01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BB01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B0141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BB014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B014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B014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B014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B014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B014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B014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B014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B014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B014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B014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B014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B014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B014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B0141"/>
    <w:pPr>
      <w:numPr>
        <w:numId w:val="14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B014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B0141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BB014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B014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B014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B014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B0141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043762"/>
    <w:pPr>
      <w:numPr>
        <w:numId w:val="16"/>
      </w:numPr>
    </w:pPr>
  </w:style>
  <w:style w:type="paragraph" w:customStyle="1" w:styleId="noteToPara">
    <w:name w:val="noteToPara"/>
    <w:aliases w:val="ntp"/>
    <w:basedOn w:val="OPCParaBase"/>
    <w:rsid w:val="00BB0141"/>
    <w:pPr>
      <w:spacing w:before="122" w:line="198" w:lineRule="exact"/>
      <w:ind w:left="2353" w:hanging="709"/>
    </w:pPr>
    <w:rPr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B0141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TableHeading">
    <w:name w:val="TableHeading"/>
    <w:aliases w:val="th"/>
    <w:basedOn w:val="OPCParaBase"/>
    <w:next w:val="Tabletext"/>
    <w:rsid w:val="00BB0141"/>
    <w:pPr>
      <w:keepNext/>
      <w:spacing w:before="60" w:line="240" w:lineRule="atLeast"/>
    </w:pPr>
    <w:rPr>
      <w:b/>
      <w:sz w:val="20"/>
    </w:rPr>
  </w:style>
  <w:style w:type="table" w:customStyle="1" w:styleId="CFlag">
    <w:name w:val="CFlag"/>
    <w:basedOn w:val="TableNormal"/>
    <w:uiPriority w:val="99"/>
    <w:rsid w:val="00BB014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PartCASA">
    <w:name w:val="SubPart(CASA)"/>
    <w:aliases w:val="csp"/>
    <w:basedOn w:val="OPCParaBase"/>
    <w:next w:val="ActHead3"/>
    <w:rsid w:val="00BB0141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CompiledActNo">
    <w:name w:val="CompiledActNo"/>
    <w:basedOn w:val="OPCParaBase"/>
    <w:next w:val="Normal"/>
    <w:rsid w:val="00BB014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B014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B014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Normal"/>
    <w:rsid w:val="00BB014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B014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BB014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B014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NoteToSubpara">
    <w:name w:val="NoteToSubpara"/>
    <w:aliases w:val="nts"/>
    <w:basedOn w:val="OPCParaBase"/>
    <w:rsid w:val="00BB014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B014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B014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B014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B0141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BB014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TTIndentHeading">
    <w:name w:val="ENoteTTIndentHeading"/>
    <w:aliases w:val="enTTHi"/>
    <w:basedOn w:val="OPCParaBase"/>
    <w:rsid w:val="00BB014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B0141"/>
    <w:pPr>
      <w:spacing w:before="60" w:line="240" w:lineRule="atLeast"/>
    </w:pPr>
    <w:rPr>
      <w:sz w:val="16"/>
    </w:rPr>
  </w:style>
  <w:style w:type="paragraph" w:customStyle="1" w:styleId="InstNo">
    <w:name w:val="InstNo"/>
    <w:basedOn w:val="OPCParaBase"/>
    <w:next w:val="Normal"/>
    <w:rsid w:val="00BB0141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BB0141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BB014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B014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B014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B014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B0141"/>
    <w:rPr>
      <w:b/>
      <w:sz w:val="28"/>
      <w:szCs w:val="28"/>
    </w:rPr>
  </w:style>
  <w:style w:type="character" w:customStyle="1" w:styleId="subsectionChar">
    <w:name w:val="subsection Char"/>
    <w:aliases w:val="ss Char"/>
    <w:basedOn w:val="DefaultParagraphFont"/>
    <w:link w:val="subsection"/>
    <w:rsid w:val="004C41B2"/>
    <w:rPr>
      <w:sz w:val="22"/>
    </w:rPr>
  </w:style>
  <w:style w:type="character" w:customStyle="1" w:styleId="paragraphChar">
    <w:name w:val="paragraph Char"/>
    <w:aliases w:val="a Char"/>
    <w:basedOn w:val="DefaultParagraphFont"/>
    <w:link w:val="paragraph"/>
    <w:rsid w:val="004C41B2"/>
    <w:rPr>
      <w:sz w:val="22"/>
    </w:rPr>
  </w:style>
  <w:style w:type="character" w:customStyle="1" w:styleId="ActHead4Char">
    <w:name w:val="ActHead 4 Char"/>
    <w:aliases w:val="sd Char"/>
    <w:basedOn w:val="DefaultParagraphFont"/>
    <w:link w:val="ActHead4"/>
    <w:rsid w:val="004C41B2"/>
    <w:rPr>
      <w:b/>
      <w:kern w:val="28"/>
      <w:sz w:val="26"/>
    </w:rPr>
  </w:style>
  <w:style w:type="character" w:customStyle="1" w:styleId="ActHead5Char">
    <w:name w:val="ActHead 5 Char"/>
    <w:aliases w:val="s Char"/>
    <w:basedOn w:val="DefaultParagraphFont"/>
    <w:link w:val="ActHead5"/>
    <w:rsid w:val="004C41B2"/>
    <w:rPr>
      <w:b/>
      <w:kern w:val="28"/>
      <w:sz w:val="24"/>
    </w:rPr>
  </w:style>
  <w:style w:type="paragraph" w:customStyle="1" w:styleId="MadeunderText">
    <w:name w:val="MadeunderText"/>
    <w:basedOn w:val="OPCParaBase"/>
    <w:next w:val="CompiledMadeUnder"/>
    <w:rsid w:val="00BB0141"/>
    <w:pPr>
      <w:spacing w:before="24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B0141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2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2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2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BB0141"/>
    <w:pPr>
      <w:tabs>
        <w:tab w:val="center" w:pos="4153"/>
        <w:tab w:val="right" w:pos="8306"/>
      </w:tabs>
    </w:pPr>
    <w:rPr>
      <w:sz w:val="22"/>
      <w:szCs w:val="24"/>
    </w:rPr>
  </w:style>
  <w:style w:type="paragraph" w:customStyle="1" w:styleId="ENotesText">
    <w:name w:val="ENotesText"/>
    <w:basedOn w:val="OPCParaBase"/>
    <w:next w:val="Normal"/>
    <w:rsid w:val="00BB0141"/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772F15"/>
    <w:rPr>
      <w:color w:val="auto"/>
      <w:u w:val="single"/>
    </w:rPr>
  </w:style>
  <w:style w:type="paragraph" w:styleId="Header">
    <w:name w:val="header"/>
    <w:basedOn w:val="OPCParaBase"/>
    <w:link w:val="HeaderChar"/>
    <w:unhideWhenUsed/>
    <w:rsid w:val="00BB014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rsid w:val="00BB0141"/>
    <w:rPr>
      <w:color w:val="0000FF"/>
      <w:u w:val="single"/>
    </w:rPr>
  </w:style>
  <w:style w:type="character" w:styleId="LineNumber">
    <w:name w:val="line number"/>
    <w:basedOn w:val="OPCCharBase"/>
    <w:uiPriority w:val="99"/>
    <w:unhideWhenUsed/>
    <w:rsid w:val="00BB0141"/>
    <w:rPr>
      <w:sz w:val="16"/>
    </w:rPr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character" w:styleId="PageNumber">
    <w:name w:val="page number"/>
    <w:basedOn w:val="DefaultParagraphFont"/>
    <w:rsid w:val="00043762"/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BB0141"/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F1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772F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OPCCharBase"/>
    <w:qFormat/>
    <w:rsid w:val="00BB0141"/>
  </w:style>
  <w:style w:type="character" w:customStyle="1" w:styleId="CharAmSchText">
    <w:name w:val="CharAmSchText"/>
    <w:basedOn w:val="OPCCharBase"/>
    <w:qFormat/>
    <w:rsid w:val="00BB0141"/>
  </w:style>
  <w:style w:type="character" w:customStyle="1" w:styleId="CharChapNo">
    <w:name w:val="CharChapNo"/>
    <w:basedOn w:val="OPCCharBase"/>
    <w:uiPriority w:val="1"/>
    <w:qFormat/>
    <w:rsid w:val="00BB0141"/>
  </w:style>
  <w:style w:type="character" w:customStyle="1" w:styleId="CharChapText">
    <w:name w:val="CharChapText"/>
    <w:basedOn w:val="OPCCharBase"/>
    <w:uiPriority w:val="1"/>
    <w:qFormat/>
    <w:rsid w:val="00BB0141"/>
  </w:style>
  <w:style w:type="character" w:customStyle="1" w:styleId="CharDivNo">
    <w:name w:val="CharDivNo"/>
    <w:basedOn w:val="OPCCharBase"/>
    <w:uiPriority w:val="1"/>
    <w:qFormat/>
    <w:rsid w:val="00BB0141"/>
  </w:style>
  <w:style w:type="character" w:customStyle="1" w:styleId="CharDivText">
    <w:name w:val="CharDivText"/>
    <w:basedOn w:val="OPCCharBase"/>
    <w:uiPriority w:val="1"/>
    <w:qFormat/>
    <w:rsid w:val="00BB0141"/>
  </w:style>
  <w:style w:type="character" w:customStyle="1" w:styleId="CharPartNo">
    <w:name w:val="CharPartNo"/>
    <w:basedOn w:val="OPCCharBase"/>
    <w:uiPriority w:val="1"/>
    <w:qFormat/>
    <w:rsid w:val="00BB0141"/>
  </w:style>
  <w:style w:type="character" w:customStyle="1" w:styleId="CharPartText">
    <w:name w:val="CharPartText"/>
    <w:basedOn w:val="OPCCharBase"/>
    <w:uiPriority w:val="1"/>
    <w:qFormat/>
    <w:rsid w:val="00BB0141"/>
  </w:style>
  <w:style w:type="character" w:customStyle="1" w:styleId="OPCCharBase">
    <w:name w:val="OPCCharBase"/>
    <w:uiPriority w:val="1"/>
    <w:qFormat/>
    <w:rsid w:val="00BB0141"/>
  </w:style>
  <w:style w:type="paragraph" w:customStyle="1" w:styleId="OPCParaBase">
    <w:name w:val="OPCParaBase"/>
    <w:qFormat/>
    <w:rsid w:val="00BB0141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BB0141"/>
  </w:style>
  <w:style w:type="character" w:styleId="EndnoteReference">
    <w:name w:val="endnote reference"/>
    <w:basedOn w:val="DefaultParagraphFont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</w:rPr>
  </w:style>
  <w:style w:type="character" w:styleId="FootnoteReference">
    <w:name w:val="footnote reference"/>
    <w:basedOn w:val="DefaultParagraphFont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772F15"/>
    <w:rPr>
      <w:sz w:val="20"/>
    </w:rPr>
  </w:style>
  <w:style w:type="paragraph" w:customStyle="1" w:styleId="Formula">
    <w:name w:val="Formula"/>
    <w:basedOn w:val="OPCParaBase"/>
    <w:rsid w:val="00BB0141"/>
    <w:pPr>
      <w:spacing w:line="240" w:lineRule="auto"/>
      <w:ind w:left="1134"/>
    </w:pPr>
    <w:rPr>
      <w:sz w:val="20"/>
    </w:rPr>
  </w:style>
  <w:style w:type="paragraph" w:customStyle="1" w:styleId="ShortT">
    <w:name w:val="ShortT"/>
    <w:basedOn w:val="OPCParaBase"/>
    <w:next w:val="Normal"/>
    <w:qFormat/>
    <w:rsid w:val="00BB0141"/>
    <w:pPr>
      <w:spacing w:line="240" w:lineRule="auto"/>
    </w:pPr>
    <w:rPr>
      <w:b/>
      <w:sz w:val="40"/>
    </w:rPr>
  </w:style>
  <w:style w:type="paragraph" w:customStyle="1" w:styleId="Penalty">
    <w:name w:val="Penalty"/>
    <w:basedOn w:val="OPCParaBase"/>
    <w:rsid w:val="00BB014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ActHead1">
    <w:name w:val="ActHead 1"/>
    <w:aliases w:val="c"/>
    <w:basedOn w:val="OPCParaBase"/>
    <w:next w:val="Normal"/>
    <w:qFormat/>
    <w:rsid w:val="00BB014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OC1">
    <w:name w:val="toc 1"/>
    <w:basedOn w:val="OPCParaBase"/>
    <w:next w:val="Normal"/>
    <w:uiPriority w:val="39"/>
    <w:unhideWhenUsed/>
    <w:rsid w:val="00BB0141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B0141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B0141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BB0141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B014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B0141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BB0141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BB0141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B0141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PageBreak">
    <w:name w:val="PageBreak"/>
    <w:aliases w:val="pb"/>
    <w:basedOn w:val="OPCParaBase"/>
    <w:rsid w:val="00BB0141"/>
    <w:pPr>
      <w:spacing w:line="240" w:lineRule="auto"/>
    </w:pPr>
    <w:rPr>
      <w:sz w:val="20"/>
    </w:rPr>
  </w:style>
  <w:style w:type="paragraph" w:customStyle="1" w:styleId="ActHead2">
    <w:name w:val="ActHead 2"/>
    <w:aliases w:val="p"/>
    <w:basedOn w:val="OPCParaBase"/>
    <w:next w:val="ActHead3"/>
    <w:qFormat/>
    <w:rsid w:val="00BB014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BalloonText">
    <w:name w:val="Balloon Text"/>
    <w:basedOn w:val="Normal"/>
    <w:link w:val="BalloonTextChar"/>
    <w:uiPriority w:val="99"/>
    <w:unhideWhenUsed/>
    <w:rsid w:val="00BB0141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rsid w:val="00772F15"/>
    <w:rPr>
      <w:sz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character" w:customStyle="1" w:styleId="FooterChar">
    <w:name w:val="Footer Char"/>
    <w:basedOn w:val="DefaultParagraphFont"/>
    <w:link w:val="Footer"/>
    <w:rsid w:val="00BB0141"/>
    <w:rPr>
      <w:sz w:val="22"/>
      <w:szCs w:val="24"/>
    </w:rPr>
  </w:style>
  <w:style w:type="character" w:customStyle="1" w:styleId="HeaderChar">
    <w:name w:val="Header Char"/>
    <w:basedOn w:val="DefaultParagraphFont"/>
    <w:link w:val="Header"/>
    <w:rsid w:val="00BB0141"/>
    <w:rPr>
      <w:sz w:val="16"/>
    </w:rPr>
  </w:style>
  <w:style w:type="paragraph" w:customStyle="1" w:styleId="ActHead3">
    <w:name w:val="ActHead 3"/>
    <w:aliases w:val="d"/>
    <w:basedOn w:val="OPCParaBase"/>
    <w:next w:val="ActHead4"/>
    <w:qFormat/>
    <w:rsid w:val="00BB014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link w:val="ActHead4Char"/>
    <w:qFormat/>
    <w:rsid w:val="00BB014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B014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B014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B014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B014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B014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B0141"/>
  </w:style>
  <w:style w:type="paragraph" w:customStyle="1" w:styleId="Blocks">
    <w:name w:val="Blocks"/>
    <w:aliases w:val="bb"/>
    <w:basedOn w:val="OPCParaBase"/>
    <w:qFormat/>
    <w:rsid w:val="00BB014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B014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B014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B0141"/>
    <w:rPr>
      <w:i/>
    </w:rPr>
  </w:style>
  <w:style w:type="paragraph" w:customStyle="1" w:styleId="BoxList">
    <w:name w:val="BoxList"/>
    <w:aliases w:val="bl"/>
    <w:basedOn w:val="BoxText"/>
    <w:qFormat/>
    <w:rsid w:val="00BB014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B014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B014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B0141"/>
    <w:pPr>
      <w:ind w:left="1985" w:hanging="851"/>
    </w:pPr>
  </w:style>
  <w:style w:type="character" w:customStyle="1" w:styleId="CharAmPartNo">
    <w:name w:val="CharAmPartNo"/>
    <w:basedOn w:val="OPCCharBase"/>
    <w:qFormat/>
    <w:rsid w:val="00BB0141"/>
  </w:style>
  <w:style w:type="character" w:customStyle="1" w:styleId="CharAmPartText">
    <w:name w:val="CharAmPartText"/>
    <w:basedOn w:val="OPCCharBase"/>
    <w:qFormat/>
    <w:rsid w:val="00BB0141"/>
  </w:style>
  <w:style w:type="character" w:customStyle="1" w:styleId="CharBoldItalic">
    <w:name w:val="CharBoldItalic"/>
    <w:basedOn w:val="OPCCharBase"/>
    <w:uiPriority w:val="1"/>
    <w:qFormat/>
    <w:rsid w:val="00BB0141"/>
    <w:rPr>
      <w:b/>
      <w:i/>
    </w:rPr>
  </w:style>
  <w:style w:type="character" w:customStyle="1" w:styleId="CharItalic">
    <w:name w:val="CharItalic"/>
    <w:basedOn w:val="OPCCharBase"/>
    <w:uiPriority w:val="1"/>
    <w:qFormat/>
    <w:rsid w:val="00BB0141"/>
    <w:rPr>
      <w:i/>
    </w:rPr>
  </w:style>
  <w:style w:type="character" w:customStyle="1" w:styleId="CharSubdNo">
    <w:name w:val="CharSubdNo"/>
    <w:basedOn w:val="OPCCharBase"/>
    <w:uiPriority w:val="1"/>
    <w:qFormat/>
    <w:rsid w:val="00BB0141"/>
  </w:style>
  <w:style w:type="character" w:customStyle="1" w:styleId="CharSubdText">
    <w:name w:val="CharSubdText"/>
    <w:basedOn w:val="OPCCharBase"/>
    <w:uiPriority w:val="1"/>
    <w:qFormat/>
    <w:rsid w:val="00BB0141"/>
  </w:style>
  <w:style w:type="paragraph" w:customStyle="1" w:styleId="CTA--">
    <w:name w:val="CTA --"/>
    <w:basedOn w:val="OPCParaBase"/>
    <w:next w:val="Normal"/>
    <w:rsid w:val="00BB014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B014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B014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B014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B014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B014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B014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B014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B014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B014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B014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B014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B014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B014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B014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B014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B014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B014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B014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B014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House">
    <w:name w:val="House"/>
    <w:basedOn w:val="OPCParaBase"/>
    <w:rsid w:val="00BB014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B014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B014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B014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B014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B014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BB0141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B014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BB014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BB0141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BB014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B01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BB01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B0141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BB014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B014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B014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B014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B014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B014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B014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B014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B014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B014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B014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B014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B014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B014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B0141"/>
    <w:pPr>
      <w:numPr>
        <w:numId w:val="14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B014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B0141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BB014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B014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B014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B014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B0141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043762"/>
    <w:pPr>
      <w:numPr>
        <w:numId w:val="16"/>
      </w:numPr>
    </w:pPr>
  </w:style>
  <w:style w:type="paragraph" w:customStyle="1" w:styleId="noteToPara">
    <w:name w:val="noteToPara"/>
    <w:aliases w:val="ntp"/>
    <w:basedOn w:val="OPCParaBase"/>
    <w:rsid w:val="00BB0141"/>
    <w:pPr>
      <w:spacing w:before="122" w:line="198" w:lineRule="exact"/>
      <w:ind w:left="2353" w:hanging="709"/>
    </w:pPr>
    <w:rPr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B0141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TableHeading">
    <w:name w:val="TableHeading"/>
    <w:aliases w:val="th"/>
    <w:basedOn w:val="OPCParaBase"/>
    <w:next w:val="Tabletext"/>
    <w:rsid w:val="00BB0141"/>
    <w:pPr>
      <w:keepNext/>
      <w:spacing w:before="60" w:line="240" w:lineRule="atLeast"/>
    </w:pPr>
    <w:rPr>
      <w:b/>
      <w:sz w:val="20"/>
    </w:rPr>
  </w:style>
  <w:style w:type="table" w:customStyle="1" w:styleId="CFlag">
    <w:name w:val="CFlag"/>
    <w:basedOn w:val="TableNormal"/>
    <w:uiPriority w:val="99"/>
    <w:rsid w:val="00BB014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PartCASA">
    <w:name w:val="SubPart(CASA)"/>
    <w:aliases w:val="csp"/>
    <w:basedOn w:val="OPCParaBase"/>
    <w:next w:val="ActHead3"/>
    <w:rsid w:val="00BB0141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CompiledActNo">
    <w:name w:val="CompiledActNo"/>
    <w:basedOn w:val="OPCParaBase"/>
    <w:next w:val="Normal"/>
    <w:rsid w:val="00BB014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B014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B014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Normal"/>
    <w:rsid w:val="00BB014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B014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BB014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B014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NoteToSubpara">
    <w:name w:val="NoteToSubpara"/>
    <w:aliases w:val="nts"/>
    <w:basedOn w:val="OPCParaBase"/>
    <w:rsid w:val="00BB014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B014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B014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B014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B0141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BB014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TTIndentHeading">
    <w:name w:val="ENoteTTIndentHeading"/>
    <w:aliases w:val="enTTHi"/>
    <w:basedOn w:val="OPCParaBase"/>
    <w:rsid w:val="00BB014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B0141"/>
    <w:pPr>
      <w:spacing w:before="60" w:line="240" w:lineRule="atLeast"/>
    </w:pPr>
    <w:rPr>
      <w:sz w:val="16"/>
    </w:rPr>
  </w:style>
  <w:style w:type="paragraph" w:customStyle="1" w:styleId="InstNo">
    <w:name w:val="InstNo"/>
    <w:basedOn w:val="OPCParaBase"/>
    <w:next w:val="Normal"/>
    <w:rsid w:val="00BB0141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BB0141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BB014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B014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B014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B014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B0141"/>
    <w:rPr>
      <w:b/>
      <w:sz w:val="28"/>
      <w:szCs w:val="28"/>
    </w:rPr>
  </w:style>
  <w:style w:type="character" w:customStyle="1" w:styleId="subsectionChar">
    <w:name w:val="subsection Char"/>
    <w:aliases w:val="ss Char"/>
    <w:basedOn w:val="DefaultParagraphFont"/>
    <w:link w:val="subsection"/>
    <w:rsid w:val="004C41B2"/>
    <w:rPr>
      <w:sz w:val="22"/>
    </w:rPr>
  </w:style>
  <w:style w:type="character" w:customStyle="1" w:styleId="paragraphChar">
    <w:name w:val="paragraph Char"/>
    <w:aliases w:val="a Char"/>
    <w:basedOn w:val="DefaultParagraphFont"/>
    <w:link w:val="paragraph"/>
    <w:rsid w:val="004C41B2"/>
    <w:rPr>
      <w:sz w:val="22"/>
    </w:rPr>
  </w:style>
  <w:style w:type="character" w:customStyle="1" w:styleId="ActHead4Char">
    <w:name w:val="ActHead 4 Char"/>
    <w:aliases w:val="sd Char"/>
    <w:basedOn w:val="DefaultParagraphFont"/>
    <w:link w:val="ActHead4"/>
    <w:rsid w:val="004C41B2"/>
    <w:rPr>
      <w:b/>
      <w:kern w:val="28"/>
      <w:sz w:val="26"/>
    </w:rPr>
  </w:style>
  <w:style w:type="character" w:customStyle="1" w:styleId="ActHead5Char">
    <w:name w:val="ActHead 5 Char"/>
    <w:aliases w:val="s Char"/>
    <w:basedOn w:val="DefaultParagraphFont"/>
    <w:link w:val="ActHead5"/>
    <w:rsid w:val="004C41B2"/>
    <w:rPr>
      <w:b/>
      <w:kern w:val="28"/>
      <w:sz w:val="24"/>
    </w:rPr>
  </w:style>
  <w:style w:type="paragraph" w:customStyle="1" w:styleId="MadeunderText">
    <w:name w:val="MadeunderText"/>
    <w:basedOn w:val="OPCParaBase"/>
    <w:next w:val="CompiledMadeUnder"/>
    <w:rsid w:val="00BB0141"/>
    <w:pPr>
      <w:spacing w:before="24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2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12</Pages>
  <Words>1426</Words>
  <Characters>8040</Characters>
  <Application>Microsoft Office Word</Application>
  <DocSecurity>0</DocSecurity>
  <PresentationFormat/>
  <Lines>313</Lines>
  <Paragraphs>209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Charities and Not_x001e_for_x001e_profits Commission Amendment Regulation 2013 (No. 3)</vt:lpstr>
    </vt:vector>
  </TitlesOfParts>
  <Manager/>
  <Company/>
  <LinksUpToDate>false</LinksUpToDate>
  <CharactersWithSpaces>9302</CharactersWithSpaces>
  <SharedDoc>false</SharedDoc>
  <HyperlinkBase/>
  <HLinks>
    <vt:vector size="6" baseType="variant">
      <vt:variant>
        <vt:i4>6160468</vt:i4>
      </vt:variant>
      <vt:variant>
        <vt:i4>15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2013-05-29T01:35:00Z</cp:lastPrinted>
  <dcterms:created xsi:type="dcterms:W3CDTF">2013-06-07T00:27:00Z</dcterms:created>
  <dcterms:modified xsi:type="dcterms:W3CDTF">2013-06-07T00:27:00Z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0</vt:lpwstr>
  </property>
  <property fmtid="{D5CDD505-2E9C-101B-9397-08002B2CF9AE}" pid="3" name="IndexMatter">
    <vt:lpwstr>1208481E</vt:lpwstr>
  </property>
  <property fmtid="{D5CDD505-2E9C-101B-9397-08002B2CF9AE}" pid="4" name="Converted">
    <vt:bool>true</vt:bool>
  </property>
  <property fmtid="{D5CDD505-2E9C-101B-9397-08002B2CF9AE}" pid="5" name="Classification">
    <vt:lpwstr> </vt:lpwstr>
  </property>
  <property fmtid="{D5CDD505-2E9C-101B-9397-08002B2CF9AE}" pid="6" name="Header">
    <vt:lpwstr>Section</vt:lpwstr>
  </property>
  <property fmtid="{D5CDD505-2E9C-101B-9397-08002B2CF9AE}" pid="7" name="ActNo">
    <vt:lpwstr>No. 124, 2013</vt:lpwstr>
  </property>
  <property fmtid="{D5CDD505-2E9C-101B-9397-08002B2CF9AE}" pid="8" name="ShortT">
    <vt:lpwstr>Australian Charities and Not_x001e_for_x001e_profits Commission Amendment Regulation 2013 (No. 3)</vt:lpwstr>
  </property>
  <property fmtid="{D5CDD505-2E9C-101B-9397-08002B2CF9AE}" pid="9" name="Class">
    <vt:lpwstr>Regulation</vt:lpwstr>
  </property>
  <property fmtid="{D5CDD505-2E9C-101B-9397-08002B2CF9AE}" pid="10" name="Type">
    <vt:lpwstr>SLI</vt:lpwstr>
  </property>
  <property fmtid="{D5CDD505-2E9C-101B-9397-08002B2CF9AE}" pid="11" name="DocType">
    <vt:lpwstr>AMD</vt:lpwstr>
  </property>
  <property fmtid="{D5CDD505-2E9C-101B-9397-08002B2CF9AE}" pid="12" name="Exco">
    <vt:lpwstr>Yes</vt:lpwstr>
  </property>
  <property fmtid="{D5CDD505-2E9C-101B-9397-08002B2CF9AE}" pid="13" name="Authority">
    <vt:lpwstr/>
  </property>
  <property fmtid="{D5CDD505-2E9C-101B-9397-08002B2CF9AE}" pid="14" name="DateMade">
    <vt:lpwstr>13 June 2013</vt:lpwstr>
  </property>
  <property fmtid="{D5CDD505-2E9C-101B-9397-08002B2CF9AE}" pid="15" name="ID">
    <vt:lpwstr>OPC50363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CounterSign">
    <vt:lpwstr/>
  </property>
  <property fmtid="{D5CDD505-2E9C-101B-9397-08002B2CF9AE}" pid="19" name="ExcoDate">
    <vt:lpwstr>13 June 2013</vt:lpwstr>
  </property>
</Properties>
</file>