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E693E" w:rsidRDefault="00193461" w:rsidP="0048364F">
      <w:pPr>
        <w:rPr>
          <w:sz w:val="28"/>
        </w:rPr>
      </w:pPr>
      <w:r w:rsidRPr="008E693E">
        <w:rPr>
          <w:noProof/>
          <w:lang w:eastAsia="en-AU"/>
        </w:rPr>
        <w:drawing>
          <wp:inline distT="0" distB="0" distL="0" distR="0" wp14:anchorId="6C423F1F" wp14:editId="447C699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8E693E" w:rsidRDefault="0048364F" w:rsidP="0048364F">
      <w:pPr>
        <w:rPr>
          <w:sz w:val="19"/>
        </w:rPr>
      </w:pPr>
    </w:p>
    <w:p w:rsidR="0048364F" w:rsidRPr="008E693E" w:rsidRDefault="00F66134" w:rsidP="0048364F">
      <w:pPr>
        <w:pStyle w:val="ShortT"/>
      </w:pPr>
      <w:bookmarkStart w:id="0" w:name="ConfidenceBlock"/>
      <w:bookmarkEnd w:id="0"/>
      <w:r w:rsidRPr="008E693E">
        <w:t xml:space="preserve">Agricultural and Veterinary Chemicals Legislation </w:t>
      </w:r>
      <w:r w:rsidR="00BA0843" w:rsidRPr="008E693E">
        <w:t xml:space="preserve">Amendment </w:t>
      </w:r>
      <w:r w:rsidR="006029FB" w:rsidRPr="008E693E">
        <w:t>(2013 Measures No.</w:t>
      </w:r>
      <w:r w:rsidR="008E693E" w:rsidRPr="008E693E">
        <w:t> </w:t>
      </w:r>
      <w:r w:rsidR="006029FB" w:rsidRPr="008E693E">
        <w:t xml:space="preserve">1) </w:t>
      </w:r>
      <w:r w:rsidRPr="008E693E">
        <w:t>Regulation</w:t>
      </w:r>
      <w:r w:rsidR="008E693E" w:rsidRPr="008E693E">
        <w:t> </w:t>
      </w:r>
      <w:r w:rsidRPr="008E693E">
        <w:t>2013</w:t>
      </w:r>
    </w:p>
    <w:p w:rsidR="0048364F" w:rsidRPr="008E693E" w:rsidRDefault="0048364F" w:rsidP="0048364F"/>
    <w:p w:rsidR="0048364F" w:rsidRPr="008E693E" w:rsidRDefault="00A4361F" w:rsidP="00680F17">
      <w:pPr>
        <w:pStyle w:val="InstNo"/>
      </w:pPr>
      <w:r w:rsidRPr="008E693E">
        <w:t>Select Legislative Instrument</w:t>
      </w:r>
      <w:r w:rsidR="00154EAC" w:rsidRPr="008E693E">
        <w:t xml:space="preserve"> </w:t>
      </w:r>
      <w:bookmarkStart w:id="1" w:name="BKCheck15B_1"/>
      <w:bookmarkEnd w:id="1"/>
      <w:r w:rsidR="00E908AE" w:rsidRPr="008E693E">
        <w:fldChar w:fldCharType="begin"/>
      </w:r>
      <w:r w:rsidR="00E908AE" w:rsidRPr="008E693E">
        <w:instrText xml:space="preserve"> DOCPROPERTY  ActNo </w:instrText>
      </w:r>
      <w:r w:rsidR="00E908AE" w:rsidRPr="008E693E">
        <w:fldChar w:fldCharType="separate"/>
      </w:r>
      <w:r w:rsidR="00C33E8E">
        <w:t>No. 108, 2013</w:t>
      </w:r>
      <w:r w:rsidR="00E908AE" w:rsidRPr="008E693E">
        <w:fldChar w:fldCharType="end"/>
      </w:r>
    </w:p>
    <w:p w:rsidR="009A6A7F" w:rsidRPr="008E693E" w:rsidRDefault="009A6A7F" w:rsidP="001A0BEE">
      <w:pPr>
        <w:pStyle w:val="SignCoverPageStart"/>
        <w:spacing w:before="240"/>
      </w:pPr>
      <w:r w:rsidRPr="008E693E">
        <w:t xml:space="preserve">I, Professor Marie Bashir AC CVO, Administrator of the Government of the Commonwealth of Australia, acting with the advice of the Federal Executive Council, make the following regulation under the </w:t>
      </w:r>
      <w:r w:rsidRPr="008E693E">
        <w:rPr>
          <w:i/>
        </w:rPr>
        <w:t>Agricultural and Veterinary Chemical Products (Collection of Levy) Act 1994</w:t>
      </w:r>
      <w:r w:rsidRPr="008E693E">
        <w:t xml:space="preserve"> and the </w:t>
      </w:r>
      <w:r w:rsidRPr="008E693E">
        <w:rPr>
          <w:i/>
        </w:rPr>
        <w:t>Agricultural and Veterinary Chemicals Code Act 1994</w:t>
      </w:r>
      <w:r w:rsidRPr="008E693E">
        <w:t>.</w:t>
      </w:r>
    </w:p>
    <w:p w:rsidR="009A6A7F" w:rsidRPr="008E693E" w:rsidRDefault="009A6A7F" w:rsidP="001A0BEE">
      <w:pPr>
        <w:keepNext/>
        <w:spacing w:before="720" w:line="240" w:lineRule="atLeast"/>
        <w:ind w:right="397"/>
        <w:jc w:val="both"/>
        <w:rPr>
          <w:sz w:val="24"/>
          <w:szCs w:val="24"/>
        </w:rPr>
      </w:pPr>
      <w:r w:rsidRPr="008E693E">
        <w:rPr>
          <w:sz w:val="24"/>
          <w:szCs w:val="24"/>
        </w:rPr>
        <w:t xml:space="preserve">Dated </w:t>
      </w:r>
      <w:r w:rsidRPr="008E693E">
        <w:rPr>
          <w:sz w:val="24"/>
          <w:szCs w:val="24"/>
        </w:rPr>
        <w:fldChar w:fldCharType="begin"/>
      </w:r>
      <w:r w:rsidRPr="008E693E">
        <w:rPr>
          <w:sz w:val="24"/>
          <w:szCs w:val="24"/>
        </w:rPr>
        <w:instrText xml:space="preserve"> DOCPROPERTY  DateMade </w:instrText>
      </w:r>
      <w:r w:rsidRPr="008E693E">
        <w:rPr>
          <w:sz w:val="24"/>
          <w:szCs w:val="24"/>
        </w:rPr>
        <w:fldChar w:fldCharType="separate"/>
      </w:r>
      <w:r w:rsidR="00C33E8E">
        <w:rPr>
          <w:sz w:val="24"/>
          <w:szCs w:val="24"/>
        </w:rPr>
        <w:t>13 June 2013</w:t>
      </w:r>
      <w:r w:rsidRPr="008E693E">
        <w:rPr>
          <w:sz w:val="24"/>
          <w:szCs w:val="24"/>
        </w:rPr>
        <w:fldChar w:fldCharType="end"/>
      </w:r>
    </w:p>
    <w:p w:rsidR="009A6A7F" w:rsidRPr="008E693E" w:rsidRDefault="009A6A7F" w:rsidP="001A0BEE">
      <w:pPr>
        <w:keepNext/>
        <w:tabs>
          <w:tab w:val="left" w:pos="3402"/>
        </w:tabs>
        <w:spacing w:before="960" w:line="300" w:lineRule="atLeast"/>
        <w:ind w:left="397" w:right="397"/>
        <w:jc w:val="right"/>
        <w:rPr>
          <w:sz w:val="24"/>
          <w:szCs w:val="24"/>
        </w:rPr>
      </w:pPr>
      <w:r w:rsidRPr="008E693E">
        <w:t>Marie Bashir</w:t>
      </w:r>
    </w:p>
    <w:p w:rsidR="009A6A7F" w:rsidRPr="008E693E" w:rsidRDefault="009A6A7F" w:rsidP="001A0BEE">
      <w:pPr>
        <w:keepNext/>
        <w:tabs>
          <w:tab w:val="left" w:pos="3402"/>
        </w:tabs>
        <w:spacing w:line="300" w:lineRule="atLeast"/>
        <w:ind w:left="397" w:right="397"/>
        <w:jc w:val="right"/>
        <w:rPr>
          <w:sz w:val="24"/>
          <w:szCs w:val="24"/>
        </w:rPr>
      </w:pPr>
      <w:r w:rsidRPr="008E693E">
        <w:rPr>
          <w:sz w:val="24"/>
          <w:szCs w:val="24"/>
        </w:rPr>
        <w:t>Administrator</w:t>
      </w:r>
    </w:p>
    <w:p w:rsidR="009A6A7F" w:rsidRPr="008E693E" w:rsidRDefault="009A6A7F" w:rsidP="001A0BEE">
      <w:pPr>
        <w:keepNext/>
        <w:tabs>
          <w:tab w:val="left" w:pos="3402"/>
        </w:tabs>
        <w:spacing w:after="800" w:line="300" w:lineRule="atLeast"/>
        <w:ind w:right="397"/>
        <w:rPr>
          <w:sz w:val="24"/>
          <w:szCs w:val="24"/>
        </w:rPr>
      </w:pPr>
      <w:r w:rsidRPr="008E693E">
        <w:rPr>
          <w:sz w:val="24"/>
          <w:szCs w:val="24"/>
        </w:rPr>
        <w:t>By Her Excellency’s Command</w:t>
      </w:r>
    </w:p>
    <w:p w:rsidR="009A6A7F" w:rsidRPr="008E693E" w:rsidRDefault="009A6A7F" w:rsidP="001A0BEE">
      <w:pPr>
        <w:keepNext/>
        <w:tabs>
          <w:tab w:val="left" w:pos="3402"/>
        </w:tabs>
        <w:spacing w:before="480" w:line="300" w:lineRule="atLeast"/>
        <w:ind w:right="397"/>
        <w:rPr>
          <w:szCs w:val="22"/>
        </w:rPr>
      </w:pPr>
      <w:r w:rsidRPr="008E693E">
        <w:rPr>
          <w:szCs w:val="22"/>
        </w:rPr>
        <w:t>Peter Douglas Sidebottom</w:t>
      </w:r>
    </w:p>
    <w:p w:rsidR="009A6A7F" w:rsidRPr="008E693E" w:rsidRDefault="009A6A7F" w:rsidP="001A0BEE">
      <w:pPr>
        <w:pStyle w:val="SignCoverPageEnd"/>
      </w:pPr>
      <w:r w:rsidRPr="008E693E">
        <w:t>Parliamentary Secretary for Agriculture, Fisheries and Forestry</w:t>
      </w:r>
    </w:p>
    <w:p w:rsidR="009A6A7F" w:rsidRPr="008E693E" w:rsidRDefault="009A6A7F">
      <w:pPr>
        <w:pStyle w:val="Tabletext"/>
      </w:pPr>
    </w:p>
    <w:p w:rsidR="009A6A7F" w:rsidRPr="008E693E" w:rsidRDefault="009A6A7F" w:rsidP="009A6A7F"/>
    <w:p w:rsidR="0048364F" w:rsidRPr="008E693E" w:rsidRDefault="0048364F" w:rsidP="0048364F">
      <w:pPr>
        <w:pStyle w:val="Header"/>
        <w:tabs>
          <w:tab w:val="clear" w:pos="4150"/>
          <w:tab w:val="clear" w:pos="8307"/>
        </w:tabs>
      </w:pPr>
      <w:r w:rsidRPr="008E693E">
        <w:rPr>
          <w:rStyle w:val="CharAmSchNo"/>
        </w:rPr>
        <w:t xml:space="preserve"> </w:t>
      </w:r>
      <w:r w:rsidRPr="008E693E">
        <w:rPr>
          <w:rStyle w:val="CharAmSchText"/>
        </w:rPr>
        <w:t xml:space="preserve"> </w:t>
      </w:r>
    </w:p>
    <w:p w:rsidR="0048364F" w:rsidRPr="008E693E" w:rsidRDefault="0048364F" w:rsidP="0048364F">
      <w:pPr>
        <w:pStyle w:val="Header"/>
        <w:tabs>
          <w:tab w:val="clear" w:pos="4150"/>
          <w:tab w:val="clear" w:pos="8307"/>
        </w:tabs>
      </w:pPr>
      <w:r w:rsidRPr="008E693E">
        <w:rPr>
          <w:rStyle w:val="CharAmPartNo"/>
        </w:rPr>
        <w:t xml:space="preserve"> </w:t>
      </w:r>
      <w:r w:rsidRPr="008E693E">
        <w:rPr>
          <w:rStyle w:val="CharAmPartText"/>
        </w:rPr>
        <w:t xml:space="preserve"> </w:t>
      </w:r>
    </w:p>
    <w:p w:rsidR="0048364F" w:rsidRPr="008E693E" w:rsidRDefault="0048364F" w:rsidP="0048364F">
      <w:pPr>
        <w:sectPr w:rsidR="0048364F" w:rsidRPr="008E693E" w:rsidSect="00A4629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8E693E" w:rsidRDefault="0048364F" w:rsidP="0077151F">
      <w:pPr>
        <w:rPr>
          <w:sz w:val="36"/>
        </w:rPr>
      </w:pPr>
      <w:r w:rsidRPr="008E693E">
        <w:rPr>
          <w:sz w:val="36"/>
        </w:rPr>
        <w:lastRenderedPageBreak/>
        <w:t>Contents</w:t>
      </w:r>
    </w:p>
    <w:bookmarkStart w:id="2" w:name="BKCheck15B_2"/>
    <w:bookmarkEnd w:id="2"/>
    <w:p w:rsidR="00242C1C" w:rsidRPr="008E693E" w:rsidRDefault="00242C1C">
      <w:pPr>
        <w:pStyle w:val="TOC5"/>
        <w:rPr>
          <w:rFonts w:asciiTheme="minorHAnsi" w:eastAsiaTheme="minorEastAsia" w:hAnsiTheme="minorHAnsi" w:cstheme="minorBidi"/>
          <w:noProof/>
          <w:kern w:val="0"/>
          <w:sz w:val="22"/>
          <w:szCs w:val="22"/>
        </w:rPr>
      </w:pPr>
      <w:r w:rsidRPr="008E693E">
        <w:fldChar w:fldCharType="begin"/>
      </w:r>
      <w:r w:rsidRPr="008E693E">
        <w:instrText xml:space="preserve"> TOC \o "1-9" </w:instrText>
      </w:r>
      <w:r w:rsidRPr="008E693E">
        <w:fldChar w:fldCharType="separate"/>
      </w:r>
      <w:r w:rsidRPr="008E693E">
        <w:rPr>
          <w:noProof/>
        </w:rPr>
        <w:t>1</w:t>
      </w:r>
      <w:r w:rsidRPr="008E693E">
        <w:rPr>
          <w:noProof/>
        </w:rPr>
        <w:tab/>
        <w:t>Name of regulation</w:t>
      </w:r>
      <w:r w:rsidRPr="008E693E">
        <w:rPr>
          <w:noProof/>
        </w:rPr>
        <w:tab/>
      </w:r>
      <w:r w:rsidRPr="008E693E">
        <w:rPr>
          <w:noProof/>
        </w:rPr>
        <w:fldChar w:fldCharType="begin"/>
      </w:r>
      <w:r w:rsidRPr="008E693E">
        <w:rPr>
          <w:noProof/>
        </w:rPr>
        <w:instrText xml:space="preserve"> PAGEREF _Toc358111225 \h </w:instrText>
      </w:r>
      <w:r w:rsidRPr="008E693E">
        <w:rPr>
          <w:noProof/>
        </w:rPr>
      </w:r>
      <w:r w:rsidRPr="008E693E">
        <w:rPr>
          <w:noProof/>
        </w:rPr>
        <w:fldChar w:fldCharType="separate"/>
      </w:r>
      <w:r w:rsidR="00C33E8E">
        <w:rPr>
          <w:noProof/>
        </w:rPr>
        <w:t>1</w:t>
      </w:r>
      <w:r w:rsidRPr="008E693E">
        <w:rPr>
          <w:noProof/>
        </w:rPr>
        <w:fldChar w:fldCharType="end"/>
      </w:r>
    </w:p>
    <w:p w:rsidR="00242C1C" w:rsidRPr="008E693E" w:rsidRDefault="00242C1C">
      <w:pPr>
        <w:pStyle w:val="TOC5"/>
        <w:rPr>
          <w:rFonts w:asciiTheme="minorHAnsi" w:eastAsiaTheme="minorEastAsia" w:hAnsiTheme="minorHAnsi" w:cstheme="minorBidi"/>
          <w:noProof/>
          <w:kern w:val="0"/>
          <w:sz w:val="22"/>
          <w:szCs w:val="22"/>
        </w:rPr>
      </w:pPr>
      <w:r w:rsidRPr="008E693E">
        <w:rPr>
          <w:noProof/>
        </w:rPr>
        <w:t>2</w:t>
      </w:r>
      <w:r w:rsidRPr="008E693E">
        <w:rPr>
          <w:noProof/>
        </w:rPr>
        <w:tab/>
        <w:t>Commencement</w:t>
      </w:r>
      <w:r w:rsidRPr="008E693E">
        <w:rPr>
          <w:noProof/>
        </w:rPr>
        <w:tab/>
      </w:r>
      <w:r w:rsidRPr="008E693E">
        <w:rPr>
          <w:noProof/>
        </w:rPr>
        <w:fldChar w:fldCharType="begin"/>
      </w:r>
      <w:r w:rsidRPr="008E693E">
        <w:rPr>
          <w:noProof/>
        </w:rPr>
        <w:instrText xml:space="preserve"> PAGEREF _Toc358111226 \h </w:instrText>
      </w:r>
      <w:r w:rsidRPr="008E693E">
        <w:rPr>
          <w:noProof/>
        </w:rPr>
      </w:r>
      <w:r w:rsidRPr="008E693E">
        <w:rPr>
          <w:noProof/>
        </w:rPr>
        <w:fldChar w:fldCharType="separate"/>
      </w:r>
      <w:r w:rsidR="00C33E8E">
        <w:rPr>
          <w:noProof/>
        </w:rPr>
        <w:t>1</w:t>
      </w:r>
      <w:r w:rsidRPr="008E693E">
        <w:rPr>
          <w:noProof/>
        </w:rPr>
        <w:fldChar w:fldCharType="end"/>
      </w:r>
    </w:p>
    <w:p w:rsidR="00242C1C" w:rsidRPr="008E693E" w:rsidRDefault="00242C1C">
      <w:pPr>
        <w:pStyle w:val="TOC5"/>
        <w:rPr>
          <w:rFonts w:asciiTheme="minorHAnsi" w:eastAsiaTheme="minorEastAsia" w:hAnsiTheme="minorHAnsi" w:cstheme="minorBidi"/>
          <w:noProof/>
          <w:kern w:val="0"/>
          <w:sz w:val="22"/>
          <w:szCs w:val="22"/>
        </w:rPr>
      </w:pPr>
      <w:r w:rsidRPr="008E693E">
        <w:rPr>
          <w:noProof/>
        </w:rPr>
        <w:t>3</w:t>
      </w:r>
      <w:r w:rsidRPr="008E693E">
        <w:rPr>
          <w:noProof/>
        </w:rPr>
        <w:tab/>
        <w:t>Authority</w:t>
      </w:r>
      <w:r w:rsidRPr="008E693E">
        <w:rPr>
          <w:noProof/>
        </w:rPr>
        <w:tab/>
      </w:r>
      <w:r w:rsidRPr="008E693E">
        <w:rPr>
          <w:noProof/>
        </w:rPr>
        <w:fldChar w:fldCharType="begin"/>
      </w:r>
      <w:r w:rsidRPr="008E693E">
        <w:rPr>
          <w:noProof/>
        </w:rPr>
        <w:instrText xml:space="preserve"> PAGEREF _Toc358111227 \h </w:instrText>
      </w:r>
      <w:r w:rsidRPr="008E693E">
        <w:rPr>
          <w:noProof/>
        </w:rPr>
      </w:r>
      <w:r w:rsidRPr="008E693E">
        <w:rPr>
          <w:noProof/>
        </w:rPr>
        <w:fldChar w:fldCharType="separate"/>
      </w:r>
      <w:r w:rsidR="00C33E8E">
        <w:rPr>
          <w:noProof/>
        </w:rPr>
        <w:t>1</w:t>
      </w:r>
      <w:r w:rsidRPr="008E693E">
        <w:rPr>
          <w:noProof/>
        </w:rPr>
        <w:fldChar w:fldCharType="end"/>
      </w:r>
    </w:p>
    <w:p w:rsidR="00242C1C" w:rsidRPr="008E693E" w:rsidRDefault="00242C1C">
      <w:pPr>
        <w:pStyle w:val="TOC5"/>
        <w:rPr>
          <w:rFonts w:asciiTheme="minorHAnsi" w:eastAsiaTheme="minorEastAsia" w:hAnsiTheme="minorHAnsi" w:cstheme="minorBidi"/>
          <w:noProof/>
          <w:kern w:val="0"/>
          <w:sz w:val="22"/>
          <w:szCs w:val="22"/>
        </w:rPr>
      </w:pPr>
      <w:r w:rsidRPr="008E693E">
        <w:rPr>
          <w:noProof/>
        </w:rPr>
        <w:t>4</w:t>
      </w:r>
      <w:r w:rsidRPr="008E693E">
        <w:rPr>
          <w:noProof/>
        </w:rPr>
        <w:tab/>
        <w:t>Schedule(s)</w:t>
      </w:r>
      <w:r w:rsidRPr="008E693E">
        <w:rPr>
          <w:noProof/>
        </w:rPr>
        <w:tab/>
      </w:r>
      <w:r w:rsidRPr="008E693E">
        <w:rPr>
          <w:noProof/>
        </w:rPr>
        <w:fldChar w:fldCharType="begin"/>
      </w:r>
      <w:r w:rsidRPr="008E693E">
        <w:rPr>
          <w:noProof/>
        </w:rPr>
        <w:instrText xml:space="preserve"> PAGEREF _Toc358111228 \h </w:instrText>
      </w:r>
      <w:r w:rsidRPr="008E693E">
        <w:rPr>
          <w:noProof/>
        </w:rPr>
      </w:r>
      <w:r w:rsidRPr="008E693E">
        <w:rPr>
          <w:noProof/>
        </w:rPr>
        <w:fldChar w:fldCharType="separate"/>
      </w:r>
      <w:r w:rsidR="00C33E8E">
        <w:rPr>
          <w:noProof/>
        </w:rPr>
        <w:t>1</w:t>
      </w:r>
      <w:r w:rsidRPr="008E693E">
        <w:rPr>
          <w:noProof/>
        </w:rPr>
        <w:fldChar w:fldCharType="end"/>
      </w:r>
    </w:p>
    <w:p w:rsidR="00242C1C" w:rsidRPr="008E693E" w:rsidRDefault="00242C1C">
      <w:pPr>
        <w:pStyle w:val="TOC6"/>
        <w:rPr>
          <w:rFonts w:asciiTheme="minorHAnsi" w:eastAsiaTheme="minorEastAsia" w:hAnsiTheme="minorHAnsi" w:cstheme="minorBidi"/>
          <w:b w:val="0"/>
          <w:noProof/>
          <w:kern w:val="0"/>
          <w:sz w:val="22"/>
          <w:szCs w:val="22"/>
        </w:rPr>
      </w:pPr>
      <w:r w:rsidRPr="008E693E">
        <w:rPr>
          <w:noProof/>
        </w:rPr>
        <w:t>Schedule</w:t>
      </w:r>
      <w:r w:rsidR="008E693E" w:rsidRPr="008E693E">
        <w:rPr>
          <w:noProof/>
        </w:rPr>
        <w:t> </w:t>
      </w:r>
      <w:r w:rsidRPr="008E693E">
        <w:rPr>
          <w:noProof/>
        </w:rPr>
        <w:t>1—Amendments</w:t>
      </w:r>
      <w:r w:rsidRPr="008E693E">
        <w:rPr>
          <w:b w:val="0"/>
          <w:noProof/>
          <w:sz w:val="18"/>
        </w:rPr>
        <w:tab/>
      </w:r>
      <w:r w:rsidRPr="008E693E">
        <w:rPr>
          <w:b w:val="0"/>
          <w:noProof/>
          <w:sz w:val="18"/>
        </w:rPr>
        <w:fldChar w:fldCharType="begin"/>
      </w:r>
      <w:r w:rsidRPr="008E693E">
        <w:rPr>
          <w:b w:val="0"/>
          <w:noProof/>
          <w:sz w:val="18"/>
        </w:rPr>
        <w:instrText xml:space="preserve"> PAGEREF _Toc358111229 \h </w:instrText>
      </w:r>
      <w:r w:rsidRPr="008E693E">
        <w:rPr>
          <w:b w:val="0"/>
          <w:noProof/>
          <w:sz w:val="18"/>
        </w:rPr>
      </w:r>
      <w:r w:rsidRPr="008E693E">
        <w:rPr>
          <w:b w:val="0"/>
          <w:noProof/>
          <w:sz w:val="18"/>
        </w:rPr>
        <w:fldChar w:fldCharType="separate"/>
      </w:r>
      <w:r w:rsidR="00C33E8E">
        <w:rPr>
          <w:b w:val="0"/>
          <w:noProof/>
          <w:sz w:val="18"/>
        </w:rPr>
        <w:t>2</w:t>
      </w:r>
      <w:r w:rsidRPr="008E693E">
        <w:rPr>
          <w:b w:val="0"/>
          <w:noProof/>
          <w:sz w:val="18"/>
        </w:rPr>
        <w:fldChar w:fldCharType="end"/>
      </w:r>
    </w:p>
    <w:p w:rsidR="00242C1C" w:rsidRPr="008E693E" w:rsidRDefault="00242C1C">
      <w:pPr>
        <w:pStyle w:val="TOC9"/>
        <w:rPr>
          <w:rFonts w:asciiTheme="minorHAnsi" w:eastAsiaTheme="minorEastAsia" w:hAnsiTheme="minorHAnsi" w:cstheme="minorBidi"/>
          <w:i w:val="0"/>
          <w:noProof/>
          <w:kern w:val="0"/>
          <w:sz w:val="22"/>
          <w:szCs w:val="22"/>
        </w:rPr>
      </w:pPr>
      <w:r w:rsidRPr="008E693E">
        <w:rPr>
          <w:noProof/>
        </w:rPr>
        <w:t>Agricultural and Veterinary Chemical Products (Collection of Levy) Regulations</w:t>
      </w:r>
      <w:r w:rsidR="008E693E" w:rsidRPr="008E693E">
        <w:rPr>
          <w:noProof/>
        </w:rPr>
        <w:t> </w:t>
      </w:r>
      <w:r w:rsidRPr="008E693E">
        <w:rPr>
          <w:noProof/>
        </w:rPr>
        <w:t>1995</w:t>
      </w:r>
      <w:r w:rsidRPr="008E693E">
        <w:rPr>
          <w:i w:val="0"/>
          <w:noProof/>
          <w:sz w:val="18"/>
        </w:rPr>
        <w:tab/>
      </w:r>
      <w:r w:rsidRPr="008E693E">
        <w:rPr>
          <w:i w:val="0"/>
          <w:noProof/>
          <w:sz w:val="18"/>
        </w:rPr>
        <w:fldChar w:fldCharType="begin"/>
      </w:r>
      <w:r w:rsidRPr="008E693E">
        <w:rPr>
          <w:i w:val="0"/>
          <w:noProof/>
          <w:sz w:val="18"/>
        </w:rPr>
        <w:instrText xml:space="preserve"> PAGEREF _Toc358111230 \h </w:instrText>
      </w:r>
      <w:r w:rsidRPr="008E693E">
        <w:rPr>
          <w:i w:val="0"/>
          <w:noProof/>
          <w:sz w:val="18"/>
        </w:rPr>
      </w:r>
      <w:r w:rsidRPr="008E693E">
        <w:rPr>
          <w:i w:val="0"/>
          <w:noProof/>
          <w:sz w:val="18"/>
        </w:rPr>
        <w:fldChar w:fldCharType="separate"/>
      </w:r>
      <w:r w:rsidR="00C33E8E">
        <w:rPr>
          <w:i w:val="0"/>
          <w:noProof/>
          <w:sz w:val="18"/>
        </w:rPr>
        <w:t>2</w:t>
      </w:r>
      <w:r w:rsidRPr="008E693E">
        <w:rPr>
          <w:i w:val="0"/>
          <w:noProof/>
          <w:sz w:val="18"/>
        </w:rPr>
        <w:fldChar w:fldCharType="end"/>
      </w:r>
    </w:p>
    <w:p w:rsidR="00242C1C" w:rsidRPr="008E693E" w:rsidRDefault="00242C1C">
      <w:pPr>
        <w:pStyle w:val="TOC9"/>
        <w:rPr>
          <w:rFonts w:asciiTheme="minorHAnsi" w:eastAsiaTheme="minorEastAsia" w:hAnsiTheme="minorHAnsi" w:cstheme="minorBidi"/>
          <w:i w:val="0"/>
          <w:noProof/>
          <w:kern w:val="0"/>
          <w:sz w:val="22"/>
          <w:szCs w:val="22"/>
        </w:rPr>
      </w:pPr>
      <w:r w:rsidRPr="008E693E">
        <w:rPr>
          <w:noProof/>
        </w:rPr>
        <w:t>Agricultural and Veterinary Chemicals Code Regulations</w:t>
      </w:r>
      <w:r w:rsidR="008E693E" w:rsidRPr="008E693E">
        <w:rPr>
          <w:noProof/>
        </w:rPr>
        <w:t> </w:t>
      </w:r>
      <w:r w:rsidRPr="008E693E">
        <w:rPr>
          <w:noProof/>
        </w:rPr>
        <w:t>1995</w:t>
      </w:r>
      <w:r w:rsidRPr="008E693E">
        <w:rPr>
          <w:i w:val="0"/>
          <w:noProof/>
          <w:sz w:val="18"/>
        </w:rPr>
        <w:tab/>
      </w:r>
      <w:r w:rsidRPr="008E693E">
        <w:rPr>
          <w:i w:val="0"/>
          <w:noProof/>
          <w:sz w:val="18"/>
        </w:rPr>
        <w:fldChar w:fldCharType="begin"/>
      </w:r>
      <w:r w:rsidRPr="008E693E">
        <w:rPr>
          <w:i w:val="0"/>
          <w:noProof/>
          <w:sz w:val="18"/>
        </w:rPr>
        <w:instrText xml:space="preserve"> PAGEREF _Toc358111231 \h </w:instrText>
      </w:r>
      <w:r w:rsidRPr="008E693E">
        <w:rPr>
          <w:i w:val="0"/>
          <w:noProof/>
          <w:sz w:val="18"/>
        </w:rPr>
      </w:r>
      <w:r w:rsidRPr="008E693E">
        <w:rPr>
          <w:i w:val="0"/>
          <w:noProof/>
          <w:sz w:val="18"/>
        </w:rPr>
        <w:fldChar w:fldCharType="separate"/>
      </w:r>
      <w:r w:rsidR="00C33E8E">
        <w:rPr>
          <w:i w:val="0"/>
          <w:noProof/>
          <w:sz w:val="18"/>
        </w:rPr>
        <w:t>3</w:t>
      </w:r>
      <w:r w:rsidRPr="008E693E">
        <w:rPr>
          <w:i w:val="0"/>
          <w:noProof/>
          <w:sz w:val="18"/>
        </w:rPr>
        <w:fldChar w:fldCharType="end"/>
      </w:r>
    </w:p>
    <w:p w:rsidR="00833416" w:rsidRPr="008E693E" w:rsidRDefault="00242C1C" w:rsidP="0048364F">
      <w:r w:rsidRPr="008E693E">
        <w:fldChar w:fldCharType="end"/>
      </w:r>
    </w:p>
    <w:p w:rsidR="00722023" w:rsidRPr="008E693E" w:rsidRDefault="00722023" w:rsidP="0048364F">
      <w:pPr>
        <w:sectPr w:rsidR="00722023" w:rsidRPr="008E693E" w:rsidSect="00A46299">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8E693E" w:rsidRDefault="0048364F" w:rsidP="0048364F">
      <w:pPr>
        <w:pStyle w:val="ActHead5"/>
      </w:pPr>
      <w:bookmarkStart w:id="3" w:name="_Toc358111225"/>
      <w:r w:rsidRPr="008E693E">
        <w:rPr>
          <w:rStyle w:val="CharSectno"/>
        </w:rPr>
        <w:lastRenderedPageBreak/>
        <w:t>1</w:t>
      </w:r>
      <w:r w:rsidRPr="008E693E">
        <w:t xml:space="preserve">  </w:t>
      </w:r>
      <w:r w:rsidR="004F676E" w:rsidRPr="008E693E">
        <w:t xml:space="preserve">Name of </w:t>
      </w:r>
      <w:r w:rsidR="00DF0018" w:rsidRPr="008E693E">
        <w:t>r</w:t>
      </w:r>
      <w:r w:rsidR="00F66134" w:rsidRPr="008E693E">
        <w:t>egulation</w:t>
      </w:r>
      <w:bookmarkEnd w:id="3"/>
    </w:p>
    <w:p w:rsidR="0048364F" w:rsidRPr="008E693E" w:rsidRDefault="0048364F" w:rsidP="0048364F">
      <w:pPr>
        <w:pStyle w:val="subsection"/>
      </w:pPr>
      <w:r w:rsidRPr="008E693E">
        <w:tab/>
      </w:r>
      <w:r w:rsidRPr="008E693E">
        <w:tab/>
      </w:r>
      <w:r w:rsidR="00F66134" w:rsidRPr="008E693E">
        <w:t>This regulation is</w:t>
      </w:r>
      <w:r w:rsidR="003801D0" w:rsidRPr="008E693E">
        <w:t xml:space="preserve"> the</w:t>
      </w:r>
      <w:r w:rsidRPr="008E693E">
        <w:t xml:space="preserve"> </w:t>
      </w:r>
      <w:bookmarkStart w:id="4" w:name="BKCheck15B_3"/>
      <w:bookmarkEnd w:id="4"/>
      <w:r w:rsidR="00CB0180" w:rsidRPr="008E693E">
        <w:rPr>
          <w:i/>
        </w:rPr>
        <w:fldChar w:fldCharType="begin"/>
      </w:r>
      <w:r w:rsidR="00CB0180" w:rsidRPr="008E693E">
        <w:rPr>
          <w:i/>
        </w:rPr>
        <w:instrText xml:space="preserve"> STYLEREF  ShortT </w:instrText>
      </w:r>
      <w:r w:rsidR="00CB0180" w:rsidRPr="008E693E">
        <w:rPr>
          <w:i/>
        </w:rPr>
        <w:fldChar w:fldCharType="separate"/>
      </w:r>
      <w:r w:rsidR="00C33E8E">
        <w:rPr>
          <w:i/>
          <w:noProof/>
        </w:rPr>
        <w:t>Agricultural and Veterinary Chemicals Legislation Amendment (2013 Measures No. 1) Regulation 2013</w:t>
      </w:r>
      <w:r w:rsidR="00CB0180" w:rsidRPr="008E693E">
        <w:rPr>
          <w:i/>
        </w:rPr>
        <w:fldChar w:fldCharType="end"/>
      </w:r>
      <w:r w:rsidRPr="008E693E">
        <w:t>.</w:t>
      </w:r>
    </w:p>
    <w:p w:rsidR="0048364F" w:rsidRPr="008E693E" w:rsidRDefault="0048364F" w:rsidP="0048364F">
      <w:pPr>
        <w:pStyle w:val="ActHead5"/>
      </w:pPr>
      <w:bookmarkStart w:id="5" w:name="_Toc358111226"/>
      <w:r w:rsidRPr="008E693E">
        <w:rPr>
          <w:rStyle w:val="CharSectno"/>
        </w:rPr>
        <w:t>2</w:t>
      </w:r>
      <w:r w:rsidRPr="008E693E">
        <w:t xml:space="preserve">  Commencement</w:t>
      </w:r>
      <w:bookmarkEnd w:id="5"/>
    </w:p>
    <w:p w:rsidR="004F676E" w:rsidRPr="008E693E" w:rsidRDefault="004F676E" w:rsidP="004F676E">
      <w:pPr>
        <w:pStyle w:val="subsection"/>
      </w:pPr>
      <w:bookmarkStart w:id="6" w:name="_GoBack"/>
      <w:r w:rsidRPr="008E693E">
        <w:tab/>
      </w:r>
      <w:r w:rsidRPr="008E693E">
        <w:tab/>
      </w:r>
      <w:r w:rsidR="00F66134" w:rsidRPr="008E693E">
        <w:t>This regulation commences</w:t>
      </w:r>
      <w:r w:rsidRPr="008E693E">
        <w:t xml:space="preserve"> on </w:t>
      </w:r>
      <w:r w:rsidR="00F66134" w:rsidRPr="008E693E">
        <w:t>1</w:t>
      </w:r>
      <w:r w:rsidR="008E693E" w:rsidRPr="008E693E">
        <w:t> </w:t>
      </w:r>
      <w:r w:rsidR="00F66134" w:rsidRPr="008E693E">
        <w:t>July 2013.</w:t>
      </w:r>
      <w:bookmarkEnd w:id="6"/>
    </w:p>
    <w:p w:rsidR="007769D4" w:rsidRPr="008E693E" w:rsidRDefault="007769D4" w:rsidP="007769D4">
      <w:pPr>
        <w:pStyle w:val="ActHead5"/>
      </w:pPr>
      <w:bookmarkStart w:id="7" w:name="_Toc358111227"/>
      <w:r w:rsidRPr="008E693E">
        <w:rPr>
          <w:rStyle w:val="CharSectno"/>
        </w:rPr>
        <w:t>3</w:t>
      </w:r>
      <w:r w:rsidRPr="008E693E">
        <w:t xml:space="preserve">  Authority</w:t>
      </w:r>
      <w:bookmarkEnd w:id="7"/>
    </w:p>
    <w:p w:rsidR="007769D4" w:rsidRPr="008E693E" w:rsidRDefault="007769D4" w:rsidP="007769D4">
      <w:pPr>
        <w:pStyle w:val="subsection"/>
      </w:pPr>
      <w:r w:rsidRPr="008E693E">
        <w:tab/>
      </w:r>
      <w:r w:rsidRPr="008E693E">
        <w:tab/>
      </w:r>
      <w:r w:rsidR="00F66134" w:rsidRPr="008E693E">
        <w:t>This regulation is</w:t>
      </w:r>
      <w:r w:rsidR="00AF0336" w:rsidRPr="008E693E">
        <w:t xml:space="preserve"> made under the </w:t>
      </w:r>
      <w:r w:rsidR="00053016" w:rsidRPr="008E693E">
        <w:rPr>
          <w:i/>
        </w:rPr>
        <w:t xml:space="preserve">Agricultural and Veterinary Chemical Products (Collection of Levy) Act 1994 </w:t>
      </w:r>
      <w:r w:rsidR="00053016" w:rsidRPr="008E693E">
        <w:t>and the</w:t>
      </w:r>
      <w:r w:rsidR="00053016" w:rsidRPr="008E693E">
        <w:rPr>
          <w:i/>
        </w:rPr>
        <w:t xml:space="preserve"> </w:t>
      </w:r>
      <w:r w:rsidR="00F66134" w:rsidRPr="008E693E">
        <w:rPr>
          <w:i/>
        </w:rPr>
        <w:t>Agricultural and Veterinary Chemicals Code Act 1994</w:t>
      </w:r>
      <w:r w:rsidR="00D83D21" w:rsidRPr="008E693E">
        <w:rPr>
          <w:i/>
        </w:rPr>
        <w:t>.</w:t>
      </w:r>
    </w:p>
    <w:p w:rsidR="00557C7A" w:rsidRPr="008E693E" w:rsidRDefault="007769D4" w:rsidP="00557C7A">
      <w:pPr>
        <w:pStyle w:val="ActHead5"/>
      </w:pPr>
      <w:bookmarkStart w:id="8" w:name="_Toc358111228"/>
      <w:r w:rsidRPr="008E693E">
        <w:rPr>
          <w:rStyle w:val="CharSectno"/>
        </w:rPr>
        <w:t>4</w:t>
      </w:r>
      <w:r w:rsidR="00557C7A" w:rsidRPr="008E693E">
        <w:t xml:space="preserve">  </w:t>
      </w:r>
      <w:r w:rsidR="00B332B8" w:rsidRPr="008E693E">
        <w:t>Schedule(s)</w:t>
      </w:r>
      <w:bookmarkEnd w:id="8"/>
    </w:p>
    <w:p w:rsidR="00557C7A" w:rsidRPr="008E693E" w:rsidRDefault="00557C7A" w:rsidP="00557C7A">
      <w:pPr>
        <w:pStyle w:val="subsection"/>
      </w:pPr>
      <w:r w:rsidRPr="008E693E">
        <w:tab/>
      </w:r>
      <w:r w:rsidRPr="008E693E">
        <w:tab/>
      </w:r>
      <w:r w:rsidR="00CD7ECB" w:rsidRPr="008E693E">
        <w:t>Each instrument that is specified in a Schedule to this instrument is amended or repealed as set out in the applicable items in the Schedule concerned, and any other item in a Schedule to this instrument has effect according to its terms.</w:t>
      </w:r>
    </w:p>
    <w:p w:rsidR="0048364F" w:rsidRPr="008E693E" w:rsidRDefault="0048364F" w:rsidP="00FF3089">
      <w:pPr>
        <w:pStyle w:val="ActHead6"/>
        <w:pageBreakBefore/>
      </w:pPr>
      <w:bookmarkStart w:id="9" w:name="_Toc358111229"/>
      <w:bookmarkStart w:id="10" w:name="opcAmSched"/>
      <w:bookmarkStart w:id="11" w:name="opcCurrentFind"/>
      <w:r w:rsidRPr="008E693E">
        <w:rPr>
          <w:rStyle w:val="CharAmSchNo"/>
        </w:rPr>
        <w:lastRenderedPageBreak/>
        <w:t>Schedule</w:t>
      </w:r>
      <w:r w:rsidR="008E693E" w:rsidRPr="008E693E">
        <w:rPr>
          <w:rStyle w:val="CharAmSchNo"/>
        </w:rPr>
        <w:t> </w:t>
      </w:r>
      <w:r w:rsidRPr="008E693E">
        <w:rPr>
          <w:rStyle w:val="CharAmSchNo"/>
        </w:rPr>
        <w:t>1</w:t>
      </w:r>
      <w:r w:rsidRPr="008E693E">
        <w:t>—</w:t>
      </w:r>
      <w:r w:rsidR="00460499" w:rsidRPr="008E693E">
        <w:rPr>
          <w:rStyle w:val="CharAmSchText"/>
        </w:rPr>
        <w:t>Amendments</w:t>
      </w:r>
      <w:bookmarkEnd w:id="9"/>
    </w:p>
    <w:bookmarkEnd w:id="10"/>
    <w:bookmarkEnd w:id="11"/>
    <w:p w:rsidR="0004044E" w:rsidRPr="008E693E" w:rsidRDefault="0004044E" w:rsidP="0004044E">
      <w:pPr>
        <w:pStyle w:val="Header"/>
      </w:pPr>
      <w:r w:rsidRPr="008E693E">
        <w:rPr>
          <w:rStyle w:val="CharAmPartNo"/>
        </w:rPr>
        <w:t xml:space="preserve"> </w:t>
      </w:r>
      <w:r w:rsidRPr="008E693E">
        <w:rPr>
          <w:rStyle w:val="CharAmPartText"/>
        </w:rPr>
        <w:t xml:space="preserve"> </w:t>
      </w:r>
    </w:p>
    <w:p w:rsidR="00053016" w:rsidRPr="008E693E" w:rsidRDefault="00053016" w:rsidP="00053016">
      <w:pPr>
        <w:pStyle w:val="ActHead9"/>
      </w:pPr>
      <w:bookmarkStart w:id="12" w:name="_Toc358111230"/>
      <w:r w:rsidRPr="008E693E">
        <w:t>Agricultural and Veterinary Chemical Products (Collection of Levy) Regulations</w:t>
      </w:r>
      <w:r w:rsidR="008E693E" w:rsidRPr="008E693E">
        <w:t> </w:t>
      </w:r>
      <w:r w:rsidRPr="008E693E">
        <w:t>1995</w:t>
      </w:r>
      <w:bookmarkEnd w:id="12"/>
    </w:p>
    <w:p w:rsidR="00053016" w:rsidRPr="008E693E" w:rsidRDefault="00053016" w:rsidP="00053016">
      <w:pPr>
        <w:pStyle w:val="ItemHead"/>
        <w:rPr>
          <w:rFonts w:cs="Arial"/>
        </w:rPr>
      </w:pPr>
      <w:r w:rsidRPr="008E693E">
        <w:rPr>
          <w:rFonts w:cs="Arial"/>
        </w:rPr>
        <w:t>1  Regulations</w:t>
      </w:r>
      <w:r w:rsidR="008E693E" w:rsidRPr="008E693E">
        <w:rPr>
          <w:rFonts w:cs="Arial"/>
        </w:rPr>
        <w:t> </w:t>
      </w:r>
      <w:r w:rsidRPr="008E693E">
        <w:rPr>
          <w:rFonts w:cs="Arial"/>
        </w:rPr>
        <w:t>4, 5 and 6</w:t>
      </w:r>
    </w:p>
    <w:p w:rsidR="00053016" w:rsidRPr="008E693E" w:rsidRDefault="00053016" w:rsidP="00053016">
      <w:pPr>
        <w:pStyle w:val="Item"/>
      </w:pPr>
      <w:r w:rsidRPr="008E693E">
        <w:t>Repeal the regulations.</w:t>
      </w:r>
    </w:p>
    <w:p w:rsidR="00053016" w:rsidRPr="008E693E" w:rsidRDefault="00053016" w:rsidP="00053016">
      <w:pPr>
        <w:pStyle w:val="ItemHead"/>
        <w:rPr>
          <w:rFonts w:cs="Arial"/>
        </w:rPr>
      </w:pPr>
      <w:r w:rsidRPr="008E693E">
        <w:rPr>
          <w:rFonts w:cs="Arial"/>
        </w:rPr>
        <w:t>2  Subregulation</w:t>
      </w:r>
      <w:r w:rsidR="008E693E" w:rsidRPr="008E693E">
        <w:rPr>
          <w:rFonts w:cs="Arial"/>
        </w:rPr>
        <w:t> </w:t>
      </w:r>
      <w:r w:rsidRPr="008E693E">
        <w:rPr>
          <w:rFonts w:cs="Arial"/>
        </w:rPr>
        <w:t>6A(1)</w:t>
      </w:r>
    </w:p>
    <w:p w:rsidR="00053016" w:rsidRPr="008E693E" w:rsidRDefault="00053016" w:rsidP="00053016">
      <w:pPr>
        <w:pStyle w:val="Item"/>
      </w:pPr>
      <w:r w:rsidRPr="008E693E">
        <w:t>Repeal the subregulation.</w:t>
      </w:r>
    </w:p>
    <w:p w:rsidR="00053016" w:rsidRPr="008E693E" w:rsidRDefault="00053016" w:rsidP="00053016">
      <w:pPr>
        <w:pStyle w:val="ItemHead"/>
      </w:pPr>
      <w:r w:rsidRPr="008E693E">
        <w:t>3  Subregulation</w:t>
      </w:r>
      <w:r w:rsidR="008E693E" w:rsidRPr="008E693E">
        <w:t> </w:t>
      </w:r>
      <w:r w:rsidRPr="008E693E">
        <w:t>6A(2) (heading)</w:t>
      </w:r>
    </w:p>
    <w:p w:rsidR="00053016" w:rsidRPr="008E693E" w:rsidRDefault="00053016" w:rsidP="00053016">
      <w:pPr>
        <w:pStyle w:val="Item"/>
      </w:pPr>
      <w:r w:rsidRPr="008E693E">
        <w:t>Repeal the heading, substitute:</w:t>
      </w:r>
    </w:p>
    <w:p w:rsidR="00053016" w:rsidRPr="008E693E" w:rsidRDefault="00053016" w:rsidP="00053016">
      <w:pPr>
        <w:pStyle w:val="SubsectionHead"/>
      </w:pPr>
      <w:r w:rsidRPr="008E693E">
        <w:t>2006</w:t>
      </w:r>
      <w:r w:rsidR="008E693E">
        <w:noBreakHyphen/>
      </w:r>
      <w:r w:rsidRPr="008E693E">
        <w:t>2007 financial year to 2012</w:t>
      </w:r>
      <w:r w:rsidR="008E693E">
        <w:noBreakHyphen/>
      </w:r>
      <w:r w:rsidRPr="008E693E">
        <w:t>2013 financial year</w:t>
      </w:r>
    </w:p>
    <w:p w:rsidR="00053016" w:rsidRPr="008E693E" w:rsidRDefault="00053016" w:rsidP="00053016">
      <w:pPr>
        <w:pStyle w:val="ItemHead"/>
      </w:pPr>
      <w:r w:rsidRPr="008E693E">
        <w:t>4  Subregulation</w:t>
      </w:r>
      <w:r w:rsidR="008E693E" w:rsidRPr="008E693E">
        <w:t> </w:t>
      </w:r>
      <w:r w:rsidRPr="008E693E">
        <w:t>6A(2)</w:t>
      </w:r>
    </w:p>
    <w:p w:rsidR="00053016" w:rsidRPr="008E693E" w:rsidRDefault="00053016" w:rsidP="00053016">
      <w:pPr>
        <w:pStyle w:val="Item"/>
      </w:pPr>
      <w:r w:rsidRPr="008E693E">
        <w:t>After “succeeding financial year”, insert “up to and including the 2012</w:t>
      </w:r>
      <w:r w:rsidR="008E693E">
        <w:noBreakHyphen/>
      </w:r>
      <w:r w:rsidRPr="008E693E">
        <w:t>2013 financial year”.</w:t>
      </w:r>
    </w:p>
    <w:p w:rsidR="00053016" w:rsidRPr="008E693E" w:rsidRDefault="00053016" w:rsidP="00053016">
      <w:pPr>
        <w:pStyle w:val="ItemHead"/>
      </w:pPr>
      <w:r w:rsidRPr="008E693E">
        <w:t>5  A</w:t>
      </w:r>
      <w:r w:rsidR="00E14E98" w:rsidRPr="008E693E">
        <w:t xml:space="preserve">t the end of </w:t>
      </w:r>
      <w:r w:rsidRPr="008E693E">
        <w:t>regulation</w:t>
      </w:r>
      <w:r w:rsidR="008E693E" w:rsidRPr="008E693E">
        <w:t> </w:t>
      </w:r>
      <w:r w:rsidRPr="008E693E">
        <w:t>6A</w:t>
      </w:r>
    </w:p>
    <w:p w:rsidR="00053016" w:rsidRPr="008E693E" w:rsidRDefault="00053016" w:rsidP="00053016">
      <w:pPr>
        <w:pStyle w:val="Item"/>
      </w:pPr>
      <w:r w:rsidRPr="008E693E">
        <w:t>Insert:</w:t>
      </w:r>
    </w:p>
    <w:p w:rsidR="00053016" w:rsidRPr="008E693E" w:rsidRDefault="00053016" w:rsidP="00053016">
      <w:pPr>
        <w:pStyle w:val="SubsectionHead"/>
      </w:pPr>
      <w:r w:rsidRPr="008E693E">
        <w:t>2013</w:t>
      </w:r>
      <w:r w:rsidR="008E693E">
        <w:noBreakHyphen/>
      </w:r>
      <w:r w:rsidRPr="008E693E">
        <w:t>2014 financial year and subsequent years</w:t>
      </w:r>
    </w:p>
    <w:p w:rsidR="00053016" w:rsidRPr="008E693E" w:rsidRDefault="00053016" w:rsidP="00053016">
      <w:pPr>
        <w:pStyle w:val="subsection"/>
      </w:pPr>
      <w:r w:rsidRPr="008E693E">
        <w:tab/>
        <w:t>(3)</w:t>
      </w:r>
      <w:r w:rsidRPr="008E693E">
        <w:tab/>
        <w:t>For section</w:t>
      </w:r>
      <w:r w:rsidR="008E693E" w:rsidRPr="008E693E">
        <w:t> </w:t>
      </w:r>
      <w:r w:rsidRPr="008E693E">
        <w:t>12C of the Act, the following rates are prescribed in respect of the 2013</w:t>
      </w:r>
      <w:r w:rsidR="008E693E">
        <w:noBreakHyphen/>
      </w:r>
      <w:r w:rsidRPr="008E693E">
        <w:t>2014 financial year and each succeeding financial year:</w:t>
      </w:r>
    </w:p>
    <w:p w:rsidR="00053016" w:rsidRPr="008E693E" w:rsidRDefault="00053016" w:rsidP="00053016">
      <w:pPr>
        <w:pStyle w:val="paragraph"/>
      </w:pPr>
      <w:r w:rsidRPr="008E693E">
        <w:tab/>
        <w:t>(a)</w:t>
      </w:r>
      <w:r w:rsidRPr="008E693E">
        <w:tab/>
        <w:t>for the part of leviable disposals not exceeding $1</w:t>
      </w:r>
      <w:r w:rsidR="008E693E" w:rsidRPr="008E693E">
        <w:t> </w:t>
      </w:r>
      <w:r w:rsidRPr="008E693E">
        <w:t>000 000—0.70%;</w:t>
      </w:r>
    </w:p>
    <w:p w:rsidR="00053016" w:rsidRPr="008E693E" w:rsidRDefault="00053016" w:rsidP="00053016">
      <w:pPr>
        <w:pStyle w:val="paragraph"/>
      </w:pPr>
      <w:r w:rsidRPr="008E693E">
        <w:tab/>
        <w:t>(b)</w:t>
      </w:r>
      <w:r w:rsidRPr="008E693E">
        <w:tab/>
        <w:t>for the part of leviable disposals exceeding $1</w:t>
      </w:r>
      <w:r w:rsidR="008E693E" w:rsidRPr="008E693E">
        <w:t> </w:t>
      </w:r>
      <w:r w:rsidRPr="008E693E">
        <w:t>000 000 but not exceeding $5</w:t>
      </w:r>
      <w:r w:rsidR="008E693E" w:rsidRPr="008E693E">
        <w:t> </w:t>
      </w:r>
      <w:r w:rsidRPr="008E693E">
        <w:t>000 000—0.40%;</w:t>
      </w:r>
    </w:p>
    <w:p w:rsidR="00053016" w:rsidRPr="008E693E" w:rsidRDefault="00053016" w:rsidP="00053016">
      <w:pPr>
        <w:pStyle w:val="paragraph"/>
      </w:pPr>
      <w:r w:rsidRPr="008E693E">
        <w:tab/>
        <w:t>(c)</w:t>
      </w:r>
      <w:r w:rsidRPr="008E693E">
        <w:tab/>
        <w:t>for the part of leviable disposals exceeding $5</w:t>
      </w:r>
      <w:r w:rsidR="008E693E" w:rsidRPr="008E693E">
        <w:t> </w:t>
      </w:r>
      <w:r w:rsidRPr="008E693E">
        <w:t>000 000—0.28%.</w:t>
      </w:r>
    </w:p>
    <w:p w:rsidR="006D3667" w:rsidRPr="008E693E" w:rsidRDefault="00F66134" w:rsidP="00F66134">
      <w:pPr>
        <w:pStyle w:val="ActHead9"/>
      </w:pPr>
      <w:bookmarkStart w:id="13" w:name="_Toc358111231"/>
      <w:r w:rsidRPr="008E693E">
        <w:lastRenderedPageBreak/>
        <w:t xml:space="preserve">Agricultural and Veterinary Chemicals Code </w:t>
      </w:r>
      <w:r w:rsidR="001B1D74" w:rsidRPr="008E693E">
        <w:t>Regulations</w:t>
      </w:r>
      <w:r w:rsidR="008E693E" w:rsidRPr="008E693E">
        <w:t> </w:t>
      </w:r>
      <w:r w:rsidRPr="008E693E">
        <w:t>199</w:t>
      </w:r>
      <w:r w:rsidR="001B1D74" w:rsidRPr="008E693E">
        <w:t>5</w:t>
      </w:r>
      <w:bookmarkEnd w:id="13"/>
    </w:p>
    <w:p w:rsidR="0033579B" w:rsidRPr="008E693E" w:rsidRDefault="00053016" w:rsidP="0033579B">
      <w:pPr>
        <w:pStyle w:val="ItemHead"/>
        <w:rPr>
          <w:rFonts w:cs="Arial"/>
        </w:rPr>
      </w:pPr>
      <w:r w:rsidRPr="008E693E">
        <w:rPr>
          <w:rFonts w:cs="Arial"/>
        </w:rPr>
        <w:t>6</w:t>
      </w:r>
      <w:r w:rsidR="0033579B" w:rsidRPr="008E693E">
        <w:rPr>
          <w:rFonts w:cs="Arial"/>
        </w:rPr>
        <w:t xml:space="preserve">  Subregulation</w:t>
      </w:r>
      <w:r w:rsidR="008E693E" w:rsidRPr="008E693E">
        <w:rPr>
          <w:rFonts w:cs="Arial"/>
        </w:rPr>
        <w:t> </w:t>
      </w:r>
      <w:r w:rsidR="0033579B" w:rsidRPr="008E693E">
        <w:rPr>
          <w:rFonts w:cs="Arial"/>
        </w:rPr>
        <w:t>3(1)</w:t>
      </w:r>
    </w:p>
    <w:p w:rsidR="0033579B" w:rsidRPr="008E693E" w:rsidRDefault="0033579B" w:rsidP="0033579B">
      <w:pPr>
        <w:pStyle w:val="Item"/>
      </w:pPr>
      <w:r w:rsidRPr="008E693E">
        <w:t>Insert:</w:t>
      </w:r>
    </w:p>
    <w:p w:rsidR="0033579B" w:rsidRPr="008E693E" w:rsidRDefault="0033579B" w:rsidP="0033579B">
      <w:pPr>
        <w:pStyle w:val="Definition"/>
      </w:pPr>
      <w:r w:rsidRPr="008E693E">
        <w:rPr>
          <w:b/>
          <w:i/>
        </w:rPr>
        <w:t>Australian GMP Code</w:t>
      </w:r>
      <w:r w:rsidRPr="008E693E">
        <w:t xml:space="preserve"> means the </w:t>
      </w:r>
      <w:r w:rsidRPr="008E693E">
        <w:rPr>
          <w:i/>
        </w:rPr>
        <w:t>Australian Code of Good Manufacturing Practice for Veterinary Chemical Products</w:t>
      </w:r>
      <w:r w:rsidRPr="008E693E">
        <w:t>,</w:t>
      </w:r>
      <w:r w:rsidRPr="008E693E">
        <w:rPr>
          <w:i/>
        </w:rPr>
        <w:t xml:space="preserve"> </w:t>
      </w:r>
      <w:r w:rsidRPr="008E693E">
        <w:t>published by the APVMA.</w:t>
      </w:r>
    </w:p>
    <w:p w:rsidR="0033579B" w:rsidRPr="008E693E" w:rsidRDefault="006A30BE" w:rsidP="00885224">
      <w:pPr>
        <w:pStyle w:val="Definition"/>
        <w:rPr>
          <w:i/>
        </w:rPr>
      </w:pPr>
      <w:r w:rsidRPr="008E693E">
        <w:rPr>
          <w:b/>
          <w:bCs/>
          <w:i/>
          <w:iCs/>
        </w:rPr>
        <w:t>c</w:t>
      </w:r>
      <w:r w:rsidR="0033579B" w:rsidRPr="008E693E">
        <w:rPr>
          <w:b/>
          <w:bCs/>
          <w:i/>
          <w:iCs/>
        </w:rPr>
        <w:t xml:space="preserve">ategory 1 </w:t>
      </w:r>
      <w:r w:rsidR="00D403DB" w:rsidRPr="008E693E">
        <w:rPr>
          <w:b/>
          <w:bCs/>
          <w:i/>
          <w:iCs/>
        </w:rPr>
        <w:t>licence</w:t>
      </w:r>
      <w:r w:rsidR="0033579B" w:rsidRPr="008E693E">
        <w:t xml:space="preserve"> means a </w:t>
      </w:r>
      <w:r w:rsidR="00D403DB" w:rsidRPr="008E693E">
        <w:t>licence issued under Part</w:t>
      </w:r>
      <w:r w:rsidR="008E693E" w:rsidRPr="008E693E">
        <w:t> </w:t>
      </w:r>
      <w:r w:rsidR="00D403DB" w:rsidRPr="008E693E">
        <w:t xml:space="preserve">8 of the Code to </w:t>
      </w:r>
      <w:r w:rsidR="00722AED" w:rsidRPr="008E693E">
        <w:t xml:space="preserve">carry out steps in the </w:t>
      </w:r>
      <w:r w:rsidR="00D403DB" w:rsidRPr="008E693E">
        <w:t>manufacture</w:t>
      </w:r>
      <w:r w:rsidR="00885224" w:rsidRPr="008E693E">
        <w:t xml:space="preserve"> </w:t>
      </w:r>
      <w:r w:rsidR="00722AED" w:rsidRPr="008E693E">
        <w:t xml:space="preserve">of </w:t>
      </w:r>
      <w:r w:rsidR="00D403DB" w:rsidRPr="008E693E">
        <w:t xml:space="preserve">a </w:t>
      </w:r>
      <w:r w:rsidR="0033579B" w:rsidRPr="008E693E">
        <w:t>veterinary chemical product that is:</w:t>
      </w:r>
    </w:p>
    <w:p w:rsidR="0033579B" w:rsidRPr="008E693E" w:rsidRDefault="0033579B" w:rsidP="00885224">
      <w:pPr>
        <w:pStyle w:val="paragraph"/>
      </w:pPr>
      <w:r w:rsidRPr="008E693E">
        <w:tab/>
        <w:t>(</w:t>
      </w:r>
      <w:r w:rsidR="00885224" w:rsidRPr="008E693E">
        <w:t>a</w:t>
      </w:r>
      <w:r w:rsidRPr="008E693E">
        <w:t>)</w:t>
      </w:r>
      <w:r w:rsidRPr="008E693E">
        <w:tab/>
        <w:t>registered as being, represented to be, or required to be sterile; or</w:t>
      </w:r>
    </w:p>
    <w:p w:rsidR="008B4C59" w:rsidRPr="008E693E" w:rsidRDefault="0033579B" w:rsidP="00885224">
      <w:pPr>
        <w:pStyle w:val="paragraph"/>
      </w:pPr>
      <w:r w:rsidRPr="008E693E">
        <w:tab/>
        <w:t>(</w:t>
      </w:r>
      <w:r w:rsidR="00885224" w:rsidRPr="008E693E">
        <w:t>b</w:t>
      </w:r>
      <w:r w:rsidRPr="008E693E">
        <w:t>)</w:t>
      </w:r>
      <w:r w:rsidRPr="008E693E">
        <w:tab/>
        <w:t>an immunobiological product</w:t>
      </w:r>
      <w:r w:rsidR="00DF0018" w:rsidRPr="008E693E">
        <w:t>;</w:t>
      </w:r>
    </w:p>
    <w:p w:rsidR="00885224" w:rsidRPr="008E693E" w:rsidRDefault="00DF0018" w:rsidP="00DF0018">
      <w:pPr>
        <w:pStyle w:val="subsection2"/>
      </w:pPr>
      <w:r w:rsidRPr="008E693E">
        <w:t xml:space="preserve">whether or not the licence also authorises the </w:t>
      </w:r>
      <w:r w:rsidR="00752FDE" w:rsidRPr="008E693E">
        <w:t xml:space="preserve">carrying out of steps in the </w:t>
      </w:r>
      <w:r w:rsidRPr="008E693E">
        <w:t>manufacture of other chemical products.</w:t>
      </w:r>
    </w:p>
    <w:p w:rsidR="00816410" w:rsidRPr="008E693E" w:rsidRDefault="006A30BE" w:rsidP="00816410">
      <w:pPr>
        <w:pStyle w:val="Definition"/>
      </w:pPr>
      <w:r w:rsidRPr="008E693E">
        <w:rPr>
          <w:b/>
          <w:bCs/>
          <w:i/>
          <w:iCs/>
        </w:rPr>
        <w:t>c</w:t>
      </w:r>
      <w:r w:rsidR="0033579B" w:rsidRPr="008E693E">
        <w:rPr>
          <w:b/>
          <w:bCs/>
          <w:i/>
          <w:iCs/>
        </w:rPr>
        <w:t>ategory 2</w:t>
      </w:r>
      <w:r w:rsidRPr="008E693E">
        <w:rPr>
          <w:b/>
          <w:bCs/>
          <w:i/>
          <w:iCs/>
        </w:rPr>
        <w:t xml:space="preserve"> licence</w:t>
      </w:r>
      <w:r w:rsidR="008B5AAA" w:rsidRPr="008E693E">
        <w:rPr>
          <w:b/>
          <w:bCs/>
          <w:i/>
          <w:iCs/>
        </w:rPr>
        <w:t xml:space="preserve"> </w:t>
      </w:r>
      <w:r w:rsidR="0033579B" w:rsidRPr="008E693E">
        <w:t xml:space="preserve">means a </w:t>
      </w:r>
      <w:r w:rsidRPr="008E693E">
        <w:t>licence issued under Part</w:t>
      </w:r>
      <w:r w:rsidR="008E693E" w:rsidRPr="008E693E">
        <w:t> </w:t>
      </w:r>
      <w:r w:rsidRPr="008E693E">
        <w:t xml:space="preserve">8 of the Code to </w:t>
      </w:r>
      <w:r w:rsidR="00722AED" w:rsidRPr="008E693E">
        <w:t>carry out steps in the manufacture of a</w:t>
      </w:r>
      <w:r w:rsidRPr="008E693E">
        <w:t xml:space="preserve"> </w:t>
      </w:r>
      <w:r w:rsidR="0033579B" w:rsidRPr="008E693E">
        <w:t>veterinary chemical product</w:t>
      </w:r>
      <w:r w:rsidR="00816410" w:rsidRPr="008E693E">
        <w:t>,</w:t>
      </w:r>
      <w:r w:rsidR="0033579B" w:rsidRPr="008E693E">
        <w:t xml:space="preserve"> </w:t>
      </w:r>
      <w:r w:rsidRPr="008E693E">
        <w:t xml:space="preserve">other than a veterinary chemical product mentioned in </w:t>
      </w:r>
      <w:r w:rsidR="00816410" w:rsidRPr="008E693E">
        <w:t>the definition</w:t>
      </w:r>
      <w:r w:rsidR="00D673AB" w:rsidRPr="008E693E">
        <w:t xml:space="preserve"> </w:t>
      </w:r>
      <w:r w:rsidR="00816410" w:rsidRPr="008E693E">
        <w:t>of:</w:t>
      </w:r>
    </w:p>
    <w:p w:rsidR="00816410" w:rsidRPr="008E693E" w:rsidRDefault="00816410" w:rsidP="00710CAF">
      <w:pPr>
        <w:pStyle w:val="paragraph"/>
      </w:pPr>
      <w:r w:rsidRPr="008E693E">
        <w:tab/>
        <w:t>(</w:t>
      </w:r>
      <w:r w:rsidR="00710CAF" w:rsidRPr="008E693E">
        <w:t>a</w:t>
      </w:r>
      <w:r w:rsidRPr="008E693E">
        <w:t>)</w:t>
      </w:r>
      <w:r w:rsidRPr="008E693E">
        <w:tab/>
      </w:r>
      <w:r w:rsidR="006A30BE" w:rsidRPr="008E693E">
        <w:t>category 1 licence</w:t>
      </w:r>
      <w:r w:rsidRPr="008E693E">
        <w:t>;</w:t>
      </w:r>
      <w:r w:rsidR="00710CAF" w:rsidRPr="008E693E">
        <w:t xml:space="preserve"> or</w:t>
      </w:r>
    </w:p>
    <w:p w:rsidR="00816410" w:rsidRPr="008E693E" w:rsidRDefault="00816410" w:rsidP="00710CAF">
      <w:pPr>
        <w:pStyle w:val="paragraph"/>
      </w:pPr>
      <w:r w:rsidRPr="008E693E">
        <w:tab/>
        <w:t>(</w:t>
      </w:r>
      <w:r w:rsidR="00710CAF" w:rsidRPr="008E693E">
        <w:t>b</w:t>
      </w:r>
      <w:r w:rsidRPr="008E693E">
        <w:t>)</w:t>
      </w:r>
      <w:r w:rsidRPr="008E693E">
        <w:tab/>
      </w:r>
      <w:r w:rsidR="006A30BE" w:rsidRPr="008E693E">
        <w:t xml:space="preserve">category </w:t>
      </w:r>
      <w:r w:rsidRPr="008E693E">
        <w:t>3</w:t>
      </w:r>
      <w:r w:rsidR="006A30BE" w:rsidRPr="008E693E">
        <w:t xml:space="preserve"> licence</w:t>
      </w:r>
      <w:r w:rsidRPr="008E693E">
        <w:t>;</w:t>
      </w:r>
      <w:r w:rsidR="00710CAF" w:rsidRPr="008E693E">
        <w:t xml:space="preserve"> or</w:t>
      </w:r>
    </w:p>
    <w:p w:rsidR="00816410" w:rsidRPr="008E693E" w:rsidRDefault="00816410" w:rsidP="00710CAF">
      <w:pPr>
        <w:pStyle w:val="paragraph"/>
      </w:pPr>
      <w:r w:rsidRPr="008E693E">
        <w:tab/>
      </w:r>
      <w:r w:rsidR="00710CAF" w:rsidRPr="008E693E">
        <w:t>(c)</w:t>
      </w:r>
      <w:r w:rsidRPr="008E693E">
        <w:tab/>
      </w:r>
      <w:r w:rsidR="006A30BE" w:rsidRPr="008E693E">
        <w:t>category 4 licence</w:t>
      </w:r>
      <w:r w:rsidRPr="008E693E">
        <w:t>;</w:t>
      </w:r>
      <w:r w:rsidR="00710CAF" w:rsidRPr="008E693E">
        <w:t xml:space="preserve"> or</w:t>
      </w:r>
    </w:p>
    <w:p w:rsidR="00816410" w:rsidRPr="008E693E" w:rsidRDefault="00816410" w:rsidP="00710CAF">
      <w:pPr>
        <w:pStyle w:val="paragraph"/>
      </w:pPr>
      <w:r w:rsidRPr="008E693E">
        <w:tab/>
        <w:t>(</w:t>
      </w:r>
      <w:r w:rsidR="00710CAF" w:rsidRPr="008E693E">
        <w:t>d</w:t>
      </w:r>
      <w:r w:rsidRPr="008E693E">
        <w:t>)</w:t>
      </w:r>
      <w:r w:rsidRPr="008E693E">
        <w:tab/>
      </w:r>
      <w:r w:rsidR="006A30BE" w:rsidRPr="008E693E">
        <w:t>category 6 licence</w:t>
      </w:r>
      <w:r w:rsidRPr="008E693E">
        <w:t>.</w:t>
      </w:r>
    </w:p>
    <w:p w:rsidR="00752FDE" w:rsidRPr="008E693E" w:rsidRDefault="006A30BE" w:rsidP="00752FDE">
      <w:pPr>
        <w:pStyle w:val="Definition"/>
      </w:pPr>
      <w:r w:rsidRPr="008E693E">
        <w:rPr>
          <w:b/>
          <w:bCs/>
          <w:i/>
          <w:iCs/>
        </w:rPr>
        <w:t>c</w:t>
      </w:r>
      <w:r w:rsidR="0033579B" w:rsidRPr="008E693E">
        <w:rPr>
          <w:b/>
          <w:bCs/>
          <w:i/>
          <w:iCs/>
        </w:rPr>
        <w:t xml:space="preserve">ategory 3 </w:t>
      </w:r>
      <w:r w:rsidRPr="008E693E">
        <w:rPr>
          <w:b/>
          <w:bCs/>
          <w:i/>
          <w:iCs/>
        </w:rPr>
        <w:t>licence</w:t>
      </w:r>
      <w:r w:rsidR="0033579B" w:rsidRPr="008E693E">
        <w:t xml:space="preserve"> means a </w:t>
      </w:r>
      <w:r w:rsidRPr="008E693E">
        <w:t>licence issued under Part</w:t>
      </w:r>
      <w:r w:rsidR="008E693E" w:rsidRPr="008E693E">
        <w:t> </w:t>
      </w:r>
      <w:r w:rsidRPr="008E693E">
        <w:t xml:space="preserve">8 of the Code </w:t>
      </w:r>
      <w:r w:rsidR="00F6145F" w:rsidRPr="008E693E">
        <w:t>to</w:t>
      </w:r>
      <w:r w:rsidR="00752FDE" w:rsidRPr="008E693E">
        <w:t xml:space="preserve"> carry out </w:t>
      </w:r>
      <w:r w:rsidR="00722AED" w:rsidRPr="008E693E">
        <w:t>steps in the manufacture of</w:t>
      </w:r>
      <w:r w:rsidRPr="008E693E">
        <w:t xml:space="preserve"> </w:t>
      </w:r>
      <w:r w:rsidR="00752FDE" w:rsidRPr="008E693E">
        <w:t xml:space="preserve">a </w:t>
      </w:r>
      <w:r w:rsidR="0033579B" w:rsidRPr="008E693E">
        <w:t xml:space="preserve">veterinary chemical product that is an </w:t>
      </w:r>
      <w:r w:rsidR="005452E0" w:rsidRPr="008E693E">
        <w:t xml:space="preserve">externally applied </w:t>
      </w:r>
      <w:r w:rsidR="0033579B" w:rsidRPr="008E693E">
        <w:t>ectoparasiticide</w:t>
      </w:r>
      <w:r w:rsidR="00752FDE" w:rsidRPr="008E693E">
        <w:t>.</w:t>
      </w:r>
    </w:p>
    <w:p w:rsidR="00722AED" w:rsidRPr="008E693E" w:rsidRDefault="006A30BE" w:rsidP="00722AED">
      <w:pPr>
        <w:pStyle w:val="Definition"/>
      </w:pPr>
      <w:r w:rsidRPr="008E693E">
        <w:rPr>
          <w:b/>
          <w:bCs/>
          <w:i/>
          <w:iCs/>
        </w:rPr>
        <w:t>c</w:t>
      </w:r>
      <w:r w:rsidR="0033579B" w:rsidRPr="008E693E">
        <w:rPr>
          <w:b/>
          <w:bCs/>
          <w:i/>
          <w:iCs/>
        </w:rPr>
        <w:t xml:space="preserve">ategory 4 </w:t>
      </w:r>
      <w:r w:rsidRPr="008E693E">
        <w:rPr>
          <w:b/>
          <w:bCs/>
          <w:i/>
          <w:iCs/>
        </w:rPr>
        <w:t>licence</w:t>
      </w:r>
      <w:r w:rsidR="0033579B" w:rsidRPr="008E693E">
        <w:t xml:space="preserve"> means a </w:t>
      </w:r>
      <w:r w:rsidRPr="008E693E">
        <w:t>licence issued under Part</w:t>
      </w:r>
      <w:r w:rsidR="008E693E" w:rsidRPr="008E693E">
        <w:t> </w:t>
      </w:r>
      <w:r w:rsidRPr="008E693E">
        <w:t xml:space="preserve">8 of the Code to </w:t>
      </w:r>
      <w:r w:rsidR="00722AED" w:rsidRPr="008E693E">
        <w:t>carry out steps in the manufacture of a veterinary chemical product that is a pre</w:t>
      </w:r>
      <w:r w:rsidR="0033579B" w:rsidRPr="008E693E">
        <w:t>mix or</w:t>
      </w:r>
      <w:r w:rsidR="00722AED" w:rsidRPr="008E693E">
        <w:t xml:space="preserve"> </w:t>
      </w:r>
      <w:r w:rsidR="0033579B" w:rsidRPr="008E693E">
        <w:t>stockfood supplement</w:t>
      </w:r>
      <w:r w:rsidR="00E76066" w:rsidRPr="008E693E">
        <w:t>.</w:t>
      </w:r>
    </w:p>
    <w:p w:rsidR="00722AED" w:rsidRPr="008E693E" w:rsidRDefault="006A30BE" w:rsidP="0033579B">
      <w:pPr>
        <w:pStyle w:val="Definition"/>
      </w:pPr>
      <w:r w:rsidRPr="008E693E">
        <w:rPr>
          <w:b/>
          <w:bCs/>
          <w:i/>
          <w:iCs/>
        </w:rPr>
        <w:t>c</w:t>
      </w:r>
      <w:r w:rsidR="0033579B" w:rsidRPr="008E693E">
        <w:rPr>
          <w:b/>
          <w:bCs/>
          <w:i/>
          <w:iCs/>
        </w:rPr>
        <w:t xml:space="preserve">ategory 6 </w:t>
      </w:r>
      <w:r w:rsidRPr="008E693E">
        <w:rPr>
          <w:b/>
          <w:bCs/>
          <w:i/>
          <w:iCs/>
        </w:rPr>
        <w:t>licence</w:t>
      </w:r>
      <w:r w:rsidRPr="008E693E">
        <w:t xml:space="preserve"> means a licence issued under Part</w:t>
      </w:r>
      <w:r w:rsidR="008E693E" w:rsidRPr="008E693E">
        <w:t> </w:t>
      </w:r>
      <w:r w:rsidRPr="008E693E">
        <w:t xml:space="preserve">8 of the Code to </w:t>
      </w:r>
      <w:r w:rsidR="00722AED" w:rsidRPr="008E693E">
        <w:t xml:space="preserve">carry out </w:t>
      </w:r>
      <w:r w:rsidR="00FA2877" w:rsidRPr="008E693E">
        <w:t xml:space="preserve">only </w:t>
      </w:r>
      <w:r w:rsidR="00BC5391" w:rsidRPr="008E693E">
        <w:t xml:space="preserve">one or more of the </w:t>
      </w:r>
      <w:r w:rsidR="00722AED" w:rsidRPr="008E693E">
        <w:t>following steps in the manufacture of</w:t>
      </w:r>
      <w:r w:rsidRPr="008E693E">
        <w:t xml:space="preserve"> a v</w:t>
      </w:r>
      <w:r w:rsidR="0033579B" w:rsidRPr="008E693E">
        <w:t>eterinary chemical product</w:t>
      </w:r>
      <w:r w:rsidR="00722AED" w:rsidRPr="008E693E">
        <w:t>:</w:t>
      </w:r>
    </w:p>
    <w:p w:rsidR="00722AED" w:rsidRPr="008E693E" w:rsidRDefault="00722AED" w:rsidP="00722AED">
      <w:pPr>
        <w:pStyle w:val="paragraph"/>
      </w:pPr>
      <w:r w:rsidRPr="008E693E">
        <w:tab/>
        <w:t>(a)</w:t>
      </w:r>
      <w:r w:rsidRPr="008E693E">
        <w:tab/>
      </w:r>
      <w:r w:rsidR="00EB2805" w:rsidRPr="008E693E">
        <w:t>processing</w:t>
      </w:r>
      <w:r w:rsidRPr="008E693E">
        <w:t>;</w:t>
      </w:r>
    </w:p>
    <w:p w:rsidR="00722AED" w:rsidRPr="008E693E" w:rsidRDefault="00722AED" w:rsidP="00722AED">
      <w:pPr>
        <w:pStyle w:val="paragraph"/>
      </w:pPr>
      <w:r w:rsidRPr="008E693E">
        <w:lastRenderedPageBreak/>
        <w:tab/>
        <w:t>(b)</w:t>
      </w:r>
      <w:r w:rsidRPr="008E693E">
        <w:tab/>
      </w:r>
      <w:r w:rsidR="00EB2805" w:rsidRPr="008E693E">
        <w:t>assembling</w:t>
      </w:r>
      <w:r w:rsidRPr="008E693E">
        <w:t>;</w:t>
      </w:r>
    </w:p>
    <w:p w:rsidR="00722AED" w:rsidRPr="008E693E" w:rsidRDefault="00722AED" w:rsidP="00722AED">
      <w:pPr>
        <w:pStyle w:val="paragraph"/>
      </w:pPr>
      <w:r w:rsidRPr="008E693E">
        <w:tab/>
        <w:t>(c)</w:t>
      </w:r>
      <w:r w:rsidRPr="008E693E">
        <w:tab/>
      </w:r>
      <w:r w:rsidR="00EB2805" w:rsidRPr="008E693E">
        <w:t>packaging</w:t>
      </w:r>
      <w:r w:rsidRPr="008E693E">
        <w:t>;</w:t>
      </w:r>
    </w:p>
    <w:p w:rsidR="00722AED" w:rsidRPr="008E693E" w:rsidRDefault="00722AED" w:rsidP="00722AED">
      <w:pPr>
        <w:pStyle w:val="paragraph"/>
      </w:pPr>
      <w:r w:rsidRPr="008E693E">
        <w:tab/>
        <w:t>(d)</w:t>
      </w:r>
      <w:r w:rsidRPr="008E693E">
        <w:tab/>
      </w:r>
      <w:r w:rsidR="00EB2805" w:rsidRPr="008E693E">
        <w:t>labelling</w:t>
      </w:r>
      <w:r w:rsidRPr="008E693E">
        <w:t>;</w:t>
      </w:r>
    </w:p>
    <w:p w:rsidR="00722AED" w:rsidRPr="008E693E" w:rsidRDefault="00722AED" w:rsidP="00722AED">
      <w:pPr>
        <w:pStyle w:val="paragraph"/>
      </w:pPr>
      <w:r w:rsidRPr="008E693E">
        <w:tab/>
        <w:t>(e)</w:t>
      </w:r>
      <w:r w:rsidRPr="008E693E">
        <w:tab/>
      </w:r>
      <w:r w:rsidR="00EB2805" w:rsidRPr="008E693E">
        <w:t>storage</w:t>
      </w:r>
      <w:r w:rsidRPr="008E693E">
        <w:t>;</w:t>
      </w:r>
    </w:p>
    <w:p w:rsidR="00722AED" w:rsidRPr="008E693E" w:rsidRDefault="00722AED" w:rsidP="00722AED">
      <w:pPr>
        <w:pStyle w:val="paragraph"/>
      </w:pPr>
      <w:r w:rsidRPr="008E693E">
        <w:tab/>
        <w:t>(f)</w:t>
      </w:r>
      <w:r w:rsidRPr="008E693E">
        <w:tab/>
      </w:r>
      <w:r w:rsidR="00EB2805" w:rsidRPr="008E693E">
        <w:t>sterilising</w:t>
      </w:r>
      <w:r w:rsidRPr="008E693E">
        <w:t>;</w:t>
      </w:r>
    </w:p>
    <w:p w:rsidR="00722AED" w:rsidRPr="008E693E" w:rsidRDefault="00722AED" w:rsidP="00722AED">
      <w:pPr>
        <w:pStyle w:val="paragraph"/>
      </w:pPr>
      <w:r w:rsidRPr="008E693E">
        <w:tab/>
        <w:t>(g)</w:t>
      </w:r>
      <w:r w:rsidRPr="008E693E">
        <w:tab/>
      </w:r>
      <w:r w:rsidR="00EB2805" w:rsidRPr="008E693E">
        <w:t>testing</w:t>
      </w:r>
      <w:r w:rsidRPr="008E693E">
        <w:t>;</w:t>
      </w:r>
    </w:p>
    <w:p w:rsidR="00EB10F1" w:rsidRPr="008E693E" w:rsidRDefault="00722AED" w:rsidP="00722AED">
      <w:pPr>
        <w:pStyle w:val="paragraph"/>
      </w:pPr>
      <w:r w:rsidRPr="008E693E">
        <w:tab/>
        <w:t>(h)</w:t>
      </w:r>
      <w:r w:rsidRPr="008E693E">
        <w:tab/>
      </w:r>
      <w:r w:rsidR="00EB2805" w:rsidRPr="008E693E">
        <w:t>releasing for supply</w:t>
      </w:r>
      <w:r w:rsidR="00EB10F1" w:rsidRPr="008E693E">
        <w:t>.</w:t>
      </w:r>
    </w:p>
    <w:p w:rsidR="00816410" w:rsidRPr="008E693E" w:rsidRDefault="006A30BE" w:rsidP="006A30BE">
      <w:pPr>
        <w:pStyle w:val="Definition"/>
      </w:pPr>
      <w:r w:rsidRPr="008E693E">
        <w:rPr>
          <w:b/>
          <w:i/>
        </w:rPr>
        <w:t>multi</w:t>
      </w:r>
      <w:r w:rsidR="008E693E">
        <w:rPr>
          <w:b/>
          <w:i/>
        </w:rPr>
        <w:noBreakHyphen/>
      </w:r>
      <w:r w:rsidRPr="008E693E">
        <w:rPr>
          <w:b/>
          <w:i/>
        </w:rPr>
        <w:t>category licence</w:t>
      </w:r>
      <w:r w:rsidRPr="008E693E">
        <w:t xml:space="preserve"> means a licence issued under Part</w:t>
      </w:r>
      <w:r w:rsidR="008E693E" w:rsidRPr="008E693E">
        <w:t> </w:t>
      </w:r>
      <w:r w:rsidRPr="008E693E">
        <w:t xml:space="preserve">8 of the Code to </w:t>
      </w:r>
      <w:r w:rsidR="00752FDE" w:rsidRPr="008E693E">
        <w:t xml:space="preserve">carry out steps in the </w:t>
      </w:r>
      <w:r w:rsidRPr="008E693E">
        <w:t xml:space="preserve">manufacture </w:t>
      </w:r>
      <w:r w:rsidR="00752FDE" w:rsidRPr="008E693E">
        <w:t xml:space="preserve">of a </w:t>
      </w:r>
      <w:r w:rsidR="00907DCA" w:rsidRPr="008E693E">
        <w:t xml:space="preserve">veterinary </w:t>
      </w:r>
      <w:r w:rsidR="00BC5391" w:rsidRPr="008E693E">
        <w:t>chemical product</w:t>
      </w:r>
      <w:r w:rsidR="00816410" w:rsidRPr="008E693E">
        <w:t xml:space="preserve"> mentioned in </w:t>
      </w:r>
      <w:r w:rsidR="00D673AB" w:rsidRPr="008E693E">
        <w:t>the</w:t>
      </w:r>
      <w:r w:rsidR="00816410" w:rsidRPr="008E693E">
        <w:t xml:space="preserve"> definition of one of the following terms:</w:t>
      </w:r>
    </w:p>
    <w:p w:rsidR="00816410" w:rsidRPr="008E693E" w:rsidRDefault="00816410" w:rsidP="00816410">
      <w:pPr>
        <w:pStyle w:val="paragraph"/>
      </w:pPr>
      <w:r w:rsidRPr="008E693E">
        <w:tab/>
        <w:t>(</w:t>
      </w:r>
      <w:r w:rsidR="00F02AC3" w:rsidRPr="008E693E">
        <w:t>a</w:t>
      </w:r>
      <w:r w:rsidRPr="008E693E">
        <w:t>)</w:t>
      </w:r>
      <w:r w:rsidRPr="008E693E">
        <w:tab/>
      </w:r>
      <w:r w:rsidR="006A30BE" w:rsidRPr="008E693E">
        <w:t>category 2 licence</w:t>
      </w:r>
      <w:r w:rsidRPr="008E693E">
        <w:t>;</w:t>
      </w:r>
    </w:p>
    <w:p w:rsidR="00816410" w:rsidRPr="008E693E" w:rsidRDefault="00816410" w:rsidP="00816410">
      <w:pPr>
        <w:pStyle w:val="paragraph"/>
      </w:pPr>
      <w:r w:rsidRPr="008E693E">
        <w:tab/>
        <w:t>(</w:t>
      </w:r>
      <w:r w:rsidR="00F02AC3" w:rsidRPr="008E693E">
        <w:t>b</w:t>
      </w:r>
      <w:r w:rsidRPr="008E693E">
        <w:t>)</w:t>
      </w:r>
      <w:r w:rsidRPr="008E693E">
        <w:tab/>
      </w:r>
      <w:r w:rsidR="006A30BE" w:rsidRPr="008E693E">
        <w:t>category 3 licence</w:t>
      </w:r>
      <w:r w:rsidRPr="008E693E">
        <w:t>;</w:t>
      </w:r>
    </w:p>
    <w:p w:rsidR="006A30BE" w:rsidRPr="008E693E" w:rsidRDefault="00816410" w:rsidP="00816410">
      <w:pPr>
        <w:pStyle w:val="paragraph"/>
      </w:pPr>
      <w:r w:rsidRPr="008E693E">
        <w:tab/>
        <w:t>(</w:t>
      </w:r>
      <w:r w:rsidR="00F02AC3" w:rsidRPr="008E693E">
        <w:t>c</w:t>
      </w:r>
      <w:r w:rsidRPr="008E693E">
        <w:t>)</w:t>
      </w:r>
      <w:r w:rsidRPr="008E693E">
        <w:tab/>
      </w:r>
      <w:r w:rsidR="006A30BE" w:rsidRPr="008E693E">
        <w:t>category 4 licence</w:t>
      </w:r>
      <w:r w:rsidRPr="008E693E">
        <w:t>;</w:t>
      </w:r>
    </w:p>
    <w:p w:rsidR="00816410" w:rsidRPr="008E693E" w:rsidRDefault="00816410" w:rsidP="00816410">
      <w:pPr>
        <w:pStyle w:val="subsection2"/>
      </w:pPr>
      <w:r w:rsidRPr="008E693E">
        <w:t xml:space="preserve">at the </w:t>
      </w:r>
      <w:r w:rsidR="0035110D" w:rsidRPr="008E693E">
        <w:t xml:space="preserve">same </w:t>
      </w:r>
      <w:r w:rsidRPr="008E693E">
        <w:t xml:space="preserve">premises </w:t>
      </w:r>
      <w:r w:rsidR="0035110D" w:rsidRPr="008E693E">
        <w:t>as are used to carry out steps in the manufacture of veterinary chemical products</w:t>
      </w:r>
      <w:r w:rsidRPr="008E693E">
        <w:t xml:space="preserve"> mentioned in the definition of </w:t>
      </w:r>
      <w:r w:rsidR="00A52BD8" w:rsidRPr="008E693E">
        <w:t>at least one other o</w:t>
      </w:r>
      <w:r w:rsidRPr="008E693E">
        <w:t>f those terms.</w:t>
      </w:r>
    </w:p>
    <w:p w:rsidR="00A376FA" w:rsidRPr="008E693E" w:rsidRDefault="000D0C5E" w:rsidP="00816410">
      <w:pPr>
        <w:pStyle w:val="ItemHead"/>
      </w:pPr>
      <w:r w:rsidRPr="008E693E">
        <w:t>7</w:t>
      </w:r>
      <w:r w:rsidR="00A376FA" w:rsidRPr="008E693E">
        <w:t xml:space="preserve">  Regulation</w:t>
      </w:r>
      <w:r w:rsidR="008E693E" w:rsidRPr="008E693E">
        <w:t> </w:t>
      </w:r>
      <w:r w:rsidR="00A376FA" w:rsidRPr="008E693E">
        <w:t>5</w:t>
      </w:r>
    </w:p>
    <w:p w:rsidR="00A376FA" w:rsidRPr="008E693E" w:rsidRDefault="00A376FA" w:rsidP="00A376FA">
      <w:pPr>
        <w:pStyle w:val="Item"/>
      </w:pPr>
      <w:r w:rsidRPr="008E693E">
        <w:t>Repeal the regulation.</w:t>
      </w:r>
    </w:p>
    <w:p w:rsidR="0033579B" w:rsidRPr="008E693E" w:rsidRDefault="000D0C5E" w:rsidP="0033579B">
      <w:pPr>
        <w:pStyle w:val="ItemHead"/>
      </w:pPr>
      <w:r w:rsidRPr="008E693E">
        <w:t>8</w:t>
      </w:r>
      <w:r w:rsidR="0033579B" w:rsidRPr="008E693E">
        <w:t xml:space="preserve">  </w:t>
      </w:r>
      <w:r w:rsidR="00731748" w:rsidRPr="008E693E">
        <w:t xml:space="preserve">At the end of </w:t>
      </w:r>
      <w:r w:rsidR="0033579B" w:rsidRPr="008E693E">
        <w:t>Subdivision</w:t>
      </w:r>
      <w:r w:rsidR="008E693E" w:rsidRPr="008E693E">
        <w:t> </w:t>
      </w:r>
      <w:r w:rsidR="0033579B" w:rsidRPr="008E693E">
        <w:t>2.1.2</w:t>
      </w:r>
    </w:p>
    <w:p w:rsidR="0033579B" w:rsidRPr="008E693E" w:rsidRDefault="00731748" w:rsidP="0033579B">
      <w:pPr>
        <w:pStyle w:val="Item"/>
      </w:pPr>
      <w:r w:rsidRPr="008E693E">
        <w:t>Add:</w:t>
      </w:r>
    </w:p>
    <w:p w:rsidR="001D4ABA" w:rsidRPr="008E693E" w:rsidRDefault="001D4ABA" w:rsidP="001D4ABA">
      <w:pPr>
        <w:pStyle w:val="ActHead5"/>
      </w:pPr>
      <w:bookmarkStart w:id="14" w:name="_Toc358111232"/>
      <w:r w:rsidRPr="008E693E">
        <w:rPr>
          <w:rStyle w:val="CharSectno"/>
        </w:rPr>
        <w:t>14A</w:t>
      </w:r>
      <w:r w:rsidRPr="008E693E">
        <w:t xml:space="preserve">  Assessment of chemical products manufactured outside Australia</w:t>
      </w:r>
      <w:bookmarkEnd w:id="14"/>
    </w:p>
    <w:p w:rsidR="001D4ABA" w:rsidRPr="008E693E" w:rsidRDefault="001D4ABA" w:rsidP="001D4ABA">
      <w:pPr>
        <w:pStyle w:val="subsection"/>
      </w:pPr>
      <w:r w:rsidRPr="008E693E">
        <w:tab/>
        <w:t>(1)</w:t>
      </w:r>
      <w:r w:rsidRPr="008E693E">
        <w:tab/>
        <w:t>Subregulation (2)</w:t>
      </w:r>
      <w:r w:rsidR="009B1E9E" w:rsidRPr="008E693E">
        <w:t xml:space="preserve"> applies</w:t>
      </w:r>
      <w:r w:rsidRPr="008E693E">
        <w:t xml:space="preserve"> if:</w:t>
      </w:r>
    </w:p>
    <w:p w:rsidR="001D4ABA" w:rsidRPr="008E693E" w:rsidRDefault="001D4ABA" w:rsidP="001D4ABA">
      <w:pPr>
        <w:pStyle w:val="paragraph"/>
      </w:pPr>
      <w:r w:rsidRPr="008E693E">
        <w:tab/>
        <w:t>(a)</w:t>
      </w:r>
      <w:r w:rsidRPr="008E693E">
        <w:tab/>
        <w:t>a step in the manufacture of a chemical product occurs outside Australia; and</w:t>
      </w:r>
    </w:p>
    <w:p w:rsidR="001D4ABA" w:rsidRPr="008E693E" w:rsidRDefault="001D4ABA" w:rsidP="001D4ABA">
      <w:pPr>
        <w:pStyle w:val="paragraph"/>
      </w:pPr>
      <w:r w:rsidRPr="008E693E">
        <w:tab/>
        <w:t>(b)</w:t>
      </w:r>
      <w:r w:rsidRPr="008E693E">
        <w:tab/>
        <w:t>the product is not an exempt product within the meaning given by regulation</w:t>
      </w:r>
      <w:r w:rsidR="008E693E" w:rsidRPr="008E693E">
        <w:t> </w:t>
      </w:r>
      <w:r w:rsidRPr="008E693E">
        <w:t>59; and</w:t>
      </w:r>
    </w:p>
    <w:p w:rsidR="001D4ABA" w:rsidRPr="008E693E" w:rsidRDefault="001D4ABA" w:rsidP="001D4ABA">
      <w:pPr>
        <w:pStyle w:val="paragraph"/>
      </w:pPr>
      <w:r w:rsidRPr="008E693E">
        <w:tab/>
        <w:t>(c)</w:t>
      </w:r>
      <w:r w:rsidRPr="008E693E">
        <w:tab/>
        <w:t>the product is not a listable chemical product; and</w:t>
      </w:r>
    </w:p>
    <w:p w:rsidR="001D4ABA" w:rsidRPr="008E693E" w:rsidRDefault="001D4ABA" w:rsidP="001D4ABA">
      <w:pPr>
        <w:pStyle w:val="paragraph"/>
      </w:pPr>
      <w:r w:rsidRPr="008E693E">
        <w:tab/>
        <w:t>(d)</w:t>
      </w:r>
      <w:r w:rsidRPr="008E693E">
        <w:tab/>
        <w:t>the product is not a reserved chemical product.</w:t>
      </w:r>
    </w:p>
    <w:p w:rsidR="001D4ABA" w:rsidRPr="008E693E" w:rsidRDefault="001D4ABA" w:rsidP="001D4ABA">
      <w:pPr>
        <w:pStyle w:val="subsection"/>
      </w:pPr>
      <w:r w:rsidRPr="008E693E">
        <w:tab/>
        <w:t>(2)</w:t>
      </w:r>
      <w:r w:rsidRPr="008E693E">
        <w:tab/>
        <w:t>For paragraph</w:t>
      </w:r>
      <w:r w:rsidR="008E693E" w:rsidRPr="008E693E">
        <w:t> </w:t>
      </w:r>
      <w:r w:rsidRPr="008E693E">
        <w:t>14(5)(i) of the Code, a prescribed matter is whether th</w:t>
      </w:r>
      <w:r w:rsidR="00F46948" w:rsidRPr="008E693E">
        <w:t>e</w:t>
      </w:r>
      <w:r w:rsidRPr="008E693E">
        <w:t xml:space="preserve"> step complies with a standard that the APVMA has determined </w:t>
      </w:r>
      <w:r w:rsidRPr="008E693E">
        <w:lastRenderedPageBreak/>
        <w:t xml:space="preserve">is comparable to </w:t>
      </w:r>
      <w:r w:rsidR="00526A81" w:rsidRPr="008E693E">
        <w:t xml:space="preserve">the </w:t>
      </w:r>
      <w:r w:rsidRPr="008E693E">
        <w:t>manufacturing principles and the Australian GMP Code.</w:t>
      </w:r>
    </w:p>
    <w:p w:rsidR="001D4ABA" w:rsidRPr="008E693E" w:rsidRDefault="001D4ABA" w:rsidP="001D4ABA">
      <w:pPr>
        <w:pStyle w:val="notetext"/>
      </w:pPr>
      <w:r w:rsidRPr="008E693E">
        <w:t>Note:</w:t>
      </w:r>
      <w:r w:rsidRPr="008E693E">
        <w:tab/>
        <w:t>Under paragraph</w:t>
      </w:r>
      <w:r w:rsidR="008E693E" w:rsidRPr="008E693E">
        <w:t> </w:t>
      </w:r>
      <w:r w:rsidRPr="008E693E">
        <w:t xml:space="preserve">14(5)(i) of the </w:t>
      </w:r>
      <w:r w:rsidR="00F46948" w:rsidRPr="008E693E">
        <w:t>Code</w:t>
      </w:r>
      <w:r w:rsidRPr="008E693E">
        <w:t>, the regulations may prescribe matters</w:t>
      </w:r>
      <w:r w:rsidR="00F02AC3" w:rsidRPr="008E693E">
        <w:t xml:space="preserve"> to </w:t>
      </w:r>
      <w:r w:rsidRPr="008E693E">
        <w:t>which the APVMA must have regard when deciding whether to register a chemical product.</w:t>
      </w:r>
    </w:p>
    <w:p w:rsidR="00441946" w:rsidRPr="008E693E" w:rsidRDefault="000D0C5E" w:rsidP="00441946">
      <w:pPr>
        <w:pStyle w:val="ItemHead"/>
        <w:rPr>
          <w:rFonts w:cs="Arial"/>
        </w:rPr>
      </w:pPr>
      <w:r w:rsidRPr="008E693E">
        <w:rPr>
          <w:rFonts w:cs="Arial"/>
        </w:rPr>
        <w:t>9</w:t>
      </w:r>
      <w:r w:rsidR="00441946" w:rsidRPr="008E693E">
        <w:rPr>
          <w:rFonts w:cs="Arial"/>
        </w:rPr>
        <w:t xml:space="preserve">  After regulation</w:t>
      </w:r>
      <w:r w:rsidR="008E693E" w:rsidRPr="008E693E">
        <w:rPr>
          <w:rFonts w:cs="Arial"/>
        </w:rPr>
        <w:t> </w:t>
      </w:r>
      <w:r w:rsidR="00441946" w:rsidRPr="008E693E">
        <w:rPr>
          <w:rFonts w:cs="Arial"/>
        </w:rPr>
        <w:t>59D</w:t>
      </w:r>
    </w:p>
    <w:p w:rsidR="00441946" w:rsidRPr="008E693E" w:rsidRDefault="00441946" w:rsidP="00441946">
      <w:pPr>
        <w:pStyle w:val="Item"/>
      </w:pPr>
      <w:r w:rsidRPr="008E693E">
        <w:t>Insert:</w:t>
      </w:r>
    </w:p>
    <w:p w:rsidR="00441946" w:rsidRPr="008E693E" w:rsidRDefault="00441946" w:rsidP="00441946">
      <w:pPr>
        <w:pStyle w:val="ActHead5"/>
      </w:pPr>
      <w:bookmarkStart w:id="15" w:name="_Toc358111233"/>
      <w:r w:rsidRPr="008E693E">
        <w:rPr>
          <w:rStyle w:val="CharSectno"/>
        </w:rPr>
        <w:t>59E</w:t>
      </w:r>
      <w:r w:rsidRPr="008E693E">
        <w:t xml:space="preserve">  Requirements for issue of licence</w:t>
      </w:r>
      <w:bookmarkEnd w:id="15"/>
    </w:p>
    <w:p w:rsidR="00441946" w:rsidRPr="008E693E" w:rsidRDefault="00441946" w:rsidP="00441946">
      <w:pPr>
        <w:pStyle w:val="subsection"/>
      </w:pPr>
      <w:r w:rsidRPr="008E693E">
        <w:tab/>
      </w:r>
      <w:r w:rsidRPr="008E693E">
        <w:tab/>
      </w:r>
      <w:r w:rsidR="00FC1B80" w:rsidRPr="008E693E">
        <w:t>I</w:t>
      </w:r>
      <w:r w:rsidRPr="008E693E">
        <w:t>t is a requirement for the issue of a licence that</w:t>
      </w:r>
      <w:r w:rsidR="00F02AC3" w:rsidRPr="008E693E">
        <w:t>, if directed to do so by the APVMA</w:t>
      </w:r>
      <w:r w:rsidR="005A5C18" w:rsidRPr="008E693E">
        <w:t xml:space="preserve"> CEO</w:t>
      </w:r>
      <w:r w:rsidR="00F02AC3" w:rsidRPr="008E693E">
        <w:t>,</w:t>
      </w:r>
      <w:r w:rsidRPr="008E693E">
        <w:t xml:space="preserve"> the applicant for the licence:</w:t>
      </w:r>
    </w:p>
    <w:p w:rsidR="00441946" w:rsidRPr="008E693E" w:rsidRDefault="00441946" w:rsidP="00441946">
      <w:pPr>
        <w:pStyle w:val="paragraph"/>
      </w:pPr>
      <w:r w:rsidRPr="008E693E">
        <w:tab/>
        <w:t>(a)</w:t>
      </w:r>
      <w:r w:rsidRPr="008E693E">
        <w:tab/>
        <w:t xml:space="preserve">undergoes an audit by an APVMA inspector, or </w:t>
      </w:r>
      <w:r w:rsidR="00F02AC3" w:rsidRPr="008E693E">
        <w:t>an</w:t>
      </w:r>
      <w:r w:rsidRPr="008E693E">
        <w:t>other person authorised in writing by the APVMA, of the facilities, equipment, systems, processes, procedures and personnel to be used in the manufacture of the chemical products; and</w:t>
      </w:r>
    </w:p>
    <w:p w:rsidR="00AE694B" w:rsidRPr="008E693E" w:rsidRDefault="00441946" w:rsidP="00BC5391">
      <w:pPr>
        <w:pStyle w:val="paragraph"/>
      </w:pPr>
      <w:r w:rsidRPr="008E693E">
        <w:tab/>
        <w:t>(b)</w:t>
      </w:r>
      <w:r w:rsidRPr="008E693E">
        <w:tab/>
        <w:t>demonstrates to the satisfaction of the APVMA that the applicant will comply with</w:t>
      </w:r>
      <w:r w:rsidR="00BC5391" w:rsidRPr="008E693E">
        <w:t xml:space="preserve"> the conditions to be imposed on the licence if the licence is issued.</w:t>
      </w:r>
    </w:p>
    <w:p w:rsidR="001E31F5" w:rsidRPr="008E693E" w:rsidRDefault="001E31F5" w:rsidP="00EF415D">
      <w:pPr>
        <w:pStyle w:val="ItemHead"/>
      </w:pPr>
      <w:r w:rsidRPr="008E693E">
        <w:t>1</w:t>
      </w:r>
      <w:r w:rsidR="000D0C5E" w:rsidRPr="008E693E">
        <w:t>0</w:t>
      </w:r>
      <w:r w:rsidRPr="008E693E">
        <w:t xml:space="preserve">  A</w:t>
      </w:r>
      <w:r w:rsidR="005A5C18" w:rsidRPr="008E693E">
        <w:t xml:space="preserve">t the end of </w:t>
      </w:r>
      <w:r w:rsidRPr="008E693E">
        <w:t>paragraph</w:t>
      </w:r>
      <w:r w:rsidR="008E693E" w:rsidRPr="008E693E">
        <w:t> </w:t>
      </w:r>
      <w:r w:rsidRPr="008E693E">
        <w:t>61(3)(d)</w:t>
      </w:r>
    </w:p>
    <w:p w:rsidR="001E31F5" w:rsidRPr="008E693E" w:rsidRDefault="005A5C18" w:rsidP="001E31F5">
      <w:pPr>
        <w:pStyle w:val="Item"/>
      </w:pPr>
      <w:r w:rsidRPr="008E693E">
        <w:t>Add</w:t>
      </w:r>
      <w:r w:rsidR="001E31F5" w:rsidRPr="008E693E">
        <w:t>:</w:t>
      </w:r>
    </w:p>
    <w:p w:rsidR="001E31F5" w:rsidRPr="008E693E" w:rsidRDefault="001E31F5" w:rsidP="001E31F5">
      <w:pPr>
        <w:pStyle w:val="paragraph"/>
      </w:pPr>
      <w:r w:rsidRPr="008E693E">
        <w:tab/>
        <w:t>;</w:t>
      </w:r>
      <w:r w:rsidR="009C48EA" w:rsidRPr="008E693E">
        <w:t xml:space="preserve"> </w:t>
      </w:r>
      <w:r w:rsidRPr="008E693E">
        <w:t>(e)</w:t>
      </w:r>
      <w:r w:rsidRPr="008E693E">
        <w:tab/>
        <w:t>any complaint or product failure in relation to the chemical products, and the investigations and actions undertaken in relation to the complaint or product failure.</w:t>
      </w:r>
    </w:p>
    <w:p w:rsidR="001E31F5" w:rsidRPr="008E693E" w:rsidRDefault="001E31F5" w:rsidP="001E31F5">
      <w:pPr>
        <w:pStyle w:val="ItemHead"/>
        <w:rPr>
          <w:rFonts w:cs="Arial"/>
        </w:rPr>
      </w:pPr>
      <w:r w:rsidRPr="008E693E">
        <w:rPr>
          <w:rFonts w:cs="Arial"/>
          <w:noProof/>
        </w:rPr>
        <w:t>1</w:t>
      </w:r>
      <w:r w:rsidR="000D0C5E" w:rsidRPr="008E693E">
        <w:rPr>
          <w:rFonts w:cs="Arial"/>
          <w:noProof/>
        </w:rPr>
        <w:t>1</w:t>
      </w:r>
      <w:r w:rsidRPr="008E693E">
        <w:rPr>
          <w:rFonts w:cs="Arial"/>
        </w:rPr>
        <w:t xml:space="preserve">  A</w:t>
      </w:r>
      <w:r w:rsidR="005A5C18" w:rsidRPr="008E693E">
        <w:rPr>
          <w:rFonts w:cs="Arial"/>
        </w:rPr>
        <w:t xml:space="preserve">fter </w:t>
      </w:r>
      <w:r w:rsidRPr="008E693E">
        <w:rPr>
          <w:rFonts w:cs="Arial"/>
        </w:rPr>
        <w:t>subregulation</w:t>
      </w:r>
      <w:r w:rsidR="008E693E" w:rsidRPr="008E693E">
        <w:rPr>
          <w:rFonts w:cs="Arial"/>
        </w:rPr>
        <w:t> </w:t>
      </w:r>
      <w:r w:rsidRPr="008E693E">
        <w:rPr>
          <w:rFonts w:cs="Arial"/>
        </w:rPr>
        <w:t>61(3)</w:t>
      </w:r>
    </w:p>
    <w:p w:rsidR="001E31F5" w:rsidRPr="008E693E" w:rsidRDefault="009C48EA" w:rsidP="001E31F5">
      <w:pPr>
        <w:pStyle w:val="Item"/>
      </w:pPr>
      <w:r w:rsidRPr="008E693E">
        <w:t>Insert</w:t>
      </w:r>
      <w:r w:rsidR="001E31F5" w:rsidRPr="008E693E">
        <w:t>:</w:t>
      </w:r>
    </w:p>
    <w:p w:rsidR="001E31F5" w:rsidRPr="008E693E" w:rsidRDefault="001E31F5" w:rsidP="001E31F5">
      <w:pPr>
        <w:pStyle w:val="subsection"/>
      </w:pPr>
      <w:r w:rsidRPr="008E693E">
        <w:tab/>
        <w:t>(3A)</w:t>
      </w:r>
      <w:r w:rsidRPr="008E693E">
        <w:tab/>
        <w:t>The holder of a licence must manufacture the chemical products in accordance with:</w:t>
      </w:r>
    </w:p>
    <w:p w:rsidR="001E31F5" w:rsidRPr="008E693E" w:rsidRDefault="001E31F5" w:rsidP="001E31F5">
      <w:pPr>
        <w:pStyle w:val="paragraph"/>
      </w:pPr>
      <w:r w:rsidRPr="008E693E">
        <w:tab/>
        <w:t>(a)</w:t>
      </w:r>
      <w:r w:rsidRPr="008E693E">
        <w:tab/>
        <w:t>the manufacturing principles; and</w:t>
      </w:r>
    </w:p>
    <w:p w:rsidR="00EF415D" w:rsidRPr="008E693E" w:rsidRDefault="001E31F5" w:rsidP="008B4C59">
      <w:pPr>
        <w:pStyle w:val="paragraph"/>
      </w:pPr>
      <w:r w:rsidRPr="008E693E">
        <w:tab/>
        <w:t>(b)</w:t>
      </w:r>
      <w:r w:rsidRPr="008E693E">
        <w:tab/>
        <w:t>the Australian GMP Code</w:t>
      </w:r>
      <w:r w:rsidR="008B4C59" w:rsidRPr="008E693E">
        <w:t>.</w:t>
      </w:r>
    </w:p>
    <w:p w:rsidR="001E31F5" w:rsidRPr="008E693E" w:rsidRDefault="001E31F5" w:rsidP="00EF415D">
      <w:pPr>
        <w:pStyle w:val="ItemHead"/>
      </w:pPr>
      <w:r w:rsidRPr="008E693E">
        <w:t>1</w:t>
      </w:r>
      <w:r w:rsidR="000D0C5E" w:rsidRPr="008E693E">
        <w:t>2</w:t>
      </w:r>
      <w:r w:rsidRPr="008E693E">
        <w:t xml:space="preserve">  After subregulation</w:t>
      </w:r>
      <w:r w:rsidR="008E693E" w:rsidRPr="008E693E">
        <w:t> </w:t>
      </w:r>
      <w:r w:rsidRPr="008E693E">
        <w:t>61(7)</w:t>
      </w:r>
    </w:p>
    <w:p w:rsidR="001E31F5" w:rsidRPr="008E693E" w:rsidRDefault="001E31F5" w:rsidP="001E31F5">
      <w:pPr>
        <w:pStyle w:val="Item"/>
      </w:pPr>
      <w:r w:rsidRPr="008E693E">
        <w:t>Insert:</w:t>
      </w:r>
    </w:p>
    <w:p w:rsidR="001E31F5" w:rsidRPr="008E693E" w:rsidRDefault="001E31F5" w:rsidP="001E31F5">
      <w:pPr>
        <w:pStyle w:val="subsection"/>
      </w:pPr>
      <w:r w:rsidRPr="008E693E">
        <w:lastRenderedPageBreak/>
        <w:tab/>
        <w:t>(7A)</w:t>
      </w:r>
      <w:r w:rsidRPr="008E693E">
        <w:tab/>
        <w:t>The holder of a licence may sub</w:t>
      </w:r>
      <w:r w:rsidR="008E693E">
        <w:noBreakHyphen/>
      </w:r>
      <w:r w:rsidRPr="008E693E">
        <w:t>contract the manufacture of the chemical products only to:</w:t>
      </w:r>
    </w:p>
    <w:p w:rsidR="001E31F5" w:rsidRPr="008E693E" w:rsidRDefault="001E31F5" w:rsidP="001E31F5">
      <w:pPr>
        <w:pStyle w:val="paragraph"/>
      </w:pPr>
      <w:r w:rsidRPr="008E693E">
        <w:tab/>
        <w:t>(a)</w:t>
      </w:r>
      <w:r w:rsidRPr="008E693E">
        <w:tab/>
        <w:t xml:space="preserve">a manufacturer, or laboratory, licensed by the APVMA to </w:t>
      </w:r>
      <w:r w:rsidR="00EF415D" w:rsidRPr="008E693E">
        <w:t xml:space="preserve">perform a step in the </w:t>
      </w:r>
      <w:r w:rsidRPr="008E693E">
        <w:t>manufacture</w:t>
      </w:r>
      <w:r w:rsidR="00526A81" w:rsidRPr="008E693E">
        <w:t xml:space="preserve"> of</w:t>
      </w:r>
      <w:r w:rsidRPr="008E693E">
        <w:t xml:space="preserve"> the chemical products; or</w:t>
      </w:r>
    </w:p>
    <w:p w:rsidR="001E31F5" w:rsidRPr="008E693E" w:rsidRDefault="001E31F5" w:rsidP="001E31F5">
      <w:pPr>
        <w:pStyle w:val="paragraph"/>
      </w:pPr>
      <w:r w:rsidRPr="008E693E">
        <w:tab/>
        <w:t>(b)</w:t>
      </w:r>
      <w:r w:rsidRPr="008E693E">
        <w:tab/>
        <w:t>a manufacturer or laboratory located outside Australia that the APVMA has determined complies with a standard of manufacture comparable to the manufacturing principles and the Australian GMP Code.</w:t>
      </w:r>
    </w:p>
    <w:p w:rsidR="001C6790" w:rsidRPr="008E693E" w:rsidRDefault="001C6790" w:rsidP="001C6790">
      <w:pPr>
        <w:pStyle w:val="ItemHead"/>
        <w:rPr>
          <w:rFonts w:cs="Arial"/>
        </w:rPr>
      </w:pPr>
      <w:r w:rsidRPr="008E693E">
        <w:rPr>
          <w:rFonts w:cs="Arial"/>
        </w:rPr>
        <w:t>1</w:t>
      </w:r>
      <w:r w:rsidR="000D0C5E" w:rsidRPr="008E693E">
        <w:rPr>
          <w:rFonts w:cs="Arial"/>
        </w:rPr>
        <w:t>3</w:t>
      </w:r>
      <w:r w:rsidRPr="008E693E">
        <w:rPr>
          <w:rFonts w:cs="Arial"/>
        </w:rPr>
        <w:t xml:space="preserve">  Subregulation</w:t>
      </w:r>
      <w:r w:rsidR="008E693E" w:rsidRPr="008E693E">
        <w:rPr>
          <w:rFonts w:cs="Arial"/>
        </w:rPr>
        <w:t> </w:t>
      </w:r>
      <w:r w:rsidRPr="008E693E">
        <w:rPr>
          <w:rFonts w:cs="Arial"/>
        </w:rPr>
        <w:t>61(8)</w:t>
      </w:r>
    </w:p>
    <w:p w:rsidR="001C6790" w:rsidRPr="008E693E" w:rsidRDefault="001C6790" w:rsidP="001C6790">
      <w:pPr>
        <w:pStyle w:val="Item"/>
      </w:pPr>
      <w:r w:rsidRPr="008E693E">
        <w:t>Repeal the subregulation, substitute:</w:t>
      </w:r>
    </w:p>
    <w:p w:rsidR="001C6790" w:rsidRPr="008E693E" w:rsidRDefault="001C6790" w:rsidP="001C6790">
      <w:pPr>
        <w:pStyle w:val="subsection"/>
      </w:pPr>
      <w:r w:rsidRPr="008E693E">
        <w:tab/>
        <w:t>(8)</w:t>
      </w:r>
      <w:r w:rsidRPr="008E693E">
        <w:tab/>
        <w:t>If directed by the APVMA</w:t>
      </w:r>
      <w:r w:rsidR="005A5C18" w:rsidRPr="008E693E">
        <w:t xml:space="preserve"> CEO</w:t>
      </w:r>
      <w:r w:rsidRPr="008E693E">
        <w:t>, the holder of a licence must:</w:t>
      </w:r>
    </w:p>
    <w:p w:rsidR="001C6790" w:rsidRPr="008E693E" w:rsidRDefault="001C6790" w:rsidP="001C6790">
      <w:pPr>
        <w:pStyle w:val="paragraph"/>
      </w:pPr>
      <w:r w:rsidRPr="008E693E">
        <w:tab/>
        <w:t>(a)</w:t>
      </w:r>
      <w:r w:rsidRPr="008E693E">
        <w:tab/>
        <w:t xml:space="preserve">undergo an audit by an APVMA inspector, or </w:t>
      </w:r>
      <w:r w:rsidR="005A5C18" w:rsidRPr="008E693E">
        <w:t>an</w:t>
      </w:r>
      <w:r w:rsidRPr="008E693E">
        <w:t>other person authorised in writing by the APVMA</w:t>
      </w:r>
      <w:r w:rsidR="005A5C18" w:rsidRPr="008E693E">
        <w:t xml:space="preserve"> (an </w:t>
      </w:r>
      <w:r w:rsidR="005A5C18" w:rsidRPr="008E693E">
        <w:rPr>
          <w:b/>
          <w:i/>
        </w:rPr>
        <w:t>auditor</w:t>
      </w:r>
      <w:r w:rsidR="005A5C18" w:rsidRPr="008E693E">
        <w:t>)</w:t>
      </w:r>
      <w:r w:rsidRPr="008E693E">
        <w:t>, of the facilities, equipment, systems, processes, procedures and personnel used in the manufacture of the chemical products</w:t>
      </w:r>
      <w:r w:rsidR="00A302E3" w:rsidRPr="008E693E">
        <w:t xml:space="preserve"> (a </w:t>
      </w:r>
      <w:r w:rsidR="00A302E3" w:rsidRPr="008E693E">
        <w:rPr>
          <w:b/>
          <w:i/>
        </w:rPr>
        <w:t>GMP audit</w:t>
      </w:r>
      <w:r w:rsidR="00A302E3" w:rsidRPr="008E693E">
        <w:t>)</w:t>
      </w:r>
      <w:r w:rsidRPr="008E693E">
        <w:t>; and</w:t>
      </w:r>
    </w:p>
    <w:p w:rsidR="00034586" w:rsidRPr="008E693E" w:rsidRDefault="001C6790" w:rsidP="00F42CFB">
      <w:pPr>
        <w:pStyle w:val="paragraph"/>
      </w:pPr>
      <w:r w:rsidRPr="008E693E">
        <w:tab/>
        <w:t>(b)</w:t>
      </w:r>
      <w:r w:rsidRPr="008E693E">
        <w:tab/>
        <w:t>demonstrate to the satisfaction of the APVMA that the holder</w:t>
      </w:r>
      <w:r w:rsidR="00034586" w:rsidRPr="008E693E">
        <w:t xml:space="preserve"> </w:t>
      </w:r>
      <w:r w:rsidR="00F42CFB" w:rsidRPr="008E693E">
        <w:t>is complying</w:t>
      </w:r>
      <w:r w:rsidRPr="008E693E">
        <w:t xml:space="preserve"> with</w:t>
      </w:r>
      <w:r w:rsidR="00EF415D" w:rsidRPr="008E693E">
        <w:t xml:space="preserve"> the </w:t>
      </w:r>
      <w:r w:rsidR="00AA6F0B" w:rsidRPr="008E693E">
        <w:t xml:space="preserve">following </w:t>
      </w:r>
      <w:r w:rsidR="00F42CFB" w:rsidRPr="008E693E">
        <w:t>conditions</w:t>
      </w:r>
      <w:r w:rsidR="001F7DB8" w:rsidRPr="008E693E">
        <w:t xml:space="preserve"> of the licence</w:t>
      </w:r>
      <w:r w:rsidR="00AA6F0B" w:rsidRPr="008E693E">
        <w:t>:</w:t>
      </w:r>
    </w:p>
    <w:p w:rsidR="00BC5391" w:rsidRPr="008E693E" w:rsidRDefault="00AA6F0B" w:rsidP="00AA6F0B">
      <w:pPr>
        <w:pStyle w:val="paragraphsub"/>
      </w:pPr>
      <w:r w:rsidRPr="008E693E">
        <w:tab/>
        <w:t>(i)</w:t>
      </w:r>
      <w:r w:rsidRPr="008E693E">
        <w:tab/>
      </w:r>
      <w:r w:rsidR="00BC5391" w:rsidRPr="008E693E">
        <w:t>any conditions imposed on the licence under subsections</w:t>
      </w:r>
      <w:r w:rsidR="008E693E" w:rsidRPr="008E693E">
        <w:t> </w:t>
      </w:r>
      <w:r w:rsidR="00BC5391" w:rsidRPr="008E693E">
        <w:t>126(1) and (2) of the Code</w:t>
      </w:r>
      <w:r w:rsidR="003A7B8B" w:rsidRPr="008E693E">
        <w:t>;</w:t>
      </w:r>
    </w:p>
    <w:p w:rsidR="003A7B8B" w:rsidRPr="008E693E" w:rsidRDefault="003A7B8B" w:rsidP="00AA6F0B">
      <w:pPr>
        <w:pStyle w:val="paragraphsub"/>
      </w:pPr>
      <w:r w:rsidRPr="008E693E">
        <w:tab/>
        <w:t>(ii)</w:t>
      </w:r>
      <w:r w:rsidRPr="008E693E">
        <w:tab/>
        <w:t>the condition mentioned in paragraph</w:t>
      </w:r>
      <w:r w:rsidR="008E693E" w:rsidRPr="008E693E">
        <w:t> </w:t>
      </w:r>
      <w:r w:rsidRPr="008E693E">
        <w:t>126(4)(a) of the Code, if the licence is subject to that condition;</w:t>
      </w:r>
    </w:p>
    <w:p w:rsidR="00AA6F0B" w:rsidRPr="008E693E" w:rsidRDefault="00BC5391" w:rsidP="006B2BCF">
      <w:pPr>
        <w:pStyle w:val="paragraphsub"/>
      </w:pPr>
      <w:r w:rsidRPr="008E693E">
        <w:tab/>
        <w:t>(i</w:t>
      </w:r>
      <w:r w:rsidR="003A7B8B" w:rsidRPr="008E693E">
        <w:t>i</w:t>
      </w:r>
      <w:r w:rsidRPr="008E693E">
        <w:t>i)</w:t>
      </w:r>
      <w:r w:rsidRPr="008E693E">
        <w:tab/>
      </w:r>
      <w:r w:rsidR="003A7B8B" w:rsidRPr="008E693E">
        <w:t xml:space="preserve">any of the </w:t>
      </w:r>
      <w:r w:rsidR="00AA6F0B" w:rsidRPr="008E693E">
        <w:t>conditions mentioned in subregulations (3) to (7A)</w:t>
      </w:r>
      <w:r w:rsidR="003A7B8B" w:rsidRPr="008E693E">
        <w:t xml:space="preserve"> to which the licence is subject.</w:t>
      </w:r>
    </w:p>
    <w:p w:rsidR="001C6790" w:rsidRPr="008E693E" w:rsidRDefault="001C6790" w:rsidP="00EF415D">
      <w:pPr>
        <w:pStyle w:val="subsection"/>
      </w:pPr>
      <w:r w:rsidRPr="008E693E">
        <w:tab/>
        <w:t>(8A)</w:t>
      </w:r>
      <w:r w:rsidRPr="008E693E">
        <w:tab/>
        <w:t xml:space="preserve">For the purposes of a GMP audit, the holder of </w:t>
      </w:r>
      <w:r w:rsidR="00417E86" w:rsidRPr="008E693E">
        <w:t>the</w:t>
      </w:r>
      <w:r w:rsidRPr="008E693E">
        <w:t xml:space="preserve"> licence:</w:t>
      </w:r>
    </w:p>
    <w:p w:rsidR="001C6790" w:rsidRPr="008E693E" w:rsidRDefault="001C6790" w:rsidP="001C6790">
      <w:pPr>
        <w:pStyle w:val="paragraph"/>
      </w:pPr>
      <w:r w:rsidRPr="008E693E">
        <w:tab/>
        <w:t>(a)</w:t>
      </w:r>
      <w:r w:rsidRPr="008E693E">
        <w:tab/>
        <w:t xml:space="preserve">must </w:t>
      </w:r>
      <w:r w:rsidR="00894A85" w:rsidRPr="008E693E">
        <w:t>give</w:t>
      </w:r>
      <w:r w:rsidRPr="008E693E">
        <w:t xml:space="preserve"> </w:t>
      </w:r>
      <w:r w:rsidR="005A5C18" w:rsidRPr="008E693E">
        <w:t>the auditor</w:t>
      </w:r>
      <w:r w:rsidRPr="008E693E">
        <w:t xml:space="preserve"> access to all facilities, equipment,</w:t>
      </w:r>
      <w:r w:rsidR="00541679" w:rsidRPr="008E693E">
        <w:t xml:space="preserve"> systems, processes, procedures</w:t>
      </w:r>
      <w:r w:rsidR="00B2516B" w:rsidRPr="008E693E">
        <w:t xml:space="preserve"> and</w:t>
      </w:r>
      <w:r w:rsidRPr="008E693E">
        <w:t xml:space="preserve"> personnel used in the manufacture of the chemical products, and any information relevant to the GMP audit; and</w:t>
      </w:r>
    </w:p>
    <w:p w:rsidR="001C6790" w:rsidRPr="008E693E" w:rsidRDefault="001C6790" w:rsidP="001C6790">
      <w:pPr>
        <w:pStyle w:val="paragraph"/>
      </w:pPr>
      <w:r w:rsidRPr="008E693E">
        <w:tab/>
        <w:t>(b)</w:t>
      </w:r>
      <w:r w:rsidRPr="008E693E">
        <w:tab/>
        <w:t xml:space="preserve">must not conceal or withhold relevant information from </w:t>
      </w:r>
      <w:r w:rsidR="005A5C18" w:rsidRPr="008E693E">
        <w:t>the auditor</w:t>
      </w:r>
      <w:r w:rsidRPr="008E693E">
        <w:t>.</w:t>
      </w:r>
    </w:p>
    <w:p w:rsidR="00BE2072" w:rsidRPr="008E693E" w:rsidRDefault="001C6790" w:rsidP="00034586">
      <w:pPr>
        <w:pStyle w:val="subsection"/>
      </w:pPr>
      <w:r w:rsidRPr="008E693E">
        <w:tab/>
        <w:t>(8B)</w:t>
      </w:r>
      <w:r w:rsidRPr="008E693E">
        <w:tab/>
        <w:t xml:space="preserve">If </w:t>
      </w:r>
      <w:r w:rsidR="00AC53B7" w:rsidRPr="008E693E">
        <w:t xml:space="preserve">the audit identifies </w:t>
      </w:r>
      <w:r w:rsidR="00417E86" w:rsidRPr="008E693E">
        <w:t xml:space="preserve">a </w:t>
      </w:r>
      <w:r w:rsidR="00AC53B7" w:rsidRPr="008E693E">
        <w:t>non</w:t>
      </w:r>
      <w:r w:rsidR="008E693E">
        <w:noBreakHyphen/>
      </w:r>
      <w:r w:rsidR="00AC53B7" w:rsidRPr="008E693E">
        <w:t>conformance</w:t>
      </w:r>
      <w:r w:rsidR="00417E86" w:rsidRPr="008E693E">
        <w:t xml:space="preserve"> by the holder of the licence</w:t>
      </w:r>
      <w:r w:rsidR="00AC53B7" w:rsidRPr="008E693E">
        <w:t xml:space="preserve"> that, in the</w:t>
      </w:r>
      <w:r w:rsidR="00027818" w:rsidRPr="008E693E">
        <w:t xml:space="preserve"> auditor’s</w:t>
      </w:r>
      <w:r w:rsidR="00AC53B7" w:rsidRPr="008E693E">
        <w:t xml:space="preserve"> opinion, is a critical non</w:t>
      </w:r>
      <w:r w:rsidR="008E693E">
        <w:noBreakHyphen/>
      </w:r>
      <w:r w:rsidRPr="008E693E">
        <w:t xml:space="preserve">conformance, the holder must notify the APVMA in writing of the critical </w:t>
      </w:r>
      <w:r w:rsidRPr="008E693E">
        <w:lastRenderedPageBreak/>
        <w:t>non</w:t>
      </w:r>
      <w:r w:rsidR="008E693E">
        <w:noBreakHyphen/>
      </w:r>
      <w:r w:rsidRPr="008E693E">
        <w:t xml:space="preserve">conformance within 3 working days of </w:t>
      </w:r>
      <w:r w:rsidR="00034586" w:rsidRPr="008E693E">
        <w:t xml:space="preserve">being told of the </w:t>
      </w:r>
      <w:r w:rsidR="00A52BD8" w:rsidRPr="008E693E">
        <w:t xml:space="preserve">critical </w:t>
      </w:r>
      <w:r w:rsidR="00034586" w:rsidRPr="008E693E">
        <w:t>non</w:t>
      </w:r>
      <w:r w:rsidR="008E693E">
        <w:noBreakHyphen/>
      </w:r>
      <w:r w:rsidR="00034586" w:rsidRPr="008E693E">
        <w:t>conformance by the auditor</w:t>
      </w:r>
      <w:r w:rsidRPr="008E693E">
        <w:t>.</w:t>
      </w:r>
    </w:p>
    <w:p w:rsidR="001C6790" w:rsidRPr="008E693E" w:rsidRDefault="001C6790" w:rsidP="001C6790">
      <w:pPr>
        <w:pStyle w:val="subsection"/>
      </w:pPr>
      <w:r w:rsidRPr="008E693E">
        <w:tab/>
        <w:t>(8C)</w:t>
      </w:r>
      <w:r w:rsidRPr="008E693E">
        <w:tab/>
        <w:t>Following a GMP audit of the holder of a licence, the holder must:</w:t>
      </w:r>
    </w:p>
    <w:p w:rsidR="001C6790" w:rsidRPr="008E693E" w:rsidRDefault="001C6790" w:rsidP="001C6790">
      <w:pPr>
        <w:pStyle w:val="paragraph"/>
      </w:pPr>
      <w:r w:rsidRPr="008E693E">
        <w:tab/>
        <w:t>(a)</w:t>
      </w:r>
      <w:r w:rsidRPr="008E693E">
        <w:tab/>
        <w:t xml:space="preserve">within the </w:t>
      </w:r>
      <w:r w:rsidR="001E31F5" w:rsidRPr="008E693E">
        <w:t>period</w:t>
      </w:r>
      <w:r w:rsidRPr="008E693E">
        <w:t xml:space="preserve"> determined by the APVMA, give to the APVMA:</w:t>
      </w:r>
    </w:p>
    <w:p w:rsidR="001C6790" w:rsidRPr="008E693E" w:rsidRDefault="001C6790" w:rsidP="001C6790">
      <w:pPr>
        <w:pStyle w:val="paragraphsub"/>
      </w:pPr>
      <w:r w:rsidRPr="008E693E">
        <w:tab/>
        <w:t>(i)</w:t>
      </w:r>
      <w:r w:rsidRPr="008E693E">
        <w:tab/>
        <w:t xml:space="preserve">the original audit report, signed by the auditor, and any associated audit </w:t>
      </w:r>
      <w:r w:rsidR="00034586" w:rsidRPr="008E693E">
        <w:t xml:space="preserve">report </w:t>
      </w:r>
      <w:r w:rsidRPr="008E693E">
        <w:t>supplements; and</w:t>
      </w:r>
    </w:p>
    <w:p w:rsidR="001C6790" w:rsidRPr="008E693E" w:rsidRDefault="001C6790" w:rsidP="001C6790">
      <w:pPr>
        <w:pStyle w:val="paragraphsub"/>
      </w:pPr>
      <w:r w:rsidRPr="008E693E">
        <w:tab/>
        <w:t>(ii)</w:t>
      </w:r>
      <w:r w:rsidRPr="008E693E">
        <w:tab/>
        <w:t xml:space="preserve">details of the corrective action the holder proposes </w:t>
      </w:r>
      <w:r w:rsidR="00894A85" w:rsidRPr="008E693E">
        <w:t>to take</w:t>
      </w:r>
      <w:r w:rsidRPr="008E693E">
        <w:t xml:space="preserve"> in relation to any non</w:t>
      </w:r>
      <w:r w:rsidR="008E693E">
        <w:noBreakHyphen/>
      </w:r>
      <w:r w:rsidRPr="008E693E">
        <w:t>conformance identified in the audit report; and</w:t>
      </w:r>
    </w:p>
    <w:p w:rsidR="001C6790" w:rsidRPr="008E693E" w:rsidRDefault="001C6790" w:rsidP="001C6790">
      <w:pPr>
        <w:pStyle w:val="paragraphsub"/>
      </w:pPr>
      <w:r w:rsidRPr="008E693E">
        <w:tab/>
        <w:t>(iii)</w:t>
      </w:r>
      <w:r w:rsidRPr="008E693E">
        <w:tab/>
        <w:t xml:space="preserve">a proposed </w:t>
      </w:r>
      <w:r w:rsidR="001E31F5" w:rsidRPr="008E693E">
        <w:t>period</w:t>
      </w:r>
      <w:r w:rsidRPr="008E693E">
        <w:t xml:space="preserve"> for taking the corrective action; and</w:t>
      </w:r>
    </w:p>
    <w:p w:rsidR="001C6790" w:rsidRPr="008E693E" w:rsidRDefault="001C6790" w:rsidP="001C6790">
      <w:pPr>
        <w:pStyle w:val="paragraph"/>
      </w:pPr>
      <w:r w:rsidRPr="008E693E">
        <w:tab/>
        <w:t>(b)</w:t>
      </w:r>
      <w:r w:rsidRPr="008E693E">
        <w:tab/>
        <w:t>implement the corrective action within the</w:t>
      </w:r>
      <w:r w:rsidR="001E31F5" w:rsidRPr="008E693E">
        <w:t xml:space="preserve"> period</w:t>
      </w:r>
      <w:r w:rsidRPr="008E693E">
        <w:t xml:space="preserve"> agreed to or specified by the APVMA; and</w:t>
      </w:r>
    </w:p>
    <w:p w:rsidR="001F7DB8" w:rsidRPr="008E693E" w:rsidRDefault="001C6790" w:rsidP="001F7DB8">
      <w:pPr>
        <w:pStyle w:val="paragraph"/>
      </w:pPr>
      <w:r w:rsidRPr="008E693E">
        <w:tab/>
        <w:t>(c)</w:t>
      </w:r>
      <w:r w:rsidRPr="008E693E">
        <w:tab/>
        <w:t xml:space="preserve">give to the APVMA evidence </w:t>
      </w:r>
      <w:r w:rsidR="004839C0" w:rsidRPr="008E693E">
        <w:t>demonstrating</w:t>
      </w:r>
      <w:r w:rsidRPr="008E693E">
        <w:t xml:space="preserve"> that </w:t>
      </w:r>
      <w:r w:rsidR="00034586" w:rsidRPr="008E693E">
        <w:t xml:space="preserve">the holder </w:t>
      </w:r>
      <w:r w:rsidR="001F7DB8" w:rsidRPr="008E693E">
        <w:t>is complying with the following conditions of the licence:</w:t>
      </w:r>
    </w:p>
    <w:p w:rsidR="003A7B8B" w:rsidRPr="008E693E" w:rsidRDefault="001F7DB8" w:rsidP="003A7B8B">
      <w:pPr>
        <w:pStyle w:val="paragraphsub"/>
      </w:pPr>
      <w:r w:rsidRPr="008E693E">
        <w:tab/>
      </w:r>
      <w:r w:rsidR="003A7B8B" w:rsidRPr="008E693E">
        <w:t>(i)</w:t>
      </w:r>
      <w:r w:rsidR="003A7B8B" w:rsidRPr="008E693E">
        <w:tab/>
        <w:t>any conditions imposed on the licence under subsections</w:t>
      </w:r>
      <w:r w:rsidR="008E693E" w:rsidRPr="008E693E">
        <w:t> </w:t>
      </w:r>
      <w:r w:rsidR="003A7B8B" w:rsidRPr="008E693E">
        <w:t>126(1) and (2) of the Code;</w:t>
      </w:r>
    </w:p>
    <w:p w:rsidR="003A7B8B" w:rsidRPr="008E693E" w:rsidRDefault="003A7B8B" w:rsidP="003A7B8B">
      <w:pPr>
        <w:pStyle w:val="paragraphsub"/>
      </w:pPr>
      <w:r w:rsidRPr="008E693E">
        <w:tab/>
        <w:t>(ii)</w:t>
      </w:r>
      <w:r w:rsidRPr="008E693E">
        <w:tab/>
        <w:t>the condition mentioned in paragraph</w:t>
      </w:r>
      <w:r w:rsidR="008E693E" w:rsidRPr="008E693E">
        <w:t> </w:t>
      </w:r>
      <w:r w:rsidRPr="008E693E">
        <w:t>126(4)(a) of the Code, if the licence is subject to that condition;</w:t>
      </w:r>
    </w:p>
    <w:p w:rsidR="00027818" w:rsidRPr="008E693E" w:rsidRDefault="003A7B8B" w:rsidP="003A7B8B">
      <w:pPr>
        <w:pStyle w:val="paragraphsub"/>
      </w:pPr>
      <w:r w:rsidRPr="008E693E">
        <w:tab/>
        <w:t>(iii)</w:t>
      </w:r>
      <w:r w:rsidRPr="008E693E">
        <w:tab/>
        <w:t>any of the conditions mentioned in subregulations (3) to (7A) to which the licence is subject.</w:t>
      </w:r>
    </w:p>
    <w:p w:rsidR="001C6790" w:rsidRPr="008E693E" w:rsidRDefault="000D0C5E" w:rsidP="00034586">
      <w:pPr>
        <w:pStyle w:val="ItemHead"/>
      </w:pPr>
      <w:r w:rsidRPr="008E693E">
        <w:t>14</w:t>
      </w:r>
      <w:r w:rsidR="001C6790" w:rsidRPr="008E693E">
        <w:t xml:space="preserve">  After regulation</w:t>
      </w:r>
      <w:r w:rsidR="008E693E" w:rsidRPr="008E693E">
        <w:t> </w:t>
      </w:r>
      <w:r w:rsidR="001C6790" w:rsidRPr="008E693E">
        <w:t>61</w:t>
      </w:r>
    </w:p>
    <w:p w:rsidR="001C6790" w:rsidRPr="008E693E" w:rsidRDefault="001C6790" w:rsidP="001C6790">
      <w:pPr>
        <w:pStyle w:val="Item"/>
      </w:pPr>
      <w:r w:rsidRPr="008E693E">
        <w:t>Insert:</w:t>
      </w:r>
    </w:p>
    <w:p w:rsidR="001C6790" w:rsidRPr="008E693E" w:rsidRDefault="001C6790" w:rsidP="001C6790">
      <w:pPr>
        <w:pStyle w:val="ActHead5"/>
      </w:pPr>
      <w:bookmarkStart w:id="16" w:name="_Toc358111234"/>
      <w:r w:rsidRPr="008E693E">
        <w:rPr>
          <w:rStyle w:val="CharSectno"/>
        </w:rPr>
        <w:t>61A</w:t>
      </w:r>
      <w:r w:rsidRPr="008E693E">
        <w:t xml:space="preserve">  Determination following GMP audit</w:t>
      </w:r>
      <w:bookmarkEnd w:id="16"/>
    </w:p>
    <w:p w:rsidR="001C6790" w:rsidRPr="008E693E" w:rsidRDefault="001C6790" w:rsidP="001C6790">
      <w:pPr>
        <w:pStyle w:val="subsection"/>
      </w:pPr>
      <w:r w:rsidRPr="008E693E">
        <w:tab/>
        <w:t>(1)</w:t>
      </w:r>
      <w:r w:rsidRPr="008E693E">
        <w:tab/>
        <w:t>For paragraph</w:t>
      </w:r>
      <w:r w:rsidR="008E693E" w:rsidRPr="008E693E">
        <w:t> </w:t>
      </w:r>
      <w:r w:rsidRPr="008E693E">
        <w:t>6(2)(c) of the Act, this regulation applies if the holder of a licence is directed by the APVMA</w:t>
      </w:r>
      <w:r w:rsidR="009B2E9B" w:rsidRPr="008E693E">
        <w:t xml:space="preserve"> CEO</w:t>
      </w:r>
      <w:r w:rsidRPr="008E693E">
        <w:t xml:space="preserve"> to undergo a GMP audit under subregulation</w:t>
      </w:r>
      <w:r w:rsidR="008E693E" w:rsidRPr="008E693E">
        <w:t> </w:t>
      </w:r>
      <w:r w:rsidRPr="008E693E">
        <w:t>61(8).</w:t>
      </w:r>
    </w:p>
    <w:p w:rsidR="001C6790" w:rsidRPr="008E693E" w:rsidRDefault="001C6790" w:rsidP="001C6790">
      <w:pPr>
        <w:pStyle w:val="subsection"/>
      </w:pPr>
      <w:r w:rsidRPr="008E693E">
        <w:tab/>
        <w:t>(2)</w:t>
      </w:r>
      <w:r w:rsidRPr="008E693E">
        <w:tab/>
        <w:t>On receipt of the information mentioned in subregulation</w:t>
      </w:r>
      <w:r w:rsidR="008E693E" w:rsidRPr="008E693E">
        <w:t> </w:t>
      </w:r>
      <w:r w:rsidRPr="008E693E">
        <w:t>61(8C), the APVMA must:</w:t>
      </w:r>
    </w:p>
    <w:p w:rsidR="001C6790" w:rsidRPr="008E693E" w:rsidRDefault="001C6790" w:rsidP="001C6790">
      <w:pPr>
        <w:pStyle w:val="paragraph"/>
      </w:pPr>
      <w:r w:rsidRPr="008E693E">
        <w:tab/>
        <w:t>(a)</w:t>
      </w:r>
      <w:r w:rsidRPr="008E693E">
        <w:tab/>
        <w:t>assess the information, having regard to</w:t>
      </w:r>
      <w:r w:rsidR="00862F2A" w:rsidRPr="008E693E">
        <w:t xml:space="preserve"> the following</w:t>
      </w:r>
      <w:r w:rsidRPr="008E693E">
        <w:t>:</w:t>
      </w:r>
    </w:p>
    <w:p w:rsidR="001C6790" w:rsidRPr="008E693E" w:rsidRDefault="001C6790" w:rsidP="001C6790">
      <w:pPr>
        <w:pStyle w:val="paragraphsub"/>
      </w:pPr>
      <w:r w:rsidRPr="008E693E">
        <w:t xml:space="preserve"> </w:t>
      </w:r>
      <w:r w:rsidRPr="008E693E">
        <w:tab/>
        <w:t>(i)</w:t>
      </w:r>
      <w:r w:rsidRPr="008E693E">
        <w:tab/>
        <w:t>whether the audit report identified any non</w:t>
      </w:r>
      <w:r w:rsidR="008E693E">
        <w:noBreakHyphen/>
      </w:r>
      <w:r w:rsidRPr="008E693E">
        <w:t>conformances;</w:t>
      </w:r>
    </w:p>
    <w:p w:rsidR="001C6790" w:rsidRPr="008E693E" w:rsidRDefault="001C6790" w:rsidP="001C6790">
      <w:pPr>
        <w:pStyle w:val="paragraphsub"/>
      </w:pPr>
      <w:r w:rsidRPr="008E693E">
        <w:tab/>
        <w:t>(ii)</w:t>
      </w:r>
      <w:r w:rsidRPr="008E693E">
        <w:tab/>
        <w:t>whether any non</w:t>
      </w:r>
      <w:r w:rsidR="008E693E">
        <w:noBreakHyphen/>
      </w:r>
      <w:r w:rsidRPr="008E693E">
        <w:t>conformances identified in the audit report have been rectified following corrective action;</w:t>
      </w:r>
    </w:p>
    <w:p w:rsidR="00862F2A" w:rsidRPr="008E693E" w:rsidRDefault="00862F2A" w:rsidP="001C6790">
      <w:pPr>
        <w:pStyle w:val="paragraphsub"/>
      </w:pPr>
      <w:r w:rsidRPr="008E693E">
        <w:lastRenderedPageBreak/>
        <w:tab/>
        <w:t>(iii)</w:t>
      </w:r>
      <w:r w:rsidRPr="008E693E">
        <w:tab/>
        <w:t>any other matters the APVMA considers relevant; and</w:t>
      </w:r>
    </w:p>
    <w:p w:rsidR="001F7DB8" w:rsidRPr="008E693E" w:rsidRDefault="001C6790" w:rsidP="001F7DB8">
      <w:pPr>
        <w:pStyle w:val="paragraph"/>
      </w:pPr>
      <w:r w:rsidRPr="008E693E">
        <w:tab/>
        <w:t>(b)</w:t>
      </w:r>
      <w:r w:rsidRPr="008E693E">
        <w:tab/>
        <w:t>determine whether the APVMA is satisfied that the holder</w:t>
      </w:r>
      <w:r w:rsidR="00F42CFB" w:rsidRPr="008E693E">
        <w:t xml:space="preserve"> </w:t>
      </w:r>
      <w:r w:rsidR="001F7DB8" w:rsidRPr="008E693E">
        <w:t>is complying with the following conditions of the licence:</w:t>
      </w:r>
    </w:p>
    <w:p w:rsidR="003A7B8B" w:rsidRPr="008E693E" w:rsidRDefault="001F7DB8" w:rsidP="003A7B8B">
      <w:pPr>
        <w:pStyle w:val="paragraphsub"/>
      </w:pPr>
      <w:r w:rsidRPr="008E693E">
        <w:tab/>
      </w:r>
      <w:r w:rsidR="003A7B8B" w:rsidRPr="008E693E">
        <w:t>(i)</w:t>
      </w:r>
      <w:r w:rsidR="003A7B8B" w:rsidRPr="008E693E">
        <w:tab/>
        <w:t>any conditions imposed on the licence under subsections</w:t>
      </w:r>
      <w:r w:rsidR="008E693E" w:rsidRPr="008E693E">
        <w:t> </w:t>
      </w:r>
      <w:r w:rsidR="003A7B8B" w:rsidRPr="008E693E">
        <w:t>126(1) and (2) of the Code;</w:t>
      </w:r>
    </w:p>
    <w:p w:rsidR="003A7B8B" w:rsidRPr="008E693E" w:rsidRDefault="003A7B8B" w:rsidP="003A7B8B">
      <w:pPr>
        <w:pStyle w:val="paragraphsub"/>
      </w:pPr>
      <w:r w:rsidRPr="008E693E">
        <w:tab/>
        <w:t>(ii)</w:t>
      </w:r>
      <w:r w:rsidRPr="008E693E">
        <w:tab/>
        <w:t>the condition mentioned in paragraph</w:t>
      </w:r>
      <w:r w:rsidR="008E693E" w:rsidRPr="008E693E">
        <w:t> </w:t>
      </w:r>
      <w:r w:rsidRPr="008E693E">
        <w:t>126(4)(a) of the Code, if the licence is subject to that condition;</w:t>
      </w:r>
    </w:p>
    <w:p w:rsidR="003A7B8B" w:rsidRPr="008E693E" w:rsidRDefault="003A7B8B" w:rsidP="003A7B8B">
      <w:pPr>
        <w:pStyle w:val="paragraphsub"/>
      </w:pPr>
      <w:r w:rsidRPr="008E693E">
        <w:tab/>
        <w:t>(iii)</w:t>
      </w:r>
      <w:r w:rsidRPr="008E693E">
        <w:tab/>
        <w:t>any of the conditions mentioned in subregulations</w:t>
      </w:r>
      <w:r w:rsidR="00C704D0" w:rsidRPr="008E693E">
        <w:t xml:space="preserve"> 61</w:t>
      </w:r>
      <w:r w:rsidRPr="008E693E">
        <w:t>(3) to (7A) to which the licence is subject.</w:t>
      </w:r>
    </w:p>
    <w:p w:rsidR="00DE3546" w:rsidRPr="008E693E" w:rsidRDefault="000D0C5E" w:rsidP="003A7B8B">
      <w:pPr>
        <w:pStyle w:val="ItemHead"/>
      </w:pPr>
      <w:r w:rsidRPr="008E693E">
        <w:t>15</w:t>
      </w:r>
      <w:r w:rsidR="00DE3546" w:rsidRPr="008E693E">
        <w:t xml:space="preserve">  </w:t>
      </w:r>
      <w:r w:rsidR="00DF4475" w:rsidRPr="008E693E">
        <w:t>Subr</w:t>
      </w:r>
      <w:r w:rsidR="00DE3546" w:rsidRPr="008E693E">
        <w:t>egulation</w:t>
      </w:r>
      <w:r w:rsidR="00DF4475" w:rsidRPr="008E693E">
        <w:t>s</w:t>
      </w:r>
      <w:r w:rsidR="008E693E" w:rsidRPr="008E693E">
        <w:t> </w:t>
      </w:r>
      <w:r w:rsidR="00DE3546" w:rsidRPr="008E693E">
        <w:t>70</w:t>
      </w:r>
      <w:r w:rsidR="00DF4475" w:rsidRPr="008E693E">
        <w:t>(4) and (5)</w:t>
      </w:r>
    </w:p>
    <w:p w:rsidR="00DE3546" w:rsidRPr="008E693E" w:rsidRDefault="00DE3546" w:rsidP="00DE3546">
      <w:pPr>
        <w:pStyle w:val="Item"/>
      </w:pPr>
      <w:r w:rsidRPr="008E693E">
        <w:t>Omit “$505” (wherever occurring), substitute “$535”.</w:t>
      </w:r>
    </w:p>
    <w:p w:rsidR="00B555F6" w:rsidRPr="008E693E" w:rsidRDefault="000D0C5E" w:rsidP="00B555F6">
      <w:pPr>
        <w:pStyle w:val="ItemHead"/>
      </w:pPr>
      <w:r w:rsidRPr="008E693E">
        <w:t>16</w:t>
      </w:r>
      <w:r w:rsidR="00B555F6" w:rsidRPr="008E693E">
        <w:t xml:space="preserve">  Subregulation</w:t>
      </w:r>
      <w:r w:rsidR="008E693E" w:rsidRPr="008E693E">
        <w:t> </w:t>
      </w:r>
      <w:r w:rsidR="00B555F6" w:rsidRPr="008E693E">
        <w:t>71(4) (note 2)</w:t>
      </w:r>
    </w:p>
    <w:p w:rsidR="00B555F6" w:rsidRPr="008E693E" w:rsidRDefault="00B555F6" w:rsidP="00B555F6">
      <w:pPr>
        <w:pStyle w:val="Item"/>
      </w:pPr>
      <w:r w:rsidRPr="008E693E">
        <w:t>Omit “$505”, substitute “$535”.</w:t>
      </w:r>
    </w:p>
    <w:p w:rsidR="00137FAD" w:rsidRPr="008E693E" w:rsidRDefault="000D0C5E" w:rsidP="00137FAD">
      <w:pPr>
        <w:pStyle w:val="ItemHead"/>
      </w:pPr>
      <w:r w:rsidRPr="008E693E">
        <w:t>17</w:t>
      </w:r>
      <w:r w:rsidR="00137FAD" w:rsidRPr="008E693E">
        <w:t xml:space="preserve">  Subregulation</w:t>
      </w:r>
      <w:r w:rsidR="008E693E" w:rsidRPr="008E693E">
        <w:t> </w:t>
      </w:r>
      <w:r w:rsidR="00137FAD" w:rsidRPr="008E693E">
        <w:t>71A(2)</w:t>
      </w:r>
    </w:p>
    <w:p w:rsidR="00137FAD" w:rsidRPr="008E693E" w:rsidRDefault="00137FAD" w:rsidP="00137FAD">
      <w:pPr>
        <w:pStyle w:val="Item"/>
      </w:pPr>
      <w:r w:rsidRPr="008E693E">
        <w:t>Repeal the subregulation, substitute:</w:t>
      </w:r>
    </w:p>
    <w:p w:rsidR="00B116B1" w:rsidRPr="008E693E" w:rsidRDefault="00137FAD" w:rsidP="00137FAD">
      <w:pPr>
        <w:pStyle w:val="subsection"/>
      </w:pPr>
      <w:r w:rsidRPr="008E693E">
        <w:tab/>
        <w:t>(2)</w:t>
      </w:r>
      <w:r w:rsidRPr="008E693E">
        <w:tab/>
      </w:r>
      <w:r w:rsidR="004714F0" w:rsidRPr="008E693E">
        <w:t>In addition, f</w:t>
      </w:r>
      <w:r w:rsidRPr="008E693E">
        <w:t>or section</w:t>
      </w:r>
      <w:r w:rsidR="008E693E" w:rsidRPr="008E693E">
        <w:t> </w:t>
      </w:r>
      <w:r w:rsidRPr="008E693E">
        <w:t>164 of the Code, a</w:t>
      </w:r>
      <w:r w:rsidR="00526BE2" w:rsidRPr="008E693E">
        <w:t>n annual</w:t>
      </w:r>
      <w:r w:rsidRPr="008E693E">
        <w:t xml:space="preserve"> fee (the </w:t>
      </w:r>
      <w:r w:rsidR="001A26D2" w:rsidRPr="008E693E">
        <w:rPr>
          <w:b/>
          <w:i/>
        </w:rPr>
        <w:t xml:space="preserve">overseas </w:t>
      </w:r>
      <w:r w:rsidRPr="008E693E">
        <w:rPr>
          <w:b/>
          <w:i/>
        </w:rPr>
        <w:t>GMP compliance assessment</w:t>
      </w:r>
      <w:r w:rsidR="00EB10F1" w:rsidRPr="008E693E">
        <w:rPr>
          <w:b/>
          <w:i/>
        </w:rPr>
        <w:t xml:space="preserve"> </w:t>
      </w:r>
      <w:r w:rsidRPr="008E693E">
        <w:rPr>
          <w:b/>
          <w:i/>
        </w:rPr>
        <w:t>fee</w:t>
      </w:r>
      <w:r w:rsidRPr="008E693E">
        <w:t xml:space="preserve">) is payable </w:t>
      </w:r>
      <w:r w:rsidR="001A26D2" w:rsidRPr="008E693E">
        <w:t xml:space="preserve">by the </w:t>
      </w:r>
      <w:r w:rsidR="001B1D74" w:rsidRPr="008E693E">
        <w:t xml:space="preserve">interested </w:t>
      </w:r>
      <w:r w:rsidR="00681FFB" w:rsidRPr="008E693E">
        <w:t>person</w:t>
      </w:r>
      <w:r w:rsidR="00B116B1" w:rsidRPr="008E693E">
        <w:t>,</w:t>
      </w:r>
      <w:r w:rsidR="001B1D74" w:rsidRPr="008E693E">
        <w:t xml:space="preserve"> in relation </w:t>
      </w:r>
      <w:r w:rsidR="00B116B1" w:rsidRPr="008E693E">
        <w:t>to the</w:t>
      </w:r>
      <w:r w:rsidR="001A26D2" w:rsidRPr="008E693E">
        <w:t xml:space="preserve"> </w:t>
      </w:r>
      <w:r w:rsidRPr="008E693E">
        <w:t>registration of a veterinary chemical product</w:t>
      </w:r>
      <w:r w:rsidR="00B116B1" w:rsidRPr="008E693E">
        <w:t>,</w:t>
      </w:r>
      <w:r w:rsidRPr="008E693E">
        <w:t xml:space="preserve"> </w:t>
      </w:r>
      <w:r w:rsidR="00B116B1" w:rsidRPr="008E693E">
        <w:t xml:space="preserve">for each </w:t>
      </w:r>
      <w:r w:rsidR="003C6D57" w:rsidRPr="008E693E">
        <w:t>site outside Australia at which</w:t>
      </w:r>
      <w:r w:rsidR="00B116B1" w:rsidRPr="008E693E">
        <w:t>:</w:t>
      </w:r>
    </w:p>
    <w:p w:rsidR="00B116B1" w:rsidRPr="008E693E" w:rsidRDefault="00B116B1" w:rsidP="00B116B1">
      <w:pPr>
        <w:pStyle w:val="paragraph"/>
      </w:pPr>
      <w:r w:rsidRPr="008E693E">
        <w:tab/>
        <w:t>(a)</w:t>
      </w:r>
      <w:r w:rsidRPr="008E693E">
        <w:tab/>
        <w:t xml:space="preserve">the product is </w:t>
      </w:r>
      <w:r w:rsidR="00137FAD" w:rsidRPr="008E693E">
        <w:t>manufactured</w:t>
      </w:r>
      <w:r w:rsidRPr="008E693E">
        <w:t>; or</w:t>
      </w:r>
    </w:p>
    <w:p w:rsidR="00B116B1" w:rsidRPr="008E693E" w:rsidRDefault="00B116B1" w:rsidP="00B116B1">
      <w:pPr>
        <w:pStyle w:val="paragraph"/>
      </w:pPr>
      <w:r w:rsidRPr="008E693E">
        <w:tab/>
        <w:t>(b)</w:t>
      </w:r>
      <w:r w:rsidRPr="008E693E">
        <w:tab/>
        <w:t>a step in the manufacture of the product occurs.</w:t>
      </w:r>
    </w:p>
    <w:p w:rsidR="00027818" w:rsidRPr="008E693E" w:rsidRDefault="00B116B1" w:rsidP="00B116B1">
      <w:pPr>
        <w:pStyle w:val="subsection"/>
      </w:pPr>
      <w:r w:rsidRPr="008E693E">
        <w:tab/>
        <w:t>(3)</w:t>
      </w:r>
      <w:r w:rsidRPr="008E693E">
        <w:tab/>
        <w:t xml:space="preserve">However, </w:t>
      </w:r>
      <w:r w:rsidR="00027818" w:rsidRPr="008E693E">
        <w:t>the overseas GMP compliance assessment fee is not payable:</w:t>
      </w:r>
    </w:p>
    <w:p w:rsidR="003C6D57" w:rsidRPr="008E693E" w:rsidRDefault="00027818" w:rsidP="003C6D57">
      <w:pPr>
        <w:pStyle w:val="paragraph"/>
      </w:pPr>
      <w:r w:rsidRPr="008E693E">
        <w:tab/>
      </w:r>
      <w:r w:rsidR="003C6D57" w:rsidRPr="008E693E">
        <w:t>(a)</w:t>
      </w:r>
      <w:r w:rsidR="003C6D57" w:rsidRPr="008E693E">
        <w:tab/>
        <w:t>in relation to a site if the interested person has, in the financial year in respect of which the fee is payable, already paid an overseas GMP compliance assessment fee in relation to another chemical product manufactured at the same site; or</w:t>
      </w:r>
    </w:p>
    <w:p w:rsidR="00B116B1" w:rsidRPr="008E693E" w:rsidRDefault="003C6D57" w:rsidP="00027818">
      <w:pPr>
        <w:pStyle w:val="paragraph"/>
      </w:pPr>
      <w:r w:rsidRPr="008E693E">
        <w:tab/>
      </w:r>
      <w:r w:rsidR="00027818" w:rsidRPr="008E693E">
        <w:t>(</w:t>
      </w:r>
      <w:r w:rsidRPr="008E693E">
        <w:t>b</w:t>
      </w:r>
      <w:r w:rsidR="00027818" w:rsidRPr="008E693E">
        <w:t>)</w:t>
      </w:r>
      <w:r w:rsidR="00027818" w:rsidRPr="008E693E">
        <w:tab/>
      </w:r>
      <w:r w:rsidR="00CE6415" w:rsidRPr="008E693E">
        <w:t>i</w:t>
      </w:r>
      <w:r w:rsidRPr="008E693E">
        <w:t>n relation to a chemical product that i</w:t>
      </w:r>
      <w:r w:rsidR="00027818" w:rsidRPr="008E693E">
        <w:t>s</w:t>
      </w:r>
      <w:r w:rsidR="00B116B1" w:rsidRPr="008E693E">
        <w:t>:</w:t>
      </w:r>
    </w:p>
    <w:p w:rsidR="00137FAD" w:rsidRPr="008E693E" w:rsidRDefault="00B116B1" w:rsidP="00027818">
      <w:pPr>
        <w:pStyle w:val="paragraphsub"/>
      </w:pPr>
      <w:r w:rsidRPr="008E693E">
        <w:tab/>
      </w:r>
      <w:r w:rsidR="00137FAD" w:rsidRPr="008E693E">
        <w:t>(</w:t>
      </w:r>
      <w:r w:rsidR="00027818" w:rsidRPr="008E693E">
        <w:t>i</w:t>
      </w:r>
      <w:r w:rsidR="00137FAD" w:rsidRPr="008E693E">
        <w:t>)</w:t>
      </w:r>
      <w:r w:rsidR="00137FAD" w:rsidRPr="008E693E">
        <w:tab/>
        <w:t>an exempt product within the meaning given by regulation</w:t>
      </w:r>
      <w:r w:rsidR="008E693E" w:rsidRPr="008E693E">
        <w:t> </w:t>
      </w:r>
      <w:r w:rsidR="00137FAD" w:rsidRPr="008E693E">
        <w:t>59; or</w:t>
      </w:r>
    </w:p>
    <w:p w:rsidR="00137FAD" w:rsidRPr="008E693E" w:rsidRDefault="00137FAD" w:rsidP="00027818">
      <w:pPr>
        <w:pStyle w:val="paragraphsub"/>
      </w:pPr>
      <w:r w:rsidRPr="008E693E">
        <w:tab/>
        <w:t>(</w:t>
      </w:r>
      <w:r w:rsidR="00027818" w:rsidRPr="008E693E">
        <w:t>ii</w:t>
      </w:r>
      <w:r w:rsidRPr="008E693E">
        <w:t>)</w:t>
      </w:r>
      <w:r w:rsidRPr="008E693E">
        <w:tab/>
        <w:t>a list</w:t>
      </w:r>
      <w:r w:rsidR="00CB4DFA" w:rsidRPr="008E693E">
        <w:t>able</w:t>
      </w:r>
      <w:r w:rsidRPr="008E693E">
        <w:t xml:space="preserve"> chemical product; or</w:t>
      </w:r>
    </w:p>
    <w:p w:rsidR="009B2E9B" w:rsidRPr="008E693E" w:rsidRDefault="00137FAD" w:rsidP="00027818">
      <w:pPr>
        <w:pStyle w:val="paragraphsub"/>
      </w:pPr>
      <w:r w:rsidRPr="008E693E">
        <w:tab/>
        <w:t>(</w:t>
      </w:r>
      <w:r w:rsidR="00027818" w:rsidRPr="008E693E">
        <w:t>iii</w:t>
      </w:r>
      <w:r w:rsidRPr="008E693E">
        <w:t>)</w:t>
      </w:r>
      <w:r w:rsidRPr="008E693E">
        <w:tab/>
        <w:t>a reserved chemical product</w:t>
      </w:r>
      <w:r w:rsidR="00027818" w:rsidRPr="008E693E">
        <w:t>; or</w:t>
      </w:r>
    </w:p>
    <w:p w:rsidR="003C6D57" w:rsidRPr="008E693E" w:rsidRDefault="00027818" w:rsidP="003C6D57">
      <w:pPr>
        <w:pStyle w:val="subsection"/>
      </w:pPr>
      <w:r w:rsidRPr="008E693E">
        <w:lastRenderedPageBreak/>
        <w:tab/>
      </w:r>
      <w:r w:rsidR="00137FAD" w:rsidRPr="008E693E">
        <w:t>(</w:t>
      </w:r>
      <w:r w:rsidR="00CE6415" w:rsidRPr="008E693E">
        <w:t>4</w:t>
      </w:r>
      <w:r w:rsidR="00137FAD" w:rsidRPr="008E693E">
        <w:t>)</w:t>
      </w:r>
      <w:r w:rsidR="00137FAD" w:rsidRPr="008E693E">
        <w:tab/>
        <w:t xml:space="preserve">The amount of the </w:t>
      </w:r>
      <w:r w:rsidR="001A26D2" w:rsidRPr="008E693E">
        <w:t xml:space="preserve">overseas </w:t>
      </w:r>
      <w:r w:rsidR="00137FAD" w:rsidRPr="008E693E">
        <w:t>GMP compliance assessment fee is $1</w:t>
      </w:r>
      <w:r w:rsidR="008E693E" w:rsidRPr="008E693E">
        <w:t> </w:t>
      </w:r>
      <w:r w:rsidR="00137FAD" w:rsidRPr="008E693E">
        <w:t xml:space="preserve">000 for each </w:t>
      </w:r>
      <w:r w:rsidR="003C6D57" w:rsidRPr="008E693E">
        <w:t xml:space="preserve">financial year for which the </w:t>
      </w:r>
      <w:r w:rsidR="00885224" w:rsidRPr="008E693E">
        <w:t>registration</w:t>
      </w:r>
      <w:r w:rsidR="003C6D57" w:rsidRPr="008E693E">
        <w:t xml:space="preserve"> is </w:t>
      </w:r>
      <w:r w:rsidR="003A7B8B" w:rsidRPr="008E693E">
        <w:t>in force.</w:t>
      </w:r>
    </w:p>
    <w:p w:rsidR="004714F0" w:rsidRPr="008E693E" w:rsidRDefault="004714F0" w:rsidP="003C6D57">
      <w:pPr>
        <w:pStyle w:val="subsection"/>
      </w:pPr>
      <w:r w:rsidRPr="008E693E">
        <w:tab/>
        <w:t>(</w:t>
      </w:r>
      <w:r w:rsidR="00CE6415" w:rsidRPr="008E693E">
        <w:t>5</w:t>
      </w:r>
      <w:r w:rsidRPr="008E693E">
        <w:t>)</w:t>
      </w:r>
      <w:r w:rsidRPr="008E693E">
        <w:tab/>
        <w:t xml:space="preserve">The overseas GMP compliance assessment fee is payable on the date on which the </w:t>
      </w:r>
      <w:r w:rsidR="00681FFB" w:rsidRPr="008E693E">
        <w:t>interested person</w:t>
      </w:r>
      <w:r w:rsidRPr="008E693E">
        <w:t xml:space="preserve"> makes an application for renewal of the registration of the chemical product.</w:t>
      </w:r>
    </w:p>
    <w:p w:rsidR="00CD109A" w:rsidRPr="008E693E" w:rsidRDefault="000D0C5E" w:rsidP="00CD109A">
      <w:pPr>
        <w:pStyle w:val="ItemHead"/>
      </w:pPr>
      <w:r w:rsidRPr="008E693E">
        <w:t>18</w:t>
      </w:r>
      <w:r w:rsidR="00CD109A" w:rsidRPr="008E693E">
        <w:t xml:space="preserve">  After regulation</w:t>
      </w:r>
      <w:r w:rsidR="008E693E" w:rsidRPr="008E693E">
        <w:t> </w:t>
      </w:r>
      <w:r w:rsidR="00CD109A" w:rsidRPr="008E693E">
        <w:t>71A</w:t>
      </w:r>
    </w:p>
    <w:p w:rsidR="00CD109A" w:rsidRPr="008E693E" w:rsidRDefault="00CD109A" w:rsidP="00CD109A">
      <w:pPr>
        <w:pStyle w:val="Item"/>
      </w:pPr>
      <w:r w:rsidRPr="008E693E">
        <w:t>Insert:</w:t>
      </w:r>
    </w:p>
    <w:p w:rsidR="00CD109A" w:rsidRPr="008E693E" w:rsidRDefault="00CD109A" w:rsidP="00CD109A">
      <w:pPr>
        <w:pStyle w:val="ActHead5"/>
      </w:pPr>
      <w:bookmarkStart w:id="17" w:name="_Toc358111235"/>
      <w:r w:rsidRPr="008E693E">
        <w:rPr>
          <w:rStyle w:val="CharSectno"/>
        </w:rPr>
        <w:t>71B</w:t>
      </w:r>
      <w:r w:rsidRPr="008E693E">
        <w:t xml:space="preserve">  Overseas GMP compliance assessment</w:t>
      </w:r>
      <w:bookmarkEnd w:id="17"/>
    </w:p>
    <w:p w:rsidR="00EF37B0" w:rsidRPr="008E693E" w:rsidRDefault="00EF37B0" w:rsidP="000C70D4">
      <w:pPr>
        <w:pStyle w:val="subsection"/>
      </w:pPr>
      <w:r w:rsidRPr="008E693E">
        <w:tab/>
      </w:r>
      <w:r w:rsidR="000C70D4" w:rsidRPr="008E693E">
        <w:t>(1)</w:t>
      </w:r>
      <w:r w:rsidRPr="008E693E">
        <w:tab/>
      </w:r>
      <w:r w:rsidR="00E21E67" w:rsidRPr="008E693E">
        <w:t>T</w:t>
      </w:r>
      <w:r w:rsidR="000C70D4" w:rsidRPr="008E693E">
        <w:t>his regulation applies in relation to the registration of a veterinary chemical product</w:t>
      </w:r>
      <w:r w:rsidRPr="008E693E">
        <w:t xml:space="preserve"> if:</w:t>
      </w:r>
    </w:p>
    <w:p w:rsidR="000C70D4" w:rsidRPr="008E693E" w:rsidRDefault="00EF37B0" w:rsidP="00EF37B0">
      <w:pPr>
        <w:pStyle w:val="paragraph"/>
      </w:pPr>
      <w:r w:rsidRPr="008E693E">
        <w:tab/>
        <w:t>(a)</w:t>
      </w:r>
      <w:r w:rsidRPr="008E693E">
        <w:tab/>
        <w:t>the product is</w:t>
      </w:r>
      <w:r w:rsidR="000C70D4" w:rsidRPr="008E693E">
        <w:t xml:space="preserve"> manufactured outside Australia</w:t>
      </w:r>
      <w:r w:rsidRPr="008E693E">
        <w:t>; and</w:t>
      </w:r>
    </w:p>
    <w:p w:rsidR="00EF37B0" w:rsidRPr="008E693E" w:rsidRDefault="00EF37B0" w:rsidP="000C70D4">
      <w:pPr>
        <w:pStyle w:val="paragraph"/>
      </w:pPr>
      <w:r w:rsidRPr="008E693E">
        <w:tab/>
      </w:r>
      <w:r w:rsidR="000C70D4" w:rsidRPr="008E693E">
        <w:t>(</w:t>
      </w:r>
      <w:r w:rsidRPr="008E693E">
        <w:t>b</w:t>
      </w:r>
      <w:r w:rsidR="000C70D4" w:rsidRPr="008E693E">
        <w:t>)</w:t>
      </w:r>
      <w:r w:rsidRPr="008E693E">
        <w:tab/>
        <w:t>the product is not:</w:t>
      </w:r>
    </w:p>
    <w:p w:rsidR="000C70D4" w:rsidRPr="008E693E" w:rsidRDefault="00EF37B0" w:rsidP="00EF37B0">
      <w:pPr>
        <w:pStyle w:val="paragraphsub"/>
      </w:pPr>
      <w:r w:rsidRPr="008E693E">
        <w:tab/>
        <w:t>(i)</w:t>
      </w:r>
      <w:r w:rsidRPr="008E693E">
        <w:tab/>
      </w:r>
      <w:r w:rsidR="000C70D4" w:rsidRPr="008E693E">
        <w:t>an exempt product within the meaning given by regulation</w:t>
      </w:r>
      <w:r w:rsidR="008E693E" w:rsidRPr="008E693E">
        <w:t> </w:t>
      </w:r>
      <w:r w:rsidR="000C70D4" w:rsidRPr="008E693E">
        <w:t>59; or</w:t>
      </w:r>
    </w:p>
    <w:p w:rsidR="000C70D4" w:rsidRPr="008E693E" w:rsidRDefault="00EF37B0" w:rsidP="00EF37B0">
      <w:pPr>
        <w:pStyle w:val="paragraphsub"/>
      </w:pPr>
      <w:r w:rsidRPr="008E693E">
        <w:tab/>
      </w:r>
      <w:r w:rsidR="000C70D4" w:rsidRPr="008E693E">
        <w:t>(</w:t>
      </w:r>
      <w:r w:rsidRPr="008E693E">
        <w:t>ii</w:t>
      </w:r>
      <w:r w:rsidR="000C70D4" w:rsidRPr="008E693E">
        <w:t>)</w:t>
      </w:r>
      <w:r w:rsidRPr="008E693E">
        <w:tab/>
        <w:t>a</w:t>
      </w:r>
      <w:r w:rsidR="000C70D4" w:rsidRPr="008E693E">
        <w:t xml:space="preserve"> listable chemical product; or</w:t>
      </w:r>
    </w:p>
    <w:p w:rsidR="00EF37B0" w:rsidRPr="008E693E" w:rsidRDefault="00EF37B0" w:rsidP="00EF37B0">
      <w:pPr>
        <w:pStyle w:val="paragraphsub"/>
      </w:pPr>
      <w:r w:rsidRPr="008E693E">
        <w:tab/>
      </w:r>
      <w:r w:rsidR="000C70D4" w:rsidRPr="008E693E">
        <w:t>(</w:t>
      </w:r>
      <w:r w:rsidRPr="008E693E">
        <w:t>iii</w:t>
      </w:r>
      <w:r w:rsidR="000C70D4" w:rsidRPr="008E693E">
        <w:t>)</w:t>
      </w:r>
      <w:r w:rsidRPr="008E693E">
        <w:tab/>
      </w:r>
      <w:r w:rsidR="000C70D4" w:rsidRPr="008E693E">
        <w:t>a reserved chemical product</w:t>
      </w:r>
      <w:r w:rsidRPr="008E693E">
        <w:t>; and</w:t>
      </w:r>
    </w:p>
    <w:p w:rsidR="00EF37B0" w:rsidRPr="008E693E" w:rsidRDefault="00EF37B0" w:rsidP="00EF37B0">
      <w:pPr>
        <w:pStyle w:val="paragraph"/>
      </w:pPr>
      <w:r w:rsidRPr="008E693E">
        <w:tab/>
        <w:t>(c)</w:t>
      </w:r>
      <w:r w:rsidRPr="008E693E">
        <w:tab/>
        <w:t>the registration</w:t>
      </w:r>
      <w:r w:rsidR="00460310" w:rsidRPr="008E693E">
        <w:t xml:space="preserve"> of the product</w:t>
      </w:r>
      <w:r w:rsidRPr="008E693E">
        <w:t xml:space="preserve"> is subject</w:t>
      </w:r>
      <w:r w:rsidR="004839C0" w:rsidRPr="008E693E">
        <w:t xml:space="preserve"> to</w:t>
      </w:r>
      <w:r w:rsidRPr="008E693E">
        <w:t xml:space="preserve"> </w:t>
      </w:r>
      <w:r w:rsidR="00460310" w:rsidRPr="008E693E">
        <w:t xml:space="preserve">a </w:t>
      </w:r>
      <w:r w:rsidRPr="008E693E">
        <w:t>condition that each step in the manufacture of the product complies with any of the following:</w:t>
      </w:r>
    </w:p>
    <w:p w:rsidR="00EF37B0" w:rsidRPr="008E693E" w:rsidRDefault="00EF37B0" w:rsidP="00EF37B0">
      <w:pPr>
        <w:pStyle w:val="paragraphsub"/>
      </w:pPr>
      <w:r w:rsidRPr="008E693E">
        <w:tab/>
        <w:t>(i)</w:t>
      </w:r>
      <w:r w:rsidRPr="008E693E">
        <w:tab/>
        <w:t>the Code;</w:t>
      </w:r>
    </w:p>
    <w:p w:rsidR="00EF37B0" w:rsidRPr="008E693E" w:rsidRDefault="00EF37B0" w:rsidP="00EF37B0">
      <w:pPr>
        <w:pStyle w:val="paragraphsub"/>
      </w:pPr>
      <w:r w:rsidRPr="008E693E">
        <w:tab/>
        <w:t>(ii)</w:t>
      </w:r>
      <w:r w:rsidRPr="008E693E">
        <w:tab/>
        <w:t>the manufacturing principles;</w:t>
      </w:r>
    </w:p>
    <w:p w:rsidR="00EF37B0" w:rsidRPr="008E693E" w:rsidRDefault="00EF37B0" w:rsidP="00EF37B0">
      <w:pPr>
        <w:pStyle w:val="paragraphsub"/>
      </w:pPr>
      <w:r w:rsidRPr="008E693E">
        <w:tab/>
        <w:t>(iii)</w:t>
      </w:r>
      <w:r w:rsidRPr="008E693E">
        <w:tab/>
        <w:t>the Australian GMP Code;</w:t>
      </w:r>
    </w:p>
    <w:p w:rsidR="00EF37B0" w:rsidRPr="008E693E" w:rsidRDefault="00EF37B0" w:rsidP="00EF37B0">
      <w:pPr>
        <w:pStyle w:val="paragraphsub"/>
      </w:pPr>
      <w:r w:rsidRPr="008E693E">
        <w:tab/>
        <w:t>(iv)</w:t>
      </w:r>
      <w:r w:rsidRPr="008E693E">
        <w:tab/>
        <w:t>any standards that apply to the chemical products;</w:t>
      </w:r>
    </w:p>
    <w:p w:rsidR="00EF37B0" w:rsidRPr="008E693E" w:rsidRDefault="00EF37B0" w:rsidP="00EF37B0">
      <w:pPr>
        <w:pStyle w:val="paragraphsub"/>
      </w:pPr>
      <w:r w:rsidRPr="008E693E">
        <w:tab/>
        <w:t>(v)</w:t>
      </w:r>
      <w:r w:rsidRPr="008E693E">
        <w:tab/>
        <w:t>any standard determined by the APVMA to be comparable to the manufacturing principles or the Australian GMP Code;</w:t>
      </w:r>
      <w:r w:rsidR="00460310" w:rsidRPr="008E693E">
        <w:t xml:space="preserve"> and</w:t>
      </w:r>
    </w:p>
    <w:p w:rsidR="00E2285E" w:rsidRPr="008E693E" w:rsidRDefault="00460310" w:rsidP="003D1BAE">
      <w:pPr>
        <w:pStyle w:val="paragraph"/>
      </w:pPr>
      <w:r w:rsidRPr="008E693E">
        <w:tab/>
        <w:t>(d)</w:t>
      </w:r>
      <w:r w:rsidRPr="008E693E">
        <w:tab/>
        <w:t>the registration of the product is subject to a condition that the interested person in re</w:t>
      </w:r>
      <w:r w:rsidR="004A6BF6" w:rsidRPr="008E693E">
        <w:t>lation to</w:t>
      </w:r>
      <w:r w:rsidRPr="008E693E">
        <w:t xml:space="preserve"> the registration must, if directed by the APVMA</w:t>
      </w:r>
      <w:r w:rsidR="00CE6415" w:rsidRPr="008E693E">
        <w:t xml:space="preserve"> CEO</w:t>
      </w:r>
      <w:r w:rsidRPr="008E693E">
        <w:t xml:space="preserve">, give to the APVMA, or arrange for the manufacturer of the product to give to the APVMA, evidence of compliance with the condition mentioned in </w:t>
      </w:r>
      <w:r w:rsidR="008E693E" w:rsidRPr="008E693E">
        <w:t>paragraph (</w:t>
      </w:r>
      <w:r w:rsidR="00566D6E" w:rsidRPr="008E693E">
        <w:t>c)</w:t>
      </w:r>
      <w:r w:rsidR="000F7BD9" w:rsidRPr="008E693E">
        <w:t>.</w:t>
      </w:r>
    </w:p>
    <w:p w:rsidR="00E2285E" w:rsidRPr="008E693E" w:rsidRDefault="00E2285E" w:rsidP="00E2285E">
      <w:pPr>
        <w:pStyle w:val="subsection"/>
      </w:pPr>
      <w:r w:rsidRPr="008E693E">
        <w:tab/>
        <w:t>(2)</w:t>
      </w:r>
      <w:r w:rsidRPr="008E693E">
        <w:tab/>
        <w:t>For paragraph</w:t>
      </w:r>
      <w:r w:rsidR="008E693E" w:rsidRPr="008E693E">
        <w:t> </w:t>
      </w:r>
      <w:r w:rsidRPr="008E693E">
        <w:t xml:space="preserve">6(2)(c) of the Act, subregulations (3) and (4) apply if the APVMA CEO has directed the interested person to provide </w:t>
      </w:r>
      <w:r w:rsidRPr="008E693E">
        <w:lastRenderedPageBreak/>
        <w:t xml:space="preserve">evidence of compliance with the condition mentioned in </w:t>
      </w:r>
      <w:r w:rsidR="008E693E" w:rsidRPr="008E693E">
        <w:t>paragraph (</w:t>
      </w:r>
      <w:r w:rsidRPr="008E693E">
        <w:t>1)(c).</w:t>
      </w:r>
    </w:p>
    <w:p w:rsidR="00E2285E" w:rsidRPr="008E693E" w:rsidRDefault="00E2285E" w:rsidP="00E2285E">
      <w:pPr>
        <w:pStyle w:val="subsection"/>
      </w:pPr>
      <w:r w:rsidRPr="008E693E">
        <w:tab/>
        <w:t>(3)</w:t>
      </w:r>
      <w:r w:rsidRPr="008E693E">
        <w:tab/>
        <w:t>If a GMP audit was carried out, and a report of the audit has been given to the APVMA, the APVMA must assess the report having regard to:</w:t>
      </w:r>
    </w:p>
    <w:p w:rsidR="00E2285E" w:rsidRPr="008E693E" w:rsidRDefault="00E2285E" w:rsidP="00E2285E">
      <w:pPr>
        <w:pStyle w:val="paragraph"/>
      </w:pPr>
      <w:r w:rsidRPr="008E693E">
        <w:tab/>
        <w:t>(a)</w:t>
      </w:r>
      <w:r w:rsidRPr="008E693E">
        <w:tab/>
        <w:t>whether the audit report identified any non</w:t>
      </w:r>
      <w:r w:rsidR="008E693E">
        <w:noBreakHyphen/>
      </w:r>
      <w:r w:rsidRPr="008E693E">
        <w:t>conformances; and</w:t>
      </w:r>
    </w:p>
    <w:p w:rsidR="00E2285E" w:rsidRPr="008E693E" w:rsidRDefault="00E2285E" w:rsidP="00E2285E">
      <w:pPr>
        <w:pStyle w:val="paragraph"/>
      </w:pPr>
      <w:r w:rsidRPr="008E693E">
        <w:tab/>
        <w:t>(b)</w:t>
      </w:r>
      <w:r w:rsidRPr="008E693E">
        <w:tab/>
        <w:t>whether any non</w:t>
      </w:r>
      <w:r w:rsidR="008E693E">
        <w:noBreakHyphen/>
      </w:r>
      <w:r w:rsidRPr="008E693E">
        <w:t>conformances identified in the audit report have been rectified following corrective action; and</w:t>
      </w:r>
    </w:p>
    <w:p w:rsidR="00E2285E" w:rsidRPr="008E693E" w:rsidRDefault="00E2285E" w:rsidP="00E2285E">
      <w:pPr>
        <w:pStyle w:val="paragraph"/>
      </w:pPr>
      <w:r w:rsidRPr="008E693E">
        <w:tab/>
        <w:t>(c)</w:t>
      </w:r>
      <w:r w:rsidRPr="008E693E">
        <w:tab/>
        <w:t>any other matters that the APVMA considers relevant.</w:t>
      </w:r>
    </w:p>
    <w:p w:rsidR="00E2285E" w:rsidRPr="008E693E" w:rsidRDefault="00E2285E" w:rsidP="00E2285E">
      <w:pPr>
        <w:pStyle w:val="subsection"/>
      </w:pPr>
      <w:r w:rsidRPr="008E693E">
        <w:tab/>
        <w:t>(4)</w:t>
      </w:r>
      <w:r w:rsidRPr="008E693E">
        <w:tab/>
        <w:t>The APVMA must:</w:t>
      </w:r>
    </w:p>
    <w:p w:rsidR="00E2285E" w:rsidRPr="008E693E" w:rsidRDefault="00E2285E" w:rsidP="00E2285E">
      <w:pPr>
        <w:pStyle w:val="paragraph"/>
      </w:pPr>
      <w:r w:rsidRPr="008E693E">
        <w:tab/>
        <w:t>(a)</w:t>
      </w:r>
      <w:r w:rsidRPr="008E693E">
        <w:tab/>
        <w:t>assess any evidence of compliance with the condition given to the APVMA by the interested person or on behalf of the interested person; and</w:t>
      </w:r>
    </w:p>
    <w:p w:rsidR="00E2285E" w:rsidRPr="008E693E" w:rsidRDefault="00E2285E" w:rsidP="00BF0B73">
      <w:pPr>
        <w:pStyle w:val="paragraph"/>
        <w:rPr>
          <w:i/>
          <w:sz w:val="24"/>
        </w:rPr>
      </w:pPr>
      <w:r w:rsidRPr="008E693E">
        <w:tab/>
        <w:t>(b)</w:t>
      </w:r>
      <w:r w:rsidRPr="008E693E">
        <w:tab/>
        <w:t>determine whether the APVMA is satisfied that the condition has been complied with.</w:t>
      </w:r>
    </w:p>
    <w:p w:rsidR="006029FB" w:rsidRPr="008E693E" w:rsidRDefault="006029FB" w:rsidP="006029FB">
      <w:pPr>
        <w:pStyle w:val="subsection"/>
      </w:pPr>
      <w:r w:rsidRPr="008E693E">
        <w:tab/>
        <w:t>(3)</w:t>
      </w:r>
      <w:r w:rsidRPr="008E693E">
        <w:tab/>
        <w:t>In this regulation:</w:t>
      </w:r>
    </w:p>
    <w:p w:rsidR="006029FB" w:rsidRPr="008E693E" w:rsidRDefault="006029FB" w:rsidP="006029FB">
      <w:pPr>
        <w:pStyle w:val="Definition"/>
      </w:pPr>
      <w:r w:rsidRPr="008E693E">
        <w:rPr>
          <w:b/>
          <w:i/>
        </w:rPr>
        <w:t>GMP audit</w:t>
      </w:r>
      <w:r w:rsidRPr="008E693E">
        <w:t xml:space="preserve"> has the meaning given by paragraph</w:t>
      </w:r>
      <w:r w:rsidR="008E693E" w:rsidRPr="008E693E">
        <w:t> </w:t>
      </w:r>
      <w:r w:rsidRPr="008E693E">
        <w:t>61(8)(a).</w:t>
      </w:r>
    </w:p>
    <w:p w:rsidR="00B81EE8" w:rsidRPr="008E693E" w:rsidRDefault="000D0C5E" w:rsidP="000C70D4">
      <w:pPr>
        <w:pStyle w:val="ItemHead"/>
      </w:pPr>
      <w:r w:rsidRPr="008E693E">
        <w:t>19</w:t>
      </w:r>
      <w:r w:rsidR="00B81EE8" w:rsidRPr="008E693E">
        <w:t xml:space="preserve">  Regulation</w:t>
      </w:r>
      <w:r w:rsidR="008E693E" w:rsidRPr="008E693E">
        <w:t> </w:t>
      </w:r>
      <w:r w:rsidR="00B81EE8" w:rsidRPr="008E693E">
        <w:t>72A</w:t>
      </w:r>
    </w:p>
    <w:p w:rsidR="00B81EE8" w:rsidRPr="008E693E" w:rsidRDefault="00B81EE8" w:rsidP="00B81EE8">
      <w:pPr>
        <w:pStyle w:val="Item"/>
      </w:pPr>
      <w:r w:rsidRPr="008E693E">
        <w:t>Repeal the regulation, substitute:</w:t>
      </w:r>
    </w:p>
    <w:p w:rsidR="00B81EE8" w:rsidRPr="008E693E" w:rsidRDefault="00B81EE8" w:rsidP="00B81EE8">
      <w:pPr>
        <w:pStyle w:val="ActHead5"/>
      </w:pPr>
      <w:bookmarkStart w:id="18" w:name="_Toc358111236"/>
      <w:r w:rsidRPr="008E693E">
        <w:rPr>
          <w:rStyle w:val="CharSectno"/>
        </w:rPr>
        <w:t>72A</w:t>
      </w:r>
      <w:r w:rsidRPr="008E693E">
        <w:t xml:space="preserve">  Fees for licences</w:t>
      </w:r>
      <w:bookmarkEnd w:id="18"/>
    </w:p>
    <w:p w:rsidR="00B81EE8" w:rsidRPr="008E693E" w:rsidRDefault="00B81EE8" w:rsidP="00B81EE8">
      <w:pPr>
        <w:pStyle w:val="subsection"/>
      </w:pPr>
      <w:r w:rsidRPr="008E693E">
        <w:tab/>
        <w:t>(1)</w:t>
      </w:r>
      <w:r w:rsidRPr="008E693E">
        <w:tab/>
        <w:t>For section</w:t>
      </w:r>
      <w:r w:rsidR="008E693E" w:rsidRPr="008E693E">
        <w:t> </w:t>
      </w:r>
      <w:r w:rsidRPr="008E693E">
        <w:t xml:space="preserve">164 of the Code, this regulation </w:t>
      </w:r>
      <w:r w:rsidR="00435A65" w:rsidRPr="008E693E">
        <w:t xml:space="preserve">prescribes matters relating to </w:t>
      </w:r>
      <w:r w:rsidRPr="008E693E">
        <w:t>fees payable in respect of licences issued under Part</w:t>
      </w:r>
      <w:r w:rsidR="008E693E" w:rsidRPr="008E693E">
        <w:t> </w:t>
      </w:r>
      <w:r w:rsidRPr="008E693E">
        <w:t>8 of the Code.</w:t>
      </w:r>
    </w:p>
    <w:p w:rsidR="00E66C98" w:rsidRPr="008E693E" w:rsidRDefault="00E66C98" w:rsidP="00E66C98">
      <w:pPr>
        <w:pStyle w:val="SubsectionHead"/>
      </w:pPr>
      <w:r w:rsidRPr="008E693E">
        <w:t>Fee for licence</w:t>
      </w:r>
      <w:r w:rsidR="00D673AB" w:rsidRPr="008E693E">
        <w:t xml:space="preserve"> application</w:t>
      </w:r>
    </w:p>
    <w:p w:rsidR="00B81EE8" w:rsidRPr="008E693E" w:rsidRDefault="00B81EE8" w:rsidP="00B81EE8">
      <w:pPr>
        <w:pStyle w:val="subsection"/>
      </w:pPr>
      <w:r w:rsidRPr="008E693E">
        <w:tab/>
        <w:t>(2)</w:t>
      </w:r>
      <w:r w:rsidRPr="008E693E">
        <w:tab/>
        <w:t>The fee payable for an application for the issue of a licence is $900.</w:t>
      </w:r>
    </w:p>
    <w:p w:rsidR="00E66C98" w:rsidRPr="008E693E" w:rsidRDefault="00E66C98" w:rsidP="00E66C98">
      <w:pPr>
        <w:pStyle w:val="SubsectionHead"/>
      </w:pPr>
      <w:r w:rsidRPr="008E693E">
        <w:t>Annual licence fee</w:t>
      </w:r>
    </w:p>
    <w:p w:rsidR="00B81EE8" w:rsidRPr="008E693E" w:rsidRDefault="00B81EE8" w:rsidP="00B81EE8">
      <w:pPr>
        <w:pStyle w:val="subsection"/>
      </w:pPr>
      <w:r w:rsidRPr="008E693E">
        <w:tab/>
        <w:t>(3)</w:t>
      </w:r>
      <w:r w:rsidRPr="008E693E">
        <w:tab/>
        <w:t>The holder of a licence must pay an annual licence fee, for each financial year in which the licence is held, as follows:</w:t>
      </w:r>
    </w:p>
    <w:p w:rsidR="00B81EE8" w:rsidRPr="008E693E" w:rsidRDefault="00B81EE8" w:rsidP="00B81EE8">
      <w:pPr>
        <w:pStyle w:val="paragraph"/>
      </w:pPr>
      <w:r w:rsidRPr="008E693E">
        <w:lastRenderedPageBreak/>
        <w:tab/>
        <w:t>(a)</w:t>
      </w:r>
      <w:r w:rsidRPr="008E693E">
        <w:tab/>
        <w:t xml:space="preserve">for a </w:t>
      </w:r>
      <w:r w:rsidR="002053C1" w:rsidRPr="008E693E">
        <w:t xml:space="preserve">category 1 </w:t>
      </w:r>
      <w:r w:rsidRPr="008E693E">
        <w:t>licence—$7</w:t>
      </w:r>
      <w:r w:rsidR="008E693E" w:rsidRPr="008E693E">
        <w:t> </w:t>
      </w:r>
      <w:r w:rsidRPr="008E693E">
        <w:t>500;</w:t>
      </w:r>
    </w:p>
    <w:p w:rsidR="00B81EE8" w:rsidRPr="008E693E" w:rsidRDefault="00B81EE8" w:rsidP="00B81EE8">
      <w:pPr>
        <w:pStyle w:val="paragraph"/>
      </w:pPr>
      <w:r w:rsidRPr="008E693E">
        <w:tab/>
        <w:t>(b)</w:t>
      </w:r>
      <w:r w:rsidRPr="008E693E">
        <w:tab/>
        <w:t xml:space="preserve">for a </w:t>
      </w:r>
      <w:r w:rsidR="002053C1" w:rsidRPr="008E693E">
        <w:t>category 2</w:t>
      </w:r>
      <w:r w:rsidR="00BF0B73" w:rsidRPr="008E693E">
        <w:t xml:space="preserve">, 3 or 4 </w:t>
      </w:r>
      <w:r w:rsidR="002053C1" w:rsidRPr="008E693E">
        <w:t>licence</w:t>
      </w:r>
      <w:r w:rsidRPr="008E693E">
        <w:t>—$</w:t>
      </w:r>
      <w:r w:rsidR="00D403DB" w:rsidRPr="008E693E">
        <w:t>5</w:t>
      </w:r>
      <w:r w:rsidR="008E693E" w:rsidRPr="008E693E">
        <w:t> </w:t>
      </w:r>
      <w:r w:rsidR="00D403DB" w:rsidRPr="008E693E">
        <w:t>0</w:t>
      </w:r>
      <w:r w:rsidRPr="008E693E">
        <w:t>00;</w:t>
      </w:r>
    </w:p>
    <w:p w:rsidR="00A52BD8" w:rsidRPr="008E693E" w:rsidRDefault="00B81EE8" w:rsidP="00526BE2">
      <w:pPr>
        <w:pStyle w:val="paragraph"/>
      </w:pPr>
      <w:r w:rsidRPr="008E693E">
        <w:tab/>
        <w:t>(</w:t>
      </w:r>
      <w:r w:rsidR="00BF0B73" w:rsidRPr="008E693E">
        <w:t>c</w:t>
      </w:r>
      <w:r w:rsidRPr="008E693E">
        <w:t>)</w:t>
      </w:r>
      <w:r w:rsidRPr="008E693E">
        <w:tab/>
        <w:t xml:space="preserve">for a </w:t>
      </w:r>
      <w:r w:rsidR="00D403DB" w:rsidRPr="008E693E">
        <w:t xml:space="preserve">category 6 </w:t>
      </w:r>
      <w:r w:rsidRPr="008E693E">
        <w:t>licence—$1</w:t>
      </w:r>
      <w:r w:rsidR="008E693E" w:rsidRPr="008E693E">
        <w:t> </w:t>
      </w:r>
      <w:r w:rsidRPr="008E693E">
        <w:t>800</w:t>
      </w:r>
      <w:r w:rsidR="00A52BD8" w:rsidRPr="008E693E">
        <w:t>;</w:t>
      </w:r>
    </w:p>
    <w:p w:rsidR="00B81EE8" w:rsidRPr="008E693E" w:rsidRDefault="00A52BD8" w:rsidP="00526BE2">
      <w:pPr>
        <w:pStyle w:val="paragraph"/>
      </w:pPr>
      <w:r w:rsidRPr="008E693E">
        <w:tab/>
        <w:t>(</w:t>
      </w:r>
      <w:r w:rsidR="00BF0B73" w:rsidRPr="008E693E">
        <w:t>d</w:t>
      </w:r>
      <w:r w:rsidRPr="008E693E">
        <w:t>)</w:t>
      </w:r>
      <w:r w:rsidRPr="008E693E">
        <w:tab/>
        <w:t>for a multi</w:t>
      </w:r>
      <w:r w:rsidR="008E693E">
        <w:noBreakHyphen/>
      </w:r>
      <w:r w:rsidRPr="008E693E">
        <w:t>category licence—$7</w:t>
      </w:r>
      <w:r w:rsidR="008E693E" w:rsidRPr="008E693E">
        <w:t> </w:t>
      </w:r>
      <w:r w:rsidRPr="008E693E">
        <w:t>500</w:t>
      </w:r>
      <w:r w:rsidR="00B81EE8" w:rsidRPr="008E693E">
        <w:t>.</w:t>
      </w:r>
    </w:p>
    <w:p w:rsidR="006529CA" w:rsidRPr="008E693E" w:rsidRDefault="006529CA" w:rsidP="006529CA">
      <w:pPr>
        <w:pStyle w:val="subsection"/>
      </w:pPr>
      <w:r w:rsidRPr="008E693E">
        <w:tab/>
        <w:t>(4)</w:t>
      </w:r>
      <w:r w:rsidRPr="008E693E">
        <w:tab/>
        <w:t>However, if a licence is issued on a date other than on 1</w:t>
      </w:r>
      <w:r w:rsidR="008E693E" w:rsidRPr="008E693E">
        <w:t> </w:t>
      </w:r>
      <w:r w:rsidRPr="008E693E">
        <w:t>July in a financial year, the annual licence fee payable for the first financial year of the licence is a pro rata amount of the fee mentioned for the licence in subregulation (3) for the number of whole months of the financial year remaining on the date the licence is issued.</w:t>
      </w:r>
    </w:p>
    <w:p w:rsidR="006529CA" w:rsidRPr="008E693E" w:rsidRDefault="006529CA" w:rsidP="006529CA">
      <w:pPr>
        <w:pStyle w:val="subsection"/>
      </w:pPr>
      <w:r w:rsidRPr="008E693E">
        <w:tab/>
        <w:t>(5)</w:t>
      </w:r>
      <w:r w:rsidRPr="008E693E">
        <w:tab/>
      </w:r>
      <w:r w:rsidR="003A7B8B" w:rsidRPr="008E693E">
        <w:t>T</w:t>
      </w:r>
      <w:r w:rsidRPr="008E693E">
        <w:t xml:space="preserve">he annual licence fee payable for a licence for </w:t>
      </w:r>
      <w:r w:rsidR="003A7B8B" w:rsidRPr="008E693E">
        <w:t>the second</w:t>
      </w:r>
      <w:r w:rsidR="00414FC9" w:rsidRPr="008E693E">
        <w:t xml:space="preserve"> financial year,</w:t>
      </w:r>
      <w:r w:rsidR="003A7B8B" w:rsidRPr="008E693E">
        <w:t xml:space="preserve"> and </w:t>
      </w:r>
      <w:r w:rsidR="00414FC9" w:rsidRPr="008E693E">
        <w:t>each subsequent financial year, in which the licence is held</w:t>
      </w:r>
      <w:r w:rsidR="003A7B8B" w:rsidRPr="008E693E">
        <w:t xml:space="preserve"> </w:t>
      </w:r>
      <w:r w:rsidRPr="008E693E">
        <w:t>is reduced by 50% if the licence holder gives the APVMA satisfactory evidence that the total notional wholesale value of the chemical product</w:t>
      </w:r>
      <w:r w:rsidR="00AD4743" w:rsidRPr="008E693E">
        <w:t>s</w:t>
      </w:r>
      <w:r w:rsidRPr="008E693E">
        <w:t xml:space="preserve"> manufactured under the licence in the previous financial year was less than $50</w:t>
      </w:r>
      <w:r w:rsidR="008E693E" w:rsidRPr="008E693E">
        <w:t> </w:t>
      </w:r>
      <w:r w:rsidRPr="008E693E">
        <w:t>000.</w:t>
      </w:r>
    </w:p>
    <w:p w:rsidR="00A40505" w:rsidRPr="008E693E" w:rsidRDefault="00A40505" w:rsidP="00A40505">
      <w:pPr>
        <w:pStyle w:val="subsection"/>
      </w:pPr>
      <w:r w:rsidRPr="008E693E">
        <w:tab/>
        <w:t>(6)</w:t>
      </w:r>
      <w:r w:rsidRPr="008E693E">
        <w:tab/>
        <w:t>If a licence is not in force on 1</w:t>
      </w:r>
      <w:r w:rsidR="008E693E" w:rsidRPr="008E693E">
        <w:t> </w:t>
      </w:r>
      <w:r w:rsidRPr="008E693E">
        <w:t>July of a financial year because the licence is suspended:</w:t>
      </w:r>
    </w:p>
    <w:p w:rsidR="00A40505" w:rsidRPr="008E693E" w:rsidRDefault="00A40505" w:rsidP="00A40505">
      <w:pPr>
        <w:pStyle w:val="paragraph"/>
      </w:pPr>
      <w:r w:rsidRPr="008E693E">
        <w:tab/>
        <w:t>(a)</w:t>
      </w:r>
      <w:r w:rsidRPr="008E693E">
        <w:tab/>
        <w:t>an annual licence fee is not payable for the licence for that financial year unless the suspension is revoked</w:t>
      </w:r>
      <w:r w:rsidR="00564DA0" w:rsidRPr="008E693E">
        <w:t xml:space="preserve"> later in the financial year</w:t>
      </w:r>
      <w:r w:rsidRPr="008E693E">
        <w:t>; and</w:t>
      </w:r>
    </w:p>
    <w:p w:rsidR="00A40505" w:rsidRPr="008E693E" w:rsidRDefault="00A40505" w:rsidP="00A40505">
      <w:pPr>
        <w:pStyle w:val="paragraph"/>
      </w:pPr>
      <w:r w:rsidRPr="008E693E">
        <w:tab/>
        <w:t>(b)</w:t>
      </w:r>
      <w:r w:rsidRPr="008E693E">
        <w:tab/>
        <w:t>the amount payable is a pro rata amount of the fee mentioned for the licence in subregulation (3) for the number of whole months of the financial year remaining on the date of the revocation.</w:t>
      </w:r>
    </w:p>
    <w:p w:rsidR="00B81EE8" w:rsidRPr="008E693E" w:rsidRDefault="00B81EE8" w:rsidP="00DF4475">
      <w:pPr>
        <w:pStyle w:val="subsection"/>
      </w:pPr>
      <w:r w:rsidRPr="008E693E">
        <w:tab/>
        <w:t>(</w:t>
      </w:r>
      <w:r w:rsidR="00A40505" w:rsidRPr="008E693E">
        <w:t>7</w:t>
      </w:r>
      <w:r w:rsidRPr="008E693E">
        <w:t>)</w:t>
      </w:r>
      <w:r w:rsidRPr="008E693E">
        <w:tab/>
        <w:t>The annual licence fee is payable</w:t>
      </w:r>
      <w:r w:rsidR="00DF4475" w:rsidRPr="008E693E">
        <w:t xml:space="preserve"> </w:t>
      </w:r>
      <w:r w:rsidRPr="008E693E">
        <w:t>on</w:t>
      </w:r>
      <w:r w:rsidR="006529CA" w:rsidRPr="008E693E">
        <w:t xml:space="preserve"> receipt of an </w:t>
      </w:r>
      <w:r w:rsidR="00BF2BCA" w:rsidRPr="008E693E">
        <w:t xml:space="preserve">invoice </w:t>
      </w:r>
      <w:r w:rsidR="006529CA" w:rsidRPr="008E693E">
        <w:t xml:space="preserve">for the fee issued by the </w:t>
      </w:r>
      <w:r w:rsidR="00BF2BCA" w:rsidRPr="008E693E">
        <w:t>APVMA.</w:t>
      </w:r>
    </w:p>
    <w:p w:rsidR="00E66C98" w:rsidRPr="008E693E" w:rsidRDefault="00E66C98" w:rsidP="00A40505">
      <w:pPr>
        <w:pStyle w:val="SubsectionHead"/>
      </w:pPr>
      <w:r w:rsidRPr="008E693E">
        <w:t>Fee for variation of licence</w:t>
      </w:r>
    </w:p>
    <w:p w:rsidR="00E66C98" w:rsidRPr="008E693E" w:rsidRDefault="00B81EE8" w:rsidP="00B81EE8">
      <w:pPr>
        <w:pStyle w:val="subsection"/>
      </w:pPr>
      <w:r w:rsidRPr="008E693E">
        <w:tab/>
        <w:t>(</w:t>
      </w:r>
      <w:r w:rsidR="006529CA" w:rsidRPr="008E693E">
        <w:t>8</w:t>
      </w:r>
      <w:r w:rsidRPr="008E693E">
        <w:t>)</w:t>
      </w:r>
      <w:r w:rsidRPr="008E693E">
        <w:tab/>
        <w:t>An additional fee of $1</w:t>
      </w:r>
      <w:r w:rsidR="008E693E" w:rsidRPr="008E693E">
        <w:t> </w:t>
      </w:r>
      <w:r w:rsidRPr="008E693E">
        <w:t>800 is payable in respect of a licence if</w:t>
      </w:r>
      <w:r w:rsidR="00E66C98" w:rsidRPr="008E693E">
        <w:t>:</w:t>
      </w:r>
    </w:p>
    <w:p w:rsidR="00E66C98" w:rsidRPr="008E693E" w:rsidRDefault="00E66C98" w:rsidP="00E66C98">
      <w:pPr>
        <w:pStyle w:val="paragraph"/>
      </w:pPr>
      <w:r w:rsidRPr="008E693E">
        <w:tab/>
        <w:t>(a)</w:t>
      </w:r>
      <w:r w:rsidRPr="008E693E">
        <w:tab/>
      </w:r>
      <w:r w:rsidR="00B81EE8" w:rsidRPr="008E693E">
        <w:t xml:space="preserve">the </w:t>
      </w:r>
      <w:r w:rsidRPr="008E693E">
        <w:t xml:space="preserve">holder of the licence requests that the APVMA vary the </w:t>
      </w:r>
      <w:r w:rsidR="00A8422A" w:rsidRPr="008E693E">
        <w:t>licence</w:t>
      </w:r>
      <w:r w:rsidRPr="008E693E">
        <w:t>; and</w:t>
      </w:r>
    </w:p>
    <w:p w:rsidR="00B81EE8" w:rsidRPr="008E693E" w:rsidRDefault="00E66C98" w:rsidP="00E66C98">
      <w:pPr>
        <w:pStyle w:val="paragraph"/>
      </w:pPr>
      <w:r w:rsidRPr="008E693E">
        <w:tab/>
        <w:t>(b)</w:t>
      </w:r>
      <w:r w:rsidRPr="008E693E">
        <w:tab/>
        <w:t xml:space="preserve">the </w:t>
      </w:r>
      <w:r w:rsidR="00B81EE8" w:rsidRPr="008E693E">
        <w:t xml:space="preserve">APVMA </w:t>
      </w:r>
      <w:r w:rsidRPr="008E693E">
        <w:t>determines that a GMP audit is required in order to assess the request.</w:t>
      </w:r>
    </w:p>
    <w:p w:rsidR="00B81EE8" w:rsidRPr="008E693E" w:rsidRDefault="00B81EE8" w:rsidP="00B81EE8">
      <w:pPr>
        <w:pStyle w:val="subsection"/>
      </w:pPr>
      <w:r w:rsidRPr="008E693E">
        <w:lastRenderedPageBreak/>
        <w:tab/>
        <w:t>(</w:t>
      </w:r>
      <w:r w:rsidR="006529CA" w:rsidRPr="008E693E">
        <w:t>9</w:t>
      </w:r>
      <w:r w:rsidRPr="008E693E">
        <w:t>)</w:t>
      </w:r>
      <w:r w:rsidRPr="008E693E">
        <w:tab/>
        <w:t>The APVMA must waive any licence fees payable before 1</w:t>
      </w:r>
      <w:r w:rsidR="008E693E" w:rsidRPr="008E693E">
        <w:t> </w:t>
      </w:r>
      <w:r w:rsidRPr="008E693E">
        <w:t xml:space="preserve">July 2013 </w:t>
      </w:r>
      <w:r w:rsidR="009C10AE" w:rsidRPr="008E693E">
        <w:t>under regulation</w:t>
      </w:r>
      <w:r w:rsidR="008E693E" w:rsidRPr="008E693E">
        <w:t> </w:t>
      </w:r>
      <w:r w:rsidR="009C10AE" w:rsidRPr="008E693E">
        <w:t>72A</w:t>
      </w:r>
      <w:r w:rsidR="00DB2331" w:rsidRPr="008E693E">
        <w:t>,</w:t>
      </w:r>
      <w:r w:rsidR="009C10AE" w:rsidRPr="008E693E">
        <w:t xml:space="preserve"> as in force immediately on 30</w:t>
      </w:r>
      <w:r w:rsidR="008E693E" w:rsidRPr="008E693E">
        <w:t> </w:t>
      </w:r>
      <w:r w:rsidR="009C10AE" w:rsidRPr="008E693E">
        <w:t>June 2013</w:t>
      </w:r>
      <w:r w:rsidR="00DB2331" w:rsidRPr="008E693E">
        <w:t>,</w:t>
      </w:r>
      <w:r w:rsidR="009C10AE" w:rsidRPr="008E693E">
        <w:t xml:space="preserve"> </w:t>
      </w:r>
      <w:r w:rsidRPr="008E693E">
        <w:t>that are unpaid on 1</w:t>
      </w:r>
      <w:r w:rsidR="008E693E" w:rsidRPr="008E693E">
        <w:t> </w:t>
      </w:r>
      <w:r w:rsidRPr="008E693E">
        <w:t>July 2013.</w:t>
      </w:r>
    </w:p>
    <w:p w:rsidR="00B81EE8" w:rsidRPr="008E693E" w:rsidRDefault="00B81EE8" w:rsidP="00B61B26">
      <w:pPr>
        <w:pStyle w:val="subsection"/>
      </w:pPr>
      <w:r w:rsidRPr="008E693E">
        <w:tab/>
        <w:t>(</w:t>
      </w:r>
      <w:r w:rsidR="00E66C98" w:rsidRPr="008E693E">
        <w:t>1</w:t>
      </w:r>
      <w:r w:rsidR="006529CA" w:rsidRPr="008E693E">
        <w:t>0</w:t>
      </w:r>
      <w:r w:rsidR="00E66C98" w:rsidRPr="008E693E">
        <w:t>)</w:t>
      </w:r>
      <w:r w:rsidRPr="008E693E">
        <w:tab/>
        <w:t>In this regulation:</w:t>
      </w:r>
    </w:p>
    <w:p w:rsidR="00E66C98" w:rsidRPr="008E693E" w:rsidRDefault="00E66C98" w:rsidP="00E66C98">
      <w:pPr>
        <w:pStyle w:val="Definition"/>
        <w:rPr>
          <w:b/>
          <w:i/>
        </w:rPr>
      </w:pPr>
      <w:r w:rsidRPr="008E693E">
        <w:rPr>
          <w:b/>
          <w:i/>
        </w:rPr>
        <w:t xml:space="preserve">GMP audit </w:t>
      </w:r>
      <w:r w:rsidRPr="008E693E">
        <w:t xml:space="preserve">has the meaning given by </w:t>
      </w:r>
      <w:r w:rsidR="00A302E3" w:rsidRPr="008E693E">
        <w:t>paragraph</w:t>
      </w:r>
      <w:r w:rsidR="008E693E" w:rsidRPr="008E693E">
        <w:t> </w:t>
      </w:r>
      <w:r w:rsidRPr="008E693E">
        <w:t>61(8)</w:t>
      </w:r>
      <w:r w:rsidR="00A302E3" w:rsidRPr="008E693E">
        <w:t>(a)</w:t>
      </w:r>
      <w:r w:rsidRPr="008E693E">
        <w:t>.</w:t>
      </w:r>
    </w:p>
    <w:p w:rsidR="00B81EE8" w:rsidRPr="008E693E" w:rsidRDefault="00B81EE8" w:rsidP="00E66C98">
      <w:pPr>
        <w:pStyle w:val="Definition"/>
        <w:rPr>
          <w:i/>
        </w:rPr>
      </w:pPr>
      <w:r w:rsidRPr="008E693E">
        <w:rPr>
          <w:b/>
          <w:i/>
        </w:rPr>
        <w:t>notional wholesale value</w:t>
      </w:r>
      <w:r w:rsidRPr="008E693E">
        <w:t xml:space="preserve"> has the same meaning as in the </w:t>
      </w:r>
      <w:r w:rsidRPr="008E693E">
        <w:rPr>
          <w:i/>
        </w:rPr>
        <w:t>Agricultural and Veterinary Chemical</w:t>
      </w:r>
      <w:r w:rsidR="009D7E06" w:rsidRPr="008E693E">
        <w:rPr>
          <w:i/>
        </w:rPr>
        <w:t xml:space="preserve"> Products</w:t>
      </w:r>
      <w:r w:rsidRPr="008E693E">
        <w:rPr>
          <w:i/>
        </w:rPr>
        <w:t xml:space="preserve"> (Collection of Levy) Act 1994</w:t>
      </w:r>
      <w:r w:rsidR="00E66C98" w:rsidRPr="008E693E">
        <w:rPr>
          <w:i/>
        </w:rPr>
        <w:t>.</w:t>
      </w:r>
    </w:p>
    <w:p w:rsidR="00E66C98" w:rsidRPr="008E693E" w:rsidRDefault="00E66C98" w:rsidP="00E66C98">
      <w:pPr>
        <w:pStyle w:val="subsection"/>
      </w:pPr>
      <w:r w:rsidRPr="008E693E">
        <w:tab/>
        <w:t>(1</w:t>
      </w:r>
      <w:r w:rsidR="006529CA" w:rsidRPr="008E693E">
        <w:t>1</w:t>
      </w:r>
      <w:r w:rsidRPr="008E693E">
        <w:t>)</w:t>
      </w:r>
      <w:r w:rsidRPr="008E693E">
        <w:tab/>
      </w:r>
      <w:r w:rsidR="00B61B26" w:rsidRPr="008E693E">
        <w:t>In</w:t>
      </w:r>
      <w:r w:rsidRPr="008E693E">
        <w:t xml:space="preserve"> subregulation (</w:t>
      </w:r>
      <w:r w:rsidR="003A7B8B" w:rsidRPr="008E693E">
        <w:t>5</w:t>
      </w:r>
      <w:r w:rsidRPr="008E693E">
        <w:t>):</w:t>
      </w:r>
    </w:p>
    <w:p w:rsidR="00B81EE8" w:rsidRPr="008E693E" w:rsidRDefault="00B81EE8" w:rsidP="00B81EE8">
      <w:pPr>
        <w:pStyle w:val="paragraph"/>
      </w:pPr>
      <w:r w:rsidRPr="008E693E">
        <w:tab/>
        <w:t>(</w:t>
      </w:r>
      <w:r w:rsidR="009C48EA" w:rsidRPr="008E693E">
        <w:t>a</w:t>
      </w:r>
      <w:r w:rsidRPr="008E693E">
        <w:t>)</w:t>
      </w:r>
      <w:r w:rsidRPr="008E693E">
        <w:tab/>
        <w:t>the notional wholesale value of a batch of a veterinary chemical product is the notional wholesale value at the time of completion of manufacture of the batch; and</w:t>
      </w:r>
    </w:p>
    <w:p w:rsidR="007238FD" w:rsidRPr="008E693E" w:rsidRDefault="00B81EE8" w:rsidP="007238FD">
      <w:pPr>
        <w:pStyle w:val="paragraph"/>
      </w:pPr>
      <w:r w:rsidRPr="008E693E">
        <w:tab/>
        <w:t>(</w:t>
      </w:r>
      <w:r w:rsidR="009C48EA" w:rsidRPr="008E693E">
        <w:t>b</w:t>
      </w:r>
      <w:r w:rsidRPr="008E693E">
        <w:t>)</w:t>
      </w:r>
      <w:r w:rsidRPr="008E693E">
        <w:tab/>
        <w:t>a reference to</w:t>
      </w:r>
      <w:r w:rsidRPr="008E693E">
        <w:rPr>
          <w:b/>
          <w:i/>
        </w:rPr>
        <w:t xml:space="preserve"> </w:t>
      </w:r>
      <w:r w:rsidRPr="008E693E">
        <w:t>the chemical product</w:t>
      </w:r>
      <w:r w:rsidR="00FB6F8A" w:rsidRPr="008E693E">
        <w:t>s</w:t>
      </w:r>
      <w:r w:rsidRPr="008E693E">
        <w:t xml:space="preserve"> manufactured does not include veterinary chemical products that </w:t>
      </w:r>
      <w:r w:rsidR="007238FD" w:rsidRPr="008E693E">
        <w:t>are:</w:t>
      </w:r>
    </w:p>
    <w:p w:rsidR="007238FD" w:rsidRPr="008E693E" w:rsidRDefault="007238FD" w:rsidP="007238FD">
      <w:pPr>
        <w:pStyle w:val="paragraphsub"/>
      </w:pPr>
      <w:r w:rsidRPr="008E693E">
        <w:tab/>
        <w:t>(</w:t>
      </w:r>
      <w:r w:rsidR="009C48EA" w:rsidRPr="008E693E">
        <w:t>i</w:t>
      </w:r>
      <w:r w:rsidRPr="008E693E">
        <w:t>)</w:t>
      </w:r>
      <w:r w:rsidRPr="008E693E">
        <w:tab/>
        <w:t>exempt products within the meaning given by regulation</w:t>
      </w:r>
      <w:r w:rsidR="008E693E" w:rsidRPr="008E693E">
        <w:t> </w:t>
      </w:r>
      <w:r w:rsidRPr="008E693E">
        <w:t>59; or</w:t>
      </w:r>
    </w:p>
    <w:p w:rsidR="007238FD" w:rsidRPr="008E693E" w:rsidRDefault="007238FD" w:rsidP="007238FD">
      <w:pPr>
        <w:pStyle w:val="paragraphsub"/>
      </w:pPr>
      <w:r w:rsidRPr="008E693E">
        <w:tab/>
        <w:t>(</w:t>
      </w:r>
      <w:r w:rsidR="009C48EA" w:rsidRPr="008E693E">
        <w:t>ii</w:t>
      </w:r>
      <w:r w:rsidRPr="008E693E">
        <w:t>)</w:t>
      </w:r>
      <w:r w:rsidRPr="008E693E">
        <w:tab/>
        <w:t>listable chemical products; or</w:t>
      </w:r>
    </w:p>
    <w:p w:rsidR="007238FD" w:rsidRPr="008E693E" w:rsidRDefault="007238FD" w:rsidP="007238FD">
      <w:pPr>
        <w:pStyle w:val="paragraphsub"/>
      </w:pPr>
      <w:r w:rsidRPr="008E693E">
        <w:tab/>
        <w:t>(</w:t>
      </w:r>
      <w:r w:rsidR="009C48EA" w:rsidRPr="008E693E">
        <w:t>iii</w:t>
      </w:r>
      <w:r w:rsidRPr="008E693E">
        <w:t>)</w:t>
      </w:r>
      <w:r w:rsidRPr="008E693E">
        <w:tab/>
        <w:t>reserved chemical products.</w:t>
      </w:r>
    </w:p>
    <w:p w:rsidR="00B81EE8" w:rsidRPr="008E693E" w:rsidRDefault="00B81EE8" w:rsidP="007238FD">
      <w:pPr>
        <w:pStyle w:val="notetext"/>
      </w:pPr>
      <w:r w:rsidRPr="008E693E">
        <w:t>Note:</w:t>
      </w:r>
      <w:r w:rsidRPr="008E693E">
        <w:tab/>
        <w:t>Section</w:t>
      </w:r>
      <w:r w:rsidR="008E693E" w:rsidRPr="008E693E">
        <w:t> </w:t>
      </w:r>
      <w:r w:rsidRPr="008E693E">
        <w:t xml:space="preserve">3 of the </w:t>
      </w:r>
      <w:r w:rsidRPr="008E693E">
        <w:rPr>
          <w:i/>
        </w:rPr>
        <w:t xml:space="preserve">Agricultural and Veterinary Chemical </w:t>
      </w:r>
      <w:r w:rsidR="007238FD" w:rsidRPr="008E693E">
        <w:rPr>
          <w:i/>
        </w:rPr>
        <w:t xml:space="preserve">Products </w:t>
      </w:r>
      <w:r w:rsidRPr="008E693E">
        <w:rPr>
          <w:i/>
        </w:rPr>
        <w:t>(Collection of Levy) Act 1994</w:t>
      </w:r>
      <w:r w:rsidRPr="008E693E">
        <w:t xml:space="preserve"> has the following definition:</w:t>
      </w:r>
    </w:p>
    <w:p w:rsidR="00B81EE8" w:rsidRPr="008E693E" w:rsidRDefault="00B81EE8" w:rsidP="00B81EE8">
      <w:pPr>
        <w:pStyle w:val="notetext"/>
      </w:pPr>
      <w:r w:rsidRPr="008E693E">
        <w:rPr>
          <w:b/>
          <w:i/>
        </w:rPr>
        <w:tab/>
      </w:r>
      <w:r w:rsidRPr="008E693E">
        <w:t>“</w:t>
      </w:r>
      <w:r w:rsidRPr="008E693E">
        <w:rPr>
          <w:b/>
          <w:i/>
        </w:rPr>
        <w:t>notional wholesale value</w:t>
      </w:r>
      <w:r w:rsidRPr="008E693E">
        <w:t>, in relation to a chemical product at a particular time, means the amount that the APVMA determines would have been received:</w:t>
      </w:r>
    </w:p>
    <w:p w:rsidR="00B81EE8" w:rsidRPr="008E693E" w:rsidRDefault="00B81EE8" w:rsidP="00B81EE8">
      <w:pPr>
        <w:pStyle w:val="notepara"/>
      </w:pPr>
      <w:r w:rsidRPr="008E693E">
        <w:t>(a)</w:t>
      </w:r>
      <w:r w:rsidRPr="008E693E">
        <w:tab/>
        <w:t>if the product is an Australian product—by the manufacturer; or</w:t>
      </w:r>
    </w:p>
    <w:p w:rsidR="00B81EE8" w:rsidRPr="008E693E" w:rsidRDefault="00B81EE8" w:rsidP="00B81EE8">
      <w:pPr>
        <w:pStyle w:val="notepara"/>
      </w:pPr>
      <w:r w:rsidRPr="008E693E">
        <w:t>(b)</w:t>
      </w:r>
      <w:r w:rsidRPr="008E693E">
        <w:tab/>
        <w:t>if the product is an imported product—by the importer;</w:t>
      </w:r>
    </w:p>
    <w:p w:rsidR="00B81EE8" w:rsidRPr="008E693E" w:rsidRDefault="00B81EE8" w:rsidP="00B81EE8">
      <w:pPr>
        <w:pStyle w:val="notetext"/>
      </w:pPr>
      <w:r w:rsidRPr="008E693E">
        <w:tab/>
        <w:t>in respect of the product if, at that time, the product had been sold by the manufacturer or importer, as the case may be, by wholesale to a person with whom the manufacturer or importer was dealing at arm’s length.”</w:t>
      </w:r>
    </w:p>
    <w:p w:rsidR="009D208F" w:rsidRPr="008E693E" w:rsidRDefault="00FB6071" w:rsidP="009D208F">
      <w:pPr>
        <w:pStyle w:val="ItemHead"/>
      </w:pPr>
      <w:r w:rsidRPr="008E693E">
        <w:rPr>
          <w:noProof/>
        </w:rPr>
        <w:t>2</w:t>
      </w:r>
      <w:r w:rsidR="000D0C5E" w:rsidRPr="008E693E">
        <w:rPr>
          <w:noProof/>
        </w:rPr>
        <w:t>0</w:t>
      </w:r>
      <w:r w:rsidR="009D208F" w:rsidRPr="008E693E">
        <w:t xml:space="preserve">  Paragraphs 73(2)(a) and (b)</w:t>
      </w:r>
    </w:p>
    <w:p w:rsidR="009D208F" w:rsidRPr="008E693E" w:rsidRDefault="009D208F" w:rsidP="009D208F">
      <w:pPr>
        <w:pStyle w:val="Item"/>
      </w:pPr>
      <w:r w:rsidRPr="008E693E">
        <w:t>Omit “$90”, substitute “$95”.</w:t>
      </w:r>
    </w:p>
    <w:p w:rsidR="00B555F6" w:rsidRPr="008E693E" w:rsidRDefault="00FB6071" w:rsidP="00B555F6">
      <w:pPr>
        <w:pStyle w:val="ItemHead"/>
      </w:pPr>
      <w:r w:rsidRPr="008E693E">
        <w:t>2</w:t>
      </w:r>
      <w:r w:rsidR="000D0C5E" w:rsidRPr="008E693E">
        <w:t>1</w:t>
      </w:r>
      <w:r w:rsidR="00B555F6" w:rsidRPr="008E693E">
        <w:t xml:space="preserve">  Subregulation</w:t>
      </w:r>
      <w:r w:rsidR="008E693E" w:rsidRPr="008E693E">
        <w:t> </w:t>
      </w:r>
      <w:r w:rsidR="00B555F6" w:rsidRPr="008E693E">
        <w:t>78(3) (note)</w:t>
      </w:r>
    </w:p>
    <w:p w:rsidR="00B555F6" w:rsidRPr="008E693E" w:rsidRDefault="00B555F6" w:rsidP="00B555F6">
      <w:pPr>
        <w:pStyle w:val="Item"/>
      </w:pPr>
      <w:r w:rsidRPr="008E693E">
        <w:t>Omit “$505”, substitute “$535”.</w:t>
      </w:r>
    </w:p>
    <w:p w:rsidR="00B555F6" w:rsidRPr="008E693E" w:rsidRDefault="0018179D" w:rsidP="00B555F6">
      <w:pPr>
        <w:pStyle w:val="ItemHead"/>
      </w:pPr>
      <w:r w:rsidRPr="008E693E">
        <w:lastRenderedPageBreak/>
        <w:t>2</w:t>
      </w:r>
      <w:r w:rsidR="000D0C5E" w:rsidRPr="008E693E">
        <w:t>2</w:t>
      </w:r>
      <w:r w:rsidR="00B555F6" w:rsidRPr="008E693E">
        <w:t xml:space="preserve">  </w:t>
      </w:r>
      <w:r w:rsidR="009C48EA" w:rsidRPr="008E693E">
        <w:t>R</w:t>
      </w:r>
      <w:r w:rsidR="00B555F6" w:rsidRPr="008E693E">
        <w:t>egulation</w:t>
      </w:r>
      <w:r w:rsidR="008E693E" w:rsidRPr="008E693E">
        <w:t> </w:t>
      </w:r>
      <w:r w:rsidR="00B555F6" w:rsidRPr="008E693E">
        <w:t>78A (note 1)</w:t>
      </w:r>
    </w:p>
    <w:p w:rsidR="00B61B26" w:rsidRPr="008E693E" w:rsidRDefault="00B555F6" w:rsidP="00DB2331">
      <w:pPr>
        <w:pStyle w:val="Item"/>
      </w:pPr>
      <w:r w:rsidRPr="008E693E">
        <w:t>Omit “$505”, substitute “$535”.</w:t>
      </w:r>
    </w:p>
    <w:p w:rsidR="00B61B26" w:rsidRPr="008E693E" w:rsidRDefault="00B61B26" w:rsidP="00B61B26">
      <w:pPr>
        <w:pStyle w:val="ItemHead"/>
      </w:pPr>
      <w:r w:rsidRPr="008E693E">
        <w:t>2</w:t>
      </w:r>
      <w:r w:rsidR="000D0C5E" w:rsidRPr="008E693E">
        <w:t>3</w:t>
      </w:r>
      <w:r w:rsidRPr="008E693E">
        <w:t xml:space="preserve">  Part</w:t>
      </w:r>
      <w:r w:rsidR="008E693E" w:rsidRPr="008E693E">
        <w:t> </w:t>
      </w:r>
      <w:r w:rsidRPr="008E693E">
        <w:t>1 of Schedule</w:t>
      </w:r>
      <w:r w:rsidR="008E693E" w:rsidRPr="008E693E">
        <w:t> </w:t>
      </w:r>
      <w:r w:rsidRPr="008E693E">
        <w:t>3</w:t>
      </w:r>
    </w:p>
    <w:p w:rsidR="00B61B26" w:rsidRPr="008E693E" w:rsidRDefault="00B61B26" w:rsidP="00B61B26">
      <w:pPr>
        <w:pStyle w:val="Item"/>
      </w:pPr>
      <w:r w:rsidRPr="008E693E">
        <w:t>Repeal the Part, substitute:</w:t>
      </w:r>
    </w:p>
    <w:p w:rsidR="00B61B26" w:rsidRPr="008E693E" w:rsidRDefault="00B61B26" w:rsidP="00B61B26">
      <w:pPr>
        <w:pStyle w:val="ActHead2"/>
      </w:pPr>
      <w:bookmarkStart w:id="19" w:name="_Toc358111237"/>
      <w:r w:rsidRPr="008E693E">
        <w:rPr>
          <w:rStyle w:val="CharPartNo"/>
        </w:rPr>
        <w:t>Part</w:t>
      </w:r>
      <w:r w:rsidR="008E693E" w:rsidRPr="008E693E">
        <w:rPr>
          <w:rStyle w:val="CharPartNo"/>
        </w:rPr>
        <w:t> </w:t>
      </w:r>
      <w:r w:rsidRPr="008E693E">
        <w:rPr>
          <w:rStyle w:val="CharPartNo"/>
        </w:rPr>
        <w:t>1</w:t>
      </w:r>
      <w:r w:rsidRPr="008E693E">
        <w:t>—</w:t>
      </w:r>
      <w:r w:rsidRPr="008E693E">
        <w:rPr>
          <w:rStyle w:val="CharPartText"/>
        </w:rPr>
        <w:t>Preliminary</w:t>
      </w:r>
      <w:bookmarkEnd w:id="19"/>
    </w:p>
    <w:p w:rsidR="00B61B26" w:rsidRPr="008E693E" w:rsidRDefault="00B61B26" w:rsidP="00B61B26">
      <w:pPr>
        <w:pStyle w:val="Header"/>
      </w:pPr>
      <w:r w:rsidRPr="008E693E">
        <w:rPr>
          <w:rStyle w:val="CharDivNo"/>
        </w:rPr>
        <w:t xml:space="preserve"> </w:t>
      </w:r>
      <w:r w:rsidRPr="008E693E">
        <w:rPr>
          <w:rStyle w:val="CharDivText"/>
        </w:rPr>
        <w:t xml:space="preserve"> </w:t>
      </w:r>
    </w:p>
    <w:p w:rsidR="00B61B26" w:rsidRPr="008E693E" w:rsidRDefault="00B61B26" w:rsidP="00B61B26">
      <w:pPr>
        <w:pStyle w:val="ActHead5"/>
      </w:pPr>
      <w:bookmarkStart w:id="20" w:name="_Toc358111238"/>
      <w:r w:rsidRPr="008E693E">
        <w:rPr>
          <w:rStyle w:val="CharSectno"/>
        </w:rPr>
        <w:t>1</w:t>
      </w:r>
      <w:r w:rsidRPr="008E693E">
        <w:t xml:space="preserve">  Definitions</w:t>
      </w:r>
      <w:bookmarkEnd w:id="20"/>
    </w:p>
    <w:p w:rsidR="00B61B26" w:rsidRPr="008E693E" w:rsidRDefault="00B61B26" w:rsidP="00B61B26">
      <w:pPr>
        <w:pStyle w:val="subsection"/>
      </w:pPr>
      <w:r w:rsidRPr="008E693E">
        <w:tab/>
      </w:r>
      <w:r w:rsidRPr="008E693E">
        <w:tab/>
        <w:t>In this Schedule:</w:t>
      </w:r>
    </w:p>
    <w:p w:rsidR="00B61B26" w:rsidRPr="008E693E" w:rsidRDefault="00B61B26" w:rsidP="00B61B26">
      <w:pPr>
        <w:pStyle w:val="Definition"/>
      </w:pPr>
      <w:r w:rsidRPr="008E693E">
        <w:rPr>
          <w:b/>
          <w:i/>
        </w:rPr>
        <w:t>air conditioning</w:t>
      </w:r>
      <w:r w:rsidRPr="008E693E">
        <w:t xml:space="preserve"> means any cooling, heating or ventilation system that modifies the condition of the air.</w:t>
      </w:r>
    </w:p>
    <w:p w:rsidR="00B61B26" w:rsidRPr="008E693E" w:rsidRDefault="00B61B26" w:rsidP="00B61B26">
      <w:pPr>
        <w:pStyle w:val="Definition"/>
      </w:pPr>
      <w:r w:rsidRPr="008E693E">
        <w:rPr>
          <w:b/>
          <w:i/>
        </w:rPr>
        <w:t>cooling tower</w:t>
      </w:r>
      <w:r w:rsidRPr="008E693E">
        <w:t xml:space="preserve"> means:</w:t>
      </w:r>
    </w:p>
    <w:p w:rsidR="00B61B26" w:rsidRPr="008E693E" w:rsidRDefault="00B61B26" w:rsidP="00B61B26">
      <w:pPr>
        <w:pStyle w:val="paragraph"/>
      </w:pPr>
      <w:r w:rsidRPr="008E693E">
        <w:tab/>
        <w:t xml:space="preserve">(a) </w:t>
      </w:r>
      <w:r w:rsidRPr="008E693E">
        <w:tab/>
        <w:t>a device for lowering the temperature of water or other liquid by evaporative cooling; and</w:t>
      </w:r>
    </w:p>
    <w:p w:rsidR="00B61B26" w:rsidRPr="008E693E" w:rsidRDefault="00B61B26" w:rsidP="00B61B26">
      <w:pPr>
        <w:pStyle w:val="paragraph"/>
      </w:pPr>
      <w:r w:rsidRPr="008E693E">
        <w:tab/>
        <w:t>(b)</w:t>
      </w:r>
      <w:r w:rsidRPr="008E693E">
        <w:tab/>
        <w:t>an evaporative condenser that incorporates a device containing a refrigerant or heat exchanger.</w:t>
      </w:r>
    </w:p>
    <w:p w:rsidR="00B61B26" w:rsidRPr="008E693E" w:rsidRDefault="00B61B26" w:rsidP="00B61B26">
      <w:pPr>
        <w:pStyle w:val="Definition"/>
      </w:pPr>
      <w:r w:rsidRPr="008E693E">
        <w:rPr>
          <w:b/>
          <w:i/>
        </w:rPr>
        <w:t>open water cooling system</w:t>
      </w:r>
      <w:r w:rsidRPr="008E693E">
        <w:t xml:space="preserve"> means a water cooling system through which water flows once with no recirculation.</w:t>
      </w:r>
    </w:p>
    <w:p w:rsidR="00B61B26" w:rsidRPr="008E693E" w:rsidRDefault="00B61B26" w:rsidP="00B61B26">
      <w:pPr>
        <w:pStyle w:val="Definition"/>
      </w:pPr>
      <w:r w:rsidRPr="008E693E">
        <w:rPr>
          <w:b/>
          <w:i/>
        </w:rPr>
        <w:t xml:space="preserve">ore extraction and processing </w:t>
      </w:r>
      <w:r w:rsidRPr="008E693E">
        <w:t>means the crushing and separating of ore into valuable substances or waste.</w:t>
      </w:r>
    </w:p>
    <w:p w:rsidR="00B61B26" w:rsidRPr="008E693E" w:rsidRDefault="00B61B26" w:rsidP="00B61B26">
      <w:pPr>
        <w:pStyle w:val="Definition"/>
      </w:pPr>
      <w:r w:rsidRPr="008E693E">
        <w:rPr>
          <w:b/>
          <w:i/>
        </w:rPr>
        <w:t>sewage</w:t>
      </w:r>
      <w:r w:rsidRPr="008E693E">
        <w:t xml:space="preserve"> means waste matter, including, but not limited to, household waste liquid from toilets, baths, showers, kitchens and sinks, that is disposed of using sewers.</w:t>
      </w:r>
    </w:p>
    <w:p w:rsidR="00B61B26" w:rsidRPr="008E693E" w:rsidRDefault="00B61B26" w:rsidP="00B61B26">
      <w:pPr>
        <w:pStyle w:val="Definition"/>
      </w:pPr>
      <w:r w:rsidRPr="008E693E">
        <w:rPr>
          <w:b/>
          <w:i/>
        </w:rPr>
        <w:t xml:space="preserve">sewage treatment </w:t>
      </w:r>
      <w:r w:rsidRPr="008E693E">
        <w:t>means the physical, chemical and biological processes applied to sewage to remove physical, chemical and biological contaminants to produce wastewater, and a solid waste or sludge, suitable for disposal or re</w:t>
      </w:r>
      <w:r w:rsidR="008E693E">
        <w:noBreakHyphen/>
      </w:r>
      <w:r w:rsidRPr="008E693E">
        <w:t>use in the environment.</w:t>
      </w:r>
    </w:p>
    <w:p w:rsidR="00B61B26" w:rsidRPr="008E693E" w:rsidRDefault="00B61B26" w:rsidP="00B61B26">
      <w:pPr>
        <w:pStyle w:val="Definition"/>
      </w:pPr>
      <w:r w:rsidRPr="008E693E">
        <w:rPr>
          <w:b/>
          <w:i/>
        </w:rPr>
        <w:t>wastewater</w:t>
      </w:r>
      <w:r w:rsidRPr="008E693E">
        <w:t xml:space="preserve"> means the water remaining at the end of sewage treatment that may be released into the environment for re</w:t>
      </w:r>
      <w:r w:rsidR="008E693E">
        <w:noBreakHyphen/>
      </w:r>
      <w:r w:rsidRPr="008E693E">
        <w:t>use.</w:t>
      </w:r>
    </w:p>
    <w:p w:rsidR="00B61B26" w:rsidRPr="008E693E" w:rsidRDefault="00B61B26" w:rsidP="00B61B26">
      <w:pPr>
        <w:pStyle w:val="Definition"/>
      </w:pPr>
      <w:r w:rsidRPr="008E693E">
        <w:rPr>
          <w:b/>
          <w:i/>
        </w:rPr>
        <w:lastRenderedPageBreak/>
        <w:t>water cooling system</w:t>
      </w:r>
      <w:r w:rsidRPr="008E693E">
        <w:t xml:space="preserve"> means a cooling tower and its associated equipment and pipe work.</w:t>
      </w:r>
    </w:p>
    <w:p w:rsidR="00B61B26" w:rsidRPr="008E693E" w:rsidRDefault="000D0C5E" w:rsidP="00B61B26">
      <w:pPr>
        <w:pStyle w:val="ItemHead"/>
        <w:rPr>
          <w:rFonts w:cs="Arial"/>
          <w:noProof/>
        </w:rPr>
      </w:pPr>
      <w:r w:rsidRPr="008E693E">
        <w:rPr>
          <w:rFonts w:cs="Arial"/>
          <w:noProof/>
        </w:rPr>
        <w:t>24</w:t>
      </w:r>
      <w:r w:rsidR="00B61B26" w:rsidRPr="008E693E">
        <w:rPr>
          <w:rFonts w:cs="Arial"/>
          <w:noProof/>
        </w:rPr>
        <w:t xml:space="preserve">  Part</w:t>
      </w:r>
      <w:r w:rsidR="008E693E" w:rsidRPr="008E693E">
        <w:rPr>
          <w:rFonts w:cs="Arial"/>
          <w:noProof/>
        </w:rPr>
        <w:t> </w:t>
      </w:r>
      <w:r w:rsidR="00B61B26" w:rsidRPr="008E693E">
        <w:rPr>
          <w:rFonts w:cs="Arial"/>
          <w:noProof/>
        </w:rPr>
        <w:t>2 of Schedule</w:t>
      </w:r>
      <w:r w:rsidR="008E693E" w:rsidRPr="008E693E">
        <w:rPr>
          <w:rFonts w:cs="Arial"/>
          <w:noProof/>
        </w:rPr>
        <w:t> </w:t>
      </w:r>
      <w:r w:rsidR="00B61B26" w:rsidRPr="008E693E">
        <w:rPr>
          <w:rFonts w:cs="Arial"/>
          <w:noProof/>
        </w:rPr>
        <w:t>3 (</w:t>
      </w:r>
      <w:r w:rsidR="009C48EA" w:rsidRPr="008E693E">
        <w:rPr>
          <w:rFonts w:cs="Arial"/>
          <w:noProof/>
        </w:rPr>
        <w:t>at the end of the table</w:t>
      </w:r>
      <w:r w:rsidR="00B61B26" w:rsidRPr="008E693E">
        <w:rPr>
          <w:rFonts w:cs="Arial"/>
          <w:noProof/>
        </w:rPr>
        <w:t>)</w:t>
      </w:r>
    </w:p>
    <w:p w:rsidR="00B61B26" w:rsidRPr="008E693E" w:rsidRDefault="009C48EA" w:rsidP="00B61B26">
      <w:pPr>
        <w:pStyle w:val="Item"/>
      </w:pPr>
      <w:r w:rsidRPr="008E693E">
        <w:t>Add</w:t>
      </w:r>
      <w:r w:rsidR="00B61B26" w:rsidRPr="008E693E">
        <w:t>:</w:t>
      </w:r>
    </w:p>
    <w:tbl>
      <w:tblPr>
        <w:tblW w:w="7069" w:type="dxa"/>
        <w:tblInd w:w="122" w:type="dxa"/>
        <w:tblLayout w:type="fixed"/>
        <w:tblLook w:val="0000" w:firstRow="0" w:lastRow="0" w:firstColumn="0" w:lastColumn="0" w:noHBand="0" w:noVBand="0"/>
      </w:tblPr>
      <w:tblGrid>
        <w:gridCol w:w="630"/>
        <w:gridCol w:w="6439"/>
      </w:tblGrid>
      <w:tr w:rsidR="00CA1FC4" w:rsidRPr="008E693E" w:rsidTr="008B5AAA">
        <w:tc>
          <w:tcPr>
            <w:tcW w:w="630" w:type="dxa"/>
            <w:shd w:val="clear" w:color="auto" w:fill="auto"/>
          </w:tcPr>
          <w:p w:rsidR="00B61B26" w:rsidRPr="008E693E" w:rsidRDefault="00B61B26" w:rsidP="008B5AAA">
            <w:pPr>
              <w:pStyle w:val="Tabletext"/>
            </w:pPr>
            <w:r w:rsidRPr="008E693E">
              <w:t>6</w:t>
            </w:r>
          </w:p>
        </w:tc>
        <w:tc>
          <w:tcPr>
            <w:tcW w:w="6439" w:type="dxa"/>
            <w:shd w:val="clear" w:color="auto" w:fill="auto"/>
          </w:tcPr>
          <w:p w:rsidR="00B61B26" w:rsidRPr="008E693E" w:rsidRDefault="00B61B26" w:rsidP="00755380">
            <w:pPr>
              <w:pStyle w:val="Tabletext"/>
            </w:pPr>
            <w:r w:rsidRPr="008E693E">
              <w:t xml:space="preserve">Parts of a vertebrate animal, material produced from a vertebrate animal or matter the production of which involves the use of a vertebrate animal, if represented supplied or used for a purpose mentioned in </w:t>
            </w:r>
            <w:r w:rsidR="00755380" w:rsidRPr="008E693E">
              <w:t>subsection</w:t>
            </w:r>
            <w:r w:rsidR="008E693E" w:rsidRPr="008E693E">
              <w:t> </w:t>
            </w:r>
            <w:r w:rsidRPr="008E693E">
              <w:t>4(2) of the Code</w:t>
            </w:r>
          </w:p>
        </w:tc>
      </w:tr>
    </w:tbl>
    <w:p w:rsidR="00B61B26" w:rsidRPr="008E693E" w:rsidRDefault="000D0C5E" w:rsidP="00B61B26">
      <w:pPr>
        <w:pStyle w:val="ItemHead"/>
        <w:rPr>
          <w:rFonts w:cs="Arial"/>
        </w:rPr>
      </w:pPr>
      <w:r w:rsidRPr="008E693E">
        <w:rPr>
          <w:rFonts w:cs="Arial"/>
        </w:rPr>
        <w:t>25</w:t>
      </w:r>
      <w:r w:rsidR="00B61B26" w:rsidRPr="008E693E">
        <w:rPr>
          <w:rFonts w:cs="Arial"/>
        </w:rPr>
        <w:t xml:space="preserve">  Part</w:t>
      </w:r>
      <w:r w:rsidR="008E693E" w:rsidRPr="008E693E">
        <w:rPr>
          <w:rFonts w:cs="Arial"/>
        </w:rPr>
        <w:t> </w:t>
      </w:r>
      <w:r w:rsidR="00B61B26" w:rsidRPr="008E693E">
        <w:rPr>
          <w:rFonts w:cs="Arial"/>
        </w:rPr>
        <w:t>3 of Schedule</w:t>
      </w:r>
      <w:r w:rsidR="008E693E" w:rsidRPr="008E693E">
        <w:rPr>
          <w:rFonts w:cs="Arial"/>
        </w:rPr>
        <w:t> </w:t>
      </w:r>
      <w:r w:rsidR="00B61B26" w:rsidRPr="008E693E">
        <w:rPr>
          <w:rFonts w:cs="Arial"/>
        </w:rPr>
        <w:t>3 (a</w:t>
      </w:r>
      <w:r w:rsidR="009C48EA" w:rsidRPr="008E693E">
        <w:rPr>
          <w:rFonts w:cs="Arial"/>
        </w:rPr>
        <w:t xml:space="preserve">t the end of the </w:t>
      </w:r>
      <w:r w:rsidR="00B61B26" w:rsidRPr="008E693E">
        <w:rPr>
          <w:rFonts w:cs="Arial"/>
        </w:rPr>
        <w:t>table)</w:t>
      </w:r>
    </w:p>
    <w:p w:rsidR="00B61B26" w:rsidRPr="008E693E" w:rsidRDefault="009C48EA" w:rsidP="00B61B26">
      <w:pPr>
        <w:pStyle w:val="Item"/>
      </w:pPr>
      <w:r w:rsidRPr="008E693E">
        <w:t>Add</w:t>
      </w:r>
      <w:r w:rsidR="00B61B26" w:rsidRPr="008E693E">
        <w:t>:</w:t>
      </w:r>
    </w:p>
    <w:p w:rsidR="00B61B26" w:rsidRPr="008E693E" w:rsidRDefault="00B61B26" w:rsidP="00B61B26">
      <w:pPr>
        <w:pStyle w:val="Tabletext"/>
      </w:pPr>
    </w:p>
    <w:tbl>
      <w:tblPr>
        <w:tblW w:w="7069" w:type="dxa"/>
        <w:tblInd w:w="12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6439"/>
      </w:tblGrid>
      <w:tr w:rsidR="00CA1FC4" w:rsidRPr="008E693E" w:rsidTr="00076C3F">
        <w:tc>
          <w:tcPr>
            <w:tcW w:w="630" w:type="dxa"/>
            <w:tcBorders>
              <w:top w:val="nil"/>
              <w:bottom w:val="single" w:sz="4" w:space="0" w:color="auto"/>
            </w:tcBorders>
            <w:shd w:val="clear" w:color="auto" w:fill="auto"/>
          </w:tcPr>
          <w:p w:rsidR="00B61B26" w:rsidRPr="008E693E" w:rsidRDefault="00B61B26" w:rsidP="008B5AAA">
            <w:pPr>
              <w:pStyle w:val="Tabletext"/>
            </w:pPr>
            <w:r w:rsidRPr="008E693E">
              <w:t>20</w:t>
            </w:r>
          </w:p>
        </w:tc>
        <w:tc>
          <w:tcPr>
            <w:tcW w:w="6439" w:type="dxa"/>
            <w:tcBorders>
              <w:top w:val="nil"/>
              <w:bottom w:val="single" w:sz="4" w:space="0" w:color="auto"/>
            </w:tcBorders>
            <w:shd w:val="clear" w:color="auto" w:fill="auto"/>
          </w:tcPr>
          <w:p w:rsidR="00B61B26" w:rsidRPr="008E693E" w:rsidRDefault="00B61B26" w:rsidP="008B5AAA">
            <w:pPr>
              <w:pStyle w:val="Tabletext"/>
            </w:pPr>
            <w:r w:rsidRPr="008E693E">
              <w:t>Biocides used to control organisms in air conditioning or water</w:t>
            </w:r>
            <w:r w:rsidR="008E693E">
              <w:noBreakHyphen/>
            </w:r>
            <w:r w:rsidRPr="008E693E">
              <w:t>cooling systems, other than open water</w:t>
            </w:r>
            <w:r w:rsidR="008E693E">
              <w:noBreakHyphen/>
            </w:r>
            <w:r w:rsidRPr="008E693E">
              <w:t>cooling systems through which water flows once with no recirculation</w:t>
            </w:r>
          </w:p>
        </w:tc>
      </w:tr>
      <w:tr w:rsidR="00CA1FC4" w:rsidRPr="008E693E" w:rsidTr="00076C3F">
        <w:tc>
          <w:tcPr>
            <w:tcW w:w="630" w:type="dxa"/>
            <w:tcBorders>
              <w:top w:val="single" w:sz="4" w:space="0" w:color="auto"/>
            </w:tcBorders>
            <w:shd w:val="clear" w:color="auto" w:fill="auto"/>
          </w:tcPr>
          <w:p w:rsidR="00B61B26" w:rsidRPr="008E693E" w:rsidRDefault="00B61B26" w:rsidP="008B5AAA">
            <w:pPr>
              <w:pStyle w:val="Tabletext"/>
            </w:pPr>
            <w:r w:rsidRPr="008E693E">
              <w:t>21</w:t>
            </w:r>
          </w:p>
        </w:tc>
        <w:tc>
          <w:tcPr>
            <w:tcW w:w="6439" w:type="dxa"/>
            <w:tcBorders>
              <w:top w:val="single" w:sz="4" w:space="0" w:color="auto"/>
            </w:tcBorders>
            <w:shd w:val="clear" w:color="auto" w:fill="auto"/>
          </w:tcPr>
          <w:p w:rsidR="00B61B26" w:rsidRPr="008E693E" w:rsidRDefault="00B61B26" w:rsidP="008B5AAA">
            <w:pPr>
              <w:pStyle w:val="Tabletext"/>
            </w:pPr>
            <w:r w:rsidRPr="008E693E">
              <w:t>Biocides used in sewage treatment to control organisms in sewage and wastewater</w:t>
            </w:r>
          </w:p>
        </w:tc>
      </w:tr>
      <w:tr w:rsidR="00CA1FC4" w:rsidRPr="008E693E" w:rsidTr="00076C3F">
        <w:tc>
          <w:tcPr>
            <w:tcW w:w="630" w:type="dxa"/>
            <w:shd w:val="clear" w:color="auto" w:fill="auto"/>
          </w:tcPr>
          <w:p w:rsidR="00B61B26" w:rsidRPr="008E693E" w:rsidRDefault="00B61B26" w:rsidP="008B5AAA">
            <w:pPr>
              <w:pStyle w:val="Tabletext"/>
            </w:pPr>
            <w:r w:rsidRPr="008E693E">
              <w:t>22</w:t>
            </w:r>
          </w:p>
        </w:tc>
        <w:tc>
          <w:tcPr>
            <w:tcW w:w="6439" w:type="dxa"/>
            <w:shd w:val="clear" w:color="auto" w:fill="auto"/>
          </w:tcPr>
          <w:p w:rsidR="00B61B26" w:rsidRPr="008E693E" w:rsidRDefault="00B61B26" w:rsidP="008B5AAA">
            <w:pPr>
              <w:pStyle w:val="Tabletext"/>
            </w:pPr>
            <w:r w:rsidRPr="008E693E">
              <w:t>Biocides used to control organisms in water effluent from ore extraction and processing</w:t>
            </w:r>
          </w:p>
        </w:tc>
      </w:tr>
      <w:tr w:rsidR="00CA1FC4" w:rsidRPr="008E693E" w:rsidTr="00076C3F">
        <w:tc>
          <w:tcPr>
            <w:tcW w:w="630" w:type="dxa"/>
            <w:tcBorders>
              <w:bottom w:val="single" w:sz="4" w:space="0" w:color="auto"/>
            </w:tcBorders>
            <w:shd w:val="clear" w:color="auto" w:fill="auto"/>
          </w:tcPr>
          <w:p w:rsidR="00B61B26" w:rsidRPr="008E693E" w:rsidRDefault="00B61B26" w:rsidP="008B5AAA">
            <w:pPr>
              <w:pStyle w:val="Tabletext"/>
            </w:pPr>
            <w:r w:rsidRPr="008E693E">
              <w:t>23</w:t>
            </w:r>
          </w:p>
        </w:tc>
        <w:tc>
          <w:tcPr>
            <w:tcW w:w="6439" w:type="dxa"/>
            <w:tcBorders>
              <w:bottom w:val="single" w:sz="4" w:space="0" w:color="auto"/>
            </w:tcBorders>
            <w:shd w:val="clear" w:color="auto" w:fill="auto"/>
          </w:tcPr>
          <w:p w:rsidR="00B61B26" w:rsidRPr="008E693E" w:rsidRDefault="00B61B26" w:rsidP="008B5AAA">
            <w:pPr>
              <w:pStyle w:val="Tabletext"/>
            </w:pPr>
            <w:r w:rsidRPr="008E693E">
              <w:t>Biocides to control organisms in water, used for the purpose of maintaining equipment associated with the extraction of coal seam gas in serviceable condition</w:t>
            </w:r>
          </w:p>
        </w:tc>
      </w:tr>
      <w:tr w:rsidR="00CA1FC4" w:rsidRPr="008E693E" w:rsidTr="00076C3F">
        <w:tc>
          <w:tcPr>
            <w:tcW w:w="630" w:type="dxa"/>
            <w:tcBorders>
              <w:bottom w:val="nil"/>
            </w:tcBorders>
            <w:shd w:val="clear" w:color="auto" w:fill="auto"/>
          </w:tcPr>
          <w:p w:rsidR="00B61B26" w:rsidRPr="008E693E" w:rsidRDefault="00B61B26" w:rsidP="008B5AAA">
            <w:pPr>
              <w:pStyle w:val="Tabletext"/>
            </w:pPr>
            <w:r w:rsidRPr="008E693E">
              <w:t>24</w:t>
            </w:r>
          </w:p>
        </w:tc>
        <w:tc>
          <w:tcPr>
            <w:tcW w:w="6439" w:type="dxa"/>
            <w:tcBorders>
              <w:bottom w:val="nil"/>
            </w:tcBorders>
            <w:shd w:val="clear" w:color="auto" w:fill="auto"/>
          </w:tcPr>
          <w:p w:rsidR="00B61B26" w:rsidRPr="008E693E" w:rsidRDefault="00B61B26" w:rsidP="00755380">
            <w:pPr>
              <w:pStyle w:val="Tabletext"/>
            </w:pPr>
            <w:r w:rsidRPr="008E693E">
              <w:t xml:space="preserve">Whole vertebrate animals if represented, supplied or used for a purpose mentioned in </w:t>
            </w:r>
            <w:r w:rsidR="00755380" w:rsidRPr="008E693E">
              <w:t>subsection</w:t>
            </w:r>
            <w:r w:rsidR="008E693E" w:rsidRPr="008E693E">
              <w:t> </w:t>
            </w:r>
            <w:r w:rsidRPr="008E693E">
              <w:t>4(2) of the Code</w:t>
            </w:r>
          </w:p>
        </w:tc>
      </w:tr>
    </w:tbl>
    <w:p w:rsidR="00B61B26" w:rsidRPr="008E693E" w:rsidRDefault="000D0C5E" w:rsidP="00B61B26">
      <w:pPr>
        <w:pStyle w:val="ItemHead"/>
        <w:rPr>
          <w:rFonts w:cs="Arial"/>
          <w:noProof/>
        </w:rPr>
      </w:pPr>
      <w:r w:rsidRPr="008E693E">
        <w:rPr>
          <w:rFonts w:cs="Arial"/>
          <w:noProof/>
        </w:rPr>
        <w:t>26</w:t>
      </w:r>
      <w:r w:rsidR="00B61B26" w:rsidRPr="008E693E">
        <w:rPr>
          <w:rFonts w:cs="Arial"/>
          <w:noProof/>
        </w:rPr>
        <w:t xml:space="preserve">  Part</w:t>
      </w:r>
      <w:r w:rsidR="008E693E" w:rsidRPr="008E693E">
        <w:rPr>
          <w:rFonts w:cs="Arial"/>
          <w:noProof/>
        </w:rPr>
        <w:t> </w:t>
      </w:r>
      <w:r w:rsidR="00B61B26" w:rsidRPr="008E693E">
        <w:rPr>
          <w:rFonts w:cs="Arial"/>
          <w:noProof/>
        </w:rPr>
        <w:t>2 of Schedule</w:t>
      </w:r>
      <w:r w:rsidR="008E693E" w:rsidRPr="008E693E">
        <w:rPr>
          <w:rFonts w:cs="Arial"/>
          <w:noProof/>
        </w:rPr>
        <w:t> </w:t>
      </w:r>
      <w:r w:rsidR="00B61B26" w:rsidRPr="008E693E">
        <w:rPr>
          <w:rFonts w:cs="Arial"/>
          <w:noProof/>
        </w:rPr>
        <w:t>3AA (</w:t>
      </w:r>
      <w:r w:rsidR="009C48EA" w:rsidRPr="008E693E">
        <w:rPr>
          <w:rFonts w:cs="Arial"/>
          <w:noProof/>
        </w:rPr>
        <w:t xml:space="preserve">at the end of the </w:t>
      </w:r>
      <w:r w:rsidR="00B61B26" w:rsidRPr="008E693E">
        <w:rPr>
          <w:rFonts w:cs="Arial"/>
          <w:noProof/>
        </w:rPr>
        <w:t>table)</w:t>
      </w:r>
    </w:p>
    <w:p w:rsidR="00B61B26" w:rsidRPr="008E693E" w:rsidRDefault="009C48EA" w:rsidP="00B61B26">
      <w:pPr>
        <w:pStyle w:val="Item"/>
      </w:pPr>
      <w:r w:rsidRPr="008E693E">
        <w:t>Add</w:t>
      </w:r>
      <w:r w:rsidR="00B61B26" w:rsidRPr="008E693E">
        <w:t>:</w:t>
      </w:r>
    </w:p>
    <w:tbl>
      <w:tblPr>
        <w:tblW w:w="7069" w:type="dxa"/>
        <w:tblInd w:w="122" w:type="dxa"/>
        <w:tblLayout w:type="fixed"/>
        <w:tblLook w:val="0000" w:firstRow="0" w:lastRow="0" w:firstColumn="0" w:lastColumn="0" w:noHBand="0" w:noVBand="0"/>
      </w:tblPr>
      <w:tblGrid>
        <w:gridCol w:w="630"/>
        <w:gridCol w:w="6439"/>
      </w:tblGrid>
      <w:tr w:rsidR="00CA1FC4" w:rsidRPr="008E693E" w:rsidTr="008B5AAA">
        <w:tc>
          <w:tcPr>
            <w:tcW w:w="630" w:type="dxa"/>
            <w:shd w:val="clear" w:color="auto" w:fill="auto"/>
          </w:tcPr>
          <w:p w:rsidR="00B61B26" w:rsidRPr="008E693E" w:rsidRDefault="00B61B26" w:rsidP="008B5AAA">
            <w:pPr>
              <w:pStyle w:val="Tabletext"/>
            </w:pPr>
            <w:r w:rsidRPr="008E693E">
              <w:t>8</w:t>
            </w:r>
          </w:p>
        </w:tc>
        <w:tc>
          <w:tcPr>
            <w:tcW w:w="6439" w:type="dxa"/>
            <w:shd w:val="clear" w:color="auto" w:fill="auto"/>
          </w:tcPr>
          <w:p w:rsidR="00B61B26" w:rsidRPr="008E693E" w:rsidRDefault="00B61B26" w:rsidP="00755380">
            <w:pPr>
              <w:pStyle w:val="Tabletext"/>
            </w:pPr>
            <w:r w:rsidRPr="008E693E">
              <w:t xml:space="preserve">Parts of a vertebrate animal, material produced from a vertebrate animal or matter the production of which involves the use of a vertebrate animal, if represented supplied or used for a purpose mentioned in </w:t>
            </w:r>
            <w:r w:rsidR="00755380" w:rsidRPr="008E693E">
              <w:t>subsection</w:t>
            </w:r>
            <w:r w:rsidR="008E693E" w:rsidRPr="008E693E">
              <w:t> </w:t>
            </w:r>
            <w:r w:rsidRPr="008E693E">
              <w:t>5(2) of the Code</w:t>
            </w:r>
          </w:p>
        </w:tc>
      </w:tr>
    </w:tbl>
    <w:p w:rsidR="00B61B26" w:rsidRPr="008E693E" w:rsidRDefault="000D0C5E" w:rsidP="00B61B26">
      <w:pPr>
        <w:pStyle w:val="ItemHead"/>
        <w:rPr>
          <w:rFonts w:cs="Arial"/>
          <w:noProof/>
        </w:rPr>
      </w:pPr>
      <w:r w:rsidRPr="008E693E">
        <w:rPr>
          <w:rFonts w:cs="Arial"/>
          <w:noProof/>
        </w:rPr>
        <w:t>27</w:t>
      </w:r>
      <w:r w:rsidR="00B61B26" w:rsidRPr="008E693E">
        <w:rPr>
          <w:rFonts w:cs="Arial"/>
          <w:noProof/>
        </w:rPr>
        <w:t xml:space="preserve">  Part</w:t>
      </w:r>
      <w:r w:rsidR="008E693E" w:rsidRPr="008E693E">
        <w:rPr>
          <w:rFonts w:cs="Arial"/>
          <w:noProof/>
        </w:rPr>
        <w:t> </w:t>
      </w:r>
      <w:r w:rsidR="00B61B26" w:rsidRPr="008E693E">
        <w:rPr>
          <w:rFonts w:cs="Arial"/>
          <w:noProof/>
        </w:rPr>
        <w:t>3 of Schedule</w:t>
      </w:r>
      <w:r w:rsidR="008E693E" w:rsidRPr="008E693E">
        <w:rPr>
          <w:rFonts w:cs="Arial"/>
          <w:noProof/>
        </w:rPr>
        <w:t> </w:t>
      </w:r>
      <w:r w:rsidR="00B61B26" w:rsidRPr="008E693E">
        <w:rPr>
          <w:rFonts w:cs="Arial"/>
          <w:noProof/>
        </w:rPr>
        <w:t>3AA (table item</w:t>
      </w:r>
      <w:r w:rsidR="008E693E" w:rsidRPr="008E693E">
        <w:rPr>
          <w:rFonts w:cs="Arial"/>
          <w:noProof/>
        </w:rPr>
        <w:t> </w:t>
      </w:r>
      <w:r w:rsidR="00B61B26" w:rsidRPr="008E693E">
        <w:rPr>
          <w:rFonts w:cs="Arial"/>
          <w:noProof/>
        </w:rPr>
        <w:t>8)</w:t>
      </w:r>
    </w:p>
    <w:p w:rsidR="00B61B26" w:rsidRPr="008E693E" w:rsidRDefault="00B61B26" w:rsidP="00B61B26">
      <w:pPr>
        <w:pStyle w:val="Item"/>
      </w:pPr>
      <w:r w:rsidRPr="008E693E">
        <w:t>Omit “blood and stem cell products”, substitute “blood, blood products, stem cells or stem cell products”.</w:t>
      </w:r>
    </w:p>
    <w:p w:rsidR="00B61B26" w:rsidRPr="008E693E" w:rsidRDefault="000D0C5E" w:rsidP="00B61B26">
      <w:pPr>
        <w:pStyle w:val="ItemHead"/>
        <w:rPr>
          <w:rFonts w:cs="Arial"/>
        </w:rPr>
      </w:pPr>
      <w:r w:rsidRPr="008E693E">
        <w:rPr>
          <w:rFonts w:cs="Arial"/>
        </w:rPr>
        <w:lastRenderedPageBreak/>
        <w:t>28</w:t>
      </w:r>
      <w:r w:rsidR="00B61B26" w:rsidRPr="008E693E">
        <w:rPr>
          <w:rFonts w:cs="Arial"/>
        </w:rPr>
        <w:t xml:space="preserve">  Part</w:t>
      </w:r>
      <w:r w:rsidR="008E693E" w:rsidRPr="008E693E">
        <w:rPr>
          <w:rFonts w:cs="Arial"/>
        </w:rPr>
        <w:t> </w:t>
      </w:r>
      <w:r w:rsidR="00B61B26" w:rsidRPr="008E693E">
        <w:rPr>
          <w:rFonts w:cs="Arial"/>
        </w:rPr>
        <w:t>3 of Schedule</w:t>
      </w:r>
      <w:r w:rsidR="008E693E" w:rsidRPr="008E693E">
        <w:rPr>
          <w:rFonts w:cs="Arial"/>
        </w:rPr>
        <w:t> </w:t>
      </w:r>
      <w:r w:rsidR="00B61B26" w:rsidRPr="008E693E">
        <w:rPr>
          <w:rFonts w:cs="Arial"/>
        </w:rPr>
        <w:t>3AA (a</w:t>
      </w:r>
      <w:r w:rsidR="009C48EA" w:rsidRPr="008E693E">
        <w:rPr>
          <w:rFonts w:cs="Arial"/>
        </w:rPr>
        <w:t>t the end of the table</w:t>
      </w:r>
      <w:r w:rsidR="00B61B26" w:rsidRPr="008E693E">
        <w:rPr>
          <w:rFonts w:cs="Arial"/>
        </w:rPr>
        <w:t>)</w:t>
      </w:r>
    </w:p>
    <w:p w:rsidR="00B61B26" w:rsidRPr="008E693E" w:rsidRDefault="009C48EA" w:rsidP="00B61B26">
      <w:pPr>
        <w:pStyle w:val="Item"/>
      </w:pPr>
      <w:r w:rsidRPr="008E693E">
        <w:t>Add</w:t>
      </w:r>
      <w:r w:rsidR="00B61B26" w:rsidRPr="008E693E">
        <w:t>:</w:t>
      </w:r>
    </w:p>
    <w:p w:rsidR="00B61B26" w:rsidRPr="008E693E" w:rsidRDefault="00B61B26" w:rsidP="00B61B26">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6379"/>
      </w:tblGrid>
      <w:tr w:rsidR="00CA1FC4" w:rsidRPr="008E693E" w:rsidTr="00076C3F">
        <w:tc>
          <w:tcPr>
            <w:tcW w:w="709" w:type="dxa"/>
            <w:tcBorders>
              <w:top w:val="nil"/>
              <w:bottom w:val="single" w:sz="4" w:space="0" w:color="auto"/>
            </w:tcBorders>
            <w:shd w:val="clear" w:color="auto" w:fill="auto"/>
          </w:tcPr>
          <w:p w:rsidR="00B61B26" w:rsidRPr="008E693E" w:rsidRDefault="00B61B26" w:rsidP="008B5AAA">
            <w:pPr>
              <w:pStyle w:val="Tabletext"/>
            </w:pPr>
            <w:r w:rsidRPr="008E693E">
              <w:t>10</w:t>
            </w:r>
          </w:p>
        </w:tc>
        <w:tc>
          <w:tcPr>
            <w:tcW w:w="6379" w:type="dxa"/>
            <w:tcBorders>
              <w:top w:val="nil"/>
              <w:bottom w:val="single" w:sz="4" w:space="0" w:color="auto"/>
            </w:tcBorders>
            <w:shd w:val="clear" w:color="auto" w:fill="auto"/>
          </w:tcPr>
          <w:p w:rsidR="00B61B26" w:rsidRPr="008E693E" w:rsidRDefault="00B61B26" w:rsidP="008B5AAA">
            <w:pPr>
              <w:pStyle w:val="Tabletext"/>
            </w:pPr>
            <w:r w:rsidRPr="008E693E">
              <w:t>Any product for topical application to an animal to act as a lubricant, that:</w:t>
            </w:r>
          </w:p>
          <w:p w:rsidR="00B61B26" w:rsidRPr="008E693E" w:rsidRDefault="00B61B26" w:rsidP="008B5AAA">
            <w:pPr>
              <w:pStyle w:val="Tablea"/>
            </w:pPr>
            <w:r w:rsidRPr="008E693E">
              <w:t>(a) is chemically inert; and</w:t>
            </w:r>
          </w:p>
          <w:p w:rsidR="00B61B26" w:rsidRPr="008E693E" w:rsidRDefault="00B61B26" w:rsidP="008B5AAA">
            <w:pPr>
              <w:pStyle w:val="Tablea"/>
            </w:pPr>
            <w:r w:rsidRPr="008E693E">
              <w:t>(b) does not act by biochemical means; and</w:t>
            </w:r>
          </w:p>
          <w:p w:rsidR="00B61B26" w:rsidRPr="008E693E" w:rsidRDefault="00B61B26" w:rsidP="008B5AAA">
            <w:pPr>
              <w:pStyle w:val="Tablea"/>
            </w:pPr>
            <w:r w:rsidRPr="008E693E">
              <w:t>(c) is not a teat sealant; and</w:t>
            </w:r>
          </w:p>
          <w:p w:rsidR="00B61B26" w:rsidRPr="008E693E" w:rsidRDefault="00B61B26" w:rsidP="008B5AAA">
            <w:pPr>
              <w:pStyle w:val="Tablea"/>
            </w:pPr>
            <w:r w:rsidRPr="008E693E">
              <w:t>(d) contains no antiseptic, antimicrobial, antibiotic or other active constituent; and</w:t>
            </w:r>
          </w:p>
          <w:p w:rsidR="00B61B26" w:rsidRPr="008E693E" w:rsidRDefault="00B61B26" w:rsidP="008B5AAA">
            <w:pPr>
              <w:pStyle w:val="Tablea"/>
            </w:pPr>
            <w:r w:rsidRPr="008E693E">
              <w:t>(e) is not claimed to have any effect other than as a lubricant</w:t>
            </w:r>
          </w:p>
        </w:tc>
      </w:tr>
      <w:tr w:rsidR="00CA1FC4" w:rsidRPr="008E693E" w:rsidTr="00076C3F">
        <w:tc>
          <w:tcPr>
            <w:tcW w:w="709" w:type="dxa"/>
            <w:tcBorders>
              <w:top w:val="single" w:sz="4" w:space="0" w:color="auto"/>
              <w:bottom w:val="single" w:sz="4" w:space="0" w:color="auto"/>
            </w:tcBorders>
            <w:shd w:val="clear" w:color="auto" w:fill="auto"/>
          </w:tcPr>
          <w:p w:rsidR="00B61B26" w:rsidRPr="008E693E" w:rsidRDefault="00B61B26" w:rsidP="008B5AAA">
            <w:pPr>
              <w:pStyle w:val="Tabletext"/>
            </w:pPr>
            <w:r w:rsidRPr="008E693E">
              <w:t>11</w:t>
            </w:r>
          </w:p>
        </w:tc>
        <w:tc>
          <w:tcPr>
            <w:tcW w:w="6379" w:type="dxa"/>
            <w:tcBorders>
              <w:top w:val="single" w:sz="4" w:space="0" w:color="auto"/>
              <w:bottom w:val="single" w:sz="4" w:space="0" w:color="auto"/>
            </w:tcBorders>
            <w:shd w:val="clear" w:color="auto" w:fill="auto"/>
          </w:tcPr>
          <w:p w:rsidR="00B61B26" w:rsidRPr="008E693E" w:rsidRDefault="00B61B26" w:rsidP="008B5AAA">
            <w:pPr>
              <w:pStyle w:val="Tabletext"/>
            </w:pPr>
            <w:r w:rsidRPr="008E693E">
              <w:t>Semen, ova or embryos if represented, supplied or used for the purpose of reproduction</w:t>
            </w:r>
          </w:p>
        </w:tc>
      </w:tr>
      <w:tr w:rsidR="00CA1FC4" w:rsidRPr="008E693E" w:rsidTr="00076C3F">
        <w:tc>
          <w:tcPr>
            <w:tcW w:w="709" w:type="dxa"/>
            <w:tcBorders>
              <w:bottom w:val="nil"/>
            </w:tcBorders>
            <w:shd w:val="clear" w:color="auto" w:fill="auto"/>
          </w:tcPr>
          <w:p w:rsidR="00B61B26" w:rsidRPr="008E693E" w:rsidRDefault="00B61B26" w:rsidP="008B5AAA">
            <w:pPr>
              <w:pStyle w:val="Tabletext"/>
            </w:pPr>
            <w:r w:rsidRPr="008E693E">
              <w:t>12</w:t>
            </w:r>
          </w:p>
        </w:tc>
        <w:tc>
          <w:tcPr>
            <w:tcW w:w="6379" w:type="dxa"/>
            <w:tcBorders>
              <w:bottom w:val="nil"/>
            </w:tcBorders>
            <w:shd w:val="clear" w:color="auto" w:fill="auto"/>
          </w:tcPr>
          <w:p w:rsidR="00B61B26" w:rsidRPr="008E693E" w:rsidRDefault="00B61B26" w:rsidP="00755380">
            <w:pPr>
              <w:pStyle w:val="Tabletext"/>
            </w:pPr>
            <w:r w:rsidRPr="008E693E">
              <w:t xml:space="preserve">Whole vertebrate animals if represented, supplied or used for a purpose mentioned in </w:t>
            </w:r>
            <w:r w:rsidR="00755380" w:rsidRPr="008E693E">
              <w:t>subsection</w:t>
            </w:r>
            <w:r w:rsidR="008E693E" w:rsidRPr="008E693E">
              <w:t> </w:t>
            </w:r>
            <w:r w:rsidRPr="008E693E">
              <w:t>5(2) of the Code</w:t>
            </w:r>
          </w:p>
        </w:tc>
      </w:tr>
    </w:tbl>
    <w:p w:rsidR="008F4AFA" w:rsidRPr="008E693E" w:rsidRDefault="000D0C5E" w:rsidP="008F4AFA">
      <w:pPr>
        <w:pStyle w:val="ItemHead"/>
      </w:pPr>
      <w:r w:rsidRPr="008E693E">
        <w:t>29</w:t>
      </w:r>
      <w:r w:rsidR="008F4AFA" w:rsidRPr="008E693E">
        <w:t xml:space="preserve">  </w:t>
      </w:r>
      <w:r w:rsidR="00B42B83" w:rsidRPr="008E693E">
        <w:t>Amendments of listed provisions</w:t>
      </w:r>
    </w:p>
    <w:p w:rsidR="008F4AFA" w:rsidRPr="008E693E" w:rsidRDefault="008F4AFA" w:rsidP="008F4A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CA1FC4" w:rsidRPr="008E693E" w:rsidTr="00076C3F">
        <w:trPr>
          <w:tblHeader/>
        </w:trPr>
        <w:tc>
          <w:tcPr>
            <w:tcW w:w="7086" w:type="dxa"/>
            <w:gridSpan w:val="4"/>
            <w:tcBorders>
              <w:top w:val="single" w:sz="12" w:space="0" w:color="auto"/>
              <w:bottom w:val="single" w:sz="6" w:space="0" w:color="auto"/>
            </w:tcBorders>
            <w:shd w:val="clear" w:color="auto" w:fill="auto"/>
          </w:tcPr>
          <w:p w:rsidR="008F4AFA" w:rsidRPr="008E693E" w:rsidRDefault="00B42B83" w:rsidP="008F4AFA">
            <w:pPr>
              <w:pStyle w:val="TableHeading"/>
            </w:pPr>
            <w:r w:rsidRPr="008E693E">
              <w:t>A</w:t>
            </w:r>
            <w:r w:rsidR="008F4AFA" w:rsidRPr="008E693E">
              <w:t>mendments</w:t>
            </w:r>
            <w:r w:rsidRPr="008E693E">
              <w:t xml:space="preserve"> of listed provisions</w:t>
            </w:r>
          </w:p>
        </w:tc>
      </w:tr>
      <w:tr w:rsidR="00CA1FC4" w:rsidRPr="008E693E" w:rsidTr="00076C3F">
        <w:trPr>
          <w:tblHeader/>
        </w:trPr>
        <w:tc>
          <w:tcPr>
            <w:tcW w:w="714" w:type="dxa"/>
            <w:tcBorders>
              <w:top w:val="single" w:sz="6" w:space="0" w:color="auto"/>
              <w:bottom w:val="single" w:sz="12" w:space="0" w:color="auto"/>
            </w:tcBorders>
            <w:shd w:val="clear" w:color="auto" w:fill="auto"/>
          </w:tcPr>
          <w:p w:rsidR="008F4AFA" w:rsidRPr="008E693E" w:rsidRDefault="008F4AFA" w:rsidP="008F4AFA">
            <w:pPr>
              <w:pStyle w:val="TableHeading"/>
            </w:pPr>
            <w:r w:rsidRPr="008E693E">
              <w:t>Item</w:t>
            </w:r>
          </w:p>
        </w:tc>
        <w:tc>
          <w:tcPr>
            <w:tcW w:w="2124" w:type="dxa"/>
            <w:tcBorders>
              <w:top w:val="single" w:sz="6" w:space="0" w:color="auto"/>
              <w:bottom w:val="single" w:sz="12" w:space="0" w:color="auto"/>
            </w:tcBorders>
            <w:shd w:val="clear" w:color="auto" w:fill="auto"/>
          </w:tcPr>
          <w:p w:rsidR="008F4AFA" w:rsidRPr="008E693E" w:rsidRDefault="008F4AFA" w:rsidP="008F4AFA">
            <w:pPr>
              <w:pStyle w:val="TableHeading"/>
            </w:pPr>
            <w:r w:rsidRPr="008E693E">
              <w:t>Provision</w:t>
            </w:r>
          </w:p>
        </w:tc>
        <w:tc>
          <w:tcPr>
            <w:tcW w:w="2124" w:type="dxa"/>
            <w:tcBorders>
              <w:top w:val="single" w:sz="6" w:space="0" w:color="auto"/>
              <w:bottom w:val="single" w:sz="12" w:space="0" w:color="auto"/>
            </w:tcBorders>
            <w:shd w:val="clear" w:color="auto" w:fill="auto"/>
          </w:tcPr>
          <w:p w:rsidR="008F4AFA" w:rsidRPr="008E693E" w:rsidRDefault="008F4AFA" w:rsidP="00B2516B">
            <w:pPr>
              <w:pStyle w:val="TableHeading"/>
              <w:jc w:val="right"/>
            </w:pPr>
            <w:r w:rsidRPr="008E693E">
              <w:t>Omit</w:t>
            </w:r>
          </w:p>
        </w:tc>
        <w:tc>
          <w:tcPr>
            <w:tcW w:w="2124" w:type="dxa"/>
            <w:tcBorders>
              <w:top w:val="single" w:sz="6" w:space="0" w:color="auto"/>
              <w:bottom w:val="single" w:sz="12" w:space="0" w:color="auto"/>
            </w:tcBorders>
            <w:shd w:val="clear" w:color="auto" w:fill="auto"/>
          </w:tcPr>
          <w:p w:rsidR="008F4AFA" w:rsidRPr="008E693E" w:rsidRDefault="008F4AFA" w:rsidP="00B2516B">
            <w:pPr>
              <w:pStyle w:val="TableHeading"/>
              <w:jc w:val="right"/>
            </w:pPr>
            <w:r w:rsidRPr="008E693E">
              <w:t>Substitute</w:t>
            </w:r>
          </w:p>
        </w:tc>
      </w:tr>
      <w:tr w:rsidR="00CA1FC4" w:rsidRPr="008E693E" w:rsidTr="00076C3F">
        <w:tc>
          <w:tcPr>
            <w:tcW w:w="714" w:type="dxa"/>
            <w:tcBorders>
              <w:top w:val="single" w:sz="12" w:space="0" w:color="auto"/>
            </w:tcBorders>
            <w:shd w:val="clear" w:color="auto" w:fill="auto"/>
          </w:tcPr>
          <w:p w:rsidR="008F4AFA" w:rsidRPr="008E693E" w:rsidRDefault="008F4AFA" w:rsidP="008F4AFA">
            <w:pPr>
              <w:pStyle w:val="Tabletext"/>
            </w:pPr>
            <w:r w:rsidRPr="008E693E">
              <w:t>1</w:t>
            </w:r>
          </w:p>
        </w:tc>
        <w:tc>
          <w:tcPr>
            <w:tcW w:w="2124" w:type="dxa"/>
            <w:tcBorders>
              <w:top w:val="single" w:sz="12" w:space="0" w:color="auto"/>
            </w:tcBorders>
            <w:shd w:val="clear" w:color="auto" w:fill="auto"/>
          </w:tcPr>
          <w:p w:rsidR="008F4AFA" w:rsidRPr="008E693E" w:rsidRDefault="008F4AFA" w:rsidP="008F4AFA">
            <w:pPr>
              <w:pStyle w:val="Tabletext"/>
            </w:pPr>
            <w:r w:rsidRPr="008E693E">
              <w:t>Schedule</w:t>
            </w:r>
            <w:r w:rsidR="008E693E" w:rsidRPr="008E693E">
              <w:t> </w:t>
            </w:r>
            <w:r w:rsidRPr="008E693E">
              <w:t>6, Part</w:t>
            </w:r>
            <w:r w:rsidR="008E693E" w:rsidRPr="008E693E">
              <w:t> </w:t>
            </w:r>
            <w:r w:rsidRPr="008E693E">
              <w:t>2, item</w:t>
            </w:r>
            <w:r w:rsidR="008E693E" w:rsidRPr="008E693E">
              <w:t> </w:t>
            </w:r>
            <w:r w:rsidRPr="008E693E">
              <w:t>1</w:t>
            </w:r>
          </w:p>
        </w:tc>
        <w:tc>
          <w:tcPr>
            <w:tcW w:w="2124" w:type="dxa"/>
            <w:tcBorders>
              <w:top w:val="single" w:sz="12" w:space="0" w:color="auto"/>
            </w:tcBorders>
            <w:shd w:val="clear" w:color="auto" w:fill="auto"/>
          </w:tcPr>
          <w:p w:rsidR="008F4AFA" w:rsidRPr="008E693E" w:rsidRDefault="008F4AFA" w:rsidP="00DF4475">
            <w:pPr>
              <w:pStyle w:val="Tabletext"/>
              <w:jc w:val="right"/>
            </w:pPr>
            <w:r w:rsidRPr="008E693E">
              <w:t>53</w:t>
            </w:r>
            <w:r w:rsidR="008E693E" w:rsidRPr="008E693E">
              <w:t> </w:t>
            </w:r>
            <w:r w:rsidRPr="008E693E">
              <w:t>745</w:t>
            </w:r>
          </w:p>
        </w:tc>
        <w:tc>
          <w:tcPr>
            <w:tcW w:w="2124" w:type="dxa"/>
            <w:tcBorders>
              <w:top w:val="single" w:sz="12" w:space="0" w:color="auto"/>
            </w:tcBorders>
            <w:shd w:val="clear" w:color="auto" w:fill="auto"/>
          </w:tcPr>
          <w:p w:rsidR="008F4AFA" w:rsidRPr="008E693E" w:rsidRDefault="008F4AFA" w:rsidP="00DF4475">
            <w:pPr>
              <w:pStyle w:val="Tabletext"/>
              <w:tabs>
                <w:tab w:val="decimal" w:pos="1120"/>
              </w:tabs>
              <w:jc w:val="right"/>
            </w:pPr>
            <w:r w:rsidRPr="008E693E">
              <w:t>72</w:t>
            </w:r>
            <w:r w:rsidR="008E693E" w:rsidRPr="008E693E">
              <w:t> </w:t>
            </w:r>
            <w:r w:rsidRPr="008E693E">
              <w:t>100</w:t>
            </w:r>
          </w:p>
        </w:tc>
      </w:tr>
      <w:tr w:rsidR="00CA1FC4" w:rsidRPr="008E693E" w:rsidTr="00076C3F">
        <w:tc>
          <w:tcPr>
            <w:tcW w:w="714" w:type="dxa"/>
            <w:shd w:val="clear" w:color="auto" w:fill="auto"/>
          </w:tcPr>
          <w:p w:rsidR="008F4AFA" w:rsidRPr="008E693E" w:rsidRDefault="008F4AFA" w:rsidP="00E14E98">
            <w:pPr>
              <w:pStyle w:val="Tabletext"/>
            </w:pPr>
            <w:r w:rsidRPr="008E693E">
              <w:t>2</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Pr="008E693E">
              <w:t xml:space="preserve">3 </w:t>
            </w:r>
          </w:p>
        </w:tc>
        <w:tc>
          <w:tcPr>
            <w:tcW w:w="2124" w:type="dxa"/>
            <w:shd w:val="clear" w:color="auto" w:fill="auto"/>
          </w:tcPr>
          <w:p w:rsidR="008F4AFA" w:rsidRPr="008E693E" w:rsidRDefault="008F4AFA" w:rsidP="00DF4475">
            <w:pPr>
              <w:pStyle w:val="Tabletext"/>
              <w:jc w:val="right"/>
            </w:pPr>
            <w:r w:rsidRPr="008E693E">
              <w:t>34</w:t>
            </w:r>
            <w:r w:rsidR="008E693E" w:rsidRPr="008E693E">
              <w:t> </w:t>
            </w:r>
            <w:r w:rsidRPr="008E693E">
              <w:t>925</w:t>
            </w:r>
          </w:p>
        </w:tc>
        <w:tc>
          <w:tcPr>
            <w:tcW w:w="2124" w:type="dxa"/>
            <w:shd w:val="clear" w:color="auto" w:fill="auto"/>
          </w:tcPr>
          <w:p w:rsidR="008F4AFA" w:rsidRPr="008E693E" w:rsidRDefault="008F4AFA" w:rsidP="00DF4475">
            <w:pPr>
              <w:pStyle w:val="Tabletext"/>
              <w:tabs>
                <w:tab w:val="decimal" w:pos="1120"/>
              </w:tabs>
              <w:jc w:val="right"/>
            </w:pPr>
            <w:r w:rsidRPr="008E693E">
              <w:t>48</w:t>
            </w:r>
            <w:r w:rsidR="008E693E" w:rsidRPr="008E693E">
              <w:t> </w:t>
            </w:r>
            <w:r w:rsidRPr="008E693E">
              <w:t>465</w:t>
            </w:r>
          </w:p>
        </w:tc>
      </w:tr>
      <w:tr w:rsidR="00CA1FC4" w:rsidRPr="008E693E" w:rsidTr="00076C3F">
        <w:tc>
          <w:tcPr>
            <w:tcW w:w="714" w:type="dxa"/>
            <w:shd w:val="clear" w:color="auto" w:fill="auto"/>
          </w:tcPr>
          <w:p w:rsidR="008F4AFA" w:rsidRPr="008E693E" w:rsidRDefault="008F4AFA" w:rsidP="00E14E98">
            <w:pPr>
              <w:pStyle w:val="Tabletext"/>
            </w:pPr>
            <w:r w:rsidRPr="008E693E">
              <w:t>3</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Pr="008E693E">
              <w:t>4</w:t>
            </w:r>
          </w:p>
        </w:tc>
        <w:tc>
          <w:tcPr>
            <w:tcW w:w="2124" w:type="dxa"/>
            <w:shd w:val="clear" w:color="auto" w:fill="auto"/>
          </w:tcPr>
          <w:p w:rsidR="008F4AFA" w:rsidRPr="008E693E" w:rsidRDefault="007C6FC7" w:rsidP="00DF4475">
            <w:pPr>
              <w:pStyle w:val="Tabletext"/>
              <w:jc w:val="right"/>
            </w:pPr>
            <w:r w:rsidRPr="008E693E">
              <w:t>23</w:t>
            </w:r>
            <w:r w:rsidR="008E693E" w:rsidRPr="008E693E">
              <w:t> </w:t>
            </w:r>
            <w:r w:rsidRPr="008E693E">
              <w:t>330</w:t>
            </w:r>
          </w:p>
        </w:tc>
        <w:tc>
          <w:tcPr>
            <w:tcW w:w="2124" w:type="dxa"/>
            <w:shd w:val="clear" w:color="auto" w:fill="auto"/>
          </w:tcPr>
          <w:p w:rsidR="008F4AFA" w:rsidRPr="008E693E" w:rsidRDefault="007C6FC7" w:rsidP="00DF4475">
            <w:pPr>
              <w:pStyle w:val="Tabletext"/>
              <w:tabs>
                <w:tab w:val="decimal" w:pos="1120"/>
              </w:tabs>
              <w:jc w:val="right"/>
            </w:pPr>
            <w:r w:rsidRPr="008E693E">
              <w:t>27</w:t>
            </w:r>
            <w:r w:rsidR="008E693E" w:rsidRPr="008E693E">
              <w:t> </w:t>
            </w:r>
            <w:r w:rsidRPr="008E693E">
              <w:t>505</w:t>
            </w:r>
          </w:p>
        </w:tc>
      </w:tr>
      <w:tr w:rsidR="00CA1FC4" w:rsidRPr="008E693E" w:rsidTr="00076C3F">
        <w:tc>
          <w:tcPr>
            <w:tcW w:w="714" w:type="dxa"/>
            <w:shd w:val="clear" w:color="auto" w:fill="auto"/>
          </w:tcPr>
          <w:p w:rsidR="008F4AFA" w:rsidRPr="008E693E" w:rsidRDefault="008F4AFA" w:rsidP="00E14E98">
            <w:pPr>
              <w:pStyle w:val="Tabletext"/>
            </w:pPr>
            <w:r w:rsidRPr="008E693E">
              <w:t>4</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5</w:t>
            </w:r>
          </w:p>
        </w:tc>
        <w:tc>
          <w:tcPr>
            <w:tcW w:w="2124" w:type="dxa"/>
            <w:shd w:val="clear" w:color="auto" w:fill="auto"/>
          </w:tcPr>
          <w:p w:rsidR="008F4AFA" w:rsidRPr="008E693E" w:rsidRDefault="007C6FC7" w:rsidP="00DF4475">
            <w:pPr>
              <w:pStyle w:val="Tabletext"/>
              <w:jc w:val="right"/>
            </w:pPr>
            <w:r w:rsidRPr="008E693E">
              <w:t>3</w:t>
            </w:r>
            <w:r w:rsidR="008E693E" w:rsidRPr="008E693E">
              <w:t> </w:t>
            </w:r>
            <w:r w:rsidRPr="008E693E">
              <w:t>630</w:t>
            </w:r>
          </w:p>
        </w:tc>
        <w:tc>
          <w:tcPr>
            <w:tcW w:w="2124" w:type="dxa"/>
            <w:shd w:val="clear" w:color="auto" w:fill="auto"/>
          </w:tcPr>
          <w:p w:rsidR="008F4AFA" w:rsidRPr="008E693E" w:rsidRDefault="007C6FC7" w:rsidP="00DF4475">
            <w:pPr>
              <w:pStyle w:val="Tabletext"/>
              <w:tabs>
                <w:tab w:val="decimal" w:pos="1120"/>
              </w:tabs>
              <w:jc w:val="right"/>
            </w:pPr>
            <w:r w:rsidRPr="008E693E">
              <w:t>3</w:t>
            </w:r>
            <w:r w:rsidR="008E693E" w:rsidRPr="008E693E">
              <w:t> </w:t>
            </w:r>
            <w:r w:rsidRPr="008E693E">
              <w:t>655</w:t>
            </w:r>
          </w:p>
        </w:tc>
      </w:tr>
      <w:tr w:rsidR="00CA1FC4" w:rsidRPr="008E693E" w:rsidTr="00076C3F">
        <w:tc>
          <w:tcPr>
            <w:tcW w:w="714" w:type="dxa"/>
            <w:shd w:val="clear" w:color="auto" w:fill="auto"/>
          </w:tcPr>
          <w:p w:rsidR="008F4AFA" w:rsidRPr="008E693E" w:rsidRDefault="008F4AFA" w:rsidP="00E14E98">
            <w:pPr>
              <w:pStyle w:val="Tabletext"/>
            </w:pPr>
            <w:r w:rsidRPr="008E693E">
              <w:t>5</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6</w:t>
            </w:r>
          </w:p>
        </w:tc>
        <w:tc>
          <w:tcPr>
            <w:tcW w:w="2124" w:type="dxa"/>
            <w:shd w:val="clear" w:color="auto" w:fill="auto"/>
          </w:tcPr>
          <w:p w:rsidR="008F4AFA" w:rsidRPr="008E693E" w:rsidRDefault="007C6FC7" w:rsidP="00DF4475">
            <w:pPr>
              <w:pStyle w:val="Tabletext"/>
              <w:jc w:val="right"/>
            </w:pPr>
            <w:r w:rsidRPr="008E693E">
              <w:t>2</w:t>
            </w:r>
            <w:r w:rsidR="008E693E" w:rsidRPr="008E693E">
              <w:t> </w:t>
            </w:r>
            <w:r w:rsidRPr="008E693E">
              <w:t>470</w:t>
            </w:r>
          </w:p>
        </w:tc>
        <w:tc>
          <w:tcPr>
            <w:tcW w:w="2124" w:type="dxa"/>
            <w:shd w:val="clear" w:color="auto" w:fill="auto"/>
          </w:tcPr>
          <w:p w:rsidR="008F4AFA" w:rsidRPr="008E693E" w:rsidRDefault="007C6FC7" w:rsidP="00DF4475">
            <w:pPr>
              <w:pStyle w:val="Tabletext"/>
              <w:tabs>
                <w:tab w:val="decimal" w:pos="1120"/>
              </w:tabs>
              <w:jc w:val="right"/>
            </w:pPr>
            <w:r w:rsidRPr="008E693E">
              <w:t>3</w:t>
            </w:r>
            <w:r w:rsidR="008E693E" w:rsidRPr="008E693E">
              <w:t> </w:t>
            </w:r>
            <w:r w:rsidRPr="008E693E">
              <w:t>220</w:t>
            </w:r>
          </w:p>
        </w:tc>
      </w:tr>
      <w:tr w:rsidR="00CA1FC4" w:rsidRPr="008E693E" w:rsidTr="00076C3F">
        <w:tc>
          <w:tcPr>
            <w:tcW w:w="714" w:type="dxa"/>
            <w:shd w:val="clear" w:color="auto" w:fill="auto"/>
          </w:tcPr>
          <w:p w:rsidR="008F4AFA" w:rsidRPr="008E693E" w:rsidRDefault="008F4AFA" w:rsidP="00E14E98">
            <w:pPr>
              <w:pStyle w:val="Tabletext"/>
            </w:pPr>
            <w:r w:rsidRPr="008E693E">
              <w:t>6</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7</w:t>
            </w:r>
          </w:p>
        </w:tc>
        <w:tc>
          <w:tcPr>
            <w:tcW w:w="2124" w:type="dxa"/>
            <w:shd w:val="clear" w:color="auto" w:fill="auto"/>
          </w:tcPr>
          <w:p w:rsidR="008F4AFA" w:rsidRPr="008E693E" w:rsidRDefault="007C6FC7" w:rsidP="00DF4475">
            <w:pPr>
              <w:pStyle w:val="Tabletext"/>
              <w:jc w:val="right"/>
            </w:pPr>
            <w:r w:rsidRPr="008E693E">
              <w:t>660</w:t>
            </w:r>
          </w:p>
        </w:tc>
        <w:tc>
          <w:tcPr>
            <w:tcW w:w="2124" w:type="dxa"/>
            <w:shd w:val="clear" w:color="auto" w:fill="auto"/>
          </w:tcPr>
          <w:p w:rsidR="008F4AFA" w:rsidRPr="008E693E" w:rsidRDefault="007C6FC7" w:rsidP="00DF4475">
            <w:pPr>
              <w:pStyle w:val="Tabletext"/>
              <w:tabs>
                <w:tab w:val="decimal" w:pos="1120"/>
              </w:tabs>
              <w:jc w:val="right"/>
            </w:pPr>
            <w:r w:rsidRPr="008E693E">
              <w:t>1</w:t>
            </w:r>
            <w:r w:rsidR="008E693E" w:rsidRPr="008E693E">
              <w:t> </w:t>
            </w:r>
            <w:r w:rsidRPr="008E693E">
              <w:t>315</w:t>
            </w:r>
          </w:p>
        </w:tc>
      </w:tr>
      <w:tr w:rsidR="00CA1FC4" w:rsidRPr="008E693E" w:rsidTr="00076C3F">
        <w:tc>
          <w:tcPr>
            <w:tcW w:w="714" w:type="dxa"/>
            <w:shd w:val="clear" w:color="auto" w:fill="auto"/>
          </w:tcPr>
          <w:p w:rsidR="008F4AFA" w:rsidRPr="008E693E" w:rsidRDefault="008F4AFA" w:rsidP="00E14E98">
            <w:pPr>
              <w:pStyle w:val="Tabletext"/>
            </w:pPr>
            <w:r w:rsidRPr="008E693E">
              <w:t>7</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8</w:t>
            </w:r>
          </w:p>
        </w:tc>
        <w:tc>
          <w:tcPr>
            <w:tcW w:w="2124" w:type="dxa"/>
            <w:shd w:val="clear" w:color="auto" w:fill="auto"/>
          </w:tcPr>
          <w:p w:rsidR="008F4AFA" w:rsidRPr="008E693E" w:rsidRDefault="007C6FC7" w:rsidP="00DF4475">
            <w:pPr>
              <w:pStyle w:val="Tabletext"/>
              <w:jc w:val="right"/>
            </w:pPr>
            <w:r w:rsidRPr="008E693E">
              <w:t>595</w:t>
            </w:r>
          </w:p>
        </w:tc>
        <w:tc>
          <w:tcPr>
            <w:tcW w:w="2124" w:type="dxa"/>
            <w:shd w:val="clear" w:color="auto" w:fill="auto"/>
          </w:tcPr>
          <w:p w:rsidR="008F4AFA" w:rsidRPr="008E693E" w:rsidRDefault="007C6FC7" w:rsidP="00DF4475">
            <w:pPr>
              <w:pStyle w:val="Tabletext"/>
              <w:tabs>
                <w:tab w:val="decimal" w:pos="1120"/>
              </w:tabs>
              <w:jc w:val="right"/>
            </w:pPr>
            <w:r w:rsidRPr="008E693E">
              <w:t>1</w:t>
            </w:r>
            <w:r w:rsidR="008E693E" w:rsidRPr="008E693E">
              <w:t> </w:t>
            </w:r>
            <w:r w:rsidRPr="008E693E">
              <w:t>250</w:t>
            </w:r>
          </w:p>
        </w:tc>
      </w:tr>
      <w:tr w:rsidR="00CA1FC4" w:rsidRPr="008E693E" w:rsidTr="00076C3F">
        <w:tc>
          <w:tcPr>
            <w:tcW w:w="714" w:type="dxa"/>
            <w:shd w:val="clear" w:color="auto" w:fill="auto"/>
          </w:tcPr>
          <w:p w:rsidR="008F4AFA" w:rsidRPr="008E693E" w:rsidRDefault="008F4AFA" w:rsidP="00E14E98">
            <w:pPr>
              <w:pStyle w:val="Tabletext"/>
            </w:pPr>
            <w:r w:rsidRPr="008E693E">
              <w:t>8</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9</w:t>
            </w:r>
          </w:p>
        </w:tc>
        <w:tc>
          <w:tcPr>
            <w:tcW w:w="2124" w:type="dxa"/>
            <w:shd w:val="clear" w:color="auto" w:fill="auto"/>
          </w:tcPr>
          <w:p w:rsidR="008F4AFA" w:rsidRPr="008E693E" w:rsidRDefault="007C6FC7" w:rsidP="00DF4475">
            <w:pPr>
              <w:pStyle w:val="Tabletext"/>
              <w:jc w:val="right"/>
            </w:pPr>
            <w:r w:rsidRPr="008E693E">
              <w:t>545</w:t>
            </w:r>
          </w:p>
        </w:tc>
        <w:tc>
          <w:tcPr>
            <w:tcW w:w="2124" w:type="dxa"/>
            <w:shd w:val="clear" w:color="auto" w:fill="auto"/>
          </w:tcPr>
          <w:p w:rsidR="008F4AFA" w:rsidRPr="008E693E" w:rsidRDefault="007C6FC7" w:rsidP="00DF4475">
            <w:pPr>
              <w:pStyle w:val="Tabletext"/>
              <w:tabs>
                <w:tab w:val="decimal" w:pos="1120"/>
              </w:tabs>
              <w:jc w:val="right"/>
            </w:pPr>
            <w:r w:rsidRPr="008E693E">
              <w:t>1</w:t>
            </w:r>
            <w:r w:rsidR="008E693E" w:rsidRPr="008E693E">
              <w:t> </w:t>
            </w:r>
            <w:r w:rsidRPr="008E693E">
              <w:t>195</w:t>
            </w:r>
          </w:p>
        </w:tc>
      </w:tr>
      <w:tr w:rsidR="00CA1FC4" w:rsidRPr="008E693E" w:rsidTr="00076C3F">
        <w:tc>
          <w:tcPr>
            <w:tcW w:w="714" w:type="dxa"/>
            <w:shd w:val="clear" w:color="auto" w:fill="auto"/>
          </w:tcPr>
          <w:p w:rsidR="008F4AFA" w:rsidRPr="008E693E" w:rsidRDefault="008F4AFA" w:rsidP="00E14E98">
            <w:pPr>
              <w:pStyle w:val="Tabletext"/>
            </w:pPr>
            <w:r w:rsidRPr="008E693E">
              <w:t>9</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 xml:space="preserve">2, </w:t>
            </w:r>
            <w:r w:rsidRPr="008E693E">
              <w:lastRenderedPageBreak/>
              <w:t>item</w:t>
            </w:r>
            <w:r w:rsidR="008E693E" w:rsidRPr="008E693E">
              <w:t> </w:t>
            </w:r>
            <w:r w:rsidR="007C6FC7" w:rsidRPr="008E693E">
              <w:t>11</w:t>
            </w:r>
          </w:p>
        </w:tc>
        <w:tc>
          <w:tcPr>
            <w:tcW w:w="2124" w:type="dxa"/>
            <w:shd w:val="clear" w:color="auto" w:fill="auto"/>
          </w:tcPr>
          <w:p w:rsidR="008F4AFA" w:rsidRPr="008E693E" w:rsidRDefault="007F2B13" w:rsidP="00DF4475">
            <w:pPr>
              <w:pStyle w:val="Tabletext"/>
              <w:jc w:val="right"/>
            </w:pPr>
            <w:r w:rsidRPr="008E693E">
              <w:lastRenderedPageBreak/>
              <w:t>15</w:t>
            </w:r>
            <w:r w:rsidR="008E693E" w:rsidRPr="008E693E">
              <w:t> </w:t>
            </w:r>
            <w:r w:rsidRPr="008E693E">
              <w:t>685</w:t>
            </w:r>
          </w:p>
        </w:tc>
        <w:tc>
          <w:tcPr>
            <w:tcW w:w="2124" w:type="dxa"/>
            <w:shd w:val="clear" w:color="auto" w:fill="auto"/>
          </w:tcPr>
          <w:p w:rsidR="008F4AFA" w:rsidRPr="008E693E" w:rsidRDefault="007F2B13" w:rsidP="00DF4475">
            <w:pPr>
              <w:pStyle w:val="Tabletext"/>
              <w:tabs>
                <w:tab w:val="decimal" w:pos="1120"/>
              </w:tabs>
              <w:jc w:val="right"/>
            </w:pPr>
            <w:r w:rsidRPr="008E693E">
              <w:t>21</w:t>
            </w:r>
            <w:r w:rsidR="008E693E" w:rsidRPr="008E693E">
              <w:t> </w:t>
            </w:r>
            <w:r w:rsidRPr="008E693E">
              <w:t>460</w:t>
            </w:r>
          </w:p>
        </w:tc>
      </w:tr>
      <w:tr w:rsidR="00CA1FC4" w:rsidRPr="008E693E" w:rsidTr="00076C3F">
        <w:tc>
          <w:tcPr>
            <w:tcW w:w="714" w:type="dxa"/>
            <w:shd w:val="clear" w:color="auto" w:fill="auto"/>
          </w:tcPr>
          <w:p w:rsidR="008F4AFA" w:rsidRPr="008E693E" w:rsidRDefault="008F4AFA" w:rsidP="00E14E98">
            <w:pPr>
              <w:pStyle w:val="Tabletext"/>
            </w:pPr>
            <w:r w:rsidRPr="008E693E">
              <w:lastRenderedPageBreak/>
              <w:t>10</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12</w:t>
            </w:r>
          </w:p>
        </w:tc>
        <w:tc>
          <w:tcPr>
            <w:tcW w:w="2124" w:type="dxa"/>
            <w:shd w:val="clear" w:color="auto" w:fill="auto"/>
          </w:tcPr>
          <w:p w:rsidR="008F4AFA" w:rsidRPr="008E693E" w:rsidRDefault="007F2B13" w:rsidP="00DF4475">
            <w:pPr>
              <w:pStyle w:val="Tabletext"/>
              <w:jc w:val="right"/>
            </w:pPr>
            <w:r w:rsidRPr="008E693E">
              <w:t>615</w:t>
            </w:r>
          </w:p>
        </w:tc>
        <w:tc>
          <w:tcPr>
            <w:tcW w:w="2124" w:type="dxa"/>
            <w:shd w:val="clear" w:color="auto" w:fill="auto"/>
          </w:tcPr>
          <w:p w:rsidR="008F4AFA" w:rsidRPr="008E693E" w:rsidRDefault="007F2B13" w:rsidP="00DF4475">
            <w:pPr>
              <w:pStyle w:val="Tabletext"/>
              <w:tabs>
                <w:tab w:val="decimal" w:pos="1120"/>
              </w:tabs>
              <w:jc w:val="right"/>
            </w:pPr>
            <w:r w:rsidRPr="008E693E">
              <w:t>875</w:t>
            </w:r>
          </w:p>
        </w:tc>
      </w:tr>
      <w:tr w:rsidR="00CA1FC4" w:rsidRPr="008E693E" w:rsidTr="00076C3F">
        <w:tc>
          <w:tcPr>
            <w:tcW w:w="714" w:type="dxa"/>
            <w:shd w:val="clear" w:color="auto" w:fill="auto"/>
          </w:tcPr>
          <w:p w:rsidR="008F4AFA" w:rsidRPr="008E693E" w:rsidRDefault="008F4AFA" w:rsidP="00E14E98">
            <w:pPr>
              <w:pStyle w:val="Tabletext"/>
            </w:pPr>
            <w:r w:rsidRPr="008E693E">
              <w:t>11</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F2B13" w:rsidRPr="008E693E">
              <w:t>16</w:t>
            </w:r>
          </w:p>
        </w:tc>
        <w:tc>
          <w:tcPr>
            <w:tcW w:w="2124" w:type="dxa"/>
            <w:shd w:val="clear" w:color="auto" w:fill="auto"/>
          </w:tcPr>
          <w:p w:rsidR="008F4AFA" w:rsidRPr="008E693E" w:rsidRDefault="007F2B13" w:rsidP="00DF4475">
            <w:pPr>
              <w:pStyle w:val="Tabletext"/>
              <w:jc w:val="right"/>
            </w:pPr>
            <w:r w:rsidRPr="008E693E">
              <w:t>4</w:t>
            </w:r>
            <w:r w:rsidR="008E693E" w:rsidRPr="008E693E">
              <w:t> </w:t>
            </w:r>
            <w:r w:rsidRPr="008E693E">
              <w:t>430</w:t>
            </w:r>
          </w:p>
        </w:tc>
        <w:tc>
          <w:tcPr>
            <w:tcW w:w="2124" w:type="dxa"/>
            <w:shd w:val="clear" w:color="auto" w:fill="auto"/>
          </w:tcPr>
          <w:p w:rsidR="008F4AFA" w:rsidRPr="008E693E" w:rsidRDefault="007F2B13" w:rsidP="00DF4475">
            <w:pPr>
              <w:pStyle w:val="Tabletext"/>
              <w:tabs>
                <w:tab w:val="decimal" w:pos="1120"/>
              </w:tabs>
              <w:jc w:val="right"/>
            </w:pPr>
            <w:r w:rsidRPr="008E693E">
              <w:t>14</w:t>
            </w:r>
            <w:r w:rsidR="008E693E" w:rsidRPr="008E693E">
              <w:t> </w:t>
            </w:r>
            <w:r w:rsidRPr="008E693E">
              <w:t>105</w:t>
            </w:r>
          </w:p>
        </w:tc>
      </w:tr>
      <w:tr w:rsidR="00CA1FC4" w:rsidRPr="008E693E" w:rsidTr="00076C3F">
        <w:tc>
          <w:tcPr>
            <w:tcW w:w="714" w:type="dxa"/>
            <w:shd w:val="clear" w:color="auto" w:fill="auto"/>
          </w:tcPr>
          <w:p w:rsidR="008F4AFA" w:rsidRPr="008E693E" w:rsidRDefault="008F4AFA" w:rsidP="00E14E98">
            <w:pPr>
              <w:pStyle w:val="Tabletext"/>
            </w:pPr>
            <w:r w:rsidRPr="008E693E">
              <w:t>12</w:t>
            </w:r>
          </w:p>
        </w:tc>
        <w:tc>
          <w:tcPr>
            <w:tcW w:w="2124" w:type="dxa"/>
            <w:shd w:val="clear" w:color="auto" w:fill="auto"/>
          </w:tcPr>
          <w:p w:rsidR="008F4AFA" w:rsidRPr="008E693E" w:rsidRDefault="008F4AFA"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7C6FC7" w:rsidRPr="008E693E">
              <w:t>1</w:t>
            </w:r>
            <w:r w:rsidR="007F2B13" w:rsidRPr="008E693E">
              <w:t>7</w:t>
            </w:r>
          </w:p>
        </w:tc>
        <w:tc>
          <w:tcPr>
            <w:tcW w:w="2124" w:type="dxa"/>
            <w:shd w:val="clear" w:color="auto" w:fill="auto"/>
          </w:tcPr>
          <w:p w:rsidR="008F4AFA" w:rsidRPr="008E693E" w:rsidRDefault="007F2B13" w:rsidP="00DF4475">
            <w:pPr>
              <w:pStyle w:val="Tabletext"/>
              <w:jc w:val="right"/>
            </w:pPr>
            <w:r w:rsidRPr="008E693E">
              <w:t>1</w:t>
            </w:r>
            <w:r w:rsidR="008E693E" w:rsidRPr="008E693E">
              <w:t> </w:t>
            </w:r>
            <w:r w:rsidRPr="008E693E">
              <w:t>580</w:t>
            </w:r>
          </w:p>
        </w:tc>
        <w:tc>
          <w:tcPr>
            <w:tcW w:w="2124" w:type="dxa"/>
            <w:shd w:val="clear" w:color="auto" w:fill="auto"/>
          </w:tcPr>
          <w:p w:rsidR="008F4AFA" w:rsidRPr="008E693E" w:rsidRDefault="007F2B13" w:rsidP="00DF4475">
            <w:pPr>
              <w:pStyle w:val="Tabletext"/>
              <w:tabs>
                <w:tab w:val="decimal" w:pos="1120"/>
              </w:tabs>
              <w:jc w:val="right"/>
            </w:pPr>
            <w:r w:rsidRPr="008E693E">
              <w:t>2</w:t>
            </w:r>
            <w:r w:rsidR="008E693E" w:rsidRPr="008E693E">
              <w:t> </w:t>
            </w:r>
            <w:r w:rsidRPr="008E693E">
              <w:t>365</w:t>
            </w:r>
          </w:p>
        </w:tc>
      </w:tr>
      <w:tr w:rsidR="00CA1FC4" w:rsidRPr="008E693E" w:rsidTr="00076C3F">
        <w:tc>
          <w:tcPr>
            <w:tcW w:w="714" w:type="dxa"/>
            <w:shd w:val="clear" w:color="auto" w:fill="auto"/>
          </w:tcPr>
          <w:p w:rsidR="007F2B13" w:rsidRPr="008E693E" w:rsidRDefault="007F2B13" w:rsidP="00E14E98">
            <w:pPr>
              <w:pStyle w:val="Tabletext"/>
            </w:pPr>
            <w:r w:rsidRPr="008E693E">
              <w:t>13</w:t>
            </w:r>
          </w:p>
        </w:tc>
        <w:tc>
          <w:tcPr>
            <w:tcW w:w="2124" w:type="dxa"/>
            <w:shd w:val="clear" w:color="auto" w:fill="auto"/>
          </w:tcPr>
          <w:p w:rsidR="007F2B13" w:rsidRPr="008E693E" w:rsidRDefault="007F2B13" w:rsidP="00E14E98">
            <w:pPr>
              <w:pStyle w:val="Tabletext"/>
            </w:pPr>
            <w:r w:rsidRPr="008E693E">
              <w:t>Schedule</w:t>
            </w:r>
            <w:r w:rsidR="008E693E" w:rsidRPr="008E693E">
              <w:t> </w:t>
            </w:r>
            <w:r w:rsidRPr="008E693E">
              <w:t>6, Part</w:t>
            </w:r>
            <w:r w:rsidR="008E693E" w:rsidRPr="008E693E">
              <w:t> </w:t>
            </w:r>
            <w:r w:rsidRPr="008E693E">
              <w:t>2, item</w:t>
            </w:r>
            <w:r w:rsidR="008E693E" w:rsidRPr="008E693E">
              <w:t> </w:t>
            </w:r>
            <w:r w:rsidR="000473C2" w:rsidRPr="008E693E">
              <w:t>18</w:t>
            </w:r>
          </w:p>
        </w:tc>
        <w:tc>
          <w:tcPr>
            <w:tcW w:w="2124" w:type="dxa"/>
            <w:shd w:val="clear" w:color="auto" w:fill="auto"/>
          </w:tcPr>
          <w:p w:rsidR="007F2B13" w:rsidRPr="008E693E" w:rsidRDefault="000473C2" w:rsidP="00DF4475">
            <w:pPr>
              <w:pStyle w:val="Tabletext"/>
              <w:jc w:val="right"/>
            </w:pPr>
            <w:r w:rsidRPr="008E693E">
              <w:t>1</w:t>
            </w:r>
            <w:r w:rsidR="008E693E" w:rsidRPr="008E693E">
              <w:t> </w:t>
            </w:r>
            <w:r w:rsidRPr="008E693E">
              <w:t>005</w:t>
            </w:r>
          </w:p>
        </w:tc>
        <w:tc>
          <w:tcPr>
            <w:tcW w:w="2124" w:type="dxa"/>
            <w:shd w:val="clear" w:color="auto" w:fill="auto"/>
          </w:tcPr>
          <w:p w:rsidR="007F2B13" w:rsidRPr="008E693E" w:rsidRDefault="000473C2" w:rsidP="00DF4475">
            <w:pPr>
              <w:pStyle w:val="Tabletext"/>
              <w:tabs>
                <w:tab w:val="decimal" w:pos="1120"/>
              </w:tabs>
              <w:jc w:val="right"/>
            </w:pPr>
            <w:r w:rsidRPr="008E693E">
              <w:t>1</w:t>
            </w:r>
            <w:r w:rsidR="008E693E" w:rsidRPr="008E693E">
              <w:t> </w:t>
            </w:r>
            <w:r w:rsidRPr="008E693E">
              <w:t>850</w:t>
            </w:r>
          </w:p>
        </w:tc>
      </w:tr>
      <w:tr w:rsidR="00CA1FC4" w:rsidRPr="008E693E" w:rsidTr="00076C3F">
        <w:tc>
          <w:tcPr>
            <w:tcW w:w="714" w:type="dxa"/>
            <w:shd w:val="clear" w:color="auto" w:fill="auto"/>
          </w:tcPr>
          <w:p w:rsidR="007F2B13" w:rsidRPr="008E693E" w:rsidRDefault="007F2B13" w:rsidP="00E14E98">
            <w:pPr>
              <w:pStyle w:val="Tabletext"/>
            </w:pPr>
            <w:r w:rsidRPr="008E693E">
              <w:t>14</w:t>
            </w:r>
          </w:p>
        </w:tc>
        <w:tc>
          <w:tcPr>
            <w:tcW w:w="2124" w:type="dxa"/>
            <w:shd w:val="clear" w:color="auto" w:fill="auto"/>
          </w:tcPr>
          <w:p w:rsidR="007F2B13" w:rsidRPr="008E693E" w:rsidRDefault="007F2B13" w:rsidP="00E14E98">
            <w:pPr>
              <w:pStyle w:val="Tabletext"/>
            </w:pPr>
            <w:r w:rsidRPr="008E693E">
              <w:t>Schedule</w:t>
            </w:r>
            <w:r w:rsidR="008E693E" w:rsidRPr="008E693E">
              <w:t> </w:t>
            </w:r>
            <w:r w:rsidR="000473C2" w:rsidRPr="008E693E">
              <w:t>7</w:t>
            </w:r>
            <w:r w:rsidRPr="008E693E">
              <w:t>, item</w:t>
            </w:r>
            <w:r w:rsidR="008E693E" w:rsidRPr="008E693E">
              <w:t> </w:t>
            </w:r>
            <w:r w:rsidR="000473C2" w:rsidRPr="008E693E">
              <w:t>1</w:t>
            </w:r>
          </w:p>
        </w:tc>
        <w:tc>
          <w:tcPr>
            <w:tcW w:w="2124" w:type="dxa"/>
            <w:shd w:val="clear" w:color="auto" w:fill="auto"/>
          </w:tcPr>
          <w:p w:rsidR="007F2B13" w:rsidRPr="008E693E" w:rsidRDefault="000473C2" w:rsidP="00DF4475">
            <w:pPr>
              <w:pStyle w:val="Tabletext"/>
              <w:jc w:val="right"/>
            </w:pPr>
            <w:r w:rsidRPr="008E693E">
              <w:t>505</w:t>
            </w:r>
          </w:p>
        </w:tc>
        <w:tc>
          <w:tcPr>
            <w:tcW w:w="2124" w:type="dxa"/>
            <w:shd w:val="clear" w:color="auto" w:fill="auto"/>
          </w:tcPr>
          <w:p w:rsidR="007F2B13" w:rsidRPr="008E693E" w:rsidRDefault="000473C2" w:rsidP="00DF4475">
            <w:pPr>
              <w:pStyle w:val="Tabletext"/>
              <w:tabs>
                <w:tab w:val="decimal" w:pos="1120"/>
              </w:tabs>
              <w:jc w:val="right"/>
            </w:pPr>
            <w:r w:rsidRPr="008E693E">
              <w:t>535</w:t>
            </w:r>
          </w:p>
        </w:tc>
      </w:tr>
      <w:tr w:rsidR="00CA1FC4" w:rsidRPr="008E693E" w:rsidTr="00076C3F">
        <w:tc>
          <w:tcPr>
            <w:tcW w:w="714" w:type="dxa"/>
            <w:shd w:val="clear" w:color="auto" w:fill="auto"/>
          </w:tcPr>
          <w:p w:rsidR="007F2B13" w:rsidRPr="008E693E" w:rsidRDefault="007F2B13" w:rsidP="00E14E98">
            <w:pPr>
              <w:pStyle w:val="Tabletext"/>
            </w:pPr>
            <w:r w:rsidRPr="008E693E">
              <w:t>15</w:t>
            </w:r>
          </w:p>
        </w:tc>
        <w:tc>
          <w:tcPr>
            <w:tcW w:w="2124" w:type="dxa"/>
            <w:shd w:val="clear" w:color="auto" w:fill="auto"/>
          </w:tcPr>
          <w:p w:rsidR="007F2B13" w:rsidRPr="008E693E" w:rsidRDefault="007F2B13" w:rsidP="00E14E98">
            <w:pPr>
              <w:pStyle w:val="Tabletext"/>
            </w:pPr>
            <w:r w:rsidRPr="008E693E">
              <w:t>Schedule</w:t>
            </w:r>
            <w:r w:rsidR="008E693E" w:rsidRPr="008E693E">
              <w:t> </w:t>
            </w:r>
            <w:r w:rsidR="000473C2" w:rsidRPr="008E693E">
              <w:t>7</w:t>
            </w:r>
            <w:r w:rsidRPr="008E693E">
              <w:t>, item</w:t>
            </w:r>
            <w:r w:rsidR="008E693E" w:rsidRPr="008E693E">
              <w:t> </w:t>
            </w:r>
            <w:r w:rsidR="000473C2" w:rsidRPr="008E693E">
              <w:t>2.1</w:t>
            </w:r>
          </w:p>
        </w:tc>
        <w:tc>
          <w:tcPr>
            <w:tcW w:w="2124" w:type="dxa"/>
            <w:shd w:val="clear" w:color="auto" w:fill="auto"/>
          </w:tcPr>
          <w:p w:rsidR="007F2B13" w:rsidRPr="008E693E" w:rsidRDefault="000473C2" w:rsidP="00DF4475">
            <w:pPr>
              <w:pStyle w:val="Tabletext"/>
              <w:jc w:val="right"/>
            </w:pPr>
            <w:r w:rsidRPr="008E693E">
              <w:t>3</w:t>
            </w:r>
            <w:r w:rsidR="008E693E" w:rsidRPr="008E693E">
              <w:t> </w:t>
            </w:r>
            <w:r w:rsidRPr="008E693E">
              <w:t>255</w:t>
            </w:r>
          </w:p>
        </w:tc>
        <w:tc>
          <w:tcPr>
            <w:tcW w:w="2124" w:type="dxa"/>
            <w:shd w:val="clear" w:color="auto" w:fill="auto"/>
          </w:tcPr>
          <w:p w:rsidR="007F2B13" w:rsidRPr="008E693E" w:rsidRDefault="000473C2" w:rsidP="00DF4475">
            <w:pPr>
              <w:pStyle w:val="Tabletext"/>
              <w:tabs>
                <w:tab w:val="decimal" w:pos="1120"/>
              </w:tabs>
              <w:jc w:val="right"/>
            </w:pPr>
            <w:r w:rsidRPr="008E693E">
              <w:t>6</w:t>
            </w:r>
            <w:r w:rsidR="008E693E" w:rsidRPr="008E693E">
              <w:t> </w:t>
            </w:r>
            <w:r w:rsidRPr="008E693E">
              <w:t>915</w:t>
            </w:r>
          </w:p>
        </w:tc>
      </w:tr>
      <w:tr w:rsidR="00CA1FC4" w:rsidRPr="008E693E" w:rsidTr="00076C3F">
        <w:tc>
          <w:tcPr>
            <w:tcW w:w="714" w:type="dxa"/>
            <w:shd w:val="clear" w:color="auto" w:fill="auto"/>
          </w:tcPr>
          <w:p w:rsidR="007F2B13" w:rsidRPr="008E693E" w:rsidRDefault="007F2B13" w:rsidP="00E14E98">
            <w:pPr>
              <w:pStyle w:val="Tabletext"/>
            </w:pPr>
            <w:r w:rsidRPr="008E693E">
              <w:t>16</w:t>
            </w:r>
          </w:p>
        </w:tc>
        <w:tc>
          <w:tcPr>
            <w:tcW w:w="2124" w:type="dxa"/>
            <w:shd w:val="clear" w:color="auto" w:fill="auto"/>
          </w:tcPr>
          <w:p w:rsidR="007F2B13" w:rsidRPr="008E693E" w:rsidRDefault="007F2B13" w:rsidP="00E14E98">
            <w:pPr>
              <w:pStyle w:val="Tabletext"/>
            </w:pPr>
            <w:r w:rsidRPr="008E693E">
              <w:t>Schedule</w:t>
            </w:r>
            <w:r w:rsidR="008E693E" w:rsidRPr="008E693E">
              <w:t> </w:t>
            </w:r>
            <w:r w:rsidR="000473C2" w:rsidRPr="008E693E">
              <w:t>7</w:t>
            </w:r>
            <w:r w:rsidRPr="008E693E">
              <w:t>, item</w:t>
            </w:r>
            <w:r w:rsidR="008E693E" w:rsidRPr="008E693E">
              <w:t> </w:t>
            </w:r>
            <w:r w:rsidR="000473C2" w:rsidRPr="008E693E">
              <w:t>2.2</w:t>
            </w:r>
          </w:p>
        </w:tc>
        <w:tc>
          <w:tcPr>
            <w:tcW w:w="2124" w:type="dxa"/>
            <w:shd w:val="clear" w:color="auto" w:fill="auto"/>
          </w:tcPr>
          <w:p w:rsidR="007F2B13" w:rsidRPr="008E693E" w:rsidRDefault="000473C2" w:rsidP="00DF4475">
            <w:pPr>
              <w:pStyle w:val="Tabletext"/>
              <w:jc w:val="right"/>
            </w:pPr>
            <w:r w:rsidRPr="008E693E">
              <w:t>2</w:t>
            </w:r>
            <w:r w:rsidR="008E693E" w:rsidRPr="008E693E">
              <w:t> </w:t>
            </w:r>
            <w:r w:rsidRPr="008E693E">
              <w:t>230</w:t>
            </w:r>
          </w:p>
        </w:tc>
        <w:tc>
          <w:tcPr>
            <w:tcW w:w="2124" w:type="dxa"/>
            <w:shd w:val="clear" w:color="auto" w:fill="auto"/>
          </w:tcPr>
          <w:p w:rsidR="007F2B13" w:rsidRPr="008E693E" w:rsidRDefault="000473C2" w:rsidP="00DF4475">
            <w:pPr>
              <w:pStyle w:val="Tabletext"/>
              <w:tabs>
                <w:tab w:val="decimal" w:pos="1120"/>
              </w:tabs>
              <w:jc w:val="right"/>
            </w:pPr>
            <w:r w:rsidRPr="008E693E">
              <w:t>2</w:t>
            </w:r>
            <w:r w:rsidR="008E693E" w:rsidRPr="008E693E">
              <w:t> </w:t>
            </w:r>
            <w:r w:rsidRPr="008E693E">
              <w:t>305</w:t>
            </w:r>
          </w:p>
        </w:tc>
      </w:tr>
      <w:tr w:rsidR="00CA1FC4" w:rsidRPr="008E693E" w:rsidTr="00076C3F">
        <w:tc>
          <w:tcPr>
            <w:tcW w:w="714" w:type="dxa"/>
            <w:shd w:val="clear" w:color="auto" w:fill="auto"/>
          </w:tcPr>
          <w:p w:rsidR="007F2B13" w:rsidRPr="008E693E" w:rsidRDefault="007F2B13" w:rsidP="00E14E98">
            <w:pPr>
              <w:pStyle w:val="Tabletext"/>
            </w:pPr>
            <w:r w:rsidRPr="008E693E">
              <w:t>17</w:t>
            </w:r>
          </w:p>
        </w:tc>
        <w:tc>
          <w:tcPr>
            <w:tcW w:w="2124" w:type="dxa"/>
            <w:shd w:val="clear" w:color="auto" w:fill="auto"/>
          </w:tcPr>
          <w:p w:rsidR="007F2B13" w:rsidRPr="008E693E" w:rsidRDefault="000473C2" w:rsidP="00E14E98">
            <w:pPr>
              <w:pStyle w:val="Tabletext"/>
            </w:pPr>
            <w:r w:rsidRPr="008E693E">
              <w:t>Schedule</w:t>
            </w:r>
            <w:r w:rsidR="008E693E" w:rsidRPr="008E693E">
              <w:t> </w:t>
            </w:r>
            <w:r w:rsidRPr="008E693E">
              <w:t>7, item</w:t>
            </w:r>
            <w:r w:rsidR="008E693E" w:rsidRPr="008E693E">
              <w:t> </w:t>
            </w:r>
            <w:r w:rsidRPr="008E693E">
              <w:t>2.3</w:t>
            </w:r>
          </w:p>
        </w:tc>
        <w:tc>
          <w:tcPr>
            <w:tcW w:w="2124" w:type="dxa"/>
            <w:shd w:val="clear" w:color="auto" w:fill="auto"/>
          </w:tcPr>
          <w:p w:rsidR="007F2B13" w:rsidRPr="008E693E" w:rsidRDefault="000473C2" w:rsidP="00DF4475">
            <w:pPr>
              <w:pStyle w:val="Tabletext"/>
              <w:jc w:val="right"/>
            </w:pPr>
            <w:r w:rsidRPr="008E693E">
              <w:t>1</w:t>
            </w:r>
            <w:r w:rsidR="008E693E" w:rsidRPr="008E693E">
              <w:t> </w:t>
            </w:r>
            <w:r w:rsidRPr="008E693E">
              <w:t>030</w:t>
            </w:r>
          </w:p>
        </w:tc>
        <w:tc>
          <w:tcPr>
            <w:tcW w:w="2124" w:type="dxa"/>
            <w:shd w:val="clear" w:color="auto" w:fill="auto"/>
          </w:tcPr>
          <w:p w:rsidR="007F2B13" w:rsidRPr="008E693E" w:rsidRDefault="000473C2" w:rsidP="00DF4475">
            <w:pPr>
              <w:pStyle w:val="Tabletext"/>
              <w:tabs>
                <w:tab w:val="decimal" w:pos="1120"/>
              </w:tabs>
              <w:jc w:val="right"/>
            </w:pPr>
            <w:r w:rsidRPr="008E693E">
              <w:t>1</w:t>
            </w:r>
            <w:r w:rsidR="008E693E" w:rsidRPr="008E693E">
              <w:t> </w:t>
            </w:r>
            <w:r w:rsidRPr="008E693E">
              <w:t>185</w:t>
            </w:r>
          </w:p>
        </w:tc>
      </w:tr>
      <w:tr w:rsidR="00CA1FC4" w:rsidRPr="008E693E" w:rsidTr="00076C3F">
        <w:tc>
          <w:tcPr>
            <w:tcW w:w="714" w:type="dxa"/>
            <w:shd w:val="clear" w:color="auto" w:fill="auto"/>
          </w:tcPr>
          <w:p w:rsidR="007F2B13" w:rsidRPr="008E693E" w:rsidRDefault="007F2B13" w:rsidP="00E14E98">
            <w:pPr>
              <w:pStyle w:val="Tabletext"/>
            </w:pPr>
            <w:r w:rsidRPr="008E693E">
              <w:t>18</w:t>
            </w:r>
          </w:p>
        </w:tc>
        <w:tc>
          <w:tcPr>
            <w:tcW w:w="2124" w:type="dxa"/>
            <w:shd w:val="clear" w:color="auto" w:fill="auto"/>
          </w:tcPr>
          <w:p w:rsidR="007F2B13" w:rsidRPr="008E693E" w:rsidRDefault="000473C2" w:rsidP="00E14E98">
            <w:pPr>
              <w:pStyle w:val="Tabletext"/>
            </w:pPr>
            <w:r w:rsidRPr="008E693E">
              <w:t>Schedule</w:t>
            </w:r>
            <w:r w:rsidR="008E693E" w:rsidRPr="008E693E">
              <w:t> </w:t>
            </w:r>
            <w:r w:rsidRPr="008E693E">
              <w:t>7, item</w:t>
            </w:r>
            <w:r w:rsidR="008E693E" w:rsidRPr="008E693E">
              <w:t> </w:t>
            </w:r>
            <w:r w:rsidRPr="008E693E">
              <w:t>2.4</w:t>
            </w:r>
          </w:p>
        </w:tc>
        <w:tc>
          <w:tcPr>
            <w:tcW w:w="2124" w:type="dxa"/>
            <w:shd w:val="clear" w:color="auto" w:fill="auto"/>
          </w:tcPr>
          <w:p w:rsidR="007F2B13" w:rsidRPr="008E693E" w:rsidRDefault="000473C2" w:rsidP="00DF4475">
            <w:pPr>
              <w:pStyle w:val="Tabletext"/>
              <w:jc w:val="right"/>
            </w:pPr>
            <w:r w:rsidRPr="008E693E">
              <w:t>200</w:t>
            </w:r>
          </w:p>
        </w:tc>
        <w:tc>
          <w:tcPr>
            <w:tcW w:w="2124" w:type="dxa"/>
            <w:shd w:val="clear" w:color="auto" w:fill="auto"/>
          </w:tcPr>
          <w:p w:rsidR="007F2B13" w:rsidRPr="008E693E" w:rsidRDefault="000473C2" w:rsidP="00DF4475">
            <w:pPr>
              <w:pStyle w:val="Tabletext"/>
              <w:tabs>
                <w:tab w:val="decimal" w:pos="1120"/>
              </w:tabs>
              <w:jc w:val="right"/>
            </w:pPr>
            <w:r w:rsidRPr="008E693E">
              <w:t>570</w:t>
            </w:r>
          </w:p>
        </w:tc>
      </w:tr>
      <w:tr w:rsidR="00CA1FC4" w:rsidRPr="008E693E" w:rsidTr="00076C3F">
        <w:tc>
          <w:tcPr>
            <w:tcW w:w="714" w:type="dxa"/>
            <w:shd w:val="clear" w:color="auto" w:fill="auto"/>
          </w:tcPr>
          <w:p w:rsidR="007F2B13" w:rsidRPr="008E693E" w:rsidRDefault="007F2B13" w:rsidP="00E14E98">
            <w:pPr>
              <w:pStyle w:val="Tabletext"/>
            </w:pPr>
            <w:r w:rsidRPr="008E693E">
              <w:t>19</w:t>
            </w:r>
          </w:p>
        </w:tc>
        <w:tc>
          <w:tcPr>
            <w:tcW w:w="2124" w:type="dxa"/>
            <w:shd w:val="clear" w:color="auto" w:fill="auto"/>
          </w:tcPr>
          <w:p w:rsidR="007F2B13" w:rsidRPr="008E693E" w:rsidRDefault="000473C2" w:rsidP="00E14E98">
            <w:pPr>
              <w:pStyle w:val="Tabletext"/>
            </w:pPr>
            <w:r w:rsidRPr="008E693E">
              <w:t>Schedule</w:t>
            </w:r>
            <w:r w:rsidR="008E693E" w:rsidRPr="008E693E">
              <w:t> </w:t>
            </w:r>
            <w:r w:rsidRPr="008E693E">
              <w:t>7, item</w:t>
            </w:r>
            <w:r w:rsidR="008E693E" w:rsidRPr="008E693E">
              <w:t> </w:t>
            </w:r>
            <w:r w:rsidRPr="008E693E">
              <w:t>3.1</w:t>
            </w:r>
          </w:p>
        </w:tc>
        <w:tc>
          <w:tcPr>
            <w:tcW w:w="2124" w:type="dxa"/>
            <w:shd w:val="clear" w:color="auto" w:fill="auto"/>
          </w:tcPr>
          <w:p w:rsidR="007F2B13" w:rsidRPr="008E693E" w:rsidRDefault="000473C2" w:rsidP="00DF4475">
            <w:pPr>
              <w:pStyle w:val="Tabletext"/>
              <w:jc w:val="right"/>
            </w:pPr>
            <w:r w:rsidRPr="008E693E">
              <w:t>19</w:t>
            </w:r>
            <w:r w:rsidR="008E693E" w:rsidRPr="008E693E">
              <w:t> </w:t>
            </w:r>
            <w:r w:rsidRPr="008E693E">
              <w:t>490</w:t>
            </w:r>
          </w:p>
        </w:tc>
        <w:tc>
          <w:tcPr>
            <w:tcW w:w="2124" w:type="dxa"/>
            <w:shd w:val="clear" w:color="auto" w:fill="auto"/>
          </w:tcPr>
          <w:p w:rsidR="007F2B13" w:rsidRPr="008E693E" w:rsidRDefault="000473C2" w:rsidP="00DF4475">
            <w:pPr>
              <w:pStyle w:val="Tabletext"/>
              <w:tabs>
                <w:tab w:val="decimal" w:pos="1120"/>
              </w:tabs>
              <w:jc w:val="right"/>
            </w:pPr>
            <w:r w:rsidRPr="008E693E">
              <w:t>20</w:t>
            </w:r>
            <w:r w:rsidR="008E693E" w:rsidRPr="008E693E">
              <w:t> </w:t>
            </w:r>
            <w:r w:rsidRPr="008E693E">
              <w:t>940</w:t>
            </w:r>
          </w:p>
        </w:tc>
      </w:tr>
      <w:tr w:rsidR="00CA1FC4" w:rsidRPr="008E693E" w:rsidTr="00076C3F">
        <w:tc>
          <w:tcPr>
            <w:tcW w:w="714" w:type="dxa"/>
            <w:shd w:val="clear" w:color="auto" w:fill="auto"/>
          </w:tcPr>
          <w:p w:rsidR="000473C2" w:rsidRPr="008E693E" w:rsidRDefault="000473C2" w:rsidP="00E14E98">
            <w:pPr>
              <w:pStyle w:val="Tabletext"/>
            </w:pPr>
            <w:r w:rsidRPr="008E693E">
              <w:t>20</w:t>
            </w:r>
          </w:p>
        </w:tc>
        <w:tc>
          <w:tcPr>
            <w:tcW w:w="2124" w:type="dxa"/>
            <w:shd w:val="clear" w:color="auto" w:fill="auto"/>
          </w:tcPr>
          <w:p w:rsidR="000473C2" w:rsidRPr="008E693E" w:rsidRDefault="000473C2" w:rsidP="00E14E98">
            <w:pPr>
              <w:pStyle w:val="Tabletext"/>
            </w:pPr>
            <w:r w:rsidRPr="008E693E">
              <w:t>Schedule</w:t>
            </w:r>
            <w:r w:rsidR="008E693E" w:rsidRPr="008E693E">
              <w:t> </w:t>
            </w:r>
            <w:r w:rsidRPr="008E693E">
              <w:t>7, item</w:t>
            </w:r>
            <w:r w:rsidR="008E693E" w:rsidRPr="008E693E">
              <w:t> </w:t>
            </w:r>
            <w:r w:rsidR="001E56C2" w:rsidRPr="008E693E">
              <w:t>3.3</w:t>
            </w:r>
          </w:p>
        </w:tc>
        <w:tc>
          <w:tcPr>
            <w:tcW w:w="2124" w:type="dxa"/>
            <w:shd w:val="clear" w:color="auto" w:fill="auto"/>
          </w:tcPr>
          <w:p w:rsidR="000473C2" w:rsidRPr="008E693E" w:rsidRDefault="001E56C2" w:rsidP="00DF4475">
            <w:pPr>
              <w:pStyle w:val="Tabletext"/>
              <w:jc w:val="right"/>
            </w:pPr>
            <w:r w:rsidRPr="008E693E">
              <w:t>2</w:t>
            </w:r>
            <w:r w:rsidR="008E693E" w:rsidRPr="008E693E">
              <w:t> </w:t>
            </w:r>
            <w:r w:rsidRPr="008E693E">
              <w:t>900</w:t>
            </w:r>
          </w:p>
        </w:tc>
        <w:tc>
          <w:tcPr>
            <w:tcW w:w="2124" w:type="dxa"/>
            <w:shd w:val="clear" w:color="auto" w:fill="auto"/>
          </w:tcPr>
          <w:p w:rsidR="000473C2" w:rsidRPr="008E693E" w:rsidRDefault="001E56C2" w:rsidP="00DF4475">
            <w:pPr>
              <w:pStyle w:val="Tabletext"/>
              <w:tabs>
                <w:tab w:val="decimal" w:pos="1120"/>
              </w:tabs>
              <w:jc w:val="right"/>
            </w:pPr>
            <w:r w:rsidRPr="008E693E">
              <w:t>3</w:t>
            </w:r>
            <w:r w:rsidR="008E693E" w:rsidRPr="008E693E">
              <w:t> </w:t>
            </w:r>
            <w:r w:rsidRPr="008E693E">
              <w:t>035</w:t>
            </w:r>
          </w:p>
        </w:tc>
      </w:tr>
      <w:tr w:rsidR="00CA1FC4" w:rsidRPr="008E693E" w:rsidTr="00076C3F">
        <w:tc>
          <w:tcPr>
            <w:tcW w:w="714" w:type="dxa"/>
            <w:shd w:val="clear" w:color="auto" w:fill="auto"/>
          </w:tcPr>
          <w:p w:rsidR="000473C2" w:rsidRPr="008E693E" w:rsidRDefault="000473C2" w:rsidP="00E14E98">
            <w:pPr>
              <w:pStyle w:val="Tabletext"/>
            </w:pPr>
            <w:r w:rsidRPr="008E693E">
              <w:t>21</w:t>
            </w:r>
          </w:p>
        </w:tc>
        <w:tc>
          <w:tcPr>
            <w:tcW w:w="2124" w:type="dxa"/>
            <w:shd w:val="clear" w:color="auto" w:fill="auto"/>
          </w:tcPr>
          <w:p w:rsidR="000473C2" w:rsidRPr="008E693E" w:rsidRDefault="000473C2" w:rsidP="00E14E98">
            <w:pPr>
              <w:pStyle w:val="Tabletext"/>
            </w:pPr>
            <w:r w:rsidRPr="008E693E">
              <w:t>Schedule</w:t>
            </w:r>
            <w:r w:rsidR="008E693E" w:rsidRPr="008E693E">
              <w:t> </w:t>
            </w:r>
            <w:r w:rsidRPr="008E693E">
              <w:t>7, item</w:t>
            </w:r>
            <w:r w:rsidR="008E693E" w:rsidRPr="008E693E">
              <w:t> </w:t>
            </w:r>
            <w:r w:rsidR="001E56C2" w:rsidRPr="008E693E">
              <w:t>4</w:t>
            </w:r>
          </w:p>
        </w:tc>
        <w:tc>
          <w:tcPr>
            <w:tcW w:w="2124" w:type="dxa"/>
            <w:shd w:val="clear" w:color="auto" w:fill="auto"/>
          </w:tcPr>
          <w:p w:rsidR="000473C2" w:rsidRPr="008E693E" w:rsidRDefault="001E56C2" w:rsidP="00DF4475">
            <w:pPr>
              <w:pStyle w:val="Tabletext"/>
              <w:jc w:val="right"/>
            </w:pPr>
            <w:r w:rsidRPr="008E693E">
              <w:t>3</w:t>
            </w:r>
            <w:r w:rsidR="008E693E" w:rsidRPr="008E693E">
              <w:t> </w:t>
            </w:r>
            <w:r w:rsidRPr="008E693E">
              <w:t>720</w:t>
            </w:r>
          </w:p>
        </w:tc>
        <w:tc>
          <w:tcPr>
            <w:tcW w:w="2124" w:type="dxa"/>
            <w:shd w:val="clear" w:color="auto" w:fill="auto"/>
          </w:tcPr>
          <w:p w:rsidR="000473C2" w:rsidRPr="008E693E" w:rsidRDefault="001E56C2" w:rsidP="00DF4475">
            <w:pPr>
              <w:pStyle w:val="Tabletext"/>
              <w:tabs>
                <w:tab w:val="decimal" w:pos="1120"/>
              </w:tabs>
              <w:jc w:val="right"/>
            </w:pPr>
            <w:r w:rsidRPr="008E693E">
              <w:t>2</w:t>
            </w:r>
            <w:r w:rsidR="008E693E" w:rsidRPr="008E693E">
              <w:t> </w:t>
            </w:r>
            <w:r w:rsidRPr="008E693E">
              <w:t>435</w:t>
            </w:r>
          </w:p>
        </w:tc>
      </w:tr>
      <w:tr w:rsidR="00CA1FC4" w:rsidRPr="008E693E" w:rsidTr="00076C3F">
        <w:tc>
          <w:tcPr>
            <w:tcW w:w="714" w:type="dxa"/>
            <w:shd w:val="clear" w:color="auto" w:fill="auto"/>
          </w:tcPr>
          <w:p w:rsidR="000473C2" w:rsidRPr="008E693E" w:rsidRDefault="000473C2" w:rsidP="00E14E98">
            <w:pPr>
              <w:pStyle w:val="Tabletext"/>
            </w:pPr>
            <w:r w:rsidRPr="008E693E">
              <w:t>22</w:t>
            </w:r>
          </w:p>
        </w:tc>
        <w:tc>
          <w:tcPr>
            <w:tcW w:w="2124" w:type="dxa"/>
            <w:shd w:val="clear" w:color="auto" w:fill="auto"/>
          </w:tcPr>
          <w:p w:rsidR="000473C2" w:rsidRPr="008E693E" w:rsidRDefault="000473C2" w:rsidP="00E14E98">
            <w:pPr>
              <w:pStyle w:val="Tabletext"/>
            </w:pPr>
            <w:r w:rsidRPr="008E693E">
              <w:t>Schedule</w:t>
            </w:r>
            <w:r w:rsidR="008E693E" w:rsidRPr="008E693E">
              <w:t> </w:t>
            </w:r>
            <w:r w:rsidRPr="008E693E">
              <w:t>7, item</w:t>
            </w:r>
            <w:r w:rsidR="008E693E" w:rsidRPr="008E693E">
              <w:t> </w:t>
            </w:r>
            <w:r w:rsidR="001E56C2" w:rsidRPr="008E693E">
              <w:t>5.1</w:t>
            </w:r>
          </w:p>
        </w:tc>
        <w:tc>
          <w:tcPr>
            <w:tcW w:w="2124" w:type="dxa"/>
            <w:shd w:val="clear" w:color="auto" w:fill="auto"/>
          </w:tcPr>
          <w:p w:rsidR="000473C2" w:rsidRPr="008E693E" w:rsidRDefault="001E56C2" w:rsidP="00DF4475">
            <w:pPr>
              <w:pStyle w:val="Tabletext"/>
              <w:jc w:val="right"/>
            </w:pPr>
            <w:r w:rsidRPr="008E693E">
              <w:t>5</w:t>
            </w:r>
            <w:r w:rsidR="008E693E" w:rsidRPr="008E693E">
              <w:t> </w:t>
            </w:r>
            <w:r w:rsidRPr="008E693E">
              <w:t>595</w:t>
            </w:r>
          </w:p>
        </w:tc>
        <w:tc>
          <w:tcPr>
            <w:tcW w:w="2124" w:type="dxa"/>
            <w:shd w:val="clear" w:color="auto" w:fill="auto"/>
          </w:tcPr>
          <w:p w:rsidR="000473C2" w:rsidRPr="008E693E" w:rsidRDefault="001E56C2" w:rsidP="00DF4475">
            <w:pPr>
              <w:pStyle w:val="Tabletext"/>
              <w:tabs>
                <w:tab w:val="decimal" w:pos="1120"/>
              </w:tabs>
              <w:jc w:val="right"/>
            </w:pPr>
            <w:r w:rsidRPr="008E693E">
              <w:t>13</w:t>
            </w:r>
            <w:r w:rsidR="008E693E" w:rsidRPr="008E693E">
              <w:t> </w:t>
            </w:r>
            <w:r w:rsidRPr="008E693E">
              <w:t>630</w:t>
            </w:r>
          </w:p>
        </w:tc>
      </w:tr>
      <w:tr w:rsidR="00CA1FC4" w:rsidRPr="008E693E" w:rsidTr="00076C3F">
        <w:tc>
          <w:tcPr>
            <w:tcW w:w="714" w:type="dxa"/>
            <w:shd w:val="clear" w:color="auto" w:fill="auto"/>
          </w:tcPr>
          <w:p w:rsidR="000473C2" w:rsidRPr="008E693E" w:rsidRDefault="000473C2" w:rsidP="00E14E98">
            <w:pPr>
              <w:pStyle w:val="Tabletext"/>
            </w:pPr>
            <w:r w:rsidRPr="008E693E">
              <w:t>23</w:t>
            </w:r>
          </w:p>
        </w:tc>
        <w:tc>
          <w:tcPr>
            <w:tcW w:w="2124" w:type="dxa"/>
            <w:shd w:val="clear" w:color="auto" w:fill="auto"/>
          </w:tcPr>
          <w:p w:rsidR="000473C2" w:rsidRPr="008E693E" w:rsidRDefault="000473C2" w:rsidP="00E14E98">
            <w:pPr>
              <w:pStyle w:val="Tabletext"/>
            </w:pPr>
            <w:r w:rsidRPr="008E693E">
              <w:t>Schedule</w:t>
            </w:r>
            <w:r w:rsidR="008E693E" w:rsidRPr="008E693E">
              <w:t> </w:t>
            </w:r>
            <w:r w:rsidRPr="008E693E">
              <w:t>7, item</w:t>
            </w:r>
            <w:r w:rsidR="008E693E" w:rsidRPr="008E693E">
              <w:t> </w:t>
            </w:r>
            <w:r w:rsidR="001E56C2" w:rsidRPr="008E693E">
              <w:t>5.2</w:t>
            </w:r>
          </w:p>
        </w:tc>
        <w:tc>
          <w:tcPr>
            <w:tcW w:w="2124" w:type="dxa"/>
            <w:shd w:val="clear" w:color="auto" w:fill="auto"/>
          </w:tcPr>
          <w:p w:rsidR="000473C2" w:rsidRPr="008E693E" w:rsidRDefault="001E56C2" w:rsidP="00DF4475">
            <w:pPr>
              <w:pStyle w:val="Tabletext"/>
              <w:jc w:val="right"/>
            </w:pPr>
            <w:r w:rsidRPr="008E693E">
              <w:t>4</w:t>
            </w:r>
            <w:r w:rsidR="008E693E" w:rsidRPr="008E693E">
              <w:t> </w:t>
            </w:r>
            <w:r w:rsidRPr="008E693E">
              <w:t>765</w:t>
            </w:r>
          </w:p>
        </w:tc>
        <w:tc>
          <w:tcPr>
            <w:tcW w:w="2124" w:type="dxa"/>
            <w:shd w:val="clear" w:color="auto" w:fill="auto"/>
          </w:tcPr>
          <w:p w:rsidR="000473C2" w:rsidRPr="008E693E" w:rsidRDefault="001E56C2" w:rsidP="00DF4475">
            <w:pPr>
              <w:pStyle w:val="Tabletext"/>
              <w:tabs>
                <w:tab w:val="decimal" w:pos="1120"/>
              </w:tabs>
              <w:jc w:val="right"/>
            </w:pPr>
            <w:r w:rsidRPr="008E693E">
              <w:t>7</w:t>
            </w:r>
            <w:r w:rsidR="008E693E" w:rsidRPr="008E693E">
              <w:t> </w:t>
            </w:r>
            <w:r w:rsidRPr="008E693E">
              <w:t>895</w:t>
            </w:r>
          </w:p>
        </w:tc>
      </w:tr>
      <w:tr w:rsidR="00CA1FC4" w:rsidRPr="008E693E" w:rsidTr="00076C3F">
        <w:tc>
          <w:tcPr>
            <w:tcW w:w="714" w:type="dxa"/>
            <w:shd w:val="clear" w:color="auto" w:fill="auto"/>
          </w:tcPr>
          <w:p w:rsidR="000473C2" w:rsidRPr="008E693E" w:rsidRDefault="000473C2" w:rsidP="00E14E98">
            <w:pPr>
              <w:pStyle w:val="Tabletext"/>
            </w:pPr>
            <w:r w:rsidRPr="008E693E">
              <w:t>24</w:t>
            </w:r>
          </w:p>
        </w:tc>
        <w:tc>
          <w:tcPr>
            <w:tcW w:w="2124" w:type="dxa"/>
            <w:shd w:val="clear" w:color="auto" w:fill="auto"/>
          </w:tcPr>
          <w:p w:rsidR="000473C2" w:rsidRPr="008E693E" w:rsidRDefault="000473C2" w:rsidP="00E14E98">
            <w:pPr>
              <w:pStyle w:val="Tabletext"/>
            </w:pPr>
            <w:r w:rsidRPr="008E693E">
              <w:t>Schedule</w:t>
            </w:r>
            <w:r w:rsidR="008E693E" w:rsidRPr="008E693E">
              <w:t> </w:t>
            </w:r>
            <w:r w:rsidRPr="008E693E">
              <w:t>7, item</w:t>
            </w:r>
            <w:r w:rsidR="008E693E" w:rsidRPr="008E693E">
              <w:t> </w:t>
            </w:r>
            <w:r w:rsidR="001E56C2" w:rsidRPr="008E693E">
              <w:t>5.3</w:t>
            </w:r>
          </w:p>
        </w:tc>
        <w:tc>
          <w:tcPr>
            <w:tcW w:w="2124" w:type="dxa"/>
            <w:shd w:val="clear" w:color="auto" w:fill="auto"/>
          </w:tcPr>
          <w:p w:rsidR="000473C2" w:rsidRPr="008E693E" w:rsidRDefault="001E56C2" w:rsidP="00DF4475">
            <w:pPr>
              <w:pStyle w:val="Tabletext"/>
              <w:jc w:val="right"/>
            </w:pPr>
            <w:r w:rsidRPr="008E693E">
              <w:t>2</w:t>
            </w:r>
            <w:r w:rsidR="008E693E" w:rsidRPr="008E693E">
              <w:t> </w:t>
            </w:r>
            <w:r w:rsidRPr="008E693E">
              <w:t>490</w:t>
            </w:r>
          </w:p>
        </w:tc>
        <w:tc>
          <w:tcPr>
            <w:tcW w:w="2124" w:type="dxa"/>
            <w:shd w:val="clear" w:color="auto" w:fill="auto"/>
          </w:tcPr>
          <w:p w:rsidR="000473C2" w:rsidRPr="008E693E" w:rsidRDefault="001E56C2" w:rsidP="00DF4475">
            <w:pPr>
              <w:pStyle w:val="Tabletext"/>
              <w:tabs>
                <w:tab w:val="decimal" w:pos="1120"/>
              </w:tabs>
              <w:jc w:val="right"/>
            </w:pPr>
            <w:r w:rsidRPr="008E693E">
              <w:t>6</w:t>
            </w:r>
            <w:r w:rsidR="008E693E" w:rsidRPr="008E693E">
              <w:t> </w:t>
            </w:r>
            <w:r w:rsidRPr="008E693E">
              <w:t>150</w:t>
            </w:r>
          </w:p>
        </w:tc>
      </w:tr>
      <w:tr w:rsidR="00CA1FC4" w:rsidRPr="008E693E" w:rsidTr="00076C3F">
        <w:tc>
          <w:tcPr>
            <w:tcW w:w="714" w:type="dxa"/>
            <w:shd w:val="clear" w:color="auto" w:fill="auto"/>
          </w:tcPr>
          <w:p w:rsidR="000473C2" w:rsidRPr="008E693E" w:rsidRDefault="000473C2" w:rsidP="00E14E98">
            <w:pPr>
              <w:pStyle w:val="Tabletext"/>
            </w:pPr>
            <w:r w:rsidRPr="008E693E">
              <w:t>25</w:t>
            </w:r>
          </w:p>
        </w:tc>
        <w:tc>
          <w:tcPr>
            <w:tcW w:w="2124" w:type="dxa"/>
            <w:shd w:val="clear" w:color="auto" w:fill="auto"/>
          </w:tcPr>
          <w:p w:rsidR="000473C2" w:rsidRPr="008E693E" w:rsidRDefault="000473C2" w:rsidP="00E14E98">
            <w:pPr>
              <w:pStyle w:val="Tabletext"/>
            </w:pPr>
            <w:r w:rsidRPr="008E693E">
              <w:t>Schedule</w:t>
            </w:r>
            <w:r w:rsidR="008E693E" w:rsidRPr="008E693E">
              <w:t> </w:t>
            </w:r>
            <w:r w:rsidRPr="008E693E">
              <w:t>7, item</w:t>
            </w:r>
            <w:r w:rsidR="008E693E" w:rsidRPr="008E693E">
              <w:t> </w:t>
            </w:r>
            <w:r w:rsidR="001E56C2" w:rsidRPr="008E693E">
              <w:t>5.4</w:t>
            </w:r>
          </w:p>
        </w:tc>
        <w:tc>
          <w:tcPr>
            <w:tcW w:w="2124" w:type="dxa"/>
            <w:shd w:val="clear" w:color="auto" w:fill="auto"/>
          </w:tcPr>
          <w:p w:rsidR="000473C2" w:rsidRPr="008E693E" w:rsidRDefault="001E56C2" w:rsidP="00DF4475">
            <w:pPr>
              <w:pStyle w:val="Tabletext"/>
              <w:jc w:val="right"/>
            </w:pPr>
            <w:r w:rsidRPr="008E693E">
              <w:t>2</w:t>
            </w:r>
            <w:r w:rsidR="008E693E" w:rsidRPr="008E693E">
              <w:t> </w:t>
            </w:r>
            <w:r w:rsidRPr="008E693E">
              <w:t>230</w:t>
            </w:r>
          </w:p>
        </w:tc>
        <w:tc>
          <w:tcPr>
            <w:tcW w:w="2124" w:type="dxa"/>
            <w:shd w:val="clear" w:color="auto" w:fill="auto"/>
          </w:tcPr>
          <w:p w:rsidR="000473C2" w:rsidRPr="008E693E" w:rsidRDefault="001E56C2" w:rsidP="00DF4475">
            <w:pPr>
              <w:pStyle w:val="Tabletext"/>
              <w:tabs>
                <w:tab w:val="decimal" w:pos="1120"/>
              </w:tabs>
              <w:jc w:val="right"/>
            </w:pPr>
            <w:r w:rsidRPr="008E693E">
              <w:t>5</w:t>
            </w:r>
            <w:r w:rsidR="008E693E" w:rsidRPr="008E693E">
              <w:t> </w:t>
            </w:r>
            <w:r w:rsidRPr="008E693E">
              <w:t>600</w:t>
            </w:r>
          </w:p>
        </w:tc>
      </w:tr>
      <w:tr w:rsidR="00CA1FC4" w:rsidRPr="008E693E" w:rsidTr="00076C3F">
        <w:tc>
          <w:tcPr>
            <w:tcW w:w="714" w:type="dxa"/>
            <w:shd w:val="clear" w:color="auto" w:fill="auto"/>
          </w:tcPr>
          <w:p w:rsidR="0074660D" w:rsidRPr="008E693E" w:rsidRDefault="0074660D" w:rsidP="00E14E98">
            <w:pPr>
              <w:pStyle w:val="Tabletext"/>
            </w:pPr>
            <w:r w:rsidRPr="008E693E">
              <w:t>26</w:t>
            </w:r>
          </w:p>
        </w:tc>
        <w:tc>
          <w:tcPr>
            <w:tcW w:w="2124" w:type="dxa"/>
            <w:shd w:val="clear" w:color="auto" w:fill="auto"/>
          </w:tcPr>
          <w:p w:rsidR="0074660D" w:rsidRPr="008E693E" w:rsidRDefault="0074660D" w:rsidP="00E14E98">
            <w:pPr>
              <w:pStyle w:val="Tabletext"/>
            </w:pPr>
            <w:r w:rsidRPr="008E693E">
              <w:t>Schedule</w:t>
            </w:r>
            <w:r w:rsidR="008E693E" w:rsidRPr="008E693E">
              <w:t> </w:t>
            </w:r>
            <w:r w:rsidRPr="008E693E">
              <w:t>7, item</w:t>
            </w:r>
            <w:r w:rsidR="008E693E" w:rsidRPr="008E693E">
              <w:t> </w:t>
            </w:r>
            <w:r w:rsidRPr="008E693E">
              <w:t>5.5</w:t>
            </w:r>
          </w:p>
        </w:tc>
        <w:tc>
          <w:tcPr>
            <w:tcW w:w="2124" w:type="dxa"/>
            <w:shd w:val="clear" w:color="auto" w:fill="auto"/>
          </w:tcPr>
          <w:p w:rsidR="0074660D" w:rsidRPr="008E693E" w:rsidRDefault="0074660D" w:rsidP="00DF4475">
            <w:pPr>
              <w:pStyle w:val="Tabletext"/>
              <w:jc w:val="right"/>
            </w:pPr>
            <w:r w:rsidRPr="008E693E">
              <w:t>1</w:t>
            </w:r>
            <w:r w:rsidR="008E693E" w:rsidRPr="008E693E">
              <w:t> </w:t>
            </w:r>
            <w:r w:rsidRPr="008E693E">
              <w:t>175</w:t>
            </w:r>
          </w:p>
        </w:tc>
        <w:tc>
          <w:tcPr>
            <w:tcW w:w="2124" w:type="dxa"/>
            <w:shd w:val="clear" w:color="auto" w:fill="auto"/>
          </w:tcPr>
          <w:p w:rsidR="0074660D" w:rsidRPr="008E693E" w:rsidRDefault="0074660D" w:rsidP="00DF4475">
            <w:pPr>
              <w:pStyle w:val="Tabletext"/>
              <w:tabs>
                <w:tab w:val="decimal" w:pos="1120"/>
              </w:tabs>
              <w:jc w:val="right"/>
            </w:pPr>
            <w:r w:rsidRPr="008E693E">
              <w:t>1</w:t>
            </w:r>
            <w:r w:rsidR="008E693E" w:rsidRPr="008E693E">
              <w:t> </w:t>
            </w:r>
            <w:r w:rsidRPr="008E693E">
              <w:t>500</w:t>
            </w:r>
          </w:p>
        </w:tc>
      </w:tr>
      <w:tr w:rsidR="00CA1FC4" w:rsidRPr="008E693E" w:rsidTr="00076C3F">
        <w:tc>
          <w:tcPr>
            <w:tcW w:w="714" w:type="dxa"/>
            <w:shd w:val="clear" w:color="auto" w:fill="auto"/>
          </w:tcPr>
          <w:p w:rsidR="0074660D" w:rsidRPr="008E693E" w:rsidRDefault="0074660D" w:rsidP="00E14E98">
            <w:pPr>
              <w:pStyle w:val="Tabletext"/>
            </w:pPr>
            <w:r w:rsidRPr="008E693E">
              <w:t>27</w:t>
            </w:r>
          </w:p>
        </w:tc>
        <w:tc>
          <w:tcPr>
            <w:tcW w:w="2124" w:type="dxa"/>
            <w:shd w:val="clear" w:color="auto" w:fill="auto"/>
          </w:tcPr>
          <w:p w:rsidR="0074660D" w:rsidRPr="008E693E" w:rsidRDefault="0074660D" w:rsidP="00E14E98">
            <w:pPr>
              <w:pStyle w:val="Tabletext"/>
            </w:pPr>
            <w:r w:rsidRPr="008E693E">
              <w:t>Schedule</w:t>
            </w:r>
            <w:r w:rsidR="008E693E" w:rsidRPr="008E693E">
              <w:t> </w:t>
            </w:r>
            <w:r w:rsidRPr="008E693E">
              <w:t>7, item</w:t>
            </w:r>
            <w:r w:rsidR="008E693E" w:rsidRPr="008E693E">
              <w:t> </w:t>
            </w:r>
            <w:r w:rsidRPr="008E693E">
              <w:t>6.3</w:t>
            </w:r>
          </w:p>
        </w:tc>
        <w:tc>
          <w:tcPr>
            <w:tcW w:w="2124" w:type="dxa"/>
            <w:shd w:val="clear" w:color="auto" w:fill="auto"/>
          </w:tcPr>
          <w:p w:rsidR="0074660D" w:rsidRPr="008E693E" w:rsidRDefault="00705425" w:rsidP="00DF4475">
            <w:pPr>
              <w:pStyle w:val="Tabletext"/>
              <w:jc w:val="right"/>
            </w:pPr>
            <w:r w:rsidRPr="008E693E">
              <w:t>1</w:t>
            </w:r>
            <w:r w:rsidR="008E693E" w:rsidRPr="008E693E">
              <w:t> </w:t>
            </w:r>
            <w:r w:rsidRPr="008E693E">
              <w:t>435</w:t>
            </w:r>
          </w:p>
        </w:tc>
        <w:tc>
          <w:tcPr>
            <w:tcW w:w="2124" w:type="dxa"/>
            <w:shd w:val="clear" w:color="auto" w:fill="auto"/>
          </w:tcPr>
          <w:p w:rsidR="0074660D" w:rsidRPr="008E693E" w:rsidRDefault="00705425" w:rsidP="00DF4475">
            <w:pPr>
              <w:pStyle w:val="Tabletext"/>
              <w:tabs>
                <w:tab w:val="decimal" w:pos="1120"/>
              </w:tabs>
              <w:jc w:val="right"/>
            </w:pPr>
            <w:r w:rsidRPr="008E693E">
              <w:t>2</w:t>
            </w:r>
            <w:r w:rsidR="008E693E" w:rsidRPr="008E693E">
              <w:t> </w:t>
            </w:r>
            <w:r w:rsidRPr="008E693E">
              <w:t>985</w:t>
            </w:r>
          </w:p>
        </w:tc>
      </w:tr>
      <w:tr w:rsidR="00CA1FC4" w:rsidRPr="008E693E" w:rsidTr="00076C3F">
        <w:tc>
          <w:tcPr>
            <w:tcW w:w="714" w:type="dxa"/>
            <w:shd w:val="clear" w:color="auto" w:fill="auto"/>
          </w:tcPr>
          <w:p w:rsidR="0074660D" w:rsidRPr="008E693E" w:rsidRDefault="0074660D" w:rsidP="00E14E98">
            <w:pPr>
              <w:pStyle w:val="Tabletext"/>
            </w:pPr>
            <w:r w:rsidRPr="008E693E">
              <w:t>28</w:t>
            </w:r>
          </w:p>
        </w:tc>
        <w:tc>
          <w:tcPr>
            <w:tcW w:w="2124" w:type="dxa"/>
            <w:shd w:val="clear" w:color="auto" w:fill="auto"/>
          </w:tcPr>
          <w:p w:rsidR="0074660D" w:rsidRPr="008E693E" w:rsidRDefault="0074660D" w:rsidP="00E14E98">
            <w:pPr>
              <w:pStyle w:val="Tabletext"/>
            </w:pPr>
            <w:r w:rsidRPr="008E693E">
              <w:t>Schedule</w:t>
            </w:r>
            <w:r w:rsidR="008E693E" w:rsidRPr="008E693E">
              <w:t> </w:t>
            </w:r>
            <w:r w:rsidRPr="008E693E">
              <w:t>7, item</w:t>
            </w:r>
            <w:r w:rsidR="008E693E" w:rsidRPr="008E693E">
              <w:t> </w:t>
            </w:r>
            <w:r w:rsidRPr="008E693E">
              <w:t>7.1</w:t>
            </w:r>
          </w:p>
        </w:tc>
        <w:tc>
          <w:tcPr>
            <w:tcW w:w="2124" w:type="dxa"/>
            <w:shd w:val="clear" w:color="auto" w:fill="auto"/>
          </w:tcPr>
          <w:p w:rsidR="0074660D" w:rsidRPr="008E693E" w:rsidRDefault="00705425" w:rsidP="00DF4475">
            <w:pPr>
              <w:pStyle w:val="Tabletext"/>
              <w:jc w:val="right"/>
            </w:pPr>
            <w:r w:rsidRPr="008E693E">
              <w:t>12</w:t>
            </w:r>
            <w:r w:rsidR="008E693E" w:rsidRPr="008E693E">
              <w:t> </w:t>
            </w:r>
            <w:r w:rsidRPr="008E693E">
              <w:t>605</w:t>
            </w:r>
          </w:p>
        </w:tc>
        <w:tc>
          <w:tcPr>
            <w:tcW w:w="2124" w:type="dxa"/>
            <w:shd w:val="clear" w:color="auto" w:fill="auto"/>
          </w:tcPr>
          <w:p w:rsidR="0074660D" w:rsidRPr="008E693E" w:rsidRDefault="00705425" w:rsidP="00DF4475">
            <w:pPr>
              <w:pStyle w:val="Tabletext"/>
              <w:tabs>
                <w:tab w:val="decimal" w:pos="1120"/>
              </w:tabs>
              <w:jc w:val="right"/>
            </w:pPr>
            <w:r w:rsidRPr="008E693E">
              <w:t>19</w:t>
            </w:r>
            <w:r w:rsidR="008E693E" w:rsidRPr="008E693E">
              <w:t> </w:t>
            </w:r>
            <w:r w:rsidRPr="008E693E">
              <w:t>795</w:t>
            </w:r>
          </w:p>
        </w:tc>
      </w:tr>
      <w:tr w:rsidR="00CA1FC4" w:rsidRPr="008E693E" w:rsidTr="00076C3F">
        <w:tc>
          <w:tcPr>
            <w:tcW w:w="714" w:type="dxa"/>
            <w:shd w:val="clear" w:color="auto" w:fill="auto"/>
          </w:tcPr>
          <w:p w:rsidR="0074660D" w:rsidRPr="008E693E" w:rsidRDefault="0074660D" w:rsidP="00E14E98">
            <w:pPr>
              <w:pStyle w:val="Tabletext"/>
            </w:pPr>
            <w:r w:rsidRPr="008E693E">
              <w:t>29</w:t>
            </w:r>
          </w:p>
        </w:tc>
        <w:tc>
          <w:tcPr>
            <w:tcW w:w="2124" w:type="dxa"/>
            <w:shd w:val="clear" w:color="auto" w:fill="auto"/>
          </w:tcPr>
          <w:p w:rsidR="0074660D" w:rsidRPr="008E693E" w:rsidRDefault="0074660D" w:rsidP="00E14E98">
            <w:pPr>
              <w:pStyle w:val="Tabletext"/>
            </w:pPr>
            <w:r w:rsidRPr="008E693E">
              <w:t>Schedule</w:t>
            </w:r>
            <w:r w:rsidR="008E693E" w:rsidRPr="008E693E">
              <w:t> </w:t>
            </w:r>
            <w:r w:rsidRPr="008E693E">
              <w:t>7, item</w:t>
            </w:r>
            <w:r w:rsidR="008E693E" w:rsidRPr="008E693E">
              <w:t> </w:t>
            </w:r>
            <w:r w:rsidRPr="008E693E">
              <w:t>7.2</w:t>
            </w:r>
          </w:p>
        </w:tc>
        <w:tc>
          <w:tcPr>
            <w:tcW w:w="2124" w:type="dxa"/>
            <w:shd w:val="clear" w:color="auto" w:fill="auto"/>
          </w:tcPr>
          <w:p w:rsidR="0074660D" w:rsidRPr="008E693E" w:rsidRDefault="00705425" w:rsidP="00DF4475">
            <w:pPr>
              <w:pStyle w:val="Tabletext"/>
              <w:jc w:val="right"/>
            </w:pPr>
            <w:r w:rsidRPr="008E693E">
              <w:t>3</w:t>
            </w:r>
            <w:r w:rsidR="008E693E" w:rsidRPr="008E693E">
              <w:t> </w:t>
            </w:r>
            <w:r w:rsidRPr="008E693E">
              <w:t>255</w:t>
            </w:r>
          </w:p>
        </w:tc>
        <w:tc>
          <w:tcPr>
            <w:tcW w:w="2124" w:type="dxa"/>
            <w:shd w:val="clear" w:color="auto" w:fill="auto"/>
          </w:tcPr>
          <w:p w:rsidR="0074660D" w:rsidRPr="008E693E" w:rsidRDefault="00705425" w:rsidP="00DF4475">
            <w:pPr>
              <w:pStyle w:val="Tabletext"/>
              <w:tabs>
                <w:tab w:val="decimal" w:pos="1120"/>
              </w:tabs>
              <w:jc w:val="right"/>
            </w:pPr>
            <w:r w:rsidRPr="008E693E">
              <w:t>5</w:t>
            </w:r>
            <w:r w:rsidR="008E693E" w:rsidRPr="008E693E">
              <w:t> </w:t>
            </w:r>
            <w:r w:rsidRPr="008E693E">
              <w:t>485</w:t>
            </w:r>
          </w:p>
        </w:tc>
      </w:tr>
      <w:tr w:rsidR="00CA1FC4" w:rsidRPr="008E693E" w:rsidTr="00076C3F">
        <w:tc>
          <w:tcPr>
            <w:tcW w:w="714" w:type="dxa"/>
            <w:shd w:val="clear" w:color="auto" w:fill="auto"/>
          </w:tcPr>
          <w:p w:rsidR="0074660D" w:rsidRPr="008E693E" w:rsidRDefault="0074660D" w:rsidP="00E14E98">
            <w:pPr>
              <w:pStyle w:val="Tabletext"/>
            </w:pPr>
            <w:r w:rsidRPr="008E693E">
              <w:t>30</w:t>
            </w:r>
          </w:p>
        </w:tc>
        <w:tc>
          <w:tcPr>
            <w:tcW w:w="2124" w:type="dxa"/>
            <w:shd w:val="clear" w:color="auto" w:fill="auto"/>
          </w:tcPr>
          <w:p w:rsidR="0074660D" w:rsidRPr="008E693E" w:rsidRDefault="0074660D" w:rsidP="00E14E98">
            <w:pPr>
              <w:pStyle w:val="Tabletext"/>
            </w:pPr>
            <w:r w:rsidRPr="008E693E">
              <w:t>Schedule</w:t>
            </w:r>
            <w:r w:rsidR="008E693E" w:rsidRPr="008E693E">
              <w:t> </w:t>
            </w:r>
            <w:r w:rsidRPr="008E693E">
              <w:t>7, item</w:t>
            </w:r>
            <w:r w:rsidR="008E693E" w:rsidRPr="008E693E">
              <w:t> </w:t>
            </w:r>
            <w:r w:rsidRPr="008E693E">
              <w:t>7.3</w:t>
            </w:r>
          </w:p>
        </w:tc>
        <w:tc>
          <w:tcPr>
            <w:tcW w:w="2124" w:type="dxa"/>
            <w:shd w:val="clear" w:color="auto" w:fill="auto"/>
          </w:tcPr>
          <w:p w:rsidR="0074660D" w:rsidRPr="008E693E" w:rsidRDefault="00705425" w:rsidP="00DF4475">
            <w:pPr>
              <w:pStyle w:val="Tabletext"/>
              <w:jc w:val="right"/>
            </w:pPr>
            <w:r w:rsidRPr="008E693E">
              <w:t>620</w:t>
            </w:r>
          </w:p>
        </w:tc>
        <w:tc>
          <w:tcPr>
            <w:tcW w:w="2124" w:type="dxa"/>
            <w:shd w:val="clear" w:color="auto" w:fill="auto"/>
          </w:tcPr>
          <w:p w:rsidR="0074660D" w:rsidRPr="008E693E" w:rsidRDefault="00705425" w:rsidP="00DF4475">
            <w:pPr>
              <w:pStyle w:val="Tabletext"/>
              <w:tabs>
                <w:tab w:val="decimal" w:pos="1120"/>
              </w:tabs>
              <w:jc w:val="right"/>
            </w:pPr>
            <w:r w:rsidRPr="008E693E">
              <w:t>1</w:t>
            </w:r>
            <w:r w:rsidR="008E693E" w:rsidRPr="008E693E">
              <w:t> </w:t>
            </w:r>
            <w:r w:rsidRPr="008E693E">
              <w:t>290</w:t>
            </w:r>
          </w:p>
        </w:tc>
      </w:tr>
      <w:tr w:rsidR="00CA1FC4" w:rsidRPr="008E693E" w:rsidTr="00076C3F">
        <w:tc>
          <w:tcPr>
            <w:tcW w:w="714" w:type="dxa"/>
            <w:shd w:val="clear" w:color="auto" w:fill="auto"/>
          </w:tcPr>
          <w:p w:rsidR="0074660D" w:rsidRPr="008E693E" w:rsidRDefault="0074660D" w:rsidP="00E14E98">
            <w:pPr>
              <w:pStyle w:val="Tabletext"/>
            </w:pPr>
            <w:r w:rsidRPr="008E693E">
              <w:t>31</w:t>
            </w:r>
          </w:p>
        </w:tc>
        <w:tc>
          <w:tcPr>
            <w:tcW w:w="2124" w:type="dxa"/>
            <w:shd w:val="clear" w:color="auto" w:fill="auto"/>
          </w:tcPr>
          <w:p w:rsidR="0074660D" w:rsidRPr="008E693E" w:rsidRDefault="0074660D" w:rsidP="00E14E98">
            <w:pPr>
              <w:pStyle w:val="Tabletext"/>
            </w:pPr>
            <w:r w:rsidRPr="008E693E">
              <w:t>Schedule</w:t>
            </w:r>
            <w:r w:rsidR="008E693E" w:rsidRPr="008E693E">
              <w:t> </w:t>
            </w:r>
            <w:r w:rsidRPr="008E693E">
              <w:t>7, item</w:t>
            </w:r>
            <w:r w:rsidR="008E693E" w:rsidRPr="008E693E">
              <w:t> </w:t>
            </w:r>
            <w:r w:rsidR="00705425" w:rsidRPr="008E693E">
              <w:t>11.1</w:t>
            </w:r>
          </w:p>
        </w:tc>
        <w:tc>
          <w:tcPr>
            <w:tcW w:w="2124" w:type="dxa"/>
            <w:shd w:val="clear" w:color="auto" w:fill="auto"/>
          </w:tcPr>
          <w:p w:rsidR="0074660D" w:rsidRPr="008E693E" w:rsidRDefault="00705425" w:rsidP="00DF4475">
            <w:pPr>
              <w:pStyle w:val="Tabletext"/>
              <w:jc w:val="right"/>
            </w:pPr>
            <w:r w:rsidRPr="008E693E">
              <w:t>2</w:t>
            </w:r>
            <w:r w:rsidR="008E693E" w:rsidRPr="008E693E">
              <w:t> </w:t>
            </w:r>
            <w:r w:rsidRPr="008E693E">
              <w:t>230</w:t>
            </w:r>
          </w:p>
        </w:tc>
        <w:tc>
          <w:tcPr>
            <w:tcW w:w="2124" w:type="dxa"/>
            <w:shd w:val="clear" w:color="auto" w:fill="auto"/>
          </w:tcPr>
          <w:p w:rsidR="0074660D" w:rsidRPr="008E693E" w:rsidRDefault="00705425" w:rsidP="00DF4475">
            <w:pPr>
              <w:pStyle w:val="Tabletext"/>
              <w:tabs>
                <w:tab w:val="decimal" w:pos="1120"/>
              </w:tabs>
              <w:jc w:val="right"/>
            </w:pPr>
            <w:r w:rsidRPr="008E693E">
              <w:t>3</w:t>
            </w:r>
            <w:r w:rsidR="008E693E" w:rsidRPr="008E693E">
              <w:t> </w:t>
            </w:r>
            <w:r w:rsidRPr="008E693E">
              <w:t>040</w:t>
            </w:r>
          </w:p>
        </w:tc>
      </w:tr>
      <w:tr w:rsidR="00CA1FC4" w:rsidRPr="008E693E" w:rsidTr="00076C3F">
        <w:tc>
          <w:tcPr>
            <w:tcW w:w="714" w:type="dxa"/>
            <w:shd w:val="clear" w:color="auto" w:fill="auto"/>
          </w:tcPr>
          <w:p w:rsidR="0074660D" w:rsidRPr="008E693E" w:rsidRDefault="0074660D" w:rsidP="00E14E98">
            <w:pPr>
              <w:pStyle w:val="Tabletext"/>
            </w:pPr>
            <w:r w:rsidRPr="008E693E">
              <w:t>32</w:t>
            </w:r>
          </w:p>
        </w:tc>
        <w:tc>
          <w:tcPr>
            <w:tcW w:w="2124" w:type="dxa"/>
            <w:shd w:val="clear" w:color="auto" w:fill="auto"/>
          </w:tcPr>
          <w:p w:rsidR="0074660D" w:rsidRPr="008E693E" w:rsidRDefault="00705425" w:rsidP="00E14E98">
            <w:pPr>
              <w:pStyle w:val="Tabletext"/>
            </w:pPr>
            <w:r w:rsidRPr="008E693E">
              <w:t>Schedule</w:t>
            </w:r>
            <w:r w:rsidR="008E693E" w:rsidRPr="008E693E">
              <w:t> </w:t>
            </w:r>
            <w:r w:rsidRPr="008E693E">
              <w:t>7, item</w:t>
            </w:r>
            <w:r w:rsidR="008E693E" w:rsidRPr="008E693E">
              <w:t> </w:t>
            </w:r>
            <w:r w:rsidRPr="008E693E">
              <w:t>11.3</w:t>
            </w:r>
          </w:p>
        </w:tc>
        <w:tc>
          <w:tcPr>
            <w:tcW w:w="2124" w:type="dxa"/>
            <w:shd w:val="clear" w:color="auto" w:fill="auto"/>
          </w:tcPr>
          <w:p w:rsidR="0074660D" w:rsidRPr="008E693E" w:rsidRDefault="00705425" w:rsidP="00DF4475">
            <w:pPr>
              <w:pStyle w:val="Tabletext"/>
              <w:jc w:val="right"/>
            </w:pPr>
            <w:r w:rsidRPr="008E693E">
              <w:t>620</w:t>
            </w:r>
          </w:p>
        </w:tc>
        <w:tc>
          <w:tcPr>
            <w:tcW w:w="2124" w:type="dxa"/>
            <w:shd w:val="clear" w:color="auto" w:fill="auto"/>
          </w:tcPr>
          <w:p w:rsidR="0074660D" w:rsidRPr="008E693E" w:rsidRDefault="00705425" w:rsidP="00DF4475">
            <w:pPr>
              <w:pStyle w:val="Tabletext"/>
              <w:tabs>
                <w:tab w:val="decimal" w:pos="1120"/>
              </w:tabs>
              <w:jc w:val="right"/>
            </w:pPr>
            <w:r w:rsidRPr="008E693E">
              <w:t>645</w:t>
            </w:r>
          </w:p>
        </w:tc>
      </w:tr>
      <w:tr w:rsidR="00CA1FC4" w:rsidRPr="008E693E" w:rsidTr="00076C3F">
        <w:tc>
          <w:tcPr>
            <w:tcW w:w="714" w:type="dxa"/>
            <w:tcBorders>
              <w:bottom w:val="single" w:sz="4" w:space="0" w:color="auto"/>
            </w:tcBorders>
            <w:shd w:val="clear" w:color="auto" w:fill="auto"/>
          </w:tcPr>
          <w:p w:rsidR="0074660D" w:rsidRPr="008E693E" w:rsidRDefault="0074660D" w:rsidP="00E14E98">
            <w:pPr>
              <w:pStyle w:val="Tabletext"/>
            </w:pPr>
            <w:r w:rsidRPr="008E693E">
              <w:t>33</w:t>
            </w:r>
          </w:p>
        </w:tc>
        <w:tc>
          <w:tcPr>
            <w:tcW w:w="2124" w:type="dxa"/>
            <w:tcBorders>
              <w:bottom w:val="single" w:sz="4" w:space="0" w:color="auto"/>
            </w:tcBorders>
            <w:shd w:val="clear" w:color="auto" w:fill="auto"/>
          </w:tcPr>
          <w:p w:rsidR="0074660D" w:rsidRPr="008E693E" w:rsidRDefault="00705425" w:rsidP="00E14E98">
            <w:pPr>
              <w:pStyle w:val="Tabletext"/>
            </w:pPr>
            <w:r w:rsidRPr="008E693E">
              <w:t>Schedule</w:t>
            </w:r>
            <w:r w:rsidR="008E693E" w:rsidRPr="008E693E">
              <w:t> </w:t>
            </w:r>
            <w:r w:rsidRPr="008E693E">
              <w:t>7, item</w:t>
            </w:r>
            <w:r w:rsidR="008E693E" w:rsidRPr="008E693E">
              <w:t> </w:t>
            </w:r>
            <w:r w:rsidRPr="008E693E">
              <w:t>11.4</w:t>
            </w:r>
          </w:p>
        </w:tc>
        <w:tc>
          <w:tcPr>
            <w:tcW w:w="2124" w:type="dxa"/>
            <w:tcBorders>
              <w:bottom w:val="single" w:sz="4" w:space="0" w:color="auto"/>
            </w:tcBorders>
            <w:shd w:val="clear" w:color="auto" w:fill="auto"/>
          </w:tcPr>
          <w:p w:rsidR="0074660D" w:rsidRPr="008E693E" w:rsidRDefault="00705425" w:rsidP="00DF4475">
            <w:pPr>
              <w:pStyle w:val="Tabletext"/>
              <w:jc w:val="right"/>
            </w:pPr>
            <w:r w:rsidRPr="008E693E">
              <w:t>160</w:t>
            </w:r>
          </w:p>
        </w:tc>
        <w:tc>
          <w:tcPr>
            <w:tcW w:w="2124" w:type="dxa"/>
            <w:tcBorders>
              <w:bottom w:val="single" w:sz="4" w:space="0" w:color="auto"/>
            </w:tcBorders>
            <w:shd w:val="clear" w:color="auto" w:fill="auto"/>
          </w:tcPr>
          <w:p w:rsidR="0074660D" w:rsidRPr="008E693E" w:rsidRDefault="00705425" w:rsidP="00DF4475">
            <w:pPr>
              <w:pStyle w:val="Tabletext"/>
              <w:tabs>
                <w:tab w:val="decimal" w:pos="1120"/>
              </w:tabs>
              <w:jc w:val="right"/>
            </w:pPr>
            <w:r w:rsidRPr="008E693E">
              <w:t>570</w:t>
            </w:r>
          </w:p>
        </w:tc>
      </w:tr>
      <w:tr w:rsidR="00CA1FC4" w:rsidRPr="008E693E" w:rsidTr="00076C3F">
        <w:tc>
          <w:tcPr>
            <w:tcW w:w="714" w:type="dxa"/>
            <w:tcBorders>
              <w:bottom w:val="single" w:sz="12" w:space="0" w:color="auto"/>
            </w:tcBorders>
            <w:shd w:val="clear" w:color="auto" w:fill="auto"/>
          </w:tcPr>
          <w:p w:rsidR="0074660D" w:rsidRPr="008E693E" w:rsidRDefault="00705425" w:rsidP="00E14E98">
            <w:pPr>
              <w:pStyle w:val="Tabletext"/>
            </w:pPr>
            <w:r w:rsidRPr="008E693E">
              <w:t>34</w:t>
            </w:r>
          </w:p>
        </w:tc>
        <w:tc>
          <w:tcPr>
            <w:tcW w:w="2124" w:type="dxa"/>
            <w:tcBorders>
              <w:bottom w:val="single" w:sz="12" w:space="0" w:color="auto"/>
            </w:tcBorders>
            <w:shd w:val="clear" w:color="auto" w:fill="auto"/>
          </w:tcPr>
          <w:p w:rsidR="0074660D" w:rsidRPr="008E693E" w:rsidRDefault="00705425" w:rsidP="00E14E98">
            <w:pPr>
              <w:pStyle w:val="Tabletext"/>
            </w:pPr>
            <w:r w:rsidRPr="008E693E">
              <w:t>Schedule</w:t>
            </w:r>
            <w:r w:rsidR="008E693E" w:rsidRPr="008E693E">
              <w:t> </w:t>
            </w:r>
            <w:r w:rsidRPr="008E693E">
              <w:t>7, item</w:t>
            </w:r>
            <w:r w:rsidR="008E693E" w:rsidRPr="008E693E">
              <w:t> </w:t>
            </w:r>
            <w:r w:rsidRPr="008E693E">
              <w:t>12</w:t>
            </w:r>
          </w:p>
        </w:tc>
        <w:tc>
          <w:tcPr>
            <w:tcW w:w="2124" w:type="dxa"/>
            <w:tcBorders>
              <w:bottom w:val="single" w:sz="12" w:space="0" w:color="auto"/>
            </w:tcBorders>
            <w:shd w:val="clear" w:color="auto" w:fill="auto"/>
          </w:tcPr>
          <w:p w:rsidR="0074660D" w:rsidRPr="008E693E" w:rsidRDefault="00705425" w:rsidP="00DF4475">
            <w:pPr>
              <w:pStyle w:val="Tabletext"/>
              <w:jc w:val="right"/>
            </w:pPr>
            <w:r w:rsidRPr="008E693E">
              <w:t>170</w:t>
            </w:r>
          </w:p>
        </w:tc>
        <w:tc>
          <w:tcPr>
            <w:tcW w:w="2124" w:type="dxa"/>
            <w:tcBorders>
              <w:bottom w:val="single" w:sz="12" w:space="0" w:color="auto"/>
            </w:tcBorders>
            <w:shd w:val="clear" w:color="auto" w:fill="auto"/>
          </w:tcPr>
          <w:p w:rsidR="0074660D" w:rsidRPr="008E693E" w:rsidRDefault="00705425" w:rsidP="00DF4475">
            <w:pPr>
              <w:pStyle w:val="Tabletext"/>
              <w:tabs>
                <w:tab w:val="decimal" w:pos="1120"/>
              </w:tabs>
              <w:jc w:val="right"/>
            </w:pPr>
            <w:r w:rsidRPr="008E693E">
              <w:t>345</w:t>
            </w:r>
          </w:p>
        </w:tc>
      </w:tr>
    </w:tbl>
    <w:p w:rsidR="008F4AFA" w:rsidRPr="008E693E" w:rsidRDefault="008F4AFA" w:rsidP="008F4AFA">
      <w:pPr>
        <w:pStyle w:val="Tabletext"/>
      </w:pPr>
    </w:p>
    <w:sectPr w:rsidR="008F4AFA" w:rsidRPr="008E693E" w:rsidSect="00A46299">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91" w:rsidRDefault="00BC5391" w:rsidP="0048364F">
      <w:pPr>
        <w:spacing w:line="240" w:lineRule="auto"/>
      </w:pPr>
      <w:r>
        <w:separator/>
      </w:r>
    </w:p>
  </w:endnote>
  <w:endnote w:type="continuationSeparator" w:id="0">
    <w:p w:rsidR="00BC5391" w:rsidRDefault="00BC53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99" w:rsidRPr="00A46299" w:rsidRDefault="00A46299" w:rsidP="00A46299">
    <w:pPr>
      <w:pStyle w:val="Footer"/>
      <w:rPr>
        <w:sz w:val="18"/>
      </w:rPr>
    </w:pPr>
    <w:r>
      <w:rPr>
        <w:sz w:val="18"/>
      </w:rPr>
      <w:t>OPC60056</w:t>
    </w:r>
    <w:r w:rsidRPr="00A46299">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BC5391" w:rsidTr="0018179D">
      <w:tc>
        <w:tcPr>
          <w:tcW w:w="7303" w:type="dxa"/>
        </w:tcPr>
        <w:p w:rsidR="00BC5391" w:rsidRDefault="00BC5391" w:rsidP="0018179D">
          <w:pPr>
            <w:rPr>
              <w:sz w:val="18"/>
            </w:rPr>
          </w:pPr>
        </w:p>
      </w:tc>
    </w:tr>
  </w:tbl>
  <w:p w:rsidR="00BC5391" w:rsidRPr="006D3667" w:rsidRDefault="00A46299" w:rsidP="00A46299">
    <w:pPr>
      <w:pStyle w:val="Footer"/>
    </w:pPr>
    <w:r>
      <w:t>OPC60056</w:t>
    </w:r>
    <w:r w:rsidRPr="00A46299">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99" w:rsidRPr="00A46299" w:rsidRDefault="00A46299" w:rsidP="00A46299">
    <w:pPr>
      <w:pStyle w:val="Footer"/>
      <w:rPr>
        <w:sz w:val="18"/>
      </w:rPr>
    </w:pPr>
    <w:r>
      <w:rPr>
        <w:sz w:val="18"/>
      </w:rPr>
      <w:t>OPC60056</w:t>
    </w:r>
    <w:r w:rsidRPr="00A46299">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A46299" w:rsidRDefault="00BC5391"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BC5391" w:rsidRPr="00A46299" w:rsidTr="00E33C1C">
      <w:tc>
        <w:tcPr>
          <w:tcW w:w="533" w:type="dxa"/>
          <w:tcBorders>
            <w:top w:val="nil"/>
            <w:left w:val="nil"/>
            <w:bottom w:val="nil"/>
            <w:right w:val="nil"/>
          </w:tcBorders>
        </w:tcPr>
        <w:p w:rsidR="00BC5391" w:rsidRPr="00A46299" w:rsidRDefault="00BC5391" w:rsidP="00E33C1C">
          <w:pPr>
            <w:spacing w:line="0" w:lineRule="atLeast"/>
            <w:rPr>
              <w:rFonts w:cs="Times New Roman"/>
              <w:sz w:val="18"/>
            </w:rPr>
          </w:pPr>
          <w:r w:rsidRPr="00A46299">
            <w:rPr>
              <w:rFonts w:cs="Times New Roman"/>
              <w:i/>
              <w:sz w:val="18"/>
            </w:rPr>
            <w:fldChar w:fldCharType="begin"/>
          </w:r>
          <w:r w:rsidRPr="00A46299">
            <w:rPr>
              <w:rFonts w:cs="Times New Roman"/>
              <w:i/>
              <w:sz w:val="18"/>
            </w:rPr>
            <w:instrText xml:space="preserve"> PAGE </w:instrText>
          </w:r>
          <w:r w:rsidRPr="00A46299">
            <w:rPr>
              <w:rFonts w:cs="Times New Roman"/>
              <w:i/>
              <w:sz w:val="18"/>
            </w:rPr>
            <w:fldChar w:fldCharType="separate"/>
          </w:r>
          <w:r w:rsidR="009852E4">
            <w:rPr>
              <w:rFonts w:cs="Times New Roman"/>
              <w:i/>
              <w:noProof/>
              <w:sz w:val="18"/>
            </w:rPr>
            <w:t>iii</w:t>
          </w:r>
          <w:r w:rsidRPr="00A46299">
            <w:rPr>
              <w:rFonts w:cs="Times New Roman"/>
              <w:i/>
              <w:sz w:val="18"/>
            </w:rPr>
            <w:fldChar w:fldCharType="end"/>
          </w:r>
        </w:p>
      </w:tc>
      <w:tc>
        <w:tcPr>
          <w:tcW w:w="5387" w:type="dxa"/>
          <w:tcBorders>
            <w:top w:val="nil"/>
            <w:left w:val="nil"/>
            <w:bottom w:val="nil"/>
            <w:right w:val="nil"/>
          </w:tcBorders>
        </w:tcPr>
        <w:p w:rsidR="00BC5391" w:rsidRPr="00A46299" w:rsidRDefault="00BC5391" w:rsidP="00E33C1C">
          <w:pPr>
            <w:spacing w:line="0" w:lineRule="atLeast"/>
            <w:jc w:val="center"/>
            <w:rPr>
              <w:rFonts w:cs="Times New Roman"/>
              <w:sz w:val="18"/>
            </w:rPr>
          </w:pPr>
          <w:r w:rsidRPr="00A46299">
            <w:rPr>
              <w:rFonts w:cs="Times New Roman"/>
              <w:i/>
              <w:sz w:val="18"/>
            </w:rPr>
            <w:fldChar w:fldCharType="begin"/>
          </w:r>
          <w:r w:rsidRPr="00A46299">
            <w:rPr>
              <w:rFonts w:cs="Times New Roman"/>
              <w:i/>
              <w:sz w:val="18"/>
            </w:rPr>
            <w:instrText xml:space="preserve"> DOCPROPERTY ShortT </w:instrText>
          </w:r>
          <w:r w:rsidRPr="00A46299">
            <w:rPr>
              <w:rFonts w:cs="Times New Roman"/>
              <w:i/>
              <w:sz w:val="18"/>
            </w:rPr>
            <w:fldChar w:fldCharType="separate"/>
          </w:r>
          <w:r w:rsidR="00C33E8E">
            <w:rPr>
              <w:rFonts w:cs="Times New Roman"/>
              <w:i/>
              <w:sz w:val="18"/>
            </w:rPr>
            <w:t>Agricultural and Veterinary Chemicals Legislation Amendment (2013 Measures No. 1) Regulation 2013</w:t>
          </w:r>
          <w:r w:rsidRPr="00A46299">
            <w:rPr>
              <w:rFonts w:cs="Times New Roman"/>
              <w:i/>
              <w:sz w:val="18"/>
            </w:rPr>
            <w:fldChar w:fldCharType="end"/>
          </w:r>
        </w:p>
      </w:tc>
      <w:tc>
        <w:tcPr>
          <w:tcW w:w="1383" w:type="dxa"/>
          <w:tcBorders>
            <w:top w:val="nil"/>
            <w:left w:val="nil"/>
            <w:bottom w:val="nil"/>
            <w:right w:val="nil"/>
          </w:tcBorders>
        </w:tcPr>
        <w:p w:rsidR="00BC5391" w:rsidRPr="00A46299" w:rsidRDefault="00BC5391" w:rsidP="00E33C1C">
          <w:pPr>
            <w:spacing w:line="0" w:lineRule="atLeast"/>
            <w:jc w:val="right"/>
            <w:rPr>
              <w:rFonts w:cs="Times New Roman"/>
              <w:sz w:val="18"/>
            </w:rPr>
          </w:pPr>
          <w:r w:rsidRPr="00A46299">
            <w:rPr>
              <w:rFonts w:cs="Times New Roman"/>
              <w:i/>
              <w:sz w:val="18"/>
            </w:rPr>
            <w:fldChar w:fldCharType="begin"/>
          </w:r>
          <w:r w:rsidRPr="00A46299">
            <w:rPr>
              <w:rFonts w:cs="Times New Roman"/>
              <w:i/>
              <w:sz w:val="18"/>
            </w:rPr>
            <w:instrText xml:space="preserve"> DOCPROPERTY ActNo </w:instrText>
          </w:r>
          <w:r w:rsidRPr="00A46299">
            <w:rPr>
              <w:rFonts w:cs="Times New Roman"/>
              <w:i/>
              <w:sz w:val="18"/>
            </w:rPr>
            <w:fldChar w:fldCharType="separate"/>
          </w:r>
          <w:r w:rsidR="00C33E8E">
            <w:rPr>
              <w:rFonts w:cs="Times New Roman"/>
              <w:i/>
              <w:sz w:val="18"/>
            </w:rPr>
            <w:t>No. 108, 2013</w:t>
          </w:r>
          <w:r w:rsidRPr="00A46299">
            <w:rPr>
              <w:rFonts w:cs="Times New Roman"/>
              <w:i/>
              <w:sz w:val="18"/>
            </w:rPr>
            <w:fldChar w:fldCharType="end"/>
          </w:r>
        </w:p>
      </w:tc>
    </w:tr>
    <w:tr w:rsidR="00BC5391" w:rsidRPr="00A46299"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C5391" w:rsidRPr="00A46299" w:rsidRDefault="00BC5391" w:rsidP="0018179D">
          <w:pPr>
            <w:jc w:val="right"/>
            <w:rPr>
              <w:rFonts w:cs="Times New Roman"/>
              <w:sz w:val="18"/>
            </w:rPr>
          </w:pPr>
        </w:p>
      </w:tc>
    </w:tr>
  </w:tbl>
  <w:p w:rsidR="00BC5391" w:rsidRPr="00A46299" w:rsidRDefault="00A46299" w:rsidP="00A46299">
    <w:pPr>
      <w:rPr>
        <w:rFonts w:cs="Times New Roman"/>
        <w:i/>
        <w:sz w:val="18"/>
      </w:rPr>
    </w:pPr>
    <w:r>
      <w:rPr>
        <w:rFonts w:cs="Times New Roman"/>
        <w:i/>
        <w:sz w:val="18"/>
      </w:rPr>
      <w:t>OPC60056</w:t>
    </w:r>
    <w:r w:rsidRPr="00A46299">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E33C1C" w:rsidRDefault="00BC5391"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C5391" w:rsidTr="00E33C1C">
      <w:tc>
        <w:tcPr>
          <w:tcW w:w="1383" w:type="dxa"/>
          <w:tcBorders>
            <w:top w:val="nil"/>
            <w:left w:val="nil"/>
            <w:bottom w:val="nil"/>
            <w:right w:val="nil"/>
          </w:tcBorders>
        </w:tcPr>
        <w:p w:rsidR="00BC5391" w:rsidRDefault="00BC5391"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33E8E">
            <w:rPr>
              <w:i/>
              <w:sz w:val="18"/>
            </w:rPr>
            <w:t>No. 108, 2013</w:t>
          </w:r>
          <w:r w:rsidRPr="007A1328">
            <w:rPr>
              <w:i/>
              <w:sz w:val="18"/>
            </w:rPr>
            <w:fldChar w:fldCharType="end"/>
          </w:r>
        </w:p>
      </w:tc>
      <w:tc>
        <w:tcPr>
          <w:tcW w:w="5387" w:type="dxa"/>
          <w:tcBorders>
            <w:top w:val="nil"/>
            <w:left w:val="nil"/>
            <w:bottom w:val="nil"/>
            <w:right w:val="nil"/>
          </w:tcBorders>
        </w:tcPr>
        <w:p w:rsidR="00BC5391" w:rsidRDefault="00BC539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3E8E">
            <w:rPr>
              <w:i/>
              <w:sz w:val="18"/>
            </w:rPr>
            <w:t>Agricultural and Veterinary Chemicals Legislation Amendment (2013 Measures No. 1) Regulation 2013</w:t>
          </w:r>
          <w:r w:rsidRPr="007A1328">
            <w:rPr>
              <w:i/>
              <w:sz w:val="18"/>
            </w:rPr>
            <w:fldChar w:fldCharType="end"/>
          </w:r>
        </w:p>
      </w:tc>
      <w:tc>
        <w:tcPr>
          <w:tcW w:w="533" w:type="dxa"/>
          <w:tcBorders>
            <w:top w:val="nil"/>
            <w:left w:val="nil"/>
            <w:bottom w:val="nil"/>
            <w:right w:val="nil"/>
          </w:tcBorders>
        </w:tcPr>
        <w:p w:rsidR="00BC5391" w:rsidRDefault="00BC539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4CC7">
            <w:rPr>
              <w:i/>
              <w:noProof/>
              <w:sz w:val="18"/>
            </w:rPr>
            <w:t>i</w:t>
          </w:r>
          <w:r w:rsidRPr="00ED79B6">
            <w:rPr>
              <w:i/>
              <w:sz w:val="18"/>
            </w:rPr>
            <w:fldChar w:fldCharType="end"/>
          </w:r>
        </w:p>
      </w:tc>
    </w:tr>
    <w:tr w:rsidR="00BC5391" w:rsidTr="0018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C5391" w:rsidRDefault="00BC5391" w:rsidP="0018179D">
          <w:pPr>
            <w:rPr>
              <w:sz w:val="18"/>
            </w:rPr>
          </w:pPr>
        </w:p>
      </w:tc>
    </w:tr>
  </w:tbl>
  <w:p w:rsidR="00BC5391" w:rsidRPr="00ED79B6" w:rsidRDefault="00A46299" w:rsidP="00A46299">
    <w:pPr>
      <w:rPr>
        <w:i/>
        <w:sz w:val="18"/>
      </w:rPr>
    </w:pPr>
    <w:r>
      <w:rPr>
        <w:i/>
        <w:sz w:val="18"/>
      </w:rPr>
      <w:t>OPC60056</w:t>
    </w:r>
    <w:r w:rsidRPr="00A46299">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A46299" w:rsidRDefault="00BC5391"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BC5391" w:rsidRPr="00A46299" w:rsidTr="00E33C1C">
      <w:tc>
        <w:tcPr>
          <w:tcW w:w="533" w:type="dxa"/>
          <w:tcBorders>
            <w:top w:val="nil"/>
            <w:left w:val="nil"/>
            <w:bottom w:val="nil"/>
            <w:right w:val="nil"/>
          </w:tcBorders>
        </w:tcPr>
        <w:p w:rsidR="00BC5391" w:rsidRPr="00A46299" w:rsidRDefault="00BC5391" w:rsidP="00E33C1C">
          <w:pPr>
            <w:spacing w:line="0" w:lineRule="atLeast"/>
            <w:rPr>
              <w:rFonts w:cs="Times New Roman"/>
              <w:sz w:val="18"/>
            </w:rPr>
          </w:pPr>
          <w:r w:rsidRPr="00A46299">
            <w:rPr>
              <w:rFonts w:cs="Times New Roman"/>
              <w:i/>
              <w:sz w:val="18"/>
            </w:rPr>
            <w:fldChar w:fldCharType="begin"/>
          </w:r>
          <w:r w:rsidRPr="00A46299">
            <w:rPr>
              <w:rFonts w:cs="Times New Roman"/>
              <w:i/>
              <w:sz w:val="18"/>
            </w:rPr>
            <w:instrText xml:space="preserve"> PAGE </w:instrText>
          </w:r>
          <w:r w:rsidRPr="00A46299">
            <w:rPr>
              <w:rFonts w:cs="Times New Roman"/>
              <w:i/>
              <w:sz w:val="18"/>
            </w:rPr>
            <w:fldChar w:fldCharType="separate"/>
          </w:r>
          <w:r w:rsidR="00444CC7">
            <w:rPr>
              <w:rFonts w:cs="Times New Roman"/>
              <w:i/>
              <w:noProof/>
              <w:sz w:val="18"/>
            </w:rPr>
            <w:t>16</w:t>
          </w:r>
          <w:r w:rsidRPr="00A46299">
            <w:rPr>
              <w:rFonts w:cs="Times New Roman"/>
              <w:i/>
              <w:sz w:val="18"/>
            </w:rPr>
            <w:fldChar w:fldCharType="end"/>
          </w:r>
        </w:p>
      </w:tc>
      <w:tc>
        <w:tcPr>
          <w:tcW w:w="5387" w:type="dxa"/>
          <w:tcBorders>
            <w:top w:val="nil"/>
            <w:left w:val="nil"/>
            <w:bottom w:val="nil"/>
            <w:right w:val="nil"/>
          </w:tcBorders>
        </w:tcPr>
        <w:p w:rsidR="00BC5391" w:rsidRPr="00A46299" w:rsidRDefault="00BC5391" w:rsidP="00E33C1C">
          <w:pPr>
            <w:spacing w:line="0" w:lineRule="atLeast"/>
            <w:jc w:val="center"/>
            <w:rPr>
              <w:rFonts w:cs="Times New Roman"/>
              <w:sz w:val="18"/>
            </w:rPr>
          </w:pPr>
          <w:r w:rsidRPr="00A46299">
            <w:rPr>
              <w:rFonts w:cs="Times New Roman"/>
              <w:i/>
              <w:sz w:val="18"/>
            </w:rPr>
            <w:fldChar w:fldCharType="begin"/>
          </w:r>
          <w:r w:rsidRPr="00A46299">
            <w:rPr>
              <w:rFonts w:cs="Times New Roman"/>
              <w:i/>
              <w:sz w:val="18"/>
            </w:rPr>
            <w:instrText xml:space="preserve"> DOCPROPERTY ShortT </w:instrText>
          </w:r>
          <w:r w:rsidRPr="00A46299">
            <w:rPr>
              <w:rFonts w:cs="Times New Roman"/>
              <w:i/>
              <w:sz w:val="18"/>
            </w:rPr>
            <w:fldChar w:fldCharType="separate"/>
          </w:r>
          <w:r w:rsidR="00C33E8E">
            <w:rPr>
              <w:rFonts w:cs="Times New Roman"/>
              <w:i/>
              <w:sz w:val="18"/>
            </w:rPr>
            <w:t>Agricultural and Veterinary Chemicals Legislation Amendment (2013 Measures No. 1) Regulation 2013</w:t>
          </w:r>
          <w:r w:rsidRPr="00A46299">
            <w:rPr>
              <w:rFonts w:cs="Times New Roman"/>
              <w:i/>
              <w:sz w:val="18"/>
            </w:rPr>
            <w:fldChar w:fldCharType="end"/>
          </w:r>
        </w:p>
      </w:tc>
      <w:tc>
        <w:tcPr>
          <w:tcW w:w="1383" w:type="dxa"/>
          <w:tcBorders>
            <w:top w:val="nil"/>
            <w:left w:val="nil"/>
            <w:bottom w:val="nil"/>
            <w:right w:val="nil"/>
          </w:tcBorders>
        </w:tcPr>
        <w:p w:rsidR="00BC5391" w:rsidRPr="00A46299" w:rsidRDefault="00BC5391" w:rsidP="00E33C1C">
          <w:pPr>
            <w:spacing w:line="0" w:lineRule="atLeast"/>
            <w:jc w:val="right"/>
            <w:rPr>
              <w:rFonts w:cs="Times New Roman"/>
              <w:sz w:val="18"/>
            </w:rPr>
          </w:pPr>
          <w:r w:rsidRPr="00A46299">
            <w:rPr>
              <w:rFonts w:cs="Times New Roman"/>
              <w:i/>
              <w:sz w:val="18"/>
            </w:rPr>
            <w:fldChar w:fldCharType="begin"/>
          </w:r>
          <w:r w:rsidRPr="00A46299">
            <w:rPr>
              <w:rFonts w:cs="Times New Roman"/>
              <w:i/>
              <w:sz w:val="18"/>
            </w:rPr>
            <w:instrText xml:space="preserve"> DOCPROPERTY ActNo </w:instrText>
          </w:r>
          <w:r w:rsidRPr="00A46299">
            <w:rPr>
              <w:rFonts w:cs="Times New Roman"/>
              <w:i/>
              <w:sz w:val="18"/>
            </w:rPr>
            <w:fldChar w:fldCharType="separate"/>
          </w:r>
          <w:r w:rsidR="00C33E8E">
            <w:rPr>
              <w:rFonts w:cs="Times New Roman"/>
              <w:i/>
              <w:sz w:val="18"/>
            </w:rPr>
            <w:t>No. 108, 2013</w:t>
          </w:r>
          <w:r w:rsidRPr="00A46299">
            <w:rPr>
              <w:rFonts w:cs="Times New Roman"/>
              <w:i/>
              <w:sz w:val="18"/>
            </w:rPr>
            <w:fldChar w:fldCharType="end"/>
          </w:r>
        </w:p>
      </w:tc>
    </w:tr>
    <w:tr w:rsidR="00BC5391" w:rsidRPr="00A46299"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C5391" w:rsidRPr="00A46299" w:rsidRDefault="00BC5391" w:rsidP="0018179D">
          <w:pPr>
            <w:jc w:val="right"/>
            <w:rPr>
              <w:rFonts w:cs="Times New Roman"/>
              <w:sz w:val="18"/>
            </w:rPr>
          </w:pPr>
        </w:p>
      </w:tc>
    </w:tr>
  </w:tbl>
  <w:p w:rsidR="00BC5391" w:rsidRPr="00A46299" w:rsidRDefault="00A46299" w:rsidP="00A46299">
    <w:pPr>
      <w:rPr>
        <w:rFonts w:cs="Times New Roman"/>
        <w:i/>
        <w:sz w:val="18"/>
      </w:rPr>
    </w:pPr>
    <w:r>
      <w:rPr>
        <w:rFonts w:cs="Times New Roman"/>
        <w:i/>
        <w:sz w:val="18"/>
      </w:rPr>
      <w:t>OPC60056</w:t>
    </w:r>
    <w:r w:rsidRPr="00A46299">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E33C1C" w:rsidRDefault="00BC5391"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C5391" w:rsidTr="00E33C1C">
      <w:tc>
        <w:tcPr>
          <w:tcW w:w="1383" w:type="dxa"/>
          <w:tcBorders>
            <w:top w:val="nil"/>
            <w:left w:val="nil"/>
            <w:bottom w:val="nil"/>
            <w:right w:val="nil"/>
          </w:tcBorders>
        </w:tcPr>
        <w:p w:rsidR="00BC5391" w:rsidRDefault="00BC5391"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33E8E">
            <w:rPr>
              <w:i/>
              <w:sz w:val="18"/>
            </w:rPr>
            <w:t>No. 108, 2013</w:t>
          </w:r>
          <w:r w:rsidRPr="007A1328">
            <w:rPr>
              <w:i/>
              <w:sz w:val="18"/>
            </w:rPr>
            <w:fldChar w:fldCharType="end"/>
          </w:r>
        </w:p>
      </w:tc>
      <w:tc>
        <w:tcPr>
          <w:tcW w:w="5387" w:type="dxa"/>
          <w:tcBorders>
            <w:top w:val="nil"/>
            <w:left w:val="nil"/>
            <w:bottom w:val="nil"/>
            <w:right w:val="nil"/>
          </w:tcBorders>
        </w:tcPr>
        <w:p w:rsidR="00BC5391" w:rsidRDefault="00BC539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3E8E">
            <w:rPr>
              <w:i/>
              <w:sz w:val="18"/>
            </w:rPr>
            <w:t>Agricultural and Veterinary Chemicals Legislation Amendment (2013 Measures No. 1) Regulation 2013</w:t>
          </w:r>
          <w:r w:rsidRPr="007A1328">
            <w:rPr>
              <w:i/>
              <w:sz w:val="18"/>
            </w:rPr>
            <w:fldChar w:fldCharType="end"/>
          </w:r>
        </w:p>
      </w:tc>
      <w:tc>
        <w:tcPr>
          <w:tcW w:w="533" w:type="dxa"/>
          <w:tcBorders>
            <w:top w:val="nil"/>
            <w:left w:val="nil"/>
            <w:bottom w:val="nil"/>
            <w:right w:val="nil"/>
          </w:tcBorders>
        </w:tcPr>
        <w:p w:rsidR="00BC5391" w:rsidRDefault="00BC539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4CC7">
            <w:rPr>
              <w:i/>
              <w:noProof/>
              <w:sz w:val="18"/>
            </w:rPr>
            <w:t>15</w:t>
          </w:r>
          <w:r w:rsidRPr="00ED79B6">
            <w:rPr>
              <w:i/>
              <w:sz w:val="18"/>
            </w:rPr>
            <w:fldChar w:fldCharType="end"/>
          </w:r>
        </w:p>
      </w:tc>
    </w:tr>
    <w:tr w:rsidR="00BC5391" w:rsidTr="0018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C5391" w:rsidRDefault="00BC5391" w:rsidP="0018179D">
          <w:pPr>
            <w:rPr>
              <w:sz w:val="18"/>
            </w:rPr>
          </w:pPr>
        </w:p>
      </w:tc>
    </w:tr>
  </w:tbl>
  <w:p w:rsidR="00BC5391" w:rsidRPr="00ED79B6" w:rsidRDefault="00A46299" w:rsidP="00A46299">
    <w:pPr>
      <w:rPr>
        <w:i/>
        <w:sz w:val="18"/>
      </w:rPr>
    </w:pPr>
    <w:r>
      <w:rPr>
        <w:i/>
        <w:sz w:val="18"/>
      </w:rPr>
      <w:t>OPC60056</w:t>
    </w:r>
    <w:r w:rsidRPr="00A46299">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E33C1C" w:rsidRDefault="00BC5391"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C5391" w:rsidTr="0018179D">
      <w:tc>
        <w:tcPr>
          <w:tcW w:w="1383" w:type="dxa"/>
          <w:tcBorders>
            <w:top w:val="nil"/>
            <w:left w:val="nil"/>
            <w:bottom w:val="nil"/>
            <w:right w:val="nil"/>
          </w:tcBorders>
        </w:tcPr>
        <w:p w:rsidR="00BC5391" w:rsidRDefault="00BC5391" w:rsidP="0018179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33E8E">
            <w:rPr>
              <w:i/>
              <w:sz w:val="18"/>
            </w:rPr>
            <w:t>No. 108, 2013</w:t>
          </w:r>
          <w:r w:rsidRPr="007A1328">
            <w:rPr>
              <w:i/>
              <w:sz w:val="18"/>
            </w:rPr>
            <w:fldChar w:fldCharType="end"/>
          </w:r>
        </w:p>
      </w:tc>
      <w:tc>
        <w:tcPr>
          <w:tcW w:w="5387" w:type="dxa"/>
          <w:tcBorders>
            <w:top w:val="nil"/>
            <w:left w:val="nil"/>
            <w:bottom w:val="nil"/>
            <w:right w:val="nil"/>
          </w:tcBorders>
        </w:tcPr>
        <w:p w:rsidR="00BC5391" w:rsidRDefault="00BC5391" w:rsidP="001817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3E8E">
            <w:rPr>
              <w:i/>
              <w:sz w:val="18"/>
            </w:rPr>
            <w:t>Agricultural and Veterinary Chemicals Legislation Amendment (2013 Measures No. 1) Regulation 2013</w:t>
          </w:r>
          <w:r w:rsidRPr="007A1328">
            <w:rPr>
              <w:i/>
              <w:sz w:val="18"/>
            </w:rPr>
            <w:fldChar w:fldCharType="end"/>
          </w:r>
        </w:p>
      </w:tc>
      <w:tc>
        <w:tcPr>
          <w:tcW w:w="533" w:type="dxa"/>
          <w:tcBorders>
            <w:top w:val="nil"/>
            <w:left w:val="nil"/>
            <w:bottom w:val="nil"/>
            <w:right w:val="nil"/>
          </w:tcBorders>
        </w:tcPr>
        <w:p w:rsidR="00BC5391" w:rsidRDefault="00BC5391" w:rsidP="001817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52E4">
            <w:rPr>
              <w:i/>
              <w:noProof/>
              <w:sz w:val="18"/>
            </w:rPr>
            <w:t>3</w:t>
          </w:r>
          <w:r w:rsidRPr="00ED79B6">
            <w:rPr>
              <w:i/>
              <w:sz w:val="18"/>
            </w:rPr>
            <w:fldChar w:fldCharType="end"/>
          </w:r>
        </w:p>
      </w:tc>
    </w:tr>
    <w:tr w:rsidR="00BC5391" w:rsidTr="00181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C5391" w:rsidRDefault="00BC5391" w:rsidP="0018179D">
          <w:pPr>
            <w:rPr>
              <w:sz w:val="18"/>
            </w:rPr>
          </w:pPr>
        </w:p>
      </w:tc>
    </w:tr>
  </w:tbl>
  <w:p w:rsidR="00BC5391" w:rsidRPr="00ED79B6" w:rsidRDefault="00BC5391"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91" w:rsidRDefault="00BC5391" w:rsidP="0048364F">
      <w:pPr>
        <w:spacing w:line="240" w:lineRule="auto"/>
      </w:pPr>
      <w:r>
        <w:separator/>
      </w:r>
    </w:p>
  </w:footnote>
  <w:footnote w:type="continuationSeparator" w:id="0">
    <w:p w:rsidR="00BC5391" w:rsidRDefault="00BC539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5F1388" w:rsidRDefault="00BC539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5F1388" w:rsidRDefault="00BC539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5F1388" w:rsidRDefault="00BC539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ED79B6" w:rsidRDefault="00BC5391"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ED79B6" w:rsidRDefault="00BC5391"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ED79B6" w:rsidRDefault="00BC539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A961C4" w:rsidRDefault="00BC5391" w:rsidP="00B63BDE">
    <w:pPr>
      <w:rPr>
        <w:b/>
        <w:sz w:val="20"/>
      </w:rPr>
    </w:pPr>
    <w:r>
      <w:rPr>
        <w:b/>
        <w:sz w:val="20"/>
      </w:rPr>
      <w:fldChar w:fldCharType="begin"/>
    </w:r>
    <w:r>
      <w:rPr>
        <w:b/>
        <w:sz w:val="20"/>
      </w:rPr>
      <w:instrText xml:space="preserve"> STYLEREF CharAmSchNo </w:instrText>
    </w:r>
    <w:r w:rsidR="00444CC7">
      <w:rPr>
        <w:b/>
        <w:sz w:val="20"/>
      </w:rPr>
      <w:fldChar w:fldCharType="separate"/>
    </w:r>
    <w:r w:rsidR="00444CC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44CC7">
      <w:rPr>
        <w:sz w:val="20"/>
      </w:rPr>
      <w:fldChar w:fldCharType="separate"/>
    </w:r>
    <w:r w:rsidR="00444CC7">
      <w:rPr>
        <w:noProof/>
        <w:sz w:val="20"/>
      </w:rPr>
      <w:t>Amendments</w:t>
    </w:r>
    <w:r>
      <w:rPr>
        <w:sz w:val="20"/>
      </w:rPr>
      <w:fldChar w:fldCharType="end"/>
    </w:r>
  </w:p>
  <w:p w:rsidR="00BC5391" w:rsidRPr="00A961C4" w:rsidRDefault="00BC5391"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C5391" w:rsidRPr="00A961C4" w:rsidRDefault="00BC5391"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A961C4" w:rsidRDefault="00BC5391" w:rsidP="00E443FC">
    <w:pPr>
      <w:jc w:val="right"/>
      <w:rPr>
        <w:sz w:val="20"/>
      </w:rPr>
    </w:pPr>
    <w:r w:rsidRPr="00A961C4">
      <w:rPr>
        <w:sz w:val="20"/>
      </w:rPr>
      <w:fldChar w:fldCharType="begin"/>
    </w:r>
    <w:r w:rsidRPr="00A961C4">
      <w:rPr>
        <w:sz w:val="20"/>
      </w:rPr>
      <w:instrText xml:space="preserve"> STYLEREF CharAmSchText </w:instrText>
    </w:r>
    <w:r w:rsidR="00444CC7">
      <w:rPr>
        <w:sz w:val="20"/>
      </w:rPr>
      <w:fldChar w:fldCharType="separate"/>
    </w:r>
    <w:r w:rsidR="00444CC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44CC7">
      <w:rPr>
        <w:b/>
        <w:sz w:val="20"/>
      </w:rPr>
      <w:fldChar w:fldCharType="separate"/>
    </w:r>
    <w:r w:rsidR="00444CC7">
      <w:rPr>
        <w:b/>
        <w:noProof/>
        <w:sz w:val="20"/>
      </w:rPr>
      <w:t>Schedule 1</w:t>
    </w:r>
    <w:r>
      <w:rPr>
        <w:b/>
        <w:sz w:val="20"/>
      </w:rPr>
      <w:fldChar w:fldCharType="end"/>
    </w:r>
  </w:p>
  <w:p w:rsidR="00BC5391" w:rsidRPr="00A961C4" w:rsidRDefault="00BC5391"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C5391" w:rsidRPr="00A961C4" w:rsidRDefault="00BC5391"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91" w:rsidRPr="00A961C4" w:rsidRDefault="00BC5391"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5E844EF"/>
    <w:multiLevelType w:val="hybridMultilevel"/>
    <w:tmpl w:val="00A879EA"/>
    <w:lvl w:ilvl="0" w:tplc="EF6E0764">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34"/>
    <w:rsid w:val="000041C6"/>
    <w:rsid w:val="000113BC"/>
    <w:rsid w:val="000136AF"/>
    <w:rsid w:val="00016308"/>
    <w:rsid w:val="00021745"/>
    <w:rsid w:val="00025060"/>
    <w:rsid w:val="00025F95"/>
    <w:rsid w:val="00027818"/>
    <w:rsid w:val="00032B03"/>
    <w:rsid w:val="00034586"/>
    <w:rsid w:val="000368E9"/>
    <w:rsid w:val="0004044E"/>
    <w:rsid w:val="00042E1E"/>
    <w:rsid w:val="00045679"/>
    <w:rsid w:val="000473C2"/>
    <w:rsid w:val="00053016"/>
    <w:rsid w:val="000614BF"/>
    <w:rsid w:val="00071B27"/>
    <w:rsid w:val="00076C3F"/>
    <w:rsid w:val="00092955"/>
    <w:rsid w:val="00097726"/>
    <w:rsid w:val="000A2A4F"/>
    <w:rsid w:val="000B050F"/>
    <w:rsid w:val="000B0911"/>
    <w:rsid w:val="000B1DCD"/>
    <w:rsid w:val="000C70D4"/>
    <w:rsid w:val="000D05EF"/>
    <w:rsid w:val="000D0C5E"/>
    <w:rsid w:val="000F21C1"/>
    <w:rsid w:val="000F7427"/>
    <w:rsid w:val="000F7BD9"/>
    <w:rsid w:val="0010745C"/>
    <w:rsid w:val="001120EB"/>
    <w:rsid w:val="00117C87"/>
    <w:rsid w:val="0013284F"/>
    <w:rsid w:val="001371E1"/>
    <w:rsid w:val="00137FAD"/>
    <w:rsid w:val="00147917"/>
    <w:rsid w:val="0015245E"/>
    <w:rsid w:val="00154EAC"/>
    <w:rsid w:val="00157824"/>
    <w:rsid w:val="001643C9"/>
    <w:rsid w:val="00165568"/>
    <w:rsid w:val="00166C2F"/>
    <w:rsid w:val="001716C9"/>
    <w:rsid w:val="00171EAE"/>
    <w:rsid w:val="00177FD3"/>
    <w:rsid w:val="0018179D"/>
    <w:rsid w:val="00193461"/>
    <w:rsid w:val="001939E1"/>
    <w:rsid w:val="00195382"/>
    <w:rsid w:val="001A26D2"/>
    <w:rsid w:val="001B0874"/>
    <w:rsid w:val="001B1D74"/>
    <w:rsid w:val="001B1F48"/>
    <w:rsid w:val="001B7A5D"/>
    <w:rsid w:val="001C6246"/>
    <w:rsid w:val="001C6790"/>
    <w:rsid w:val="001C69C4"/>
    <w:rsid w:val="001D4988"/>
    <w:rsid w:val="001D4ABA"/>
    <w:rsid w:val="001E31F5"/>
    <w:rsid w:val="001E3590"/>
    <w:rsid w:val="001E562E"/>
    <w:rsid w:val="001E56C2"/>
    <w:rsid w:val="001E58DD"/>
    <w:rsid w:val="001E7407"/>
    <w:rsid w:val="001F31DD"/>
    <w:rsid w:val="001F460F"/>
    <w:rsid w:val="001F4814"/>
    <w:rsid w:val="001F6924"/>
    <w:rsid w:val="001F7DB8"/>
    <w:rsid w:val="00201D27"/>
    <w:rsid w:val="002046EA"/>
    <w:rsid w:val="002053C1"/>
    <w:rsid w:val="00216D07"/>
    <w:rsid w:val="00240749"/>
    <w:rsid w:val="00242C1C"/>
    <w:rsid w:val="00251790"/>
    <w:rsid w:val="002573A3"/>
    <w:rsid w:val="00265FBC"/>
    <w:rsid w:val="00266D05"/>
    <w:rsid w:val="002727F0"/>
    <w:rsid w:val="00285F84"/>
    <w:rsid w:val="00286FE2"/>
    <w:rsid w:val="002932B1"/>
    <w:rsid w:val="00297ECB"/>
    <w:rsid w:val="002A0A9E"/>
    <w:rsid w:val="002A0FFD"/>
    <w:rsid w:val="002A2D41"/>
    <w:rsid w:val="002B31E6"/>
    <w:rsid w:val="002B479D"/>
    <w:rsid w:val="002B5B89"/>
    <w:rsid w:val="002B5C6F"/>
    <w:rsid w:val="002B7D96"/>
    <w:rsid w:val="002C640D"/>
    <w:rsid w:val="002D043A"/>
    <w:rsid w:val="002F293A"/>
    <w:rsid w:val="00304E75"/>
    <w:rsid w:val="003072FA"/>
    <w:rsid w:val="0031007A"/>
    <w:rsid w:val="00312790"/>
    <w:rsid w:val="0031713F"/>
    <w:rsid w:val="00322203"/>
    <w:rsid w:val="0033139F"/>
    <w:rsid w:val="0033579B"/>
    <w:rsid w:val="003415D3"/>
    <w:rsid w:val="00344D44"/>
    <w:rsid w:val="00346AF2"/>
    <w:rsid w:val="0035110D"/>
    <w:rsid w:val="00352B0F"/>
    <w:rsid w:val="00361BD9"/>
    <w:rsid w:val="00365759"/>
    <w:rsid w:val="00365D5D"/>
    <w:rsid w:val="00376F7E"/>
    <w:rsid w:val="003801D0"/>
    <w:rsid w:val="00384C8B"/>
    <w:rsid w:val="003901F7"/>
    <w:rsid w:val="0039228E"/>
    <w:rsid w:val="003926B5"/>
    <w:rsid w:val="003953CC"/>
    <w:rsid w:val="00397A6C"/>
    <w:rsid w:val="003A7B8B"/>
    <w:rsid w:val="003B04EC"/>
    <w:rsid w:val="003B391C"/>
    <w:rsid w:val="003B3E66"/>
    <w:rsid w:val="003C2375"/>
    <w:rsid w:val="003C5C05"/>
    <w:rsid w:val="003C5F2B"/>
    <w:rsid w:val="003C6D57"/>
    <w:rsid w:val="003C7496"/>
    <w:rsid w:val="003C74D2"/>
    <w:rsid w:val="003D0BFE"/>
    <w:rsid w:val="003D1BAE"/>
    <w:rsid w:val="003D52E8"/>
    <w:rsid w:val="003D5700"/>
    <w:rsid w:val="003E5FF5"/>
    <w:rsid w:val="003E6C3F"/>
    <w:rsid w:val="003F4CA9"/>
    <w:rsid w:val="003F567B"/>
    <w:rsid w:val="004010E7"/>
    <w:rsid w:val="00401403"/>
    <w:rsid w:val="00404581"/>
    <w:rsid w:val="004116CD"/>
    <w:rsid w:val="00412B83"/>
    <w:rsid w:val="0041418F"/>
    <w:rsid w:val="00414FC9"/>
    <w:rsid w:val="00417E86"/>
    <w:rsid w:val="00424CA9"/>
    <w:rsid w:val="00435A65"/>
    <w:rsid w:val="00435D57"/>
    <w:rsid w:val="00441946"/>
    <w:rsid w:val="0044291A"/>
    <w:rsid w:val="00444CC7"/>
    <w:rsid w:val="004541B9"/>
    <w:rsid w:val="00460310"/>
    <w:rsid w:val="00460499"/>
    <w:rsid w:val="0046545F"/>
    <w:rsid w:val="004714F0"/>
    <w:rsid w:val="0047400F"/>
    <w:rsid w:val="00477951"/>
    <w:rsid w:val="0048364F"/>
    <w:rsid w:val="004839C0"/>
    <w:rsid w:val="004843E7"/>
    <w:rsid w:val="0048786A"/>
    <w:rsid w:val="00494D92"/>
    <w:rsid w:val="00496F97"/>
    <w:rsid w:val="004A2484"/>
    <w:rsid w:val="004A5380"/>
    <w:rsid w:val="004A6BF6"/>
    <w:rsid w:val="004B1890"/>
    <w:rsid w:val="004B4005"/>
    <w:rsid w:val="004B7807"/>
    <w:rsid w:val="004C257A"/>
    <w:rsid w:val="004C2899"/>
    <w:rsid w:val="004C6444"/>
    <w:rsid w:val="004C6DE1"/>
    <w:rsid w:val="004D610C"/>
    <w:rsid w:val="004F1E56"/>
    <w:rsid w:val="004F1FAC"/>
    <w:rsid w:val="004F3A90"/>
    <w:rsid w:val="004F676E"/>
    <w:rsid w:val="00516B8D"/>
    <w:rsid w:val="00522B96"/>
    <w:rsid w:val="00523E1E"/>
    <w:rsid w:val="00526A81"/>
    <w:rsid w:val="00526BE2"/>
    <w:rsid w:val="00537FBC"/>
    <w:rsid w:val="00541679"/>
    <w:rsid w:val="00543469"/>
    <w:rsid w:val="005452E0"/>
    <w:rsid w:val="00550E6F"/>
    <w:rsid w:val="00557790"/>
    <w:rsid w:val="00557C7A"/>
    <w:rsid w:val="00564DA0"/>
    <w:rsid w:val="00566D6E"/>
    <w:rsid w:val="00576E9F"/>
    <w:rsid w:val="00581214"/>
    <w:rsid w:val="00584811"/>
    <w:rsid w:val="0058646E"/>
    <w:rsid w:val="00591E07"/>
    <w:rsid w:val="00593AA6"/>
    <w:rsid w:val="00594161"/>
    <w:rsid w:val="00594749"/>
    <w:rsid w:val="005A5C18"/>
    <w:rsid w:val="005B2383"/>
    <w:rsid w:val="005B4067"/>
    <w:rsid w:val="005C12DE"/>
    <w:rsid w:val="005C1484"/>
    <w:rsid w:val="005C3F41"/>
    <w:rsid w:val="005C7B4F"/>
    <w:rsid w:val="005C7C9C"/>
    <w:rsid w:val="005D6D41"/>
    <w:rsid w:val="005E6999"/>
    <w:rsid w:val="00600219"/>
    <w:rsid w:val="00601112"/>
    <w:rsid w:val="006029FB"/>
    <w:rsid w:val="0061015B"/>
    <w:rsid w:val="006134C7"/>
    <w:rsid w:val="00615680"/>
    <w:rsid w:val="006208E6"/>
    <w:rsid w:val="00622A3A"/>
    <w:rsid w:val="006249E6"/>
    <w:rsid w:val="00624DB2"/>
    <w:rsid w:val="00630733"/>
    <w:rsid w:val="0064468A"/>
    <w:rsid w:val="00644AC1"/>
    <w:rsid w:val="00646B5C"/>
    <w:rsid w:val="006529CA"/>
    <w:rsid w:val="00654CCA"/>
    <w:rsid w:val="0065557F"/>
    <w:rsid w:val="00656596"/>
    <w:rsid w:val="00656DE9"/>
    <w:rsid w:val="006764AD"/>
    <w:rsid w:val="00677CC2"/>
    <w:rsid w:val="00680F17"/>
    <w:rsid w:val="00681FFB"/>
    <w:rsid w:val="00685F42"/>
    <w:rsid w:val="0069207B"/>
    <w:rsid w:val="006937E2"/>
    <w:rsid w:val="006977FB"/>
    <w:rsid w:val="006A30BE"/>
    <w:rsid w:val="006A4CBE"/>
    <w:rsid w:val="006A515D"/>
    <w:rsid w:val="006B262A"/>
    <w:rsid w:val="006B2BCF"/>
    <w:rsid w:val="006C2C12"/>
    <w:rsid w:val="006C7F8C"/>
    <w:rsid w:val="006D0FC4"/>
    <w:rsid w:val="006D3667"/>
    <w:rsid w:val="006D4D3E"/>
    <w:rsid w:val="006D77A3"/>
    <w:rsid w:val="006E004B"/>
    <w:rsid w:val="00700B2C"/>
    <w:rsid w:val="00701E6A"/>
    <w:rsid w:val="00705425"/>
    <w:rsid w:val="00705FC3"/>
    <w:rsid w:val="00710CAF"/>
    <w:rsid w:val="00711A0A"/>
    <w:rsid w:val="00713084"/>
    <w:rsid w:val="00722023"/>
    <w:rsid w:val="00722AED"/>
    <w:rsid w:val="007230C3"/>
    <w:rsid w:val="007238FD"/>
    <w:rsid w:val="00727D02"/>
    <w:rsid w:val="00731748"/>
    <w:rsid w:val="00731E00"/>
    <w:rsid w:val="00741DAC"/>
    <w:rsid w:val="007440B7"/>
    <w:rsid w:val="0074660D"/>
    <w:rsid w:val="00746655"/>
    <w:rsid w:val="00750AEC"/>
    <w:rsid w:val="00752FDE"/>
    <w:rsid w:val="00755380"/>
    <w:rsid w:val="007634AD"/>
    <w:rsid w:val="00765FFE"/>
    <w:rsid w:val="00767E81"/>
    <w:rsid w:val="0077151F"/>
    <w:rsid w:val="007715C9"/>
    <w:rsid w:val="00774EDD"/>
    <w:rsid w:val="007757EC"/>
    <w:rsid w:val="007769D4"/>
    <w:rsid w:val="00781F28"/>
    <w:rsid w:val="0078474A"/>
    <w:rsid w:val="00785AFA"/>
    <w:rsid w:val="0078687A"/>
    <w:rsid w:val="007903AC"/>
    <w:rsid w:val="00797BBA"/>
    <w:rsid w:val="007A4B54"/>
    <w:rsid w:val="007C6FC7"/>
    <w:rsid w:val="007C7470"/>
    <w:rsid w:val="007D00EE"/>
    <w:rsid w:val="007E51D9"/>
    <w:rsid w:val="007E6244"/>
    <w:rsid w:val="007E7D4A"/>
    <w:rsid w:val="007F2B13"/>
    <w:rsid w:val="00805F24"/>
    <w:rsid w:val="00816410"/>
    <w:rsid w:val="00821C89"/>
    <w:rsid w:val="00824ACB"/>
    <w:rsid w:val="00826DA5"/>
    <w:rsid w:val="00833416"/>
    <w:rsid w:val="008420A5"/>
    <w:rsid w:val="0085271B"/>
    <w:rsid w:val="00852E51"/>
    <w:rsid w:val="008548C6"/>
    <w:rsid w:val="00856A31"/>
    <w:rsid w:val="0085704B"/>
    <w:rsid w:val="00862B66"/>
    <w:rsid w:val="00862F2A"/>
    <w:rsid w:val="00870A66"/>
    <w:rsid w:val="00874B69"/>
    <w:rsid w:val="008754D0"/>
    <w:rsid w:val="00877D48"/>
    <w:rsid w:val="00885224"/>
    <w:rsid w:val="00894A85"/>
    <w:rsid w:val="0089783B"/>
    <w:rsid w:val="008B4C59"/>
    <w:rsid w:val="008B5AAA"/>
    <w:rsid w:val="008C7A7F"/>
    <w:rsid w:val="008D0EE0"/>
    <w:rsid w:val="008D4053"/>
    <w:rsid w:val="008E693E"/>
    <w:rsid w:val="008E7517"/>
    <w:rsid w:val="008F07E3"/>
    <w:rsid w:val="008F4AFA"/>
    <w:rsid w:val="008F4F1C"/>
    <w:rsid w:val="00901C6E"/>
    <w:rsid w:val="00907271"/>
    <w:rsid w:val="00907DCA"/>
    <w:rsid w:val="0091179F"/>
    <w:rsid w:val="0092170C"/>
    <w:rsid w:val="009309A8"/>
    <w:rsid w:val="00932377"/>
    <w:rsid w:val="0095770A"/>
    <w:rsid w:val="0096767E"/>
    <w:rsid w:val="0098233D"/>
    <w:rsid w:val="00982D19"/>
    <w:rsid w:val="009852E4"/>
    <w:rsid w:val="009918E1"/>
    <w:rsid w:val="009A4962"/>
    <w:rsid w:val="009A6A7F"/>
    <w:rsid w:val="009B1E9E"/>
    <w:rsid w:val="009B2E9B"/>
    <w:rsid w:val="009B3629"/>
    <w:rsid w:val="009C10AE"/>
    <w:rsid w:val="009C30E1"/>
    <w:rsid w:val="009C3387"/>
    <w:rsid w:val="009C48EA"/>
    <w:rsid w:val="009C49D8"/>
    <w:rsid w:val="009C7F74"/>
    <w:rsid w:val="009D208F"/>
    <w:rsid w:val="009D7E06"/>
    <w:rsid w:val="009D7FC0"/>
    <w:rsid w:val="009E23AF"/>
    <w:rsid w:val="009E3601"/>
    <w:rsid w:val="009F5CF5"/>
    <w:rsid w:val="009F727E"/>
    <w:rsid w:val="00A2057D"/>
    <w:rsid w:val="00A231E2"/>
    <w:rsid w:val="00A2550D"/>
    <w:rsid w:val="00A26DBE"/>
    <w:rsid w:val="00A302E3"/>
    <w:rsid w:val="00A326A4"/>
    <w:rsid w:val="00A376FA"/>
    <w:rsid w:val="00A37EAC"/>
    <w:rsid w:val="00A40505"/>
    <w:rsid w:val="00A40E00"/>
    <w:rsid w:val="00A4169B"/>
    <w:rsid w:val="00A4361F"/>
    <w:rsid w:val="00A46299"/>
    <w:rsid w:val="00A52BD8"/>
    <w:rsid w:val="00A57579"/>
    <w:rsid w:val="00A64441"/>
    <w:rsid w:val="00A64912"/>
    <w:rsid w:val="00A65AD4"/>
    <w:rsid w:val="00A66C45"/>
    <w:rsid w:val="00A70A74"/>
    <w:rsid w:val="00A7499B"/>
    <w:rsid w:val="00A74A7D"/>
    <w:rsid w:val="00A8422A"/>
    <w:rsid w:val="00A87AB9"/>
    <w:rsid w:val="00AA6F0B"/>
    <w:rsid w:val="00AB0806"/>
    <w:rsid w:val="00AB3315"/>
    <w:rsid w:val="00AB44A5"/>
    <w:rsid w:val="00AC2F01"/>
    <w:rsid w:val="00AC4779"/>
    <w:rsid w:val="00AC53B7"/>
    <w:rsid w:val="00AC6CC5"/>
    <w:rsid w:val="00AD4743"/>
    <w:rsid w:val="00AD5641"/>
    <w:rsid w:val="00AE694B"/>
    <w:rsid w:val="00AF0336"/>
    <w:rsid w:val="00B032D8"/>
    <w:rsid w:val="00B1107F"/>
    <w:rsid w:val="00B116B1"/>
    <w:rsid w:val="00B240A9"/>
    <w:rsid w:val="00B2516B"/>
    <w:rsid w:val="00B332B8"/>
    <w:rsid w:val="00B33B3C"/>
    <w:rsid w:val="00B3619A"/>
    <w:rsid w:val="00B42B83"/>
    <w:rsid w:val="00B555F6"/>
    <w:rsid w:val="00B61B26"/>
    <w:rsid w:val="00B61D2C"/>
    <w:rsid w:val="00B63BDE"/>
    <w:rsid w:val="00B63EBB"/>
    <w:rsid w:val="00B6769F"/>
    <w:rsid w:val="00B809EE"/>
    <w:rsid w:val="00B81EE8"/>
    <w:rsid w:val="00B85357"/>
    <w:rsid w:val="00BA0843"/>
    <w:rsid w:val="00BA278C"/>
    <w:rsid w:val="00BA5026"/>
    <w:rsid w:val="00BA6094"/>
    <w:rsid w:val="00BB003B"/>
    <w:rsid w:val="00BB6E79"/>
    <w:rsid w:val="00BC2BB2"/>
    <w:rsid w:val="00BC4F91"/>
    <w:rsid w:val="00BC5391"/>
    <w:rsid w:val="00BD148D"/>
    <w:rsid w:val="00BD532F"/>
    <w:rsid w:val="00BD60E6"/>
    <w:rsid w:val="00BE2072"/>
    <w:rsid w:val="00BE253A"/>
    <w:rsid w:val="00BE719A"/>
    <w:rsid w:val="00BE720A"/>
    <w:rsid w:val="00BF0B73"/>
    <w:rsid w:val="00BF2BCA"/>
    <w:rsid w:val="00C067E5"/>
    <w:rsid w:val="00C15630"/>
    <w:rsid w:val="00C164CA"/>
    <w:rsid w:val="00C16E0B"/>
    <w:rsid w:val="00C20A8C"/>
    <w:rsid w:val="00C21B63"/>
    <w:rsid w:val="00C22D74"/>
    <w:rsid w:val="00C325F2"/>
    <w:rsid w:val="00C32CE3"/>
    <w:rsid w:val="00C33E8E"/>
    <w:rsid w:val="00C42BF8"/>
    <w:rsid w:val="00C460AE"/>
    <w:rsid w:val="00C50043"/>
    <w:rsid w:val="00C62C78"/>
    <w:rsid w:val="00C704D0"/>
    <w:rsid w:val="00C7573B"/>
    <w:rsid w:val="00C75F47"/>
    <w:rsid w:val="00C76CF3"/>
    <w:rsid w:val="00C80020"/>
    <w:rsid w:val="00C82CA0"/>
    <w:rsid w:val="00C91689"/>
    <w:rsid w:val="00CA1FC4"/>
    <w:rsid w:val="00CA6DF8"/>
    <w:rsid w:val="00CB0180"/>
    <w:rsid w:val="00CB02C3"/>
    <w:rsid w:val="00CB4DFA"/>
    <w:rsid w:val="00CD109A"/>
    <w:rsid w:val="00CD606E"/>
    <w:rsid w:val="00CD7ECB"/>
    <w:rsid w:val="00CE2D13"/>
    <w:rsid w:val="00CE6415"/>
    <w:rsid w:val="00CF0BB2"/>
    <w:rsid w:val="00CF2914"/>
    <w:rsid w:val="00CF75B6"/>
    <w:rsid w:val="00D0104A"/>
    <w:rsid w:val="00D13441"/>
    <w:rsid w:val="00D13EEB"/>
    <w:rsid w:val="00D17B17"/>
    <w:rsid w:val="00D223C7"/>
    <w:rsid w:val="00D243A3"/>
    <w:rsid w:val="00D31E43"/>
    <w:rsid w:val="00D33440"/>
    <w:rsid w:val="00D343F7"/>
    <w:rsid w:val="00D357FD"/>
    <w:rsid w:val="00D403DB"/>
    <w:rsid w:val="00D40403"/>
    <w:rsid w:val="00D500BC"/>
    <w:rsid w:val="00D52870"/>
    <w:rsid w:val="00D52EFE"/>
    <w:rsid w:val="00D63E6A"/>
    <w:rsid w:val="00D63EF6"/>
    <w:rsid w:val="00D670F7"/>
    <w:rsid w:val="00D673AB"/>
    <w:rsid w:val="00D70DFB"/>
    <w:rsid w:val="00D742F9"/>
    <w:rsid w:val="00D766DF"/>
    <w:rsid w:val="00D83D21"/>
    <w:rsid w:val="00D84B58"/>
    <w:rsid w:val="00D86860"/>
    <w:rsid w:val="00D925D1"/>
    <w:rsid w:val="00DA4BD0"/>
    <w:rsid w:val="00DB2331"/>
    <w:rsid w:val="00DC1531"/>
    <w:rsid w:val="00DC7A1C"/>
    <w:rsid w:val="00DE3546"/>
    <w:rsid w:val="00DF0018"/>
    <w:rsid w:val="00DF4475"/>
    <w:rsid w:val="00DF5C20"/>
    <w:rsid w:val="00E05704"/>
    <w:rsid w:val="00E05C46"/>
    <w:rsid w:val="00E14E98"/>
    <w:rsid w:val="00E16B6E"/>
    <w:rsid w:val="00E21E67"/>
    <w:rsid w:val="00E2285E"/>
    <w:rsid w:val="00E30206"/>
    <w:rsid w:val="00E33C1C"/>
    <w:rsid w:val="00E37A36"/>
    <w:rsid w:val="00E443FC"/>
    <w:rsid w:val="00E52725"/>
    <w:rsid w:val="00E52C81"/>
    <w:rsid w:val="00E54292"/>
    <w:rsid w:val="00E554DF"/>
    <w:rsid w:val="00E6470C"/>
    <w:rsid w:val="00E66C98"/>
    <w:rsid w:val="00E74DC7"/>
    <w:rsid w:val="00E76066"/>
    <w:rsid w:val="00E80D28"/>
    <w:rsid w:val="00E84B32"/>
    <w:rsid w:val="00E87699"/>
    <w:rsid w:val="00E908AE"/>
    <w:rsid w:val="00EB10F1"/>
    <w:rsid w:val="00EB2805"/>
    <w:rsid w:val="00EB2C43"/>
    <w:rsid w:val="00EB753A"/>
    <w:rsid w:val="00EC0D8D"/>
    <w:rsid w:val="00EC692D"/>
    <w:rsid w:val="00ED1F5D"/>
    <w:rsid w:val="00ED3A7D"/>
    <w:rsid w:val="00ED7645"/>
    <w:rsid w:val="00EF2E3A"/>
    <w:rsid w:val="00EF37B0"/>
    <w:rsid w:val="00EF415D"/>
    <w:rsid w:val="00F02AC3"/>
    <w:rsid w:val="00F03A0E"/>
    <w:rsid w:val="00F047E2"/>
    <w:rsid w:val="00F078DC"/>
    <w:rsid w:val="00F13E86"/>
    <w:rsid w:val="00F153D8"/>
    <w:rsid w:val="00F24C35"/>
    <w:rsid w:val="00F42CFB"/>
    <w:rsid w:val="00F46948"/>
    <w:rsid w:val="00F533C9"/>
    <w:rsid w:val="00F5396F"/>
    <w:rsid w:val="00F56759"/>
    <w:rsid w:val="00F6145F"/>
    <w:rsid w:val="00F66134"/>
    <w:rsid w:val="00F66792"/>
    <w:rsid w:val="00F677A9"/>
    <w:rsid w:val="00F7325A"/>
    <w:rsid w:val="00F84CF5"/>
    <w:rsid w:val="00FA2877"/>
    <w:rsid w:val="00FA420B"/>
    <w:rsid w:val="00FB6071"/>
    <w:rsid w:val="00FB6F8A"/>
    <w:rsid w:val="00FC07D6"/>
    <w:rsid w:val="00FC1B80"/>
    <w:rsid w:val="00FC572A"/>
    <w:rsid w:val="00FD7CFE"/>
    <w:rsid w:val="00FE2FDF"/>
    <w:rsid w:val="00FE6284"/>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93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693E"/>
  </w:style>
  <w:style w:type="paragraph" w:customStyle="1" w:styleId="OPCParaBase">
    <w:name w:val="OPCParaBase"/>
    <w:qFormat/>
    <w:rsid w:val="008E693E"/>
    <w:pPr>
      <w:spacing w:line="260" w:lineRule="atLeast"/>
    </w:pPr>
    <w:rPr>
      <w:rFonts w:eastAsia="Times New Roman" w:cs="Times New Roman"/>
      <w:sz w:val="22"/>
      <w:lang w:eastAsia="en-AU"/>
    </w:rPr>
  </w:style>
  <w:style w:type="paragraph" w:customStyle="1" w:styleId="ShortT">
    <w:name w:val="ShortT"/>
    <w:basedOn w:val="OPCParaBase"/>
    <w:next w:val="Normal"/>
    <w:qFormat/>
    <w:rsid w:val="008E693E"/>
    <w:pPr>
      <w:spacing w:line="240" w:lineRule="auto"/>
    </w:pPr>
    <w:rPr>
      <w:b/>
      <w:sz w:val="40"/>
    </w:rPr>
  </w:style>
  <w:style w:type="paragraph" w:customStyle="1" w:styleId="ActHead1">
    <w:name w:val="ActHead 1"/>
    <w:aliases w:val="c"/>
    <w:basedOn w:val="OPCParaBase"/>
    <w:next w:val="Normal"/>
    <w:qFormat/>
    <w:rsid w:val="008E69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69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69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69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69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69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69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69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69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693E"/>
  </w:style>
  <w:style w:type="paragraph" w:customStyle="1" w:styleId="Blocks">
    <w:name w:val="Blocks"/>
    <w:aliases w:val="bb"/>
    <w:basedOn w:val="OPCParaBase"/>
    <w:qFormat/>
    <w:rsid w:val="008E693E"/>
    <w:pPr>
      <w:spacing w:line="240" w:lineRule="auto"/>
    </w:pPr>
    <w:rPr>
      <w:sz w:val="24"/>
    </w:rPr>
  </w:style>
  <w:style w:type="paragraph" w:customStyle="1" w:styleId="BoxText">
    <w:name w:val="BoxText"/>
    <w:aliases w:val="bt"/>
    <w:basedOn w:val="OPCParaBase"/>
    <w:qFormat/>
    <w:rsid w:val="008E69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693E"/>
    <w:rPr>
      <w:b/>
    </w:rPr>
  </w:style>
  <w:style w:type="paragraph" w:customStyle="1" w:styleId="BoxHeadItalic">
    <w:name w:val="BoxHeadItalic"/>
    <w:aliases w:val="bhi"/>
    <w:basedOn w:val="BoxText"/>
    <w:next w:val="BoxStep"/>
    <w:qFormat/>
    <w:rsid w:val="008E693E"/>
    <w:rPr>
      <w:i/>
    </w:rPr>
  </w:style>
  <w:style w:type="paragraph" w:customStyle="1" w:styleId="BoxList">
    <w:name w:val="BoxList"/>
    <w:aliases w:val="bl"/>
    <w:basedOn w:val="BoxText"/>
    <w:qFormat/>
    <w:rsid w:val="008E693E"/>
    <w:pPr>
      <w:ind w:left="1559" w:hanging="425"/>
    </w:pPr>
  </w:style>
  <w:style w:type="paragraph" w:customStyle="1" w:styleId="BoxNote">
    <w:name w:val="BoxNote"/>
    <w:aliases w:val="bn"/>
    <w:basedOn w:val="BoxText"/>
    <w:qFormat/>
    <w:rsid w:val="008E693E"/>
    <w:pPr>
      <w:tabs>
        <w:tab w:val="left" w:pos="1985"/>
      </w:tabs>
      <w:spacing w:before="122" w:line="198" w:lineRule="exact"/>
      <w:ind w:left="2948" w:hanging="1814"/>
    </w:pPr>
    <w:rPr>
      <w:sz w:val="18"/>
    </w:rPr>
  </w:style>
  <w:style w:type="paragraph" w:customStyle="1" w:styleId="BoxPara">
    <w:name w:val="BoxPara"/>
    <w:aliases w:val="bp"/>
    <w:basedOn w:val="BoxText"/>
    <w:qFormat/>
    <w:rsid w:val="008E693E"/>
    <w:pPr>
      <w:tabs>
        <w:tab w:val="right" w:pos="2268"/>
      </w:tabs>
      <w:ind w:left="2552" w:hanging="1418"/>
    </w:pPr>
  </w:style>
  <w:style w:type="paragraph" w:customStyle="1" w:styleId="BoxStep">
    <w:name w:val="BoxStep"/>
    <w:aliases w:val="bs"/>
    <w:basedOn w:val="BoxText"/>
    <w:qFormat/>
    <w:rsid w:val="008E693E"/>
    <w:pPr>
      <w:ind w:left="1985" w:hanging="851"/>
    </w:pPr>
  </w:style>
  <w:style w:type="character" w:customStyle="1" w:styleId="CharAmPartNo">
    <w:name w:val="CharAmPartNo"/>
    <w:basedOn w:val="OPCCharBase"/>
    <w:qFormat/>
    <w:rsid w:val="008E693E"/>
  </w:style>
  <w:style w:type="character" w:customStyle="1" w:styleId="CharAmPartText">
    <w:name w:val="CharAmPartText"/>
    <w:basedOn w:val="OPCCharBase"/>
    <w:qFormat/>
    <w:rsid w:val="008E693E"/>
  </w:style>
  <w:style w:type="character" w:customStyle="1" w:styleId="CharAmSchNo">
    <w:name w:val="CharAmSchNo"/>
    <w:basedOn w:val="OPCCharBase"/>
    <w:qFormat/>
    <w:rsid w:val="008E693E"/>
  </w:style>
  <w:style w:type="character" w:customStyle="1" w:styleId="CharAmSchText">
    <w:name w:val="CharAmSchText"/>
    <w:basedOn w:val="OPCCharBase"/>
    <w:qFormat/>
    <w:rsid w:val="008E693E"/>
  </w:style>
  <w:style w:type="character" w:customStyle="1" w:styleId="CharBoldItalic">
    <w:name w:val="CharBoldItalic"/>
    <w:basedOn w:val="OPCCharBase"/>
    <w:uiPriority w:val="1"/>
    <w:qFormat/>
    <w:rsid w:val="008E693E"/>
    <w:rPr>
      <w:b/>
      <w:i/>
    </w:rPr>
  </w:style>
  <w:style w:type="character" w:customStyle="1" w:styleId="CharChapNo">
    <w:name w:val="CharChapNo"/>
    <w:basedOn w:val="OPCCharBase"/>
    <w:uiPriority w:val="1"/>
    <w:qFormat/>
    <w:rsid w:val="008E693E"/>
  </w:style>
  <w:style w:type="character" w:customStyle="1" w:styleId="CharChapText">
    <w:name w:val="CharChapText"/>
    <w:basedOn w:val="OPCCharBase"/>
    <w:uiPriority w:val="1"/>
    <w:qFormat/>
    <w:rsid w:val="008E693E"/>
  </w:style>
  <w:style w:type="character" w:customStyle="1" w:styleId="CharDivNo">
    <w:name w:val="CharDivNo"/>
    <w:basedOn w:val="OPCCharBase"/>
    <w:uiPriority w:val="1"/>
    <w:qFormat/>
    <w:rsid w:val="008E693E"/>
  </w:style>
  <w:style w:type="character" w:customStyle="1" w:styleId="CharDivText">
    <w:name w:val="CharDivText"/>
    <w:basedOn w:val="OPCCharBase"/>
    <w:uiPriority w:val="1"/>
    <w:qFormat/>
    <w:rsid w:val="008E693E"/>
  </w:style>
  <w:style w:type="character" w:customStyle="1" w:styleId="CharItalic">
    <w:name w:val="CharItalic"/>
    <w:basedOn w:val="OPCCharBase"/>
    <w:uiPriority w:val="1"/>
    <w:qFormat/>
    <w:rsid w:val="008E693E"/>
    <w:rPr>
      <w:i/>
    </w:rPr>
  </w:style>
  <w:style w:type="character" w:customStyle="1" w:styleId="CharPartNo">
    <w:name w:val="CharPartNo"/>
    <w:basedOn w:val="OPCCharBase"/>
    <w:uiPriority w:val="1"/>
    <w:qFormat/>
    <w:rsid w:val="008E693E"/>
  </w:style>
  <w:style w:type="character" w:customStyle="1" w:styleId="CharPartText">
    <w:name w:val="CharPartText"/>
    <w:basedOn w:val="OPCCharBase"/>
    <w:uiPriority w:val="1"/>
    <w:qFormat/>
    <w:rsid w:val="008E693E"/>
  </w:style>
  <w:style w:type="character" w:customStyle="1" w:styleId="CharSectno">
    <w:name w:val="CharSectno"/>
    <w:basedOn w:val="OPCCharBase"/>
    <w:qFormat/>
    <w:rsid w:val="008E693E"/>
  </w:style>
  <w:style w:type="character" w:customStyle="1" w:styleId="CharSubdNo">
    <w:name w:val="CharSubdNo"/>
    <w:basedOn w:val="OPCCharBase"/>
    <w:uiPriority w:val="1"/>
    <w:qFormat/>
    <w:rsid w:val="008E693E"/>
  </w:style>
  <w:style w:type="character" w:customStyle="1" w:styleId="CharSubdText">
    <w:name w:val="CharSubdText"/>
    <w:basedOn w:val="OPCCharBase"/>
    <w:uiPriority w:val="1"/>
    <w:qFormat/>
    <w:rsid w:val="008E693E"/>
  </w:style>
  <w:style w:type="paragraph" w:customStyle="1" w:styleId="CTA--">
    <w:name w:val="CTA --"/>
    <w:basedOn w:val="OPCParaBase"/>
    <w:next w:val="Normal"/>
    <w:rsid w:val="008E693E"/>
    <w:pPr>
      <w:spacing w:before="60" w:line="240" w:lineRule="atLeast"/>
      <w:ind w:left="142" w:hanging="142"/>
    </w:pPr>
    <w:rPr>
      <w:sz w:val="20"/>
    </w:rPr>
  </w:style>
  <w:style w:type="paragraph" w:customStyle="1" w:styleId="CTA-">
    <w:name w:val="CTA -"/>
    <w:basedOn w:val="OPCParaBase"/>
    <w:rsid w:val="008E693E"/>
    <w:pPr>
      <w:spacing w:before="60" w:line="240" w:lineRule="atLeast"/>
      <w:ind w:left="85" w:hanging="85"/>
    </w:pPr>
    <w:rPr>
      <w:sz w:val="20"/>
    </w:rPr>
  </w:style>
  <w:style w:type="paragraph" w:customStyle="1" w:styleId="CTA---">
    <w:name w:val="CTA ---"/>
    <w:basedOn w:val="OPCParaBase"/>
    <w:next w:val="Normal"/>
    <w:rsid w:val="008E693E"/>
    <w:pPr>
      <w:spacing w:before="60" w:line="240" w:lineRule="atLeast"/>
      <w:ind w:left="198" w:hanging="198"/>
    </w:pPr>
    <w:rPr>
      <w:sz w:val="20"/>
    </w:rPr>
  </w:style>
  <w:style w:type="paragraph" w:customStyle="1" w:styleId="CTA----">
    <w:name w:val="CTA ----"/>
    <w:basedOn w:val="OPCParaBase"/>
    <w:next w:val="Normal"/>
    <w:rsid w:val="008E693E"/>
    <w:pPr>
      <w:spacing w:before="60" w:line="240" w:lineRule="atLeast"/>
      <w:ind w:left="255" w:hanging="255"/>
    </w:pPr>
    <w:rPr>
      <w:sz w:val="20"/>
    </w:rPr>
  </w:style>
  <w:style w:type="paragraph" w:customStyle="1" w:styleId="CTA1a">
    <w:name w:val="CTA 1(a)"/>
    <w:basedOn w:val="OPCParaBase"/>
    <w:rsid w:val="008E693E"/>
    <w:pPr>
      <w:tabs>
        <w:tab w:val="right" w:pos="414"/>
      </w:tabs>
      <w:spacing w:before="40" w:line="240" w:lineRule="atLeast"/>
      <w:ind w:left="675" w:hanging="675"/>
    </w:pPr>
    <w:rPr>
      <w:sz w:val="20"/>
    </w:rPr>
  </w:style>
  <w:style w:type="paragraph" w:customStyle="1" w:styleId="CTA1ai">
    <w:name w:val="CTA 1(a)(i)"/>
    <w:basedOn w:val="OPCParaBase"/>
    <w:rsid w:val="008E693E"/>
    <w:pPr>
      <w:tabs>
        <w:tab w:val="right" w:pos="1004"/>
      </w:tabs>
      <w:spacing w:before="40" w:line="240" w:lineRule="atLeast"/>
      <w:ind w:left="1253" w:hanging="1253"/>
    </w:pPr>
    <w:rPr>
      <w:sz w:val="20"/>
    </w:rPr>
  </w:style>
  <w:style w:type="paragraph" w:customStyle="1" w:styleId="CTA2a">
    <w:name w:val="CTA 2(a)"/>
    <w:basedOn w:val="OPCParaBase"/>
    <w:rsid w:val="008E693E"/>
    <w:pPr>
      <w:tabs>
        <w:tab w:val="right" w:pos="482"/>
      </w:tabs>
      <w:spacing w:before="40" w:line="240" w:lineRule="atLeast"/>
      <w:ind w:left="748" w:hanging="748"/>
    </w:pPr>
    <w:rPr>
      <w:sz w:val="20"/>
    </w:rPr>
  </w:style>
  <w:style w:type="paragraph" w:customStyle="1" w:styleId="CTA2ai">
    <w:name w:val="CTA 2(a)(i)"/>
    <w:basedOn w:val="OPCParaBase"/>
    <w:rsid w:val="008E693E"/>
    <w:pPr>
      <w:tabs>
        <w:tab w:val="right" w:pos="1089"/>
      </w:tabs>
      <w:spacing w:before="40" w:line="240" w:lineRule="atLeast"/>
      <w:ind w:left="1327" w:hanging="1327"/>
    </w:pPr>
    <w:rPr>
      <w:sz w:val="20"/>
    </w:rPr>
  </w:style>
  <w:style w:type="paragraph" w:customStyle="1" w:styleId="CTA3a">
    <w:name w:val="CTA 3(a)"/>
    <w:basedOn w:val="OPCParaBase"/>
    <w:rsid w:val="008E693E"/>
    <w:pPr>
      <w:tabs>
        <w:tab w:val="right" w:pos="556"/>
      </w:tabs>
      <w:spacing w:before="40" w:line="240" w:lineRule="atLeast"/>
      <w:ind w:left="805" w:hanging="805"/>
    </w:pPr>
    <w:rPr>
      <w:sz w:val="20"/>
    </w:rPr>
  </w:style>
  <w:style w:type="paragraph" w:customStyle="1" w:styleId="CTA3ai">
    <w:name w:val="CTA 3(a)(i)"/>
    <w:basedOn w:val="OPCParaBase"/>
    <w:rsid w:val="008E693E"/>
    <w:pPr>
      <w:tabs>
        <w:tab w:val="right" w:pos="1140"/>
      </w:tabs>
      <w:spacing w:before="40" w:line="240" w:lineRule="atLeast"/>
      <w:ind w:left="1361" w:hanging="1361"/>
    </w:pPr>
    <w:rPr>
      <w:sz w:val="20"/>
    </w:rPr>
  </w:style>
  <w:style w:type="paragraph" w:customStyle="1" w:styleId="CTA4a">
    <w:name w:val="CTA 4(a)"/>
    <w:basedOn w:val="OPCParaBase"/>
    <w:rsid w:val="008E693E"/>
    <w:pPr>
      <w:tabs>
        <w:tab w:val="right" w:pos="624"/>
      </w:tabs>
      <w:spacing w:before="40" w:line="240" w:lineRule="atLeast"/>
      <w:ind w:left="873" w:hanging="873"/>
    </w:pPr>
    <w:rPr>
      <w:sz w:val="20"/>
    </w:rPr>
  </w:style>
  <w:style w:type="paragraph" w:customStyle="1" w:styleId="CTA4ai">
    <w:name w:val="CTA 4(a)(i)"/>
    <w:basedOn w:val="OPCParaBase"/>
    <w:rsid w:val="008E693E"/>
    <w:pPr>
      <w:tabs>
        <w:tab w:val="right" w:pos="1213"/>
      </w:tabs>
      <w:spacing w:before="40" w:line="240" w:lineRule="atLeast"/>
      <w:ind w:left="1452" w:hanging="1452"/>
    </w:pPr>
    <w:rPr>
      <w:sz w:val="20"/>
    </w:rPr>
  </w:style>
  <w:style w:type="paragraph" w:customStyle="1" w:styleId="CTACAPS">
    <w:name w:val="CTA CAPS"/>
    <w:basedOn w:val="OPCParaBase"/>
    <w:rsid w:val="008E693E"/>
    <w:pPr>
      <w:spacing w:before="60" w:line="240" w:lineRule="atLeast"/>
    </w:pPr>
    <w:rPr>
      <w:sz w:val="20"/>
    </w:rPr>
  </w:style>
  <w:style w:type="paragraph" w:customStyle="1" w:styleId="CTAright">
    <w:name w:val="CTA right"/>
    <w:basedOn w:val="OPCParaBase"/>
    <w:rsid w:val="008E693E"/>
    <w:pPr>
      <w:spacing w:before="60" w:line="240" w:lineRule="auto"/>
      <w:jc w:val="right"/>
    </w:pPr>
    <w:rPr>
      <w:sz w:val="20"/>
    </w:rPr>
  </w:style>
  <w:style w:type="paragraph" w:customStyle="1" w:styleId="subsection">
    <w:name w:val="subsection"/>
    <w:aliases w:val="ss"/>
    <w:basedOn w:val="OPCParaBase"/>
    <w:link w:val="subsectionChar"/>
    <w:rsid w:val="008E693E"/>
    <w:pPr>
      <w:tabs>
        <w:tab w:val="right" w:pos="1021"/>
      </w:tabs>
      <w:spacing w:before="180" w:line="240" w:lineRule="auto"/>
      <w:ind w:left="1134" w:hanging="1134"/>
    </w:pPr>
  </w:style>
  <w:style w:type="paragraph" w:customStyle="1" w:styleId="Definition">
    <w:name w:val="Definition"/>
    <w:aliases w:val="dd"/>
    <w:basedOn w:val="OPCParaBase"/>
    <w:rsid w:val="008E693E"/>
    <w:pPr>
      <w:spacing w:before="180" w:line="240" w:lineRule="auto"/>
      <w:ind w:left="1134"/>
    </w:pPr>
  </w:style>
  <w:style w:type="paragraph" w:customStyle="1" w:styleId="ETAsubitem">
    <w:name w:val="ETA(subitem)"/>
    <w:basedOn w:val="OPCParaBase"/>
    <w:rsid w:val="008E693E"/>
    <w:pPr>
      <w:tabs>
        <w:tab w:val="right" w:pos="340"/>
      </w:tabs>
      <w:spacing w:before="60" w:line="240" w:lineRule="auto"/>
      <w:ind w:left="454" w:hanging="454"/>
    </w:pPr>
    <w:rPr>
      <w:sz w:val="20"/>
    </w:rPr>
  </w:style>
  <w:style w:type="paragraph" w:customStyle="1" w:styleId="ETApara">
    <w:name w:val="ETA(para)"/>
    <w:basedOn w:val="OPCParaBase"/>
    <w:rsid w:val="008E693E"/>
    <w:pPr>
      <w:tabs>
        <w:tab w:val="right" w:pos="754"/>
      </w:tabs>
      <w:spacing w:before="60" w:line="240" w:lineRule="auto"/>
      <w:ind w:left="828" w:hanging="828"/>
    </w:pPr>
    <w:rPr>
      <w:sz w:val="20"/>
    </w:rPr>
  </w:style>
  <w:style w:type="paragraph" w:customStyle="1" w:styleId="ETAsubpara">
    <w:name w:val="ETA(subpara)"/>
    <w:basedOn w:val="OPCParaBase"/>
    <w:rsid w:val="008E693E"/>
    <w:pPr>
      <w:tabs>
        <w:tab w:val="right" w:pos="1083"/>
      </w:tabs>
      <w:spacing w:before="60" w:line="240" w:lineRule="auto"/>
      <w:ind w:left="1191" w:hanging="1191"/>
    </w:pPr>
    <w:rPr>
      <w:sz w:val="20"/>
    </w:rPr>
  </w:style>
  <w:style w:type="paragraph" w:customStyle="1" w:styleId="ETAsub-subpara">
    <w:name w:val="ETA(sub-subpara)"/>
    <w:basedOn w:val="OPCParaBase"/>
    <w:rsid w:val="008E693E"/>
    <w:pPr>
      <w:tabs>
        <w:tab w:val="right" w:pos="1412"/>
      </w:tabs>
      <w:spacing w:before="60" w:line="240" w:lineRule="auto"/>
      <w:ind w:left="1525" w:hanging="1525"/>
    </w:pPr>
    <w:rPr>
      <w:sz w:val="20"/>
    </w:rPr>
  </w:style>
  <w:style w:type="paragraph" w:customStyle="1" w:styleId="Formula">
    <w:name w:val="Formula"/>
    <w:basedOn w:val="OPCParaBase"/>
    <w:rsid w:val="008E693E"/>
    <w:pPr>
      <w:spacing w:line="240" w:lineRule="auto"/>
      <w:ind w:left="1134"/>
    </w:pPr>
    <w:rPr>
      <w:sz w:val="20"/>
    </w:rPr>
  </w:style>
  <w:style w:type="paragraph" w:styleId="Header">
    <w:name w:val="header"/>
    <w:basedOn w:val="OPCParaBase"/>
    <w:link w:val="HeaderChar"/>
    <w:unhideWhenUsed/>
    <w:rsid w:val="008E69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693E"/>
    <w:rPr>
      <w:rFonts w:eastAsia="Times New Roman" w:cs="Times New Roman"/>
      <w:sz w:val="16"/>
      <w:lang w:eastAsia="en-AU"/>
    </w:rPr>
  </w:style>
  <w:style w:type="paragraph" w:customStyle="1" w:styleId="House">
    <w:name w:val="House"/>
    <w:basedOn w:val="OPCParaBase"/>
    <w:rsid w:val="008E693E"/>
    <w:pPr>
      <w:spacing w:line="240" w:lineRule="auto"/>
    </w:pPr>
    <w:rPr>
      <w:sz w:val="28"/>
    </w:rPr>
  </w:style>
  <w:style w:type="paragraph" w:customStyle="1" w:styleId="Item">
    <w:name w:val="Item"/>
    <w:aliases w:val="i"/>
    <w:basedOn w:val="OPCParaBase"/>
    <w:next w:val="ItemHead"/>
    <w:rsid w:val="008E693E"/>
    <w:pPr>
      <w:keepLines/>
      <w:spacing w:before="80" w:line="240" w:lineRule="auto"/>
      <w:ind w:left="709"/>
    </w:pPr>
  </w:style>
  <w:style w:type="paragraph" w:customStyle="1" w:styleId="ItemHead">
    <w:name w:val="ItemHead"/>
    <w:aliases w:val="ih"/>
    <w:basedOn w:val="OPCParaBase"/>
    <w:next w:val="Item"/>
    <w:rsid w:val="008E69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693E"/>
    <w:pPr>
      <w:spacing w:line="240" w:lineRule="auto"/>
    </w:pPr>
    <w:rPr>
      <w:b/>
      <w:sz w:val="32"/>
    </w:rPr>
  </w:style>
  <w:style w:type="paragraph" w:customStyle="1" w:styleId="notedraft">
    <w:name w:val="note(draft)"/>
    <w:aliases w:val="nd"/>
    <w:basedOn w:val="OPCParaBase"/>
    <w:rsid w:val="008E693E"/>
    <w:pPr>
      <w:spacing w:before="240" w:line="240" w:lineRule="auto"/>
      <w:ind w:left="284" w:hanging="284"/>
    </w:pPr>
    <w:rPr>
      <w:i/>
      <w:sz w:val="24"/>
    </w:rPr>
  </w:style>
  <w:style w:type="paragraph" w:customStyle="1" w:styleId="notemargin">
    <w:name w:val="note(margin)"/>
    <w:aliases w:val="nm"/>
    <w:basedOn w:val="OPCParaBase"/>
    <w:rsid w:val="008E693E"/>
    <w:pPr>
      <w:tabs>
        <w:tab w:val="left" w:pos="709"/>
      </w:tabs>
      <w:spacing w:before="122" w:line="198" w:lineRule="exact"/>
      <w:ind w:left="709" w:hanging="709"/>
    </w:pPr>
    <w:rPr>
      <w:sz w:val="18"/>
    </w:rPr>
  </w:style>
  <w:style w:type="paragraph" w:customStyle="1" w:styleId="noteToPara">
    <w:name w:val="noteToPara"/>
    <w:aliases w:val="ntp"/>
    <w:basedOn w:val="OPCParaBase"/>
    <w:rsid w:val="008E693E"/>
    <w:pPr>
      <w:spacing w:before="122" w:line="198" w:lineRule="exact"/>
      <w:ind w:left="2353" w:hanging="709"/>
    </w:pPr>
    <w:rPr>
      <w:sz w:val="18"/>
    </w:rPr>
  </w:style>
  <w:style w:type="paragraph" w:customStyle="1" w:styleId="noteParlAmend">
    <w:name w:val="note(ParlAmend)"/>
    <w:aliases w:val="npp"/>
    <w:basedOn w:val="OPCParaBase"/>
    <w:next w:val="ParlAmend"/>
    <w:rsid w:val="008E693E"/>
    <w:pPr>
      <w:spacing w:line="240" w:lineRule="auto"/>
      <w:jc w:val="right"/>
    </w:pPr>
    <w:rPr>
      <w:rFonts w:ascii="Arial" w:hAnsi="Arial"/>
      <w:b/>
      <w:i/>
    </w:rPr>
  </w:style>
  <w:style w:type="paragraph" w:customStyle="1" w:styleId="notetext">
    <w:name w:val="note(text)"/>
    <w:aliases w:val="n"/>
    <w:basedOn w:val="OPCParaBase"/>
    <w:rsid w:val="008E693E"/>
    <w:pPr>
      <w:spacing w:before="122" w:line="198" w:lineRule="exact"/>
      <w:ind w:left="1985" w:hanging="851"/>
    </w:pPr>
    <w:rPr>
      <w:sz w:val="18"/>
    </w:rPr>
  </w:style>
  <w:style w:type="paragraph" w:customStyle="1" w:styleId="Page1">
    <w:name w:val="Page1"/>
    <w:basedOn w:val="OPCParaBase"/>
    <w:rsid w:val="008E693E"/>
    <w:pPr>
      <w:spacing w:before="5600" w:line="240" w:lineRule="auto"/>
    </w:pPr>
    <w:rPr>
      <w:b/>
      <w:sz w:val="32"/>
    </w:rPr>
  </w:style>
  <w:style w:type="paragraph" w:customStyle="1" w:styleId="PageBreak">
    <w:name w:val="PageBreak"/>
    <w:aliases w:val="pb"/>
    <w:basedOn w:val="OPCParaBase"/>
    <w:rsid w:val="008E693E"/>
    <w:pPr>
      <w:spacing w:line="240" w:lineRule="auto"/>
    </w:pPr>
    <w:rPr>
      <w:sz w:val="20"/>
    </w:rPr>
  </w:style>
  <w:style w:type="paragraph" w:customStyle="1" w:styleId="paragraphsub">
    <w:name w:val="paragraph(sub)"/>
    <w:aliases w:val="aa"/>
    <w:basedOn w:val="OPCParaBase"/>
    <w:rsid w:val="008E693E"/>
    <w:pPr>
      <w:tabs>
        <w:tab w:val="right" w:pos="1985"/>
      </w:tabs>
      <w:spacing w:before="40" w:line="240" w:lineRule="auto"/>
      <w:ind w:left="2098" w:hanging="2098"/>
    </w:pPr>
  </w:style>
  <w:style w:type="paragraph" w:customStyle="1" w:styleId="paragraphsub-sub">
    <w:name w:val="paragraph(sub-sub)"/>
    <w:aliases w:val="aaa"/>
    <w:basedOn w:val="OPCParaBase"/>
    <w:rsid w:val="008E693E"/>
    <w:pPr>
      <w:tabs>
        <w:tab w:val="right" w:pos="2722"/>
      </w:tabs>
      <w:spacing w:before="40" w:line="240" w:lineRule="auto"/>
      <w:ind w:left="2835" w:hanging="2835"/>
    </w:pPr>
  </w:style>
  <w:style w:type="paragraph" w:customStyle="1" w:styleId="paragraph">
    <w:name w:val="paragraph"/>
    <w:aliases w:val="a"/>
    <w:basedOn w:val="OPCParaBase"/>
    <w:rsid w:val="008E693E"/>
    <w:pPr>
      <w:tabs>
        <w:tab w:val="right" w:pos="1531"/>
      </w:tabs>
      <w:spacing w:before="40" w:line="240" w:lineRule="auto"/>
      <w:ind w:left="1644" w:hanging="1644"/>
    </w:pPr>
  </w:style>
  <w:style w:type="paragraph" w:customStyle="1" w:styleId="ParlAmend">
    <w:name w:val="ParlAmend"/>
    <w:aliases w:val="pp"/>
    <w:basedOn w:val="OPCParaBase"/>
    <w:rsid w:val="008E693E"/>
    <w:pPr>
      <w:spacing w:before="240" w:line="240" w:lineRule="atLeast"/>
      <w:ind w:hanging="567"/>
    </w:pPr>
    <w:rPr>
      <w:sz w:val="24"/>
    </w:rPr>
  </w:style>
  <w:style w:type="paragraph" w:customStyle="1" w:styleId="Penalty">
    <w:name w:val="Penalty"/>
    <w:basedOn w:val="OPCParaBase"/>
    <w:rsid w:val="008E693E"/>
    <w:pPr>
      <w:tabs>
        <w:tab w:val="left" w:pos="2977"/>
      </w:tabs>
      <w:spacing w:before="180" w:line="240" w:lineRule="auto"/>
      <w:ind w:left="1985" w:hanging="851"/>
    </w:pPr>
  </w:style>
  <w:style w:type="paragraph" w:customStyle="1" w:styleId="Portfolio">
    <w:name w:val="Portfolio"/>
    <w:basedOn w:val="OPCParaBase"/>
    <w:rsid w:val="008E693E"/>
    <w:pPr>
      <w:spacing w:line="240" w:lineRule="auto"/>
    </w:pPr>
    <w:rPr>
      <w:i/>
      <w:sz w:val="20"/>
    </w:rPr>
  </w:style>
  <w:style w:type="paragraph" w:customStyle="1" w:styleId="Preamble">
    <w:name w:val="Preamble"/>
    <w:basedOn w:val="OPCParaBase"/>
    <w:next w:val="Normal"/>
    <w:rsid w:val="008E69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693E"/>
    <w:pPr>
      <w:spacing w:line="240" w:lineRule="auto"/>
    </w:pPr>
    <w:rPr>
      <w:i/>
      <w:sz w:val="20"/>
    </w:rPr>
  </w:style>
  <w:style w:type="paragraph" w:customStyle="1" w:styleId="Session">
    <w:name w:val="Session"/>
    <w:basedOn w:val="OPCParaBase"/>
    <w:rsid w:val="008E693E"/>
    <w:pPr>
      <w:spacing w:line="240" w:lineRule="auto"/>
    </w:pPr>
    <w:rPr>
      <w:sz w:val="28"/>
    </w:rPr>
  </w:style>
  <w:style w:type="paragraph" w:customStyle="1" w:styleId="Sponsor">
    <w:name w:val="Sponsor"/>
    <w:basedOn w:val="OPCParaBase"/>
    <w:rsid w:val="008E693E"/>
    <w:pPr>
      <w:spacing w:line="240" w:lineRule="auto"/>
    </w:pPr>
    <w:rPr>
      <w:i/>
    </w:rPr>
  </w:style>
  <w:style w:type="paragraph" w:customStyle="1" w:styleId="Subitem">
    <w:name w:val="Subitem"/>
    <w:aliases w:val="iss"/>
    <w:basedOn w:val="OPCParaBase"/>
    <w:rsid w:val="008E693E"/>
    <w:pPr>
      <w:spacing w:before="180" w:line="240" w:lineRule="auto"/>
      <w:ind w:left="709" w:hanging="709"/>
    </w:pPr>
  </w:style>
  <w:style w:type="paragraph" w:customStyle="1" w:styleId="SubitemHead">
    <w:name w:val="SubitemHead"/>
    <w:aliases w:val="issh"/>
    <w:basedOn w:val="OPCParaBase"/>
    <w:rsid w:val="008E69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693E"/>
    <w:pPr>
      <w:spacing w:before="40" w:line="240" w:lineRule="auto"/>
      <w:ind w:left="1134"/>
    </w:pPr>
  </w:style>
  <w:style w:type="paragraph" w:customStyle="1" w:styleId="SubsectionHead">
    <w:name w:val="SubsectionHead"/>
    <w:aliases w:val="ssh"/>
    <w:basedOn w:val="OPCParaBase"/>
    <w:next w:val="subsection"/>
    <w:rsid w:val="008E693E"/>
    <w:pPr>
      <w:keepNext/>
      <w:keepLines/>
      <w:spacing w:before="240" w:line="240" w:lineRule="auto"/>
      <w:ind w:left="1134"/>
    </w:pPr>
    <w:rPr>
      <w:i/>
    </w:rPr>
  </w:style>
  <w:style w:type="paragraph" w:customStyle="1" w:styleId="Tablea">
    <w:name w:val="Table(a)"/>
    <w:aliases w:val="ta"/>
    <w:basedOn w:val="OPCParaBase"/>
    <w:rsid w:val="008E693E"/>
    <w:pPr>
      <w:spacing w:before="60" w:line="240" w:lineRule="auto"/>
      <w:ind w:left="284" w:hanging="284"/>
    </w:pPr>
    <w:rPr>
      <w:sz w:val="20"/>
    </w:rPr>
  </w:style>
  <w:style w:type="paragraph" w:customStyle="1" w:styleId="TableAA">
    <w:name w:val="Table(AA)"/>
    <w:aliases w:val="taaa"/>
    <w:basedOn w:val="OPCParaBase"/>
    <w:rsid w:val="008E69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69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693E"/>
    <w:pPr>
      <w:spacing w:before="60" w:line="240" w:lineRule="atLeast"/>
    </w:pPr>
    <w:rPr>
      <w:sz w:val="20"/>
    </w:rPr>
  </w:style>
  <w:style w:type="paragraph" w:customStyle="1" w:styleId="TLPBoxTextnote">
    <w:name w:val="TLPBoxText(note"/>
    <w:aliases w:val="right)"/>
    <w:basedOn w:val="OPCParaBase"/>
    <w:rsid w:val="008E69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69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693E"/>
    <w:pPr>
      <w:spacing w:before="122" w:line="198" w:lineRule="exact"/>
      <w:ind w:left="1985" w:hanging="851"/>
      <w:jc w:val="right"/>
    </w:pPr>
    <w:rPr>
      <w:sz w:val="18"/>
    </w:rPr>
  </w:style>
  <w:style w:type="paragraph" w:customStyle="1" w:styleId="TLPTableBullet">
    <w:name w:val="TLPTableBullet"/>
    <w:aliases w:val="ttb"/>
    <w:basedOn w:val="OPCParaBase"/>
    <w:rsid w:val="008E693E"/>
    <w:pPr>
      <w:spacing w:line="240" w:lineRule="exact"/>
      <w:ind w:left="284" w:hanging="284"/>
    </w:pPr>
    <w:rPr>
      <w:sz w:val="20"/>
    </w:rPr>
  </w:style>
  <w:style w:type="paragraph" w:styleId="TOC1">
    <w:name w:val="toc 1"/>
    <w:basedOn w:val="OPCParaBase"/>
    <w:next w:val="Normal"/>
    <w:uiPriority w:val="39"/>
    <w:semiHidden/>
    <w:unhideWhenUsed/>
    <w:rsid w:val="008E69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69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E69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69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9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69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E69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69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69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693E"/>
    <w:pPr>
      <w:keepLines/>
      <w:spacing w:before="240" w:after="120" w:line="240" w:lineRule="auto"/>
      <w:ind w:left="794"/>
    </w:pPr>
    <w:rPr>
      <w:b/>
      <w:kern w:val="28"/>
      <w:sz w:val="20"/>
    </w:rPr>
  </w:style>
  <w:style w:type="paragraph" w:customStyle="1" w:styleId="TofSectsHeading">
    <w:name w:val="TofSects(Heading)"/>
    <w:basedOn w:val="OPCParaBase"/>
    <w:rsid w:val="008E693E"/>
    <w:pPr>
      <w:spacing w:before="240" w:after="120" w:line="240" w:lineRule="auto"/>
    </w:pPr>
    <w:rPr>
      <w:b/>
      <w:sz w:val="24"/>
    </w:rPr>
  </w:style>
  <w:style w:type="paragraph" w:customStyle="1" w:styleId="TofSectsSection">
    <w:name w:val="TofSects(Section)"/>
    <w:basedOn w:val="OPCParaBase"/>
    <w:rsid w:val="008E693E"/>
    <w:pPr>
      <w:keepLines/>
      <w:spacing w:before="40" w:line="240" w:lineRule="auto"/>
      <w:ind w:left="1588" w:hanging="794"/>
    </w:pPr>
    <w:rPr>
      <w:kern w:val="28"/>
      <w:sz w:val="18"/>
    </w:rPr>
  </w:style>
  <w:style w:type="paragraph" w:customStyle="1" w:styleId="TofSectsSubdiv">
    <w:name w:val="TofSects(Subdiv)"/>
    <w:basedOn w:val="OPCParaBase"/>
    <w:rsid w:val="008E693E"/>
    <w:pPr>
      <w:keepLines/>
      <w:spacing w:before="80" w:line="240" w:lineRule="auto"/>
      <w:ind w:left="1588" w:hanging="794"/>
    </w:pPr>
    <w:rPr>
      <w:kern w:val="28"/>
    </w:rPr>
  </w:style>
  <w:style w:type="paragraph" w:customStyle="1" w:styleId="WRStyle">
    <w:name w:val="WR Style"/>
    <w:aliases w:val="WR"/>
    <w:basedOn w:val="OPCParaBase"/>
    <w:rsid w:val="008E693E"/>
    <w:pPr>
      <w:spacing w:before="240" w:line="240" w:lineRule="auto"/>
      <w:ind w:left="284" w:hanging="284"/>
    </w:pPr>
    <w:rPr>
      <w:b/>
      <w:i/>
      <w:kern w:val="28"/>
      <w:sz w:val="24"/>
    </w:rPr>
  </w:style>
  <w:style w:type="paragraph" w:customStyle="1" w:styleId="notepara">
    <w:name w:val="note(para)"/>
    <w:aliases w:val="na"/>
    <w:basedOn w:val="OPCParaBase"/>
    <w:rsid w:val="008E693E"/>
    <w:pPr>
      <w:spacing w:before="40" w:line="198" w:lineRule="exact"/>
      <w:ind w:left="2354" w:hanging="369"/>
    </w:pPr>
    <w:rPr>
      <w:sz w:val="18"/>
    </w:rPr>
  </w:style>
  <w:style w:type="paragraph" w:styleId="Footer">
    <w:name w:val="footer"/>
    <w:link w:val="FooterChar"/>
    <w:rsid w:val="008E69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693E"/>
    <w:rPr>
      <w:rFonts w:eastAsia="Times New Roman" w:cs="Times New Roman"/>
      <w:sz w:val="22"/>
      <w:szCs w:val="24"/>
      <w:lang w:eastAsia="en-AU"/>
    </w:rPr>
  </w:style>
  <w:style w:type="character" w:styleId="LineNumber">
    <w:name w:val="line number"/>
    <w:basedOn w:val="OPCCharBase"/>
    <w:uiPriority w:val="99"/>
    <w:semiHidden/>
    <w:unhideWhenUsed/>
    <w:rsid w:val="008E693E"/>
    <w:rPr>
      <w:sz w:val="16"/>
    </w:rPr>
  </w:style>
  <w:style w:type="table" w:customStyle="1" w:styleId="CFlag">
    <w:name w:val="CFlag"/>
    <w:basedOn w:val="TableNormal"/>
    <w:uiPriority w:val="99"/>
    <w:rsid w:val="008E693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6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3E"/>
    <w:rPr>
      <w:rFonts w:ascii="Tahoma" w:hAnsi="Tahoma" w:cs="Tahoma"/>
      <w:sz w:val="16"/>
      <w:szCs w:val="16"/>
    </w:rPr>
  </w:style>
  <w:style w:type="character" w:styleId="Hyperlink">
    <w:name w:val="Hyperlink"/>
    <w:basedOn w:val="DefaultParagraphFont"/>
    <w:rsid w:val="008E693E"/>
    <w:rPr>
      <w:color w:val="0000FF"/>
      <w:u w:val="single"/>
    </w:rPr>
  </w:style>
  <w:style w:type="table" w:styleId="TableGrid">
    <w:name w:val="Table Grid"/>
    <w:basedOn w:val="TableNormal"/>
    <w:uiPriority w:val="59"/>
    <w:rsid w:val="008E6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E693E"/>
    <w:rPr>
      <w:b/>
      <w:sz w:val="28"/>
      <w:szCs w:val="32"/>
    </w:rPr>
  </w:style>
  <w:style w:type="paragraph" w:customStyle="1" w:styleId="TerritoryT">
    <w:name w:val="TerritoryT"/>
    <w:basedOn w:val="OPCParaBase"/>
    <w:next w:val="Normal"/>
    <w:rsid w:val="008E693E"/>
    <w:rPr>
      <w:b/>
      <w:sz w:val="32"/>
    </w:rPr>
  </w:style>
  <w:style w:type="paragraph" w:customStyle="1" w:styleId="LegislationMadeUnder">
    <w:name w:val="LegislationMadeUnder"/>
    <w:basedOn w:val="OPCParaBase"/>
    <w:next w:val="Normal"/>
    <w:rsid w:val="008E693E"/>
    <w:rPr>
      <w:i/>
      <w:sz w:val="32"/>
      <w:szCs w:val="32"/>
    </w:rPr>
  </w:style>
  <w:style w:type="paragraph" w:customStyle="1" w:styleId="SignCoverPageEnd">
    <w:name w:val="SignCoverPageEnd"/>
    <w:basedOn w:val="OPCParaBase"/>
    <w:next w:val="Normal"/>
    <w:rsid w:val="008E693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E693E"/>
    <w:pPr>
      <w:pBdr>
        <w:top w:val="single" w:sz="4" w:space="1" w:color="auto"/>
      </w:pBdr>
      <w:spacing w:before="360"/>
      <w:ind w:right="397"/>
      <w:jc w:val="both"/>
    </w:pPr>
  </w:style>
  <w:style w:type="paragraph" w:customStyle="1" w:styleId="NotesHeading1">
    <w:name w:val="NotesHeading 1"/>
    <w:basedOn w:val="OPCParaBase"/>
    <w:next w:val="Normal"/>
    <w:rsid w:val="008E693E"/>
    <w:rPr>
      <w:b/>
      <w:sz w:val="28"/>
      <w:szCs w:val="28"/>
    </w:rPr>
  </w:style>
  <w:style w:type="paragraph" w:customStyle="1" w:styleId="NotesHeading2">
    <w:name w:val="NotesHeading 2"/>
    <w:basedOn w:val="OPCParaBase"/>
    <w:next w:val="Normal"/>
    <w:rsid w:val="008E693E"/>
    <w:rPr>
      <w:b/>
      <w:sz w:val="28"/>
      <w:szCs w:val="28"/>
    </w:rPr>
  </w:style>
  <w:style w:type="paragraph" w:customStyle="1" w:styleId="ENotesText">
    <w:name w:val="ENotesText"/>
    <w:basedOn w:val="OPCParaBase"/>
    <w:next w:val="Normal"/>
    <w:rsid w:val="008E693E"/>
  </w:style>
  <w:style w:type="paragraph" w:customStyle="1" w:styleId="CompiledActNo">
    <w:name w:val="CompiledActNo"/>
    <w:basedOn w:val="OPCParaBase"/>
    <w:next w:val="Normal"/>
    <w:rsid w:val="008E693E"/>
    <w:rPr>
      <w:b/>
      <w:sz w:val="24"/>
      <w:szCs w:val="24"/>
    </w:rPr>
  </w:style>
  <w:style w:type="paragraph" w:customStyle="1" w:styleId="CompiledMadeUnder">
    <w:name w:val="CompiledMadeUnder"/>
    <w:basedOn w:val="OPCParaBase"/>
    <w:next w:val="Normal"/>
    <w:rsid w:val="008E693E"/>
    <w:rPr>
      <w:i/>
      <w:sz w:val="24"/>
      <w:szCs w:val="24"/>
    </w:rPr>
  </w:style>
  <w:style w:type="paragraph" w:customStyle="1" w:styleId="Paragraphsub-sub-sub">
    <w:name w:val="Paragraph(sub-sub-sub)"/>
    <w:aliases w:val="aaaa"/>
    <w:basedOn w:val="OPCParaBase"/>
    <w:rsid w:val="008E693E"/>
    <w:pPr>
      <w:tabs>
        <w:tab w:val="right" w:pos="3402"/>
      </w:tabs>
      <w:spacing w:before="40" w:line="240" w:lineRule="auto"/>
      <w:ind w:left="3402" w:hanging="3402"/>
    </w:pPr>
  </w:style>
  <w:style w:type="paragraph" w:customStyle="1" w:styleId="SubPartCASA">
    <w:name w:val="SubPart(CASA)"/>
    <w:aliases w:val="csp"/>
    <w:basedOn w:val="OPCParaBase"/>
    <w:next w:val="ActHead3"/>
    <w:rsid w:val="008E693E"/>
    <w:pPr>
      <w:keepNext/>
      <w:keepLines/>
      <w:spacing w:before="280"/>
      <w:outlineLvl w:val="1"/>
    </w:pPr>
    <w:rPr>
      <w:b/>
      <w:kern w:val="28"/>
      <w:sz w:val="32"/>
    </w:rPr>
  </w:style>
  <w:style w:type="paragraph" w:customStyle="1" w:styleId="TableHeading">
    <w:name w:val="TableHeading"/>
    <w:aliases w:val="th"/>
    <w:basedOn w:val="OPCParaBase"/>
    <w:next w:val="Tabletext"/>
    <w:rsid w:val="008E693E"/>
    <w:pPr>
      <w:keepNext/>
      <w:spacing w:before="60" w:line="240" w:lineRule="atLeast"/>
    </w:pPr>
    <w:rPr>
      <w:b/>
      <w:sz w:val="20"/>
    </w:rPr>
  </w:style>
  <w:style w:type="paragraph" w:customStyle="1" w:styleId="NoteToSubpara">
    <w:name w:val="NoteToSubpara"/>
    <w:aliases w:val="nts"/>
    <w:basedOn w:val="OPCParaBase"/>
    <w:rsid w:val="008E693E"/>
    <w:pPr>
      <w:spacing w:before="40" w:line="198" w:lineRule="exact"/>
      <w:ind w:left="2835" w:hanging="709"/>
    </w:pPr>
    <w:rPr>
      <w:sz w:val="18"/>
    </w:rPr>
  </w:style>
  <w:style w:type="paragraph" w:customStyle="1" w:styleId="EndNotespara">
    <w:name w:val="EndNotes(para)"/>
    <w:aliases w:val="eta"/>
    <w:basedOn w:val="OPCParaBase"/>
    <w:next w:val="Normal"/>
    <w:rsid w:val="008E69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69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E69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69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E693E"/>
    <w:pPr>
      <w:keepNext/>
      <w:spacing w:before="60" w:line="240" w:lineRule="atLeast"/>
    </w:pPr>
    <w:rPr>
      <w:rFonts w:ascii="Arial" w:hAnsi="Arial"/>
      <w:b/>
      <w:sz w:val="16"/>
    </w:rPr>
  </w:style>
  <w:style w:type="paragraph" w:customStyle="1" w:styleId="ENoteTTi">
    <w:name w:val="ENoteTTi"/>
    <w:aliases w:val="entti"/>
    <w:basedOn w:val="OPCParaBase"/>
    <w:rsid w:val="008E693E"/>
    <w:pPr>
      <w:keepNext/>
      <w:spacing w:before="60" w:line="240" w:lineRule="atLeast"/>
      <w:ind w:left="170"/>
    </w:pPr>
    <w:rPr>
      <w:sz w:val="16"/>
    </w:rPr>
  </w:style>
  <w:style w:type="paragraph" w:customStyle="1" w:styleId="ENotesHeading1">
    <w:name w:val="ENotesHeading 1"/>
    <w:aliases w:val="Enh1"/>
    <w:basedOn w:val="OPCParaBase"/>
    <w:next w:val="Normal"/>
    <w:rsid w:val="008E693E"/>
    <w:pPr>
      <w:spacing w:before="120"/>
      <w:outlineLvl w:val="1"/>
    </w:pPr>
    <w:rPr>
      <w:b/>
      <w:sz w:val="28"/>
      <w:szCs w:val="28"/>
    </w:rPr>
  </w:style>
  <w:style w:type="paragraph" w:customStyle="1" w:styleId="ENotesHeading2">
    <w:name w:val="ENotesHeading 2"/>
    <w:aliases w:val="Enh2"/>
    <w:basedOn w:val="OPCParaBase"/>
    <w:next w:val="Normal"/>
    <w:rsid w:val="008E693E"/>
    <w:pPr>
      <w:spacing w:before="120" w:after="120"/>
      <w:outlineLvl w:val="2"/>
    </w:pPr>
    <w:rPr>
      <w:b/>
      <w:sz w:val="24"/>
      <w:szCs w:val="28"/>
    </w:rPr>
  </w:style>
  <w:style w:type="paragraph" w:customStyle="1" w:styleId="ENoteTTIndentHeading">
    <w:name w:val="ENoteTTIndentHeading"/>
    <w:aliases w:val="enTTHi"/>
    <w:basedOn w:val="OPCParaBase"/>
    <w:rsid w:val="008E69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693E"/>
    <w:pPr>
      <w:spacing w:before="60" w:line="240" w:lineRule="atLeast"/>
    </w:pPr>
    <w:rPr>
      <w:sz w:val="16"/>
    </w:rPr>
  </w:style>
  <w:style w:type="paragraph" w:customStyle="1" w:styleId="MadeunderText">
    <w:name w:val="MadeunderText"/>
    <w:basedOn w:val="OPCParaBase"/>
    <w:next w:val="CompiledMadeUnder"/>
    <w:rsid w:val="008E693E"/>
    <w:pPr>
      <w:spacing w:before="240"/>
    </w:pPr>
    <w:rPr>
      <w:sz w:val="24"/>
      <w:szCs w:val="24"/>
    </w:rPr>
  </w:style>
  <w:style w:type="paragraph" w:customStyle="1" w:styleId="ENotesHeading3">
    <w:name w:val="ENotesHeading 3"/>
    <w:aliases w:val="Enh3"/>
    <w:basedOn w:val="OPCParaBase"/>
    <w:next w:val="Normal"/>
    <w:rsid w:val="008E693E"/>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3579B"/>
    <w:rPr>
      <w:rFonts w:eastAsia="Times New Roman" w:cs="Times New Roman"/>
      <w:sz w:val="22"/>
      <w:lang w:eastAsia="en-AU"/>
    </w:rPr>
  </w:style>
  <w:style w:type="paragraph" w:styleId="ListParagraph">
    <w:name w:val="List Paragraph"/>
    <w:basedOn w:val="Normal"/>
    <w:uiPriority w:val="34"/>
    <w:qFormat/>
    <w:rsid w:val="006029FB"/>
    <w:pPr>
      <w:spacing w:line="240" w:lineRule="auto"/>
      <w:ind w:left="720"/>
    </w:pPr>
    <w:rPr>
      <w:rFonts w:ascii="Calibri" w:hAnsi="Calibri" w:cs="Calibri"/>
      <w:sz w:val="20"/>
      <w:lang w:eastAsia="en-AU"/>
    </w:rPr>
  </w:style>
  <w:style w:type="character" w:customStyle="1" w:styleId="CharSubPartNoCASA">
    <w:name w:val="CharSubPartNo(CASA)"/>
    <w:basedOn w:val="OPCCharBase"/>
    <w:uiPriority w:val="1"/>
    <w:rsid w:val="008E693E"/>
  </w:style>
  <w:style w:type="character" w:customStyle="1" w:styleId="CharSubPartTextCASA">
    <w:name w:val="CharSubPartText(CASA)"/>
    <w:basedOn w:val="OPCCharBase"/>
    <w:uiPriority w:val="1"/>
    <w:rsid w:val="008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93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693E"/>
  </w:style>
  <w:style w:type="paragraph" w:customStyle="1" w:styleId="OPCParaBase">
    <w:name w:val="OPCParaBase"/>
    <w:qFormat/>
    <w:rsid w:val="008E693E"/>
    <w:pPr>
      <w:spacing w:line="260" w:lineRule="atLeast"/>
    </w:pPr>
    <w:rPr>
      <w:rFonts w:eastAsia="Times New Roman" w:cs="Times New Roman"/>
      <w:sz w:val="22"/>
      <w:lang w:eastAsia="en-AU"/>
    </w:rPr>
  </w:style>
  <w:style w:type="paragraph" w:customStyle="1" w:styleId="ShortT">
    <w:name w:val="ShortT"/>
    <w:basedOn w:val="OPCParaBase"/>
    <w:next w:val="Normal"/>
    <w:qFormat/>
    <w:rsid w:val="008E693E"/>
    <w:pPr>
      <w:spacing w:line="240" w:lineRule="auto"/>
    </w:pPr>
    <w:rPr>
      <w:b/>
      <w:sz w:val="40"/>
    </w:rPr>
  </w:style>
  <w:style w:type="paragraph" w:customStyle="1" w:styleId="ActHead1">
    <w:name w:val="ActHead 1"/>
    <w:aliases w:val="c"/>
    <w:basedOn w:val="OPCParaBase"/>
    <w:next w:val="Normal"/>
    <w:qFormat/>
    <w:rsid w:val="008E69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69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69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69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69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69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69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69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69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693E"/>
  </w:style>
  <w:style w:type="paragraph" w:customStyle="1" w:styleId="Blocks">
    <w:name w:val="Blocks"/>
    <w:aliases w:val="bb"/>
    <w:basedOn w:val="OPCParaBase"/>
    <w:qFormat/>
    <w:rsid w:val="008E693E"/>
    <w:pPr>
      <w:spacing w:line="240" w:lineRule="auto"/>
    </w:pPr>
    <w:rPr>
      <w:sz w:val="24"/>
    </w:rPr>
  </w:style>
  <w:style w:type="paragraph" w:customStyle="1" w:styleId="BoxText">
    <w:name w:val="BoxText"/>
    <w:aliases w:val="bt"/>
    <w:basedOn w:val="OPCParaBase"/>
    <w:qFormat/>
    <w:rsid w:val="008E69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693E"/>
    <w:rPr>
      <w:b/>
    </w:rPr>
  </w:style>
  <w:style w:type="paragraph" w:customStyle="1" w:styleId="BoxHeadItalic">
    <w:name w:val="BoxHeadItalic"/>
    <w:aliases w:val="bhi"/>
    <w:basedOn w:val="BoxText"/>
    <w:next w:val="BoxStep"/>
    <w:qFormat/>
    <w:rsid w:val="008E693E"/>
    <w:rPr>
      <w:i/>
    </w:rPr>
  </w:style>
  <w:style w:type="paragraph" w:customStyle="1" w:styleId="BoxList">
    <w:name w:val="BoxList"/>
    <w:aliases w:val="bl"/>
    <w:basedOn w:val="BoxText"/>
    <w:qFormat/>
    <w:rsid w:val="008E693E"/>
    <w:pPr>
      <w:ind w:left="1559" w:hanging="425"/>
    </w:pPr>
  </w:style>
  <w:style w:type="paragraph" w:customStyle="1" w:styleId="BoxNote">
    <w:name w:val="BoxNote"/>
    <w:aliases w:val="bn"/>
    <w:basedOn w:val="BoxText"/>
    <w:qFormat/>
    <w:rsid w:val="008E693E"/>
    <w:pPr>
      <w:tabs>
        <w:tab w:val="left" w:pos="1985"/>
      </w:tabs>
      <w:spacing w:before="122" w:line="198" w:lineRule="exact"/>
      <w:ind w:left="2948" w:hanging="1814"/>
    </w:pPr>
    <w:rPr>
      <w:sz w:val="18"/>
    </w:rPr>
  </w:style>
  <w:style w:type="paragraph" w:customStyle="1" w:styleId="BoxPara">
    <w:name w:val="BoxPara"/>
    <w:aliases w:val="bp"/>
    <w:basedOn w:val="BoxText"/>
    <w:qFormat/>
    <w:rsid w:val="008E693E"/>
    <w:pPr>
      <w:tabs>
        <w:tab w:val="right" w:pos="2268"/>
      </w:tabs>
      <w:ind w:left="2552" w:hanging="1418"/>
    </w:pPr>
  </w:style>
  <w:style w:type="paragraph" w:customStyle="1" w:styleId="BoxStep">
    <w:name w:val="BoxStep"/>
    <w:aliases w:val="bs"/>
    <w:basedOn w:val="BoxText"/>
    <w:qFormat/>
    <w:rsid w:val="008E693E"/>
    <w:pPr>
      <w:ind w:left="1985" w:hanging="851"/>
    </w:pPr>
  </w:style>
  <w:style w:type="character" w:customStyle="1" w:styleId="CharAmPartNo">
    <w:name w:val="CharAmPartNo"/>
    <w:basedOn w:val="OPCCharBase"/>
    <w:qFormat/>
    <w:rsid w:val="008E693E"/>
  </w:style>
  <w:style w:type="character" w:customStyle="1" w:styleId="CharAmPartText">
    <w:name w:val="CharAmPartText"/>
    <w:basedOn w:val="OPCCharBase"/>
    <w:qFormat/>
    <w:rsid w:val="008E693E"/>
  </w:style>
  <w:style w:type="character" w:customStyle="1" w:styleId="CharAmSchNo">
    <w:name w:val="CharAmSchNo"/>
    <w:basedOn w:val="OPCCharBase"/>
    <w:qFormat/>
    <w:rsid w:val="008E693E"/>
  </w:style>
  <w:style w:type="character" w:customStyle="1" w:styleId="CharAmSchText">
    <w:name w:val="CharAmSchText"/>
    <w:basedOn w:val="OPCCharBase"/>
    <w:qFormat/>
    <w:rsid w:val="008E693E"/>
  </w:style>
  <w:style w:type="character" w:customStyle="1" w:styleId="CharBoldItalic">
    <w:name w:val="CharBoldItalic"/>
    <w:basedOn w:val="OPCCharBase"/>
    <w:uiPriority w:val="1"/>
    <w:qFormat/>
    <w:rsid w:val="008E693E"/>
    <w:rPr>
      <w:b/>
      <w:i/>
    </w:rPr>
  </w:style>
  <w:style w:type="character" w:customStyle="1" w:styleId="CharChapNo">
    <w:name w:val="CharChapNo"/>
    <w:basedOn w:val="OPCCharBase"/>
    <w:uiPriority w:val="1"/>
    <w:qFormat/>
    <w:rsid w:val="008E693E"/>
  </w:style>
  <w:style w:type="character" w:customStyle="1" w:styleId="CharChapText">
    <w:name w:val="CharChapText"/>
    <w:basedOn w:val="OPCCharBase"/>
    <w:uiPriority w:val="1"/>
    <w:qFormat/>
    <w:rsid w:val="008E693E"/>
  </w:style>
  <w:style w:type="character" w:customStyle="1" w:styleId="CharDivNo">
    <w:name w:val="CharDivNo"/>
    <w:basedOn w:val="OPCCharBase"/>
    <w:uiPriority w:val="1"/>
    <w:qFormat/>
    <w:rsid w:val="008E693E"/>
  </w:style>
  <w:style w:type="character" w:customStyle="1" w:styleId="CharDivText">
    <w:name w:val="CharDivText"/>
    <w:basedOn w:val="OPCCharBase"/>
    <w:uiPriority w:val="1"/>
    <w:qFormat/>
    <w:rsid w:val="008E693E"/>
  </w:style>
  <w:style w:type="character" w:customStyle="1" w:styleId="CharItalic">
    <w:name w:val="CharItalic"/>
    <w:basedOn w:val="OPCCharBase"/>
    <w:uiPriority w:val="1"/>
    <w:qFormat/>
    <w:rsid w:val="008E693E"/>
    <w:rPr>
      <w:i/>
    </w:rPr>
  </w:style>
  <w:style w:type="character" w:customStyle="1" w:styleId="CharPartNo">
    <w:name w:val="CharPartNo"/>
    <w:basedOn w:val="OPCCharBase"/>
    <w:uiPriority w:val="1"/>
    <w:qFormat/>
    <w:rsid w:val="008E693E"/>
  </w:style>
  <w:style w:type="character" w:customStyle="1" w:styleId="CharPartText">
    <w:name w:val="CharPartText"/>
    <w:basedOn w:val="OPCCharBase"/>
    <w:uiPriority w:val="1"/>
    <w:qFormat/>
    <w:rsid w:val="008E693E"/>
  </w:style>
  <w:style w:type="character" w:customStyle="1" w:styleId="CharSectno">
    <w:name w:val="CharSectno"/>
    <w:basedOn w:val="OPCCharBase"/>
    <w:qFormat/>
    <w:rsid w:val="008E693E"/>
  </w:style>
  <w:style w:type="character" w:customStyle="1" w:styleId="CharSubdNo">
    <w:name w:val="CharSubdNo"/>
    <w:basedOn w:val="OPCCharBase"/>
    <w:uiPriority w:val="1"/>
    <w:qFormat/>
    <w:rsid w:val="008E693E"/>
  </w:style>
  <w:style w:type="character" w:customStyle="1" w:styleId="CharSubdText">
    <w:name w:val="CharSubdText"/>
    <w:basedOn w:val="OPCCharBase"/>
    <w:uiPriority w:val="1"/>
    <w:qFormat/>
    <w:rsid w:val="008E693E"/>
  </w:style>
  <w:style w:type="paragraph" w:customStyle="1" w:styleId="CTA--">
    <w:name w:val="CTA --"/>
    <w:basedOn w:val="OPCParaBase"/>
    <w:next w:val="Normal"/>
    <w:rsid w:val="008E693E"/>
    <w:pPr>
      <w:spacing w:before="60" w:line="240" w:lineRule="atLeast"/>
      <w:ind w:left="142" w:hanging="142"/>
    </w:pPr>
    <w:rPr>
      <w:sz w:val="20"/>
    </w:rPr>
  </w:style>
  <w:style w:type="paragraph" w:customStyle="1" w:styleId="CTA-">
    <w:name w:val="CTA -"/>
    <w:basedOn w:val="OPCParaBase"/>
    <w:rsid w:val="008E693E"/>
    <w:pPr>
      <w:spacing w:before="60" w:line="240" w:lineRule="atLeast"/>
      <w:ind w:left="85" w:hanging="85"/>
    </w:pPr>
    <w:rPr>
      <w:sz w:val="20"/>
    </w:rPr>
  </w:style>
  <w:style w:type="paragraph" w:customStyle="1" w:styleId="CTA---">
    <w:name w:val="CTA ---"/>
    <w:basedOn w:val="OPCParaBase"/>
    <w:next w:val="Normal"/>
    <w:rsid w:val="008E693E"/>
    <w:pPr>
      <w:spacing w:before="60" w:line="240" w:lineRule="atLeast"/>
      <w:ind w:left="198" w:hanging="198"/>
    </w:pPr>
    <w:rPr>
      <w:sz w:val="20"/>
    </w:rPr>
  </w:style>
  <w:style w:type="paragraph" w:customStyle="1" w:styleId="CTA----">
    <w:name w:val="CTA ----"/>
    <w:basedOn w:val="OPCParaBase"/>
    <w:next w:val="Normal"/>
    <w:rsid w:val="008E693E"/>
    <w:pPr>
      <w:spacing w:before="60" w:line="240" w:lineRule="atLeast"/>
      <w:ind w:left="255" w:hanging="255"/>
    </w:pPr>
    <w:rPr>
      <w:sz w:val="20"/>
    </w:rPr>
  </w:style>
  <w:style w:type="paragraph" w:customStyle="1" w:styleId="CTA1a">
    <w:name w:val="CTA 1(a)"/>
    <w:basedOn w:val="OPCParaBase"/>
    <w:rsid w:val="008E693E"/>
    <w:pPr>
      <w:tabs>
        <w:tab w:val="right" w:pos="414"/>
      </w:tabs>
      <w:spacing w:before="40" w:line="240" w:lineRule="atLeast"/>
      <w:ind w:left="675" w:hanging="675"/>
    </w:pPr>
    <w:rPr>
      <w:sz w:val="20"/>
    </w:rPr>
  </w:style>
  <w:style w:type="paragraph" w:customStyle="1" w:styleId="CTA1ai">
    <w:name w:val="CTA 1(a)(i)"/>
    <w:basedOn w:val="OPCParaBase"/>
    <w:rsid w:val="008E693E"/>
    <w:pPr>
      <w:tabs>
        <w:tab w:val="right" w:pos="1004"/>
      </w:tabs>
      <w:spacing w:before="40" w:line="240" w:lineRule="atLeast"/>
      <w:ind w:left="1253" w:hanging="1253"/>
    </w:pPr>
    <w:rPr>
      <w:sz w:val="20"/>
    </w:rPr>
  </w:style>
  <w:style w:type="paragraph" w:customStyle="1" w:styleId="CTA2a">
    <w:name w:val="CTA 2(a)"/>
    <w:basedOn w:val="OPCParaBase"/>
    <w:rsid w:val="008E693E"/>
    <w:pPr>
      <w:tabs>
        <w:tab w:val="right" w:pos="482"/>
      </w:tabs>
      <w:spacing w:before="40" w:line="240" w:lineRule="atLeast"/>
      <w:ind w:left="748" w:hanging="748"/>
    </w:pPr>
    <w:rPr>
      <w:sz w:val="20"/>
    </w:rPr>
  </w:style>
  <w:style w:type="paragraph" w:customStyle="1" w:styleId="CTA2ai">
    <w:name w:val="CTA 2(a)(i)"/>
    <w:basedOn w:val="OPCParaBase"/>
    <w:rsid w:val="008E693E"/>
    <w:pPr>
      <w:tabs>
        <w:tab w:val="right" w:pos="1089"/>
      </w:tabs>
      <w:spacing w:before="40" w:line="240" w:lineRule="atLeast"/>
      <w:ind w:left="1327" w:hanging="1327"/>
    </w:pPr>
    <w:rPr>
      <w:sz w:val="20"/>
    </w:rPr>
  </w:style>
  <w:style w:type="paragraph" w:customStyle="1" w:styleId="CTA3a">
    <w:name w:val="CTA 3(a)"/>
    <w:basedOn w:val="OPCParaBase"/>
    <w:rsid w:val="008E693E"/>
    <w:pPr>
      <w:tabs>
        <w:tab w:val="right" w:pos="556"/>
      </w:tabs>
      <w:spacing w:before="40" w:line="240" w:lineRule="atLeast"/>
      <w:ind w:left="805" w:hanging="805"/>
    </w:pPr>
    <w:rPr>
      <w:sz w:val="20"/>
    </w:rPr>
  </w:style>
  <w:style w:type="paragraph" w:customStyle="1" w:styleId="CTA3ai">
    <w:name w:val="CTA 3(a)(i)"/>
    <w:basedOn w:val="OPCParaBase"/>
    <w:rsid w:val="008E693E"/>
    <w:pPr>
      <w:tabs>
        <w:tab w:val="right" w:pos="1140"/>
      </w:tabs>
      <w:spacing w:before="40" w:line="240" w:lineRule="atLeast"/>
      <w:ind w:left="1361" w:hanging="1361"/>
    </w:pPr>
    <w:rPr>
      <w:sz w:val="20"/>
    </w:rPr>
  </w:style>
  <w:style w:type="paragraph" w:customStyle="1" w:styleId="CTA4a">
    <w:name w:val="CTA 4(a)"/>
    <w:basedOn w:val="OPCParaBase"/>
    <w:rsid w:val="008E693E"/>
    <w:pPr>
      <w:tabs>
        <w:tab w:val="right" w:pos="624"/>
      </w:tabs>
      <w:spacing w:before="40" w:line="240" w:lineRule="atLeast"/>
      <w:ind w:left="873" w:hanging="873"/>
    </w:pPr>
    <w:rPr>
      <w:sz w:val="20"/>
    </w:rPr>
  </w:style>
  <w:style w:type="paragraph" w:customStyle="1" w:styleId="CTA4ai">
    <w:name w:val="CTA 4(a)(i)"/>
    <w:basedOn w:val="OPCParaBase"/>
    <w:rsid w:val="008E693E"/>
    <w:pPr>
      <w:tabs>
        <w:tab w:val="right" w:pos="1213"/>
      </w:tabs>
      <w:spacing w:before="40" w:line="240" w:lineRule="atLeast"/>
      <w:ind w:left="1452" w:hanging="1452"/>
    </w:pPr>
    <w:rPr>
      <w:sz w:val="20"/>
    </w:rPr>
  </w:style>
  <w:style w:type="paragraph" w:customStyle="1" w:styleId="CTACAPS">
    <w:name w:val="CTA CAPS"/>
    <w:basedOn w:val="OPCParaBase"/>
    <w:rsid w:val="008E693E"/>
    <w:pPr>
      <w:spacing w:before="60" w:line="240" w:lineRule="atLeast"/>
    </w:pPr>
    <w:rPr>
      <w:sz w:val="20"/>
    </w:rPr>
  </w:style>
  <w:style w:type="paragraph" w:customStyle="1" w:styleId="CTAright">
    <w:name w:val="CTA right"/>
    <w:basedOn w:val="OPCParaBase"/>
    <w:rsid w:val="008E693E"/>
    <w:pPr>
      <w:spacing w:before="60" w:line="240" w:lineRule="auto"/>
      <w:jc w:val="right"/>
    </w:pPr>
    <w:rPr>
      <w:sz w:val="20"/>
    </w:rPr>
  </w:style>
  <w:style w:type="paragraph" w:customStyle="1" w:styleId="subsection">
    <w:name w:val="subsection"/>
    <w:aliases w:val="ss"/>
    <w:basedOn w:val="OPCParaBase"/>
    <w:link w:val="subsectionChar"/>
    <w:rsid w:val="008E693E"/>
    <w:pPr>
      <w:tabs>
        <w:tab w:val="right" w:pos="1021"/>
      </w:tabs>
      <w:spacing w:before="180" w:line="240" w:lineRule="auto"/>
      <w:ind w:left="1134" w:hanging="1134"/>
    </w:pPr>
  </w:style>
  <w:style w:type="paragraph" w:customStyle="1" w:styleId="Definition">
    <w:name w:val="Definition"/>
    <w:aliases w:val="dd"/>
    <w:basedOn w:val="OPCParaBase"/>
    <w:rsid w:val="008E693E"/>
    <w:pPr>
      <w:spacing w:before="180" w:line="240" w:lineRule="auto"/>
      <w:ind w:left="1134"/>
    </w:pPr>
  </w:style>
  <w:style w:type="paragraph" w:customStyle="1" w:styleId="ETAsubitem">
    <w:name w:val="ETA(subitem)"/>
    <w:basedOn w:val="OPCParaBase"/>
    <w:rsid w:val="008E693E"/>
    <w:pPr>
      <w:tabs>
        <w:tab w:val="right" w:pos="340"/>
      </w:tabs>
      <w:spacing w:before="60" w:line="240" w:lineRule="auto"/>
      <w:ind w:left="454" w:hanging="454"/>
    </w:pPr>
    <w:rPr>
      <w:sz w:val="20"/>
    </w:rPr>
  </w:style>
  <w:style w:type="paragraph" w:customStyle="1" w:styleId="ETApara">
    <w:name w:val="ETA(para)"/>
    <w:basedOn w:val="OPCParaBase"/>
    <w:rsid w:val="008E693E"/>
    <w:pPr>
      <w:tabs>
        <w:tab w:val="right" w:pos="754"/>
      </w:tabs>
      <w:spacing w:before="60" w:line="240" w:lineRule="auto"/>
      <w:ind w:left="828" w:hanging="828"/>
    </w:pPr>
    <w:rPr>
      <w:sz w:val="20"/>
    </w:rPr>
  </w:style>
  <w:style w:type="paragraph" w:customStyle="1" w:styleId="ETAsubpara">
    <w:name w:val="ETA(subpara)"/>
    <w:basedOn w:val="OPCParaBase"/>
    <w:rsid w:val="008E693E"/>
    <w:pPr>
      <w:tabs>
        <w:tab w:val="right" w:pos="1083"/>
      </w:tabs>
      <w:spacing w:before="60" w:line="240" w:lineRule="auto"/>
      <w:ind w:left="1191" w:hanging="1191"/>
    </w:pPr>
    <w:rPr>
      <w:sz w:val="20"/>
    </w:rPr>
  </w:style>
  <w:style w:type="paragraph" w:customStyle="1" w:styleId="ETAsub-subpara">
    <w:name w:val="ETA(sub-subpara)"/>
    <w:basedOn w:val="OPCParaBase"/>
    <w:rsid w:val="008E693E"/>
    <w:pPr>
      <w:tabs>
        <w:tab w:val="right" w:pos="1412"/>
      </w:tabs>
      <w:spacing w:before="60" w:line="240" w:lineRule="auto"/>
      <w:ind w:left="1525" w:hanging="1525"/>
    </w:pPr>
    <w:rPr>
      <w:sz w:val="20"/>
    </w:rPr>
  </w:style>
  <w:style w:type="paragraph" w:customStyle="1" w:styleId="Formula">
    <w:name w:val="Formula"/>
    <w:basedOn w:val="OPCParaBase"/>
    <w:rsid w:val="008E693E"/>
    <w:pPr>
      <w:spacing w:line="240" w:lineRule="auto"/>
      <w:ind w:left="1134"/>
    </w:pPr>
    <w:rPr>
      <w:sz w:val="20"/>
    </w:rPr>
  </w:style>
  <w:style w:type="paragraph" w:styleId="Header">
    <w:name w:val="header"/>
    <w:basedOn w:val="OPCParaBase"/>
    <w:link w:val="HeaderChar"/>
    <w:unhideWhenUsed/>
    <w:rsid w:val="008E69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693E"/>
    <w:rPr>
      <w:rFonts w:eastAsia="Times New Roman" w:cs="Times New Roman"/>
      <w:sz w:val="16"/>
      <w:lang w:eastAsia="en-AU"/>
    </w:rPr>
  </w:style>
  <w:style w:type="paragraph" w:customStyle="1" w:styleId="House">
    <w:name w:val="House"/>
    <w:basedOn w:val="OPCParaBase"/>
    <w:rsid w:val="008E693E"/>
    <w:pPr>
      <w:spacing w:line="240" w:lineRule="auto"/>
    </w:pPr>
    <w:rPr>
      <w:sz w:val="28"/>
    </w:rPr>
  </w:style>
  <w:style w:type="paragraph" w:customStyle="1" w:styleId="Item">
    <w:name w:val="Item"/>
    <w:aliases w:val="i"/>
    <w:basedOn w:val="OPCParaBase"/>
    <w:next w:val="ItemHead"/>
    <w:rsid w:val="008E693E"/>
    <w:pPr>
      <w:keepLines/>
      <w:spacing w:before="80" w:line="240" w:lineRule="auto"/>
      <w:ind w:left="709"/>
    </w:pPr>
  </w:style>
  <w:style w:type="paragraph" w:customStyle="1" w:styleId="ItemHead">
    <w:name w:val="ItemHead"/>
    <w:aliases w:val="ih"/>
    <w:basedOn w:val="OPCParaBase"/>
    <w:next w:val="Item"/>
    <w:rsid w:val="008E69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693E"/>
    <w:pPr>
      <w:spacing w:line="240" w:lineRule="auto"/>
    </w:pPr>
    <w:rPr>
      <w:b/>
      <w:sz w:val="32"/>
    </w:rPr>
  </w:style>
  <w:style w:type="paragraph" w:customStyle="1" w:styleId="notedraft">
    <w:name w:val="note(draft)"/>
    <w:aliases w:val="nd"/>
    <w:basedOn w:val="OPCParaBase"/>
    <w:rsid w:val="008E693E"/>
    <w:pPr>
      <w:spacing w:before="240" w:line="240" w:lineRule="auto"/>
      <w:ind w:left="284" w:hanging="284"/>
    </w:pPr>
    <w:rPr>
      <w:i/>
      <w:sz w:val="24"/>
    </w:rPr>
  </w:style>
  <w:style w:type="paragraph" w:customStyle="1" w:styleId="notemargin">
    <w:name w:val="note(margin)"/>
    <w:aliases w:val="nm"/>
    <w:basedOn w:val="OPCParaBase"/>
    <w:rsid w:val="008E693E"/>
    <w:pPr>
      <w:tabs>
        <w:tab w:val="left" w:pos="709"/>
      </w:tabs>
      <w:spacing w:before="122" w:line="198" w:lineRule="exact"/>
      <w:ind w:left="709" w:hanging="709"/>
    </w:pPr>
    <w:rPr>
      <w:sz w:val="18"/>
    </w:rPr>
  </w:style>
  <w:style w:type="paragraph" w:customStyle="1" w:styleId="noteToPara">
    <w:name w:val="noteToPara"/>
    <w:aliases w:val="ntp"/>
    <w:basedOn w:val="OPCParaBase"/>
    <w:rsid w:val="008E693E"/>
    <w:pPr>
      <w:spacing w:before="122" w:line="198" w:lineRule="exact"/>
      <w:ind w:left="2353" w:hanging="709"/>
    </w:pPr>
    <w:rPr>
      <w:sz w:val="18"/>
    </w:rPr>
  </w:style>
  <w:style w:type="paragraph" w:customStyle="1" w:styleId="noteParlAmend">
    <w:name w:val="note(ParlAmend)"/>
    <w:aliases w:val="npp"/>
    <w:basedOn w:val="OPCParaBase"/>
    <w:next w:val="ParlAmend"/>
    <w:rsid w:val="008E693E"/>
    <w:pPr>
      <w:spacing w:line="240" w:lineRule="auto"/>
      <w:jc w:val="right"/>
    </w:pPr>
    <w:rPr>
      <w:rFonts w:ascii="Arial" w:hAnsi="Arial"/>
      <w:b/>
      <w:i/>
    </w:rPr>
  </w:style>
  <w:style w:type="paragraph" w:customStyle="1" w:styleId="notetext">
    <w:name w:val="note(text)"/>
    <w:aliases w:val="n"/>
    <w:basedOn w:val="OPCParaBase"/>
    <w:rsid w:val="008E693E"/>
    <w:pPr>
      <w:spacing w:before="122" w:line="198" w:lineRule="exact"/>
      <w:ind w:left="1985" w:hanging="851"/>
    </w:pPr>
    <w:rPr>
      <w:sz w:val="18"/>
    </w:rPr>
  </w:style>
  <w:style w:type="paragraph" w:customStyle="1" w:styleId="Page1">
    <w:name w:val="Page1"/>
    <w:basedOn w:val="OPCParaBase"/>
    <w:rsid w:val="008E693E"/>
    <w:pPr>
      <w:spacing w:before="5600" w:line="240" w:lineRule="auto"/>
    </w:pPr>
    <w:rPr>
      <w:b/>
      <w:sz w:val="32"/>
    </w:rPr>
  </w:style>
  <w:style w:type="paragraph" w:customStyle="1" w:styleId="PageBreak">
    <w:name w:val="PageBreak"/>
    <w:aliases w:val="pb"/>
    <w:basedOn w:val="OPCParaBase"/>
    <w:rsid w:val="008E693E"/>
    <w:pPr>
      <w:spacing w:line="240" w:lineRule="auto"/>
    </w:pPr>
    <w:rPr>
      <w:sz w:val="20"/>
    </w:rPr>
  </w:style>
  <w:style w:type="paragraph" w:customStyle="1" w:styleId="paragraphsub">
    <w:name w:val="paragraph(sub)"/>
    <w:aliases w:val="aa"/>
    <w:basedOn w:val="OPCParaBase"/>
    <w:rsid w:val="008E693E"/>
    <w:pPr>
      <w:tabs>
        <w:tab w:val="right" w:pos="1985"/>
      </w:tabs>
      <w:spacing w:before="40" w:line="240" w:lineRule="auto"/>
      <w:ind w:left="2098" w:hanging="2098"/>
    </w:pPr>
  </w:style>
  <w:style w:type="paragraph" w:customStyle="1" w:styleId="paragraphsub-sub">
    <w:name w:val="paragraph(sub-sub)"/>
    <w:aliases w:val="aaa"/>
    <w:basedOn w:val="OPCParaBase"/>
    <w:rsid w:val="008E693E"/>
    <w:pPr>
      <w:tabs>
        <w:tab w:val="right" w:pos="2722"/>
      </w:tabs>
      <w:spacing w:before="40" w:line="240" w:lineRule="auto"/>
      <w:ind w:left="2835" w:hanging="2835"/>
    </w:pPr>
  </w:style>
  <w:style w:type="paragraph" w:customStyle="1" w:styleId="paragraph">
    <w:name w:val="paragraph"/>
    <w:aliases w:val="a"/>
    <w:basedOn w:val="OPCParaBase"/>
    <w:rsid w:val="008E693E"/>
    <w:pPr>
      <w:tabs>
        <w:tab w:val="right" w:pos="1531"/>
      </w:tabs>
      <w:spacing w:before="40" w:line="240" w:lineRule="auto"/>
      <w:ind w:left="1644" w:hanging="1644"/>
    </w:pPr>
  </w:style>
  <w:style w:type="paragraph" w:customStyle="1" w:styleId="ParlAmend">
    <w:name w:val="ParlAmend"/>
    <w:aliases w:val="pp"/>
    <w:basedOn w:val="OPCParaBase"/>
    <w:rsid w:val="008E693E"/>
    <w:pPr>
      <w:spacing w:before="240" w:line="240" w:lineRule="atLeast"/>
      <w:ind w:hanging="567"/>
    </w:pPr>
    <w:rPr>
      <w:sz w:val="24"/>
    </w:rPr>
  </w:style>
  <w:style w:type="paragraph" w:customStyle="1" w:styleId="Penalty">
    <w:name w:val="Penalty"/>
    <w:basedOn w:val="OPCParaBase"/>
    <w:rsid w:val="008E693E"/>
    <w:pPr>
      <w:tabs>
        <w:tab w:val="left" w:pos="2977"/>
      </w:tabs>
      <w:spacing w:before="180" w:line="240" w:lineRule="auto"/>
      <w:ind w:left="1985" w:hanging="851"/>
    </w:pPr>
  </w:style>
  <w:style w:type="paragraph" w:customStyle="1" w:styleId="Portfolio">
    <w:name w:val="Portfolio"/>
    <w:basedOn w:val="OPCParaBase"/>
    <w:rsid w:val="008E693E"/>
    <w:pPr>
      <w:spacing w:line="240" w:lineRule="auto"/>
    </w:pPr>
    <w:rPr>
      <w:i/>
      <w:sz w:val="20"/>
    </w:rPr>
  </w:style>
  <w:style w:type="paragraph" w:customStyle="1" w:styleId="Preamble">
    <w:name w:val="Preamble"/>
    <w:basedOn w:val="OPCParaBase"/>
    <w:next w:val="Normal"/>
    <w:rsid w:val="008E69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693E"/>
    <w:pPr>
      <w:spacing w:line="240" w:lineRule="auto"/>
    </w:pPr>
    <w:rPr>
      <w:i/>
      <w:sz w:val="20"/>
    </w:rPr>
  </w:style>
  <w:style w:type="paragraph" w:customStyle="1" w:styleId="Session">
    <w:name w:val="Session"/>
    <w:basedOn w:val="OPCParaBase"/>
    <w:rsid w:val="008E693E"/>
    <w:pPr>
      <w:spacing w:line="240" w:lineRule="auto"/>
    </w:pPr>
    <w:rPr>
      <w:sz w:val="28"/>
    </w:rPr>
  </w:style>
  <w:style w:type="paragraph" w:customStyle="1" w:styleId="Sponsor">
    <w:name w:val="Sponsor"/>
    <w:basedOn w:val="OPCParaBase"/>
    <w:rsid w:val="008E693E"/>
    <w:pPr>
      <w:spacing w:line="240" w:lineRule="auto"/>
    </w:pPr>
    <w:rPr>
      <w:i/>
    </w:rPr>
  </w:style>
  <w:style w:type="paragraph" w:customStyle="1" w:styleId="Subitem">
    <w:name w:val="Subitem"/>
    <w:aliases w:val="iss"/>
    <w:basedOn w:val="OPCParaBase"/>
    <w:rsid w:val="008E693E"/>
    <w:pPr>
      <w:spacing w:before="180" w:line="240" w:lineRule="auto"/>
      <w:ind w:left="709" w:hanging="709"/>
    </w:pPr>
  </w:style>
  <w:style w:type="paragraph" w:customStyle="1" w:styleId="SubitemHead">
    <w:name w:val="SubitemHead"/>
    <w:aliases w:val="issh"/>
    <w:basedOn w:val="OPCParaBase"/>
    <w:rsid w:val="008E69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693E"/>
    <w:pPr>
      <w:spacing w:before="40" w:line="240" w:lineRule="auto"/>
      <w:ind w:left="1134"/>
    </w:pPr>
  </w:style>
  <w:style w:type="paragraph" w:customStyle="1" w:styleId="SubsectionHead">
    <w:name w:val="SubsectionHead"/>
    <w:aliases w:val="ssh"/>
    <w:basedOn w:val="OPCParaBase"/>
    <w:next w:val="subsection"/>
    <w:rsid w:val="008E693E"/>
    <w:pPr>
      <w:keepNext/>
      <w:keepLines/>
      <w:spacing w:before="240" w:line="240" w:lineRule="auto"/>
      <w:ind w:left="1134"/>
    </w:pPr>
    <w:rPr>
      <w:i/>
    </w:rPr>
  </w:style>
  <w:style w:type="paragraph" w:customStyle="1" w:styleId="Tablea">
    <w:name w:val="Table(a)"/>
    <w:aliases w:val="ta"/>
    <w:basedOn w:val="OPCParaBase"/>
    <w:rsid w:val="008E693E"/>
    <w:pPr>
      <w:spacing w:before="60" w:line="240" w:lineRule="auto"/>
      <w:ind w:left="284" w:hanging="284"/>
    </w:pPr>
    <w:rPr>
      <w:sz w:val="20"/>
    </w:rPr>
  </w:style>
  <w:style w:type="paragraph" w:customStyle="1" w:styleId="TableAA">
    <w:name w:val="Table(AA)"/>
    <w:aliases w:val="taaa"/>
    <w:basedOn w:val="OPCParaBase"/>
    <w:rsid w:val="008E69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69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693E"/>
    <w:pPr>
      <w:spacing w:before="60" w:line="240" w:lineRule="atLeast"/>
    </w:pPr>
    <w:rPr>
      <w:sz w:val="20"/>
    </w:rPr>
  </w:style>
  <w:style w:type="paragraph" w:customStyle="1" w:styleId="TLPBoxTextnote">
    <w:name w:val="TLPBoxText(note"/>
    <w:aliases w:val="right)"/>
    <w:basedOn w:val="OPCParaBase"/>
    <w:rsid w:val="008E69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69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693E"/>
    <w:pPr>
      <w:spacing w:before="122" w:line="198" w:lineRule="exact"/>
      <w:ind w:left="1985" w:hanging="851"/>
      <w:jc w:val="right"/>
    </w:pPr>
    <w:rPr>
      <w:sz w:val="18"/>
    </w:rPr>
  </w:style>
  <w:style w:type="paragraph" w:customStyle="1" w:styleId="TLPTableBullet">
    <w:name w:val="TLPTableBullet"/>
    <w:aliases w:val="ttb"/>
    <w:basedOn w:val="OPCParaBase"/>
    <w:rsid w:val="008E693E"/>
    <w:pPr>
      <w:spacing w:line="240" w:lineRule="exact"/>
      <w:ind w:left="284" w:hanging="284"/>
    </w:pPr>
    <w:rPr>
      <w:sz w:val="20"/>
    </w:rPr>
  </w:style>
  <w:style w:type="paragraph" w:styleId="TOC1">
    <w:name w:val="toc 1"/>
    <w:basedOn w:val="OPCParaBase"/>
    <w:next w:val="Normal"/>
    <w:uiPriority w:val="39"/>
    <w:semiHidden/>
    <w:unhideWhenUsed/>
    <w:rsid w:val="008E69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69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E69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69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9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69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E69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69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69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693E"/>
    <w:pPr>
      <w:keepLines/>
      <w:spacing w:before="240" w:after="120" w:line="240" w:lineRule="auto"/>
      <w:ind w:left="794"/>
    </w:pPr>
    <w:rPr>
      <w:b/>
      <w:kern w:val="28"/>
      <w:sz w:val="20"/>
    </w:rPr>
  </w:style>
  <w:style w:type="paragraph" w:customStyle="1" w:styleId="TofSectsHeading">
    <w:name w:val="TofSects(Heading)"/>
    <w:basedOn w:val="OPCParaBase"/>
    <w:rsid w:val="008E693E"/>
    <w:pPr>
      <w:spacing w:before="240" w:after="120" w:line="240" w:lineRule="auto"/>
    </w:pPr>
    <w:rPr>
      <w:b/>
      <w:sz w:val="24"/>
    </w:rPr>
  </w:style>
  <w:style w:type="paragraph" w:customStyle="1" w:styleId="TofSectsSection">
    <w:name w:val="TofSects(Section)"/>
    <w:basedOn w:val="OPCParaBase"/>
    <w:rsid w:val="008E693E"/>
    <w:pPr>
      <w:keepLines/>
      <w:spacing w:before="40" w:line="240" w:lineRule="auto"/>
      <w:ind w:left="1588" w:hanging="794"/>
    </w:pPr>
    <w:rPr>
      <w:kern w:val="28"/>
      <w:sz w:val="18"/>
    </w:rPr>
  </w:style>
  <w:style w:type="paragraph" w:customStyle="1" w:styleId="TofSectsSubdiv">
    <w:name w:val="TofSects(Subdiv)"/>
    <w:basedOn w:val="OPCParaBase"/>
    <w:rsid w:val="008E693E"/>
    <w:pPr>
      <w:keepLines/>
      <w:spacing w:before="80" w:line="240" w:lineRule="auto"/>
      <w:ind w:left="1588" w:hanging="794"/>
    </w:pPr>
    <w:rPr>
      <w:kern w:val="28"/>
    </w:rPr>
  </w:style>
  <w:style w:type="paragraph" w:customStyle="1" w:styleId="WRStyle">
    <w:name w:val="WR Style"/>
    <w:aliases w:val="WR"/>
    <w:basedOn w:val="OPCParaBase"/>
    <w:rsid w:val="008E693E"/>
    <w:pPr>
      <w:spacing w:before="240" w:line="240" w:lineRule="auto"/>
      <w:ind w:left="284" w:hanging="284"/>
    </w:pPr>
    <w:rPr>
      <w:b/>
      <w:i/>
      <w:kern w:val="28"/>
      <w:sz w:val="24"/>
    </w:rPr>
  </w:style>
  <w:style w:type="paragraph" w:customStyle="1" w:styleId="notepara">
    <w:name w:val="note(para)"/>
    <w:aliases w:val="na"/>
    <w:basedOn w:val="OPCParaBase"/>
    <w:rsid w:val="008E693E"/>
    <w:pPr>
      <w:spacing w:before="40" w:line="198" w:lineRule="exact"/>
      <w:ind w:left="2354" w:hanging="369"/>
    </w:pPr>
    <w:rPr>
      <w:sz w:val="18"/>
    </w:rPr>
  </w:style>
  <w:style w:type="paragraph" w:styleId="Footer">
    <w:name w:val="footer"/>
    <w:link w:val="FooterChar"/>
    <w:rsid w:val="008E69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693E"/>
    <w:rPr>
      <w:rFonts w:eastAsia="Times New Roman" w:cs="Times New Roman"/>
      <w:sz w:val="22"/>
      <w:szCs w:val="24"/>
      <w:lang w:eastAsia="en-AU"/>
    </w:rPr>
  </w:style>
  <w:style w:type="character" w:styleId="LineNumber">
    <w:name w:val="line number"/>
    <w:basedOn w:val="OPCCharBase"/>
    <w:uiPriority w:val="99"/>
    <w:semiHidden/>
    <w:unhideWhenUsed/>
    <w:rsid w:val="008E693E"/>
    <w:rPr>
      <w:sz w:val="16"/>
    </w:rPr>
  </w:style>
  <w:style w:type="table" w:customStyle="1" w:styleId="CFlag">
    <w:name w:val="CFlag"/>
    <w:basedOn w:val="TableNormal"/>
    <w:uiPriority w:val="99"/>
    <w:rsid w:val="008E693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6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3E"/>
    <w:rPr>
      <w:rFonts w:ascii="Tahoma" w:hAnsi="Tahoma" w:cs="Tahoma"/>
      <w:sz w:val="16"/>
      <w:szCs w:val="16"/>
    </w:rPr>
  </w:style>
  <w:style w:type="character" w:styleId="Hyperlink">
    <w:name w:val="Hyperlink"/>
    <w:basedOn w:val="DefaultParagraphFont"/>
    <w:rsid w:val="008E693E"/>
    <w:rPr>
      <w:color w:val="0000FF"/>
      <w:u w:val="single"/>
    </w:rPr>
  </w:style>
  <w:style w:type="table" w:styleId="TableGrid">
    <w:name w:val="Table Grid"/>
    <w:basedOn w:val="TableNormal"/>
    <w:uiPriority w:val="59"/>
    <w:rsid w:val="008E6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E693E"/>
    <w:rPr>
      <w:b/>
      <w:sz w:val="28"/>
      <w:szCs w:val="32"/>
    </w:rPr>
  </w:style>
  <w:style w:type="paragraph" w:customStyle="1" w:styleId="TerritoryT">
    <w:name w:val="TerritoryT"/>
    <w:basedOn w:val="OPCParaBase"/>
    <w:next w:val="Normal"/>
    <w:rsid w:val="008E693E"/>
    <w:rPr>
      <w:b/>
      <w:sz w:val="32"/>
    </w:rPr>
  </w:style>
  <w:style w:type="paragraph" w:customStyle="1" w:styleId="LegislationMadeUnder">
    <w:name w:val="LegislationMadeUnder"/>
    <w:basedOn w:val="OPCParaBase"/>
    <w:next w:val="Normal"/>
    <w:rsid w:val="008E693E"/>
    <w:rPr>
      <w:i/>
      <w:sz w:val="32"/>
      <w:szCs w:val="32"/>
    </w:rPr>
  </w:style>
  <w:style w:type="paragraph" w:customStyle="1" w:styleId="SignCoverPageEnd">
    <w:name w:val="SignCoverPageEnd"/>
    <w:basedOn w:val="OPCParaBase"/>
    <w:next w:val="Normal"/>
    <w:rsid w:val="008E693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E693E"/>
    <w:pPr>
      <w:pBdr>
        <w:top w:val="single" w:sz="4" w:space="1" w:color="auto"/>
      </w:pBdr>
      <w:spacing w:before="360"/>
      <w:ind w:right="397"/>
      <w:jc w:val="both"/>
    </w:pPr>
  </w:style>
  <w:style w:type="paragraph" w:customStyle="1" w:styleId="NotesHeading1">
    <w:name w:val="NotesHeading 1"/>
    <w:basedOn w:val="OPCParaBase"/>
    <w:next w:val="Normal"/>
    <w:rsid w:val="008E693E"/>
    <w:rPr>
      <w:b/>
      <w:sz w:val="28"/>
      <w:szCs w:val="28"/>
    </w:rPr>
  </w:style>
  <w:style w:type="paragraph" w:customStyle="1" w:styleId="NotesHeading2">
    <w:name w:val="NotesHeading 2"/>
    <w:basedOn w:val="OPCParaBase"/>
    <w:next w:val="Normal"/>
    <w:rsid w:val="008E693E"/>
    <w:rPr>
      <w:b/>
      <w:sz w:val="28"/>
      <w:szCs w:val="28"/>
    </w:rPr>
  </w:style>
  <w:style w:type="paragraph" w:customStyle="1" w:styleId="ENotesText">
    <w:name w:val="ENotesText"/>
    <w:basedOn w:val="OPCParaBase"/>
    <w:next w:val="Normal"/>
    <w:rsid w:val="008E693E"/>
  </w:style>
  <w:style w:type="paragraph" w:customStyle="1" w:styleId="CompiledActNo">
    <w:name w:val="CompiledActNo"/>
    <w:basedOn w:val="OPCParaBase"/>
    <w:next w:val="Normal"/>
    <w:rsid w:val="008E693E"/>
    <w:rPr>
      <w:b/>
      <w:sz w:val="24"/>
      <w:szCs w:val="24"/>
    </w:rPr>
  </w:style>
  <w:style w:type="paragraph" w:customStyle="1" w:styleId="CompiledMadeUnder">
    <w:name w:val="CompiledMadeUnder"/>
    <w:basedOn w:val="OPCParaBase"/>
    <w:next w:val="Normal"/>
    <w:rsid w:val="008E693E"/>
    <w:rPr>
      <w:i/>
      <w:sz w:val="24"/>
      <w:szCs w:val="24"/>
    </w:rPr>
  </w:style>
  <w:style w:type="paragraph" w:customStyle="1" w:styleId="Paragraphsub-sub-sub">
    <w:name w:val="Paragraph(sub-sub-sub)"/>
    <w:aliases w:val="aaaa"/>
    <w:basedOn w:val="OPCParaBase"/>
    <w:rsid w:val="008E693E"/>
    <w:pPr>
      <w:tabs>
        <w:tab w:val="right" w:pos="3402"/>
      </w:tabs>
      <w:spacing w:before="40" w:line="240" w:lineRule="auto"/>
      <w:ind w:left="3402" w:hanging="3402"/>
    </w:pPr>
  </w:style>
  <w:style w:type="paragraph" w:customStyle="1" w:styleId="SubPartCASA">
    <w:name w:val="SubPart(CASA)"/>
    <w:aliases w:val="csp"/>
    <w:basedOn w:val="OPCParaBase"/>
    <w:next w:val="ActHead3"/>
    <w:rsid w:val="008E693E"/>
    <w:pPr>
      <w:keepNext/>
      <w:keepLines/>
      <w:spacing w:before="280"/>
      <w:outlineLvl w:val="1"/>
    </w:pPr>
    <w:rPr>
      <w:b/>
      <w:kern w:val="28"/>
      <w:sz w:val="32"/>
    </w:rPr>
  </w:style>
  <w:style w:type="paragraph" w:customStyle="1" w:styleId="TableHeading">
    <w:name w:val="TableHeading"/>
    <w:aliases w:val="th"/>
    <w:basedOn w:val="OPCParaBase"/>
    <w:next w:val="Tabletext"/>
    <w:rsid w:val="008E693E"/>
    <w:pPr>
      <w:keepNext/>
      <w:spacing w:before="60" w:line="240" w:lineRule="atLeast"/>
    </w:pPr>
    <w:rPr>
      <w:b/>
      <w:sz w:val="20"/>
    </w:rPr>
  </w:style>
  <w:style w:type="paragraph" w:customStyle="1" w:styleId="NoteToSubpara">
    <w:name w:val="NoteToSubpara"/>
    <w:aliases w:val="nts"/>
    <w:basedOn w:val="OPCParaBase"/>
    <w:rsid w:val="008E693E"/>
    <w:pPr>
      <w:spacing w:before="40" w:line="198" w:lineRule="exact"/>
      <w:ind w:left="2835" w:hanging="709"/>
    </w:pPr>
    <w:rPr>
      <w:sz w:val="18"/>
    </w:rPr>
  </w:style>
  <w:style w:type="paragraph" w:customStyle="1" w:styleId="EndNotespara">
    <w:name w:val="EndNotes(para)"/>
    <w:aliases w:val="eta"/>
    <w:basedOn w:val="OPCParaBase"/>
    <w:next w:val="Normal"/>
    <w:rsid w:val="008E69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69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E69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69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E693E"/>
    <w:pPr>
      <w:keepNext/>
      <w:spacing w:before="60" w:line="240" w:lineRule="atLeast"/>
    </w:pPr>
    <w:rPr>
      <w:rFonts w:ascii="Arial" w:hAnsi="Arial"/>
      <w:b/>
      <w:sz w:val="16"/>
    </w:rPr>
  </w:style>
  <w:style w:type="paragraph" w:customStyle="1" w:styleId="ENoteTTi">
    <w:name w:val="ENoteTTi"/>
    <w:aliases w:val="entti"/>
    <w:basedOn w:val="OPCParaBase"/>
    <w:rsid w:val="008E693E"/>
    <w:pPr>
      <w:keepNext/>
      <w:spacing w:before="60" w:line="240" w:lineRule="atLeast"/>
      <w:ind w:left="170"/>
    </w:pPr>
    <w:rPr>
      <w:sz w:val="16"/>
    </w:rPr>
  </w:style>
  <w:style w:type="paragraph" w:customStyle="1" w:styleId="ENotesHeading1">
    <w:name w:val="ENotesHeading 1"/>
    <w:aliases w:val="Enh1"/>
    <w:basedOn w:val="OPCParaBase"/>
    <w:next w:val="Normal"/>
    <w:rsid w:val="008E693E"/>
    <w:pPr>
      <w:spacing w:before="120"/>
      <w:outlineLvl w:val="1"/>
    </w:pPr>
    <w:rPr>
      <w:b/>
      <w:sz w:val="28"/>
      <w:szCs w:val="28"/>
    </w:rPr>
  </w:style>
  <w:style w:type="paragraph" w:customStyle="1" w:styleId="ENotesHeading2">
    <w:name w:val="ENotesHeading 2"/>
    <w:aliases w:val="Enh2"/>
    <w:basedOn w:val="OPCParaBase"/>
    <w:next w:val="Normal"/>
    <w:rsid w:val="008E693E"/>
    <w:pPr>
      <w:spacing w:before="120" w:after="120"/>
      <w:outlineLvl w:val="2"/>
    </w:pPr>
    <w:rPr>
      <w:b/>
      <w:sz w:val="24"/>
      <w:szCs w:val="28"/>
    </w:rPr>
  </w:style>
  <w:style w:type="paragraph" w:customStyle="1" w:styleId="ENoteTTIndentHeading">
    <w:name w:val="ENoteTTIndentHeading"/>
    <w:aliases w:val="enTTHi"/>
    <w:basedOn w:val="OPCParaBase"/>
    <w:rsid w:val="008E69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693E"/>
    <w:pPr>
      <w:spacing w:before="60" w:line="240" w:lineRule="atLeast"/>
    </w:pPr>
    <w:rPr>
      <w:sz w:val="16"/>
    </w:rPr>
  </w:style>
  <w:style w:type="paragraph" w:customStyle="1" w:styleId="MadeunderText">
    <w:name w:val="MadeunderText"/>
    <w:basedOn w:val="OPCParaBase"/>
    <w:next w:val="CompiledMadeUnder"/>
    <w:rsid w:val="008E693E"/>
    <w:pPr>
      <w:spacing w:before="240"/>
    </w:pPr>
    <w:rPr>
      <w:sz w:val="24"/>
      <w:szCs w:val="24"/>
    </w:rPr>
  </w:style>
  <w:style w:type="paragraph" w:customStyle="1" w:styleId="ENotesHeading3">
    <w:name w:val="ENotesHeading 3"/>
    <w:aliases w:val="Enh3"/>
    <w:basedOn w:val="OPCParaBase"/>
    <w:next w:val="Normal"/>
    <w:rsid w:val="008E693E"/>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3579B"/>
    <w:rPr>
      <w:rFonts w:eastAsia="Times New Roman" w:cs="Times New Roman"/>
      <w:sz w:val="22"/>
      <w:lang w:eastAsia="en-AU"/>
    </w:rPr>
  </w:style>
  <w:style w:type="paragraph" w:styleId="ListParagraph">
    <w:name w:val="List Paragraph"/>
    <w:basedOn w:val="Normal"/>
    <w:uiPriority w:val="34"/>
    <w:qFormat/>
    <w:rsid w:val="006029FB"/>
    <w:pPr>
      <w:spacing w:line="240" w:lineRule="auto"/>
      <w:ind w:left="720"/>
    </w:pPr>
    <w:rPr>
      <w:rFonts w:ascii="Calibri" w:hAnsi="Calibri" w:cs="Calibri"/>
      <w:sz w:val="20"/>
      <w:lang w:eastAsia="en-AU"/>
    </w:rPr>
  </w:style>
  <w:style w:type="character" w:customStyle="1" w:styleId="CharSubPartNoCASA">
    <w:name w:val="CharSubPartNo(CASA)"/>
    <w:basedOn w:val="OPCCharBase"/>
    <w:uiPriority w:val="1"/>
    <w:rsid w:val="008E693E"/>
  </w:style>
  <w:style w:type="character" w:customStyle="1" w:styleId="CharSubPartTextCASA">
    <w:name w:val="CharSubPartText(CASA)"/>
    <w:basedOn w:val="OPCCharBase"/>
    <w:uiPriority w:val="1"/>
    <w:rsid w:val="008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0307">
      <w:bodyDiv w:val="1"/>
      <w:marLeft w:val="0"/>
      <w:marRight w:val="0"/>
      <w:marTop w:val="0"/>
      <w:marBottom w:val="0"/>
      <w:divBdr>
        <w:top w:val="none" w:sz="0" w:space="0" w:color="auto"/>
        <w:left w:val="none" w:sz="0" w:space="0" w:color="auto"/>
        <w:bottom w:val="none" w:sz="0" w:space="0" w:color="auto"/>
        <w:right w:val="none" w:sz="0" w:space="0" w:color="auto"/>
      </w:divBdr>
    </w:div>
    <w:div w:id="119349244">
      <w:bodyDiv w:val="1"/>
      <w:marLeft w:val="0"/>
      <w:marRight w:val="0"/>
      <w:marTop w:val="0"/>
      <w:marBottom w:val="0"/>
      <w:divBdr>
        <w:top w:val="none" w:sz="0" w:space="0" w:color="auto"/>
        <w:left w:val="none" w:sz="0" w:space="0" w:color="auto"/>
        <w:bottom w:val="none" w:sz="0" w:space="0" w:color="auto"/>
        <w:right w:val="none" w:sz="0" w:space="0" w:color="auto"/>
      </w:divBdr>
    </w:div>
    <w:div w:id="1710107595">
      <w:bodyDiv w:val="1"/>
      <w:marLeft w:val="0"/>
      <w:marRight w:val="0"/>
      <w:marTop w:val="0"/>
      <w:marBottom w:val="0"/>
      <w:divBdr>
        <w:top w:val="none" w:sz="0" w:space="0" w:color="auto"/>
        <w:left w:val="none" w:sz="0" w:space="0" w:color="auto"/>
        <w:bottom w:val="none" w:sz="0" w:space="0" w:color="auto"/>
        <w:right w:val="none" w:sz="0" w:space="0" w:color="auto"/>
      </w:divBdr>
    </w:div>
    <w:div w:id="21191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20</Pages>
  <Words>3720</Words>
  <Characters>18289</Characters>
  <Application>Microsoft Office Word</Application>
  <DocSecurity>0</DocSecurity>
  <PresentationFormat/>
  <Lines>638</Lines>
  <Paragraphs>416</Paragraphs>
  <ScaleCrop>false</ScaleCrop>
  <HeadingPairs>
    <vt:vector size="2" baseType="variant">
      <vt:variant>
        <vt:lpstr>Title</vt:lpstr>
      </vt:variant>
      <vt:variant>
        <vt:i4>1</vt:i4>
      </vt:variant>
    </vt:vector>
  </HeadingPairs>
  <TitlesOfParts>
    <vt:vector size="1" baseType="lpstr">
      <vt:lpstr>Agricultural and Veterinary Chemicals Legislation Amendment (2013 Measures No. 1) Regulation 2013</vt:lpstr>
    </vt:vector>
  </TitlesOfParts>
  <Manager/>
  <Company/>
  <LinksUpToDate>false</LinksUpToDate>
  <CharactersWithSpaces>21768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2013-05-27T01:39:00Z</cp:lastPrinted>
  <dcterms:created xsi:type="dcterms:W3CDTF">2013-06-07T00:26:00Z</dcterms:created>
  <dcterms:modified xsi:type="dcterms:W3CDTF">2013-06-07T00:26:00Z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108, 2013</vt:lpwstr>
  </property>
  <property fmtid="{D5CDD505-2E9C-101B-9397-08002B2CF9AE}" pid="3" name="ShortT">
    <vt:lpwstr>Agricultural and Veterinary Chemicals Legislation Amendment (2013 Measures No. 1) Regulation 2013</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Yes</vt:lpwstr>
  </property>
  <property fmtid="{D5CDD505-2E9C-101B-9397-08002B2CF9AE}" pid="9" name="DateMade">
    <vt:lpwstr>13 June 2013</vt:lpwstr>
  </property>
  <property fmtid="{D5CDD505-2E9C-101B-9397-08002B2CF9AE}" pid="10" name="Authority">
    <vt:lpwstr/>
  </property>
  <property fmtid="{D5CDD505-2E9C-101B-9397-08002B2CF9AE}" pid="11" name="ID">
    <vt:lpwstr>OPC60056</vt:lpwstr>
  </property>
  <property fmtid="{D5CDD505-2E9C-101B-9397-08002B2CF9AE}" pid="12" name="ActMadeUnder">
    <vt:lpwstr>Agricultural and Veterinary Chemicals Code Act 1994 and Agricultural and Veterinary Chemical Products (Collection of Levy) Act 1994</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Classification">
    <vt:lpwstr> </vt:lpwstr>
  </property>
  <property fmtid="{D5CDD505-2E9C-101B-9397-08002B2CF9AE}" pid="17" name="CounterSign">
    <vt:lpwstr/>
  </property>
  <property fmtid="{D5CDD505-2E9C-101B-9397-08002B2CF9AE}" pid="18" name="ExcoDate">
    <vt:lpwstr>13 June 2013</vt:lpwstr>
  </property>
</Properties>
</file>