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96B16" w:rsidRDefault="00193461" w:rsidP="0048364F">
      <w:pPr>
        <w:rPr>
          <w:sz w:val="28"/>
        </w:rPr>
      </w:pPr>
      <w:r w:rsidRPr="00996B16">
        <w:rPr>
          <w:noProof/>
          <w:lang w:eastAsia="en-AU"/>
        </w:rPr>
        <w:drawing>
          <wp:inline distT="0" distB="0" distL="0" distR="0" wp14:anchorId="7EEB9D21" wp14:editId="2FF7F4AC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96B16" w:rsidRDefault="0048364F" w:rsidP="0048364F">
      <w:pPr>
        <w:rPr>
          <w:sz w:val="19"/>
        </w:rPr>
      </w:pPr>
    </w:p>
    <w:p w:rsidR="0048364F" w:rsidRPr="00996B16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996B16" w:rsidRDefault="007D1114" w:rsidP="0048364F">
      <w:pPr>
        <w:pStyle w:val="ShortT"/>
      </w:pPr>
      <w:r>
        <w:t>Defence (Inquiry) Amendment Regulation 2013 (No. 1)</w:t>
      </w:r>
    </w:p>
    <w:p w:rsidR="0048364F" w:rsidRPr="00996B16" w:rsidRDefault="0048364F" w:rsidP="0048364F"/>
    <w:p w:rsidR="0048364F" w:rsidRPr="00996B16" w:rsidRDefault="00A4361F" w:rsidP="00680F17">
      <w:pPr>
        <w:pStyle w:val="InstNo"/>
      </w:pPr>
      <w:r w:rsidRPr="00996B16">
        <w:t>Select Legislative Instrument</w:t>
      </w:r>
      <w:r w:rsidR="00154EAC" w:rsidRPr="00996B16">
        <w:t xml:space="preserve"> </w:t>
      </w:r>
      <w:bookmarkStart w:id="1" w:name="BKCheck15B_1"/>
      <w:bookmarkEnd w:id="1"/>
      <w:r w:rsidR="00A326A4" w:rsidRPr="00996B16">
        <w:fldChar w:fldCharType="begin"/>
      </w:r>
      <w:r w:rsidR="00A326A4" w:rsidRPr="00996B16">
        <w:instrText xml:space="preserve"> DOCPROPERTY  ActNo </w:instrText>
      </w:r>
      <w:r w:rsidR="00A326A4" w:rsidRPr="00996B16">
        <w:fldChar w:fldCharType="separate"/>
      </w:r>
      <w:r w:rsidR="007D1114">
        <w:t>No. 113, 2013</w:t>
      </w:r>
      <w:r w:rsidR="00A326A4" w:rsidRPr="00996B16">
        <w:fldChar w:fldCharType="end"/>
      </w:r>
    </w:p>
    <w:p w:rsidR="00037A36" w:rsidRPr="00996B16" w:rsidRDefault="00037A36" w:rsidP="001A0BEE">
      <w:pPr>
        <w:pStyle w:val="SignCoverPageStart"/>
        <w:spacing w:before="240"/>
      </w:pPr>
      <w:r w:rsidRPr="00996B16">
        <w:t xml:space="preserve">I, Professor Marie Bashir AC CVO, Administrator of the Government of the Commonwealth of Australia, acting with the advice of the Federal Executive Council, make the following regulation under the </w:t>
      </w:r>
      <w:r w:rsidRPr="00996B16">
        <w:rPr>
          <w:i/>
        </w:rPr>
        <w:t>Defence Act 1903</w:t>
      </w:r>
      <w:r w:rsidRPr="00996B16">
        <w:t xml:space="preserve">, the </w:t>
      </w:r>
      <w:r w:rsidRPr="00996B16">
        <w:rPr>
          <w:i/>
        </w:rPr>
        <w:t xml:space="preserve">Naval Defence Act 1910 </w:t>
      </w:r>
      <w:r w:rsidRPr="00996B16">
        <w:t xml:space="preserve">and the </w:t>
      </w:r>
      <w:r w:rsidRPr="00996B16">
        <w:rPr>
          <w:i/>
        </w:rPr>
        <w:t>Air Force Act 1923</w:t>
      </w:r>
      <w:r w:rsidRPr="00996B16">
        <w:t>.</w:t>
      </w:r>
    </w:p>
    <w:p w:rsidR="00037A36" w:rsidRPr="00996B16" w:rsidRDefault="00037A36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996B16">
        <w:rPr>
          <w:sz w:val="24"/>
          <w:szCs w:val="24"/>
        </w:rPr>
        <w:t xml:space="preserve">Dated </w:t>
      </w:r>
      <w:r w:rsidRPr="00996B16">
        <w:rPr>
          <w:sz w:val="24"/>
          <w:szCs w:val="24"/>
        </w:rPr>
        <w:fldChar w:fldCharType="begin"/>
      </w:r>
      <w:r w:rsidRPr="00996B16">
        <w:rPr>
          <w:sz w:val="24"/>
          <w:szCs w:val="24"/>
        </w:rPr>
        <w:instrText xml:space="preserve"> DOCPROPERTY  DateMade </w:instrText>
      </w:r>
      <w:r w:rsidRPr="00996B16">
        <w:rPr>
          <w:sz w:val="24"/>
          <w:szCs w:val="24"/>
        </w:rPr>
        <w:fldChar w:fldCharType="separate"/>
      </w:r>
      <w:r w:rsidR="007D1114">
        <w:rPr>
          <w:sz w:val="24"/>
          <w:szCs w:val="24"/>
        </w:rPr>
        <w:t>13 June 2013</w:t>
      </w:r>
      <w:r w:rsidRPr="00996B16">
        <w:rPr>
          <w:sz w:val="24"/>
          <w:szCs w:val="24"/>
        </w:rPr>
        <w:fldChar w:fldCharType="end"/>
      </w:r>
    </w:p>
    <w:p w:rsidR="00037A36" w:rsidRPr="00996B16" w:rsidRDefault="00037A36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996B16">
        <w:t>Marie Bashir</w:t>
      </w:r>
    </w:p>
    <w:p w:rsidR="00037A36" w:rsidRPr="00996B16" w:rsidRDefault="00037A36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996B16">
        <w:rPr>
          <w:sz w:val="24"/>
          <w:szCs w:val="24"/>
        </w:rPr>
        <w:t>Administrator</w:t>
      </w:r>
    </w:p>
    <w:p w:rsidR="00037A36" w:rsidRPr="00996B16" w:rsidRDefault="00037A36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996B16">
        <w:rPr>
          <w:sz w:val="24"/>
          <w:szCs w:val="24"/>
        </w:rPr>
        <w:t>By Her Excellency’s Command</w:t>
      </w:r>
    </w:p>
    <w:p w:rsidR="00037A36" w:rsidRPr="00996B16" w:rsidRDefault="00590EB8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96B16">
        <w:rPr>
          <w:szCs w:val="22"/>
        </w:rPr>
        <w:t>Stephen Smith</w:t>
      </w:r>
    </w:p>
    <w:p w:rsidR="00037A36" w:rsidRPr="00996B16" w:rsidRDefault="00590EB8" w:rsidP="001A0BEE">
      <w:pPr>
        <w:pStyle w:val="SignCoverPageEnd"/>
      </w:pPr>
      <w:r w:rsidRPr="00996B16">
        <w:t>Minister</w:t>
      </w:r>
      <w:r w:rsidR="00F14C55" w:rsidRPr="00996B16">
        <w:t xml:space="preserve"> for </w:t>
      </w:r>
      <w:r w:rsidR="00037A36" w:rsidRPr="00996B16">
        <w:t>Defence</w:t>
      </w:r>
    </w:p>
    <w:p w:rsidR="00037A36" w:rsidRPr="00996B16" w:rsidRDefault="00037A36">
      <w:pPr>
        <w:pStyle w:val="Tabletext"/>
      </w:pPr>
    </w:p>
    <w:p w:rsidR="00037A36" w:rsidRPr="00996B16" w:rsidRDefault="00037A36" w:rsidP="00037A36"/>
    <w:p w:rsidR="0048364F" w:rsidRPr="00996B16" w:rsidRDefault="0048364F" w:rsidP="0048364F">
      <w:pPr>
        <w:pStyle w:val="Header"/>
        <w:tabs>
          <w:tab w:val="clear" w:pos="4150"/>
          <w:tab w:val="clear" w:pos="8307"/>
        </w:tabs>
      </w:pPr>
      <w:r w:rsidRPr="00996B16">
        <w:rPr>
          <w:rStyle w:val="CharAmSchNo"/>
        </w:rPr>
        <w:t xml:space="preserve"> </w:t>
      </w:r>
      <w:r w:rsidRPr="00996B16">
        <w:rPr>
          <w:rStyle w:val="CharAmSchText"/>
        </w:rPr>
        <w:t xml:space="preserve"> </w:t>
      </w:r>
    </w:p>
    <w:p w:rsidR="0048364F" w:rsidRPr="00996B16" w:rsidRDefault="0048364F" w:rsidP="0048364F">
      <w:pPr>
        <w:pStyle w:val="Header"/>
        <w:tabs>
          <w:tab w:val="clear" w:pos="4150"/>
          <w:tab w:val="clear" w:pos="8307"/>
        </w:tabs>
      </w:pPr>
      <w:r w:rsidRPr="00996B16">
        <w:rPr>
          <w:rStyle w:val="CharAmPartNo"/>
        </w:rPr>
        <w:t xml:space="preserve"> </w:t>
      </w:r>
      <w:r w:rsidRPr="00996B16">
        <w:rPr>
          <w:rStyle w:val="CharAmPartText"/>
        </w:rPr>
        <w:t xml:space="preserve"> </w:t>
      </w:r>
    </w:p>
    <w:p w:rsidR="0048364F" w:rsidRPr="00996B16" w:rsidRDefault="0048364F" w:rsidP="0048364F">
      <w:pPr>
        <w:sectPr w:rsidR="0048364F" w:rsidRPr="00996B16" w:rsidSect="004B29C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996B16" w:rsidRDefault="0048364F" w:rsidP="00361762">
      <w:pPr>
        <w:rPr>
          <w:sz w:val="36"/>
        </w:rPr>
      </w:pPr>
      <w:r w:rsidRPr="00996B16">
        <w:rPr>
          <w:sz w:val="36"/>
        </w:rPr>
        <w:lastRenderedPageBreak/>
        <w:t>Contents</w:t>
      </w:r>
    </w:p>
    <w:bookmarkStart w:id="2" w:name="BKCheck15B_2"/>
    <w:bookmarkEnd w:id="2"/>
    <w:p w:rsidR="005133B6" w:rsidRPr="00996B16" w:rsidRDefault="005133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6B16">
        <w:fldChar w:fldCharType="begin"/>
      </w:r>
      <w:r w:rsidRPr="00996B16">
        <w:instrText xml:space="preserve"> TOC \o "1-9" </w:instrText>
      </w:r>
      <w:r w:rsidRPr="00996B16">
        <w:fldChar w:fldCharType="separate"/>
      </w:r>
      <w:r w:rsidRPr="00996B16">
        <w:rPr>
          <w:noProof/>
        </w:rPr>
        <w:t>1</w:t>
      </w:r>
      <w:r w:rsidRPr="00996B16">
        <w:rPr>
          <w:noProof/>
        </w:rPr>
        <w:tab/>
        <w:t>Name of regulation</w:t>
      </w:r>
      <w:r w:rsidRPr="00996B16">
        <w:rPr>
          <w:noProof/>
        </w:rPr>
        <w:tab/>
      </w:r>
      <w:r w:rsidRPr="00996B16">
        <w:rPr>
          <w:noProof/>
        </w:rPr>
        <w:fldChar w:fldCharType="begin"/>
      </w:r>
      <w:r w:rsidRPr="00996B16">
        <w:rPr>
          <w:noProof/>
        </w:rPr>
        <w:instrText xml:space="preserve"> PAGEREF _Toc357086576 \h </w:instrText>
      </w:r>
      <w:r w:rsidRPr="00996B16">
        <w:rPr>
          <w:noProof/>
        </w:rPr>
      </w:r>
      <w:r w:rsidRPr="00996B16">
        <w:rPr>
          <w:noProof/>
        </w:rPr>
        <w:fldChar w:fldCharType="separate"/>
      </w:r>
      <w:r w:rsidR="007D1114">
        <w:rPr>
          <w:noProof/>
        </w:rPr>
        <w:t>1</w:t>
      </w:r>
      <w:r w:rsidRPr="00996B16">
        <w:rPr>
          <w:noProof/>
        </w:rPr>
        <w:fldChar w:fldCharType="end"/>
      </w:r>
    </w:p>
    <w:p w:rsidR="005133B6" w:rsidRPr="00996B16" w:rsidRDefault="005133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6B16">
        <w:rPr>
          <w:noProof/>
        </w:rPr>
        <w:t>2</w:t>
      </w:r>
      <w:r w:rsidRPr="00996B16">
        <w:rPr>
          <w:noProof/>
        </w:rPr>
        <w:tab/>
        <w:t>Commencement</w:t>
      </w:r>
      <w:r w:rsidRPr="00996B16">
        <w:rPr>
          <w:noProof/>
        </w:rPr>
        <w:tab/>
      </w:r>
      <w:r w:rsidRPr="00996B16">
        <w:rPr>
          <w:noProof/>
        </w:rPr>
        <w:fldChar w:fldCharType="begin"/>
      </w:r>
      <w:r w:rsidRPr="00996B16">
        <w:rPr>
          <w:noProof/>
        </w:rPr>
        <w:instrText xml:space="preserve"> PAGEREF _Toc357086577 \h </w:instrText>
      </w:r>
      <w:r w:rsidRPr="00996B16">
        <w:rPr>
          <w:noProof/>
        </w:rPr>
      </w:r>
      <w:r w:rsidRPr="00996B16">
        <w:rPr>
          <w:noProof/>
        </w:rPr>
        <w:fldChar w:fldCharType="separate"/>
      </w:r>
      <w:r w:rsidR="007D1114">
        <w:rPr>
          <w:noProof/>
        </w:rPr>
        <w:t>1</w:t>
      </w:r>
      <w:r w:rsidRPr="00996B16">
        <w:rPr>
          <w:noProof/>
        </w:rPr>
        <w:fldChar w:fldCharType="end"/>
      </w:r>
    </w:p>
    <w:p w:rsidR="005133B6" w:rsidRPr="00996B16" w:rsidRDefault="005133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6B16">
        <w:rPr>
          <w:noProof/>
        </w:rPr>
        <w:t>3</w:t>
      </w:r>
      <w:r w:rsidRPr="00996B16">
        <w:rPr>
          <w:noProof/>
        </w:rPr>
        <w:tab/>
        <w:t>Authority</w:t>
      </w:r>
      <w:r w:rsidRPr="00996B16">
        <w:rPr>
          <w:noProof/>
        </w:rPr>
        <w:tab/>
      </w:r>
      <w:r w:rsidRPr="00996B16">
        <w:rPr>
          <w:noProof/>
        </w:rPr>
        <w:fldChar w:fldCharType="begin"/>
      </w:r>
      <w:r w:rsidRPr="00996B16">
        <w:rPr>
          <w:noProof/>
        </w:rPr>
        <w:instrText xml:space="preserve"> PAGEREF _Toc357086578 \h </w:instrText>
      </w:r>
      <w:r w:rsidRPr="00996B16">
        <w:rPr>
          <w:noProof/>
        </w:rPr>
      </w:r>
      <w:r w:rsidRPr="00996B16">
        <w:rPr>
          <w:noProof/>
        </w:rPr>
        <w:fldChar w:fldCharType="separate"/>
      </w:r>
      <w:r w:rsidR="007D1114">
        <w:rPr>
          <w:noProof/>
        </w:rPr>
        <w:t>1</w:t>
      </w:r>
      <w:r w:rsidRPr="00996B16">
        <w:rPr>
          <w:noProof/>
        </w:rPr>
        <w:fldChar w:fldCharType="end"/>
      </w:r>
    </w:p>
    <w:p w:rsidR="005133B6" w:rsidRPr="00996B16" w:rsidRDefault="005133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6B16">
        <w:rPr>
          <w:noProof/>
        </w:rPr>
        <w:t>4</w:t>
      </w:r>
      <w:r w:rsidRPr="00996B16">
        <w:rPr>
          <w:noProof/>
        </w:rPr>
        <w:tab/>
        <w:t>Schedule(s)</w:t>
      </w:r>
      <w:r w:rsidRPr="00996B16">
        <w:rPr>
          <w:noProof/>
        </w:rPr>
        <w:tab/>
      </w:r>
      <w:r w:rsidRPr="00996B16">
        <w:rPr>
          <w:noProof/>
        </w:rPr>
        <w:fldChar w:fldCharType="begin"/>
      </w:r>
      <w:r w:rsidRPr="00996B16">
        <w:rPr>
          <w:noProof/>
        </w:rPr>
        <w:instrText xml:space="preserve"> PAGEREF _Toc357086579 \h </w:instrText>
      </w:r>
      <w:r w:rsidRPr="00996B16">
        <w:rPr>
          <w:noProof/>
        </w:rPr>
      </w:r>
      <w:r w:rsidRPr="00996B16">
        <w:rPr>
          <w:noProof/>
        </w:rPr>
        <w:fldChar w:fldCharType="separate"/>
      </w:r>
      <w:r w:rsidR="007D1114">
        <w:rPr>
          <w:noProof/>
        </w:rPr>
        <w:t>1</w:t>
      </w:r>
      <w:r w:rsidRPr="00996B16">
        <w:rPr>
          <w:noProof/>
        </w:rPr>
        <w:fldChar w:fldCharType="end"/>
      </w:r>
    </w:p>
    <w:p w:rsidR="005133B6" w:rsidRPr="00996B16" w:rsidRDefault="005133B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96B16">
        <w:rPr>
          <w:noProof/>
        </w:rPr>
        <w:t>Schedule</w:t>
      </w:r>
      <w:r w:rsidR="00996B16" w:rsidRPr="00996B16">
        <w:rPr>
          <w:noProof/>
        </w:rPr>
        <w:t> </w:t>
      </w:r>
      <w:r w:rsidRPr="00996B16">
        <w:rPr>
          <w:noProof/>
        </w:rPr>
        <w:t>1—Amendments</w:t>
      </w:r>
      <w:r w:rsidRPr="00996B16">
        <w:rPr>
          <w:b w:val="0"/>
          <w:noProof/>
          <w:sz w:val="18"/>
        </w:rPr>
        <w:tab/>
      </w:r>
      <w:r w:rsidRPr="00996B16">
        <w:rPr>
          <w:b w:val="0"/>
          <w:noProof/>
          <w:sz w:val="18"/>
        </w:rPr>
        <w:fldChar w:fldCharType="begin"/>
      </w:r>
      <w:r w:rsidRPr="00996B16">
        <w:rPr>
          <w:b w:val="0"/>
          <w:noProof/>
          <w:sz w:val="18"/>
        </w:rPr>
        <w:instrText xml:space="preserve"> PAGEREF _Toc357086580 \h </w:instrText>
      </w:r>
      <w:r w:rsidRPr="00996B16">
        <w:rPr>
          <w:b w:val="0"/>
          <w:noProof/>
          <w:sz w:val="18"/>
        </w:rPr>
      </w:r>
      <w:r w:rsidRPr="00996B16">
        <w:rPr>
          <w:b w:val="0"/>
          <w:noProof/>
          <w:sz w:val="18"/>
        </w:rPr>
        <w:fldChar w:fldCharType="separate"/>
      </w:r>
      <w:r w:rsidR="007D1114">
        <w:rPr>
          <w:b w:val="0"/>
          <w:noProof/>
          <w:sz w:val="18"/>
        </w:rPr>
        <w:t>2</w:t>
      </w:r>
      <w:r w:rsidRPr="00996B16">
        <w:rPr>
          <w:b w:val="0"/>
          <w:noProof/>
          <w:sz w:val="18"/>
        </w:rPr>
        <w:fldChar w:fldCharType="end"/>
      </w:r>
    </w:p>
    <w:p w:rsidR="005133B6" w:rsidRPr="00996B16" w:rsidRDefault="005133B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96B16">
        <w:rPr>
          <w:noProof/>
        </w:rPr>
        <w:t>Defence (Inquiry) Regulations</w:t>
      </w:r>
      <w:r w:rsidR="00996B16" w:rsidRPr="00996B16">
        <w:rPr>
          <w:noProof/>
        </w:rPr>
        <w:t> </w:t>
      </w:r>
      <w:r w:rsidRPr="00996B16">
        <w:rPr>
          <w:noProof/>
        </w:rPr>
        <w:t>1985</w:t>
      </w:r>
      <w:r w:rsidRPr="00996B16">
        <w:rPr>
          <w:i w:val="0"/>
          <w:noProof/>
          <w:sz w:val="18"/>
        </w:rPr>
        <w:tab/>
      </w:r>
      <w:r w:rsidRPr="00996B16">
        <w:rPr>
          <w:i w:val="0"/>
          <w:noProof/>
          <w:sz w:val="18"/>
        </w:rPr>
        <w:fldChar w:fldCharType="begin"/>
      </w:r>
      <w:r w:rsidRPr="00996B16">
        <w:rPr>
          <w:i w:val="0"/>
          <w:noProof/>
          <w:sz w:val="18"/>
        </w:rPr>
        <w:instrText xml:space="preserve"> PAGEREF _Toc357086581 \h </w:instrText>
      </w:r>
      <w:r w:rsidRPr="00996B16">
        <w:rPr>
          <w:i w:val="0"/>
          <w:noProof/>
          <w:sz w:val="18"/>
        </w:rPr>
      </w:r>
      <w:r w:rsidRPr="00996B16">
        <w:rPr>
          <w:i w:val="0"/>
          <w:noProof/>
          <w:sz w:val="18"/>
        </w:rPr>
        <w:fldChar w:fldCharType="separate"/>
      </w:r>
      <w:r w:rsidR="007D1114">
        <w:rPr>
          <w:i w:val="0"/>
          <w:noProof/>
          <w:sz w:val="18"/>
        </w:rPr>
        <w:t>2</w:t>
      </w:r>
      <w:r w:rsidRPr="00996B16">
        <w:rPr>
          <w:i w:val="0"/>
          <w:noProof/>
          <w:sz w:val="18"/>
        </w:rPr>
        <w:fldChar w:fldCharType="end"/>
      </w:r>
    </w:p>
    <w:p w:rsidR="00833416" w:rsidRPr="00996B16" w:rsidRDefault="005133B6" w:rsidP="0048364F">
      <w:r w:rsidRPr="00996B16">
        <w:fldChar w:fldCharType="end"/>
      </w:r>
    </w:p>
    <w:p w:rsidR="00722023" w:rsidRPr="00996B16" w:rsidRDefault="00722023" w:rsidP="0048364F">
      <w:pPr>
        <w:sectPr w:rsidR="00722023" w:rsidRPr="00996B16" w:rsidSect="004B29C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996B16" w:rsidRDefault="0048364F" w:rsidP="0048364F">
      <w:pPr>
        <w:pStyle w:val="ActHead5"/>
      </w:pPr>
      <w:bookmarkStart w:id="3" w:name="_Toc357086576"/>
      <w:r w:rsidRPr="00996B16">
        <w:rPr>
          <w:rStyle w:val="CharSectno"/>
        </w:rPr>
        <w:lastRenderedPageBreak/>
        <w:t>1</w:t>
      </w:r>
      <w:r w:rsidRPr="00996B16">
        <w:t xml:space="preserve">  </w:t>
      </w:r>
      <w:r w:rsidR="004F676E" w:rsidRPr="00996B16">
        <w:t xml:space="preserve">Name of </w:t>
      </w:r>
      <w:r w:rsidR="00751B8D" w:rsidRPr="00996B16">
        <w:t>regulation</w:t>
      </w:r>
      <w:bookmarkEnd w:id="3"/>
    </w:p>
    <w:p w:rsidR="0048364F" w:rsidRPr="00996B16" w:rsidRDefault="0048364F" w:rsidP="0048364F">
      <w:pPr>
        <w:pStyle w:val="subsection"/>
      </w:pPr>
      <w:r w:rsidRPr="00996B16">
        <w:tab/>
      </w:r>
      <w:r w:rsidRPr="00996B16">
        <w:tab/>
        <w:t>Th</w:t>
      </w:r>
      <w:r w:rsidR="00F24C35" w:rsidRPr="00996B16">
        <w:t>is</w:t>
      </w:r>
      <w:r w:rsidRPr="00996B16">
        <w:t xml:space="preserve"> </w:t>
      </w:r>
      <w:r w:rsidR="00751B8D" w:rsidRPr="00996B16">
        <w:t>regulation</w:t>
      </w:r>
      <w:r w:rsidRPr="00996B16">
        <w:t xml:space="preserve"> </w:t>
      </w:r>
      <w:r w:rsidR="00F24C35" w:rsidRPr="00996B16">
        <w:t>is</w:t>
      </w:r>
      <w:r w:rsidR="003801D0" w:rsidRPr="00996B16">
        <w:t xml:space="preserve"> the</w:t>
      </w:r>
      <w:r w:rsidRPr="00996B16">
        <w:t xml:space="preserve"> </w:t>
      </w:r>
      <w:bookmarkStart w:id="4" w:name="BKCheck15B_3"/>
      <w:bookmarkEnd w:id="4"/>
      <w:r w:rsidR="00CB0180" w:rsidRPr="00996B16">
        <w:rPr>
          <w:i/>
        </w:rPr>
        <w:fldChar w:fldCharType="begin"/>
      </w:r>
      <w:r w:rsidR="00CB0180" w:rsidRPr="00996B16">
        <w:rPr>
          <w:i/>
        </w:rPr>
        <w:instrText xml:space="preserve"> STYLEREF  ShortT </w:instrText>
      </w:r>
      <w:r w:rsidR="00CB0180" w:rsidRPr="00996B16">
        <w:rPr>
          <w:i/>
        </w:rPr>
        <w:fldChar w:fldCharType="separate"/>
      </w:r>
      <w:r w:rsidR="007D1114">
        <w:rPr>
          <w:i/>
          <w:noProof/>
        </w:rPr>
        <w:t>Defence (Inquiry) Amendment Regulation 2013 (No. 1)</w:t>
      </w:r>
      <w:r w:rsidR="00CB0180" w:rsidRPr="00996B16">
        <w:rPr>
          <w:i/>
        </w:rPr>
        <w:fldChar w:fldCharType="end"/>
      </w:r>
      <w:r w:rsidRPr="00996B16">
        <w:t>.</w:t>
      </w:r>
    </w:p>
    <w:p w:rsidR="0048364F" w:rsidRPr="00996B16" w:rsidRDefault="0048364F" w:rsidP="0048364F">
      <w:pPr>
        <w:pStyle w:val="ActHead5"/>
      </w:pPr>
      <w:bookmarkStart w:id="5" w:name="_Toc357086577"/>
      <w:r w:rsidRPr="00996B16">
        <w:rPr>
          <w:rStyle w:val="CharSectno"/>
        </w:rPr>
        <w:t>2</w:t>
      </w:r>
      <w:r w:rsidRPr="00996B16">
        <w:t xml:space="preserve">  Commencement</w:t>
      </w:r>
      <w:bookmarkEnd w:id="5"/>
    </w:p>
    <w:p w:rsidR="004F676E" w:rsidRPr="00996B16" w:rsidRDefault="004F676E" w:rsidP="004F676E">
      <w:pPr>
        <w:pStyle w:val="subsection"/>
      </w:pPr>
      <w:bookmarkStart w:id="6" w:name="_GoBack"/>
      <w:r w:rsidRPr="00996B16">
        <w:tab/>
      </w:r>
      <w:r w:rsidRPr="00996B16">
        <w:tab/>
        <w:t>Th</w:t>
      </w:r>
      <w:r w:rsidR="00F24C35" w:rsidRPr="00996B16">
        <w:t>is</w:t>
      </w:r>
      <w:r w:rsidRPr="00996B16">
        <w:t xml:space="preserve"> </w:t>
      </w:r>
      <w:r w:rsidR="00751B8D" w:rsidRPr="00996B16">
        <w:t>regulation</w:t>
      </w:r>
      <w:r w:rsidRPr="00996B16">
        <w:t xml:space="preserve"> commence</w:t>
      </w:r>
      <w:r w:rsidR="00D17B17" w:rsidRPr="00996B16">
        <w:t>s</w:t>
      </w:r>
      <w:r w:rsidRPr="00996B16">
        <w:t xml:space="preserve"> on </w:t>
      </w:r>
      <w:r w:rsidR="00A26DBE" w:rsidRPr="00996B16">
        <w:t xml:space="preserve">the </w:t>
      </w:r>
      <w:r w:rsidR="00751B8D" w:rsidRPr="00996B16">
        <w:t>day after it is registered</w:t>
      </w:r>
      <w:r w:rsidRPr="00996B16">
        <w:t>.</w:t>
      </w:r>
      <w:bookmarkEnd w:id="6"/>
    </w:p>
    <w:p w:rsidR="007769D4" w:rsidRPr="00996B16" w:rsidRDefault="007769D4" w:rsidP="007769D4">
      <w:pPr>
        <w:pStyle w:val="ActHead5"/>
      </w:pPr>
      <w:bookmarkStart w:id="7" w:name="_Toc357086578"/>
      <w:r w:rsidRPr="00996B16">
        <w:rPr>
          <w:rStyle w:val="CharSectno"/>
        </w:rPr>
        <w:t>3</w:t>
      </w:r>
      <w:r w:rsidRPr="00996B16">
        <w:t xml:space="preserve">  Authority</w:t>
      </w:r>
      <w:bookmarkEnd w:id="7"/>
    </w:p>
    <w:p w:rsidR="00751B8D" w:rsidRPr="00996B16" w:rsidRDefault="007769D4" w:rsidP="007769D4">
      <w:pPr>
        <w:pStyle w:val="subsection"/>
      </w:pPr>
      <w:r w:rsidRPr="00996B16">
        <w:tab/>
      </w:r>
      <w:r w:rsidRPr="00996B16">
        <w:tab/>
      </w:r>
      <w:r w:rsidR="00AF0336" w:rsidRPr="00996B16">
        <w:t xml:space="preserve">This </w:t>
      </w:r>
      <w:r w:rsidR="00751B8D" w:rsidRPr="00996B16">
        <w:t>regulation</w:t>
      </w:r>
      <w:r w:rsidR="00AF0336" w:rsidRPr="00996B16">
        <w:t xml:space="preserve"> is made under the </w:t>
      </w:r>
      <w:bookmarkStart w:id="8" w:name="Act"/>
      <w:r w:rsidR="00751B8D" w:rsidRPr="00996B16">
        <w:rPr>
          <w:i/>
        </w:rPr>
        <w:t>Defence Act 1903</w:t>
      </w:r>
      <w:r w:rsidR="00751B8D" w:rsidRPr="00996B16">
        <w:t xml:space="preserve">, the </w:t>
      </w:r>
      <w:r w:rsidR="00751B8D" w:rsidRPr="00996B16">
        <w:rPr>
          <w:i/>
        </w:rPr>
        <w:t>Naval Defence Act 1910</w:t>
      </w:r>
      <w:r w:rsidR="00751B8D" w:rsidRPr="00996B16">
        <w:t xml:space="preserve"> and the </w:t>
      </w:r>
      <w:r w:rsidR="00751B8D" w:rsidRPr="00996B16">
        <w:rPr>
          <w:i/>
        </w:rPr>
        <w:t>Air Force Act 1923</w:t>
      </w:r>
      <w:bookmarkEnd w:id="8"/>
      <w:r w:rsidR="00751B8D" w:rsidRPr="00996B16">
        <w:t>.</w:t>
      </w:r>
    </w:p>
    <w:p w:rsidR="00557C7A" w:rsidRPr="00996B16" w:rsidRDefault="007769D4" w:rsidP="00557C7A">
      <w:pPr>
        <w:pStyle w:val="ActHead5"/>
      </w:pPr>
      <w:bookmarkStart w:id="9" w:name="_Toc357086579"/>
      <w:r w:rsidRPr="00996B16">
        <w:rPr>
          <w:rStyle w:val="CharSectno"/>
        </w:rPr>
        <w:t>4</w:t>
      </w:r>
      <w:r w:rsidR="00557C7A" w:rsidRPr="00996B16">
        <w:t xml:space="preserve">  </w:t>
      </w:r>
      <w:r w:rsidR="00B332B8" w:rsidRPr="00996B16">
        <w:t>Schedule(s)</w:t>
      </w:r>
      <w:bookmarkEnd w:id="9"/>
    </w:p>
    <w:p w:rsidR="00557C7A" w:rsidRPr="00996B16" w:rsidRDefault="00557C7A" w:rsidP="00557C7A">
      <w:pPr>
        <w:pStyle w:val="subsection"/>
      </w:pPr>
      <w:r w:rsidRPr="00996B16">
        <w:tab/>
      </w:r>
      <w:r w:rsidRPr="00996B16">
        <w:tab/>
      </w:r>
      <w:r w:rsidR="00CD7ECB" w:rsidRPr="00996B16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996B16" w:rsidRDefault="0048364F" w:rsidP="00FF3089">
      <w:pPr>
        <w:pStyle w:val="ActHead6"/>
        <w:pageBreakBefore/>
      </w:pPr>
      <w:bookmarkStart w:id="10" w:name="_Toc357086580"/>
      <w:bookmarkStart w:id="11" w:name="opcAmSched"/>
      <w:bookmarkStart w:id="12" w:name="opcCurrentFind"/>
      <w:r w:rsidRPr="00996B16">
        <w:rPr>
          <w:rStyle w:val="CharAmSchNo"/>
        </w:rPr>
        <w:lastRenderedPageBreak/>
        <w:t>Schedule</w:t>
      </w:r>
      <w:r w:rsidR="00996B16" w:rsidRPr="00996B16">
        <w:rPr>
          <w:rStyle w:val="CharAmSchNo"/>
        </w:rPr>
        <w:t> </w:t>
      </w:r>
      <w:r w:rsidRPr="00996B16">
        <w:rPr>
          <w:rStyle w:val="CharAmSchNo"/>
        </w:rPr>
        <w:t>1</w:t>
      </w:r>
      <w:r w:rsidRPr="00996B16">
        <w:t>—</w:t>
      </w:r>
      <w:r w:rsidR="00460499" w:rsidRPr="00996B16">
        <w:rPr>
          <w:rStyle w:val="CharAmSchText"/>
        </w:rPr>
        <w:t>Amendments</w:t>
      </w:r>
      <w:bookmarkEnd w:id="10"/>
    </w:p>
    <w:bookmarkEnd w:id="11"/>
    <w:bookmarkEnd w:id="12"/>
    <w:p w:rsidR="0004044E" w:rsidRPr="00996B16" w:rsidRDefault="0004044E" w:rsidP="0004044E">
      <w:pPr>
        <w:pStyle w:val="Header"/>
      </w:pPr>
      <w:r w:rsidRPr="00996B16">
        <w:rPr>
          <w:rStyle w:val="CharAmPartNo"/>
        </w:rPr>
        <w:t xml:space="preserve"> </w:t>
      </w:r>
      <w:r w:rsidRPr="00996B16">
        <w:rPr>
          <w:rStyle w:val="CharAmPartText"/>
        </w:rPr>
        <w:t xml:space="preserve"> </w:t>
      </w:r>
    </w:p>
    <w:p w:rsidR="00751B8D" w:rsidRPr="00996B16" w:rsidRDefault="00751B8D" w:rsidP="00751B8D">
      <w:pPr>
        <w:pStyle w:val="ActHead9"/>
      </w:pPr>
      <w:bookmarkStart w:id="13" w:name="Citation"/>
      <w:bookmarkStart w:id="14" w:name="_Toc357086581"/>
      <w:r w:rsidRPr="00996B16">
        <w:t>Defence (Inquiry) Regulations</w:t>
      </w:r>
      <w:r w:rsidR="00996B16" w:rsidRPr="00996B16">
        <w:t> </w:t>
      </w:r>
      <w:r w:rsidRPr="00996B16">
        <w:t>1985</w:t>
      </w:r>
      <w:bookmarkEnd w:id="13"/>
      <w:bookmarkEnd w:id="14"/>
    </w:p>
    <w:p w:rsidR="008E1EEE" w:rsidRPr="00996B16" w:rsidRDefault="00BB6E79" w:rsidP="006C2C12">
      <w:pPr>
        <w:pStyle w:val="ItemHead"/>
        <w:tabs>
          <w:tab w:val="left" w:pos="6663"/>
        </w:tabs>
      </w:pPr>
      <w:r w:rsidRPr="00996B16">
        <w:t xml:space="preserve">1  </w:t>
      </w:r>
      <w:r w:rsidR="008E1EEE" w:rsidRPr="00996B16">
        <w:t>Subregulation</w:t>
      </w:r>
      <w:r w:rsidR="00996B16" w:rsidRPr="00996B16">
        <w:t> </w:t>
      </w:r>
      <w:r w:rsidR="008E1EEE" w:rsidRPr="00996B16">
        <w:t>62(8)</w:t>
      </w:r>
    </w:p>
    <w:p w:rsidR="008E1EEE" w:rsidRPr="00996B16" w:rsidRDefault="008E1EEE" w:rsidP="008E1EEE">
      <w:pPr>
        <w:pStyle w:val="Item"/>
      </w:pPr>
      <w:r w:rsidRPr="00996B16">
        <w:t>Omit “authorization under subregulation</w:t>
      </w:r>
      <w:r w:rsidR="00996B16" w:rsidRPr="00996B16">
        <w:t> </w:t>
      </w:r>
      <w:r w:rsidRPr="00996B16">
        <w:t>63</w:t>
      </w:r>
      <w:r w:rsidR="00B85334" w:rsidRPr="00996B16">
        <w:t xml:space="preserve"> </w:t>
      </w:r>
      <w:r w:rsidRPr="00996B16">
        <w:t>(3)”, substitute “authorisation under subregulation</w:t>
      </w:r>
      <w:r w:rsidR="00996B16" w:rsidRPr="00996B16">
        <w:t> </w:t>
      </w:r>
      <w:r w:rsidRPr="00996B16">
        <w:t>63(</w:t>
      </w:r>
      <w:r w:rsidR="00FB78A5" w:rsidRPr="00996B16">
        <w:t>4</w:t>
      </w:r>
      <w:r w:rsidRPr="00996B16">
        <w:t xml:space="preserve">) or </w:t>
      </w:r>
      <w:r w:rsidR="00FB78A5" w:rsidRPr="00996B16">
        <w:t>(6).</w:t>
      </w:r>
    </w:p>
    <w:p w:rsidR="008E1EEE" w:rsidRPr="00996B16" w:rsidRDefault="008E1EEE" w:rsidP="006C2C12">
      <w:pPr>
        <w:pStyle w:val="ItemHead"/>
        <w:tabs>
          <w:tab w:val="left" w:pos="6663"/>
        </w:tabs>
      </w:pPr>
      <w:r w:rsidRPr="00996B16">
        <w:t xml:space="preserve">2  </w:t>
      </w:r>
      <w:r w:rsidR="00FB78A5" w:rsidRPr="00996B16">
        <w:t>Subregulation</w:t>
      </w:r>
      <w:r w:rsidR="00996B16" w:rsidRPr="00996B16">
        <w:t> </w:t>
      </w:r>
      <w:r w:rsidR="00FB78A5" w:rsidRPr="00996B16">
        <w:t>62(9)</w:t>
      </w:r>
    </w:p>
    <w:p w:rsidR="00FB78A5" w:rsidRPr="00996B16" w:rsidRDefault="00FB78A5" w:rsidP="00FB78A5">
      <w:pPr>
        <w:pStyle w:val="Item"/>
      </w:pPr>
      <w:r w:rsidRPr="00996B16">
        <w:t>Omit “authorization under subregulation</w:t>
      </w:r>
      <w:r w:rsidR="00996B16" w:rsidRPr="00996B16">
        <w:t> </w:t>
      </w:r>
      <w:r w:rsidRPr="00996B16">
        <w:t>63</w:t>
      </w:r>
      <w:r w:rsidR="00B85334" w:rsidRPr="00996B16">
        <w:t xml:space="preserve"> </w:t>
      </w:r>
      <w:r w:rsidRPr="00996B16">
        <w:t>(3)”, substitute “authorisation under subregulation</w:t>
      </w:r>
      <w:r w:rsidR="00996B16" w:rsidRPr="00996B16">
        <w:t> </w:t>
      </w:r>
      <w:r w:rsidRPr="00996B16">
        <w:t>63(4) or (6).</w:t>
      </w:r>
    </w:p>
    <w:p w:rsidR="006D3667" w:rsidRPr="00996B16" w:rsidRDefault="008E1EEE" w:rsidP="006C2C12">
      <w:pPr>
        <w:pStyle w:val="ItemHead"/>
        <w:tabs>
          <w:tab w:val="left" w:pos="6663"/>
        </w:tabs>
      </w:pPr>
      <w:r w:rsidRPr="00996B16">
        <w:t xml:space="preserve">3  </w:t>
      </w:r>
      <w:r w:rsidR="00751B8D" w:rsidRPr="00996B16">
        <w:t>Regulation</w:t>
      </w:r>
      <w:r w:rsidR="00996B16" w:rsidRPr="00996B16">
        <w:t> </w:t>
      </w:r>
      <w:r w:rsidR="00751B8D" w:rsidRPr="00996B16">
        <w:t>63</w:t>
      </w:r>
    </w:p>
    <w:p w:rsidR="00751B8D" w:rsidRPr="00996B16" w:rsidRDefault="00751B8D" w:rsidP="00751B8D">
      <w:pPr>
        <w:pStyle w:val="Item"/>
      </w:pPr>
      <w:r w:rsidRPr="00996B16">
        <w:t>Repeal the regulation, substitute:</w:t>
      </w:r>
    </w:p>
    <w:p w:rsidR="00751B8D" w:rsidRPr="00996B16" w:rsidRDefault="00751B8D" w:rsidP="00751B8D">
      <w:pPr>
        <w:pStyle w:val="ActHead5"/>
      </w:pPr>
      <w:bookmarkStart w:id="15" w:name="_Toc357086582"/>
      <w:r w:rsidRPr="00996B16">
        <w:rPr>
          <w:rStyle w:val="CharSectno"/>
        </w:rPr>
        <w:t>63</w:t>
      </w:r>
      <w:r w:rsidRPr="00996B16">
        <w:t xml:space="preserve">  Disclosure of records or reports of Courts of Inquiry</w:t>
      </w:r>
      <w:bookmarkEnd w:id="15"/>
    </w:p>
    <w:p w:rsidR="003E3981" w:rsidRPr="00996B16" w:rsidRDefault="003E3981" w:rsidP="003E3981">
      <w:pPr>
        <w:pStyle w:val="SubsectionHead"/>
      </w:pPr>
      <w:r w:rsidRPr="00996B16">
        <w:t>Offence relating to disclosure</w:t>
      </w:r>
    </w:p>
    <w:p w:rsidR="003E3981" w:rsidRPr="00996B16" w:rsidRDefault="003E3981" w:rsidP="003E3981">
      <w:pPr>
        <w:pStyle w:val="subsection"/>
      </w:pPr>
      <w:r w:rsidRPr="00996B16">
        <w:tab/>
        <w:t>(1)</w:t>
      </w:r>
      <w:r w:rsidRPr="00996B16">
        <w:tab/>
        <w:t>A person to whom this regulation applies commits an offence if:</w:t>
      </w:r>
    </w:p>
    <w:p w:rsidR="003E3981" w:rsidRPr="00996B16" w:rsidRDefault="003E3981" w:rsidP="003E3981">
      <w:pPr>
        <w:pStyle w:val="paragraph"/>
      </w:pPr>
      <w:r w:rsidRPr="00996B16">
        <w:tab/>
        <w:t>(a)</w:t>
      </w:r>
      <w:r w:rsidRPr="00996B16">
        <w:tab/>
        <w:t>the person does any of the following things:</w:t>
      </w:r>
    </w:p>
    <w:p w:rsidR="003E3981" w:rsidRPr="00996B16" w:rsidRDefault="003E3981" w:rsidP="003E3981">
      <w:pPr>
        <w:pStyle w:val="paragraphsub"/>
      </w:pPr>
      <w:r w:rsidRPr="00996B16">
        <w:tab/>
        <w:t>(i)</w:t>
      </w:r>
      <w:r w:rsidRPr="00996B16">
        <w:tab/>
        <w:t>discloses to a person, or makes available to the public generally, information contained in the records or report of a Court of Inquiry;</w:t>
      </w:r>
    </w:p>
    <w:p w:rsidR="003E3981" w:rsidRPr="00996B16" w:rsidRDefault="003E3981" w:rsidP="003E3981">
      <w:pPr>
        <w:pStyle w:val="paragraphsub"/>
      </w:pPr>
      <w:r w:rsidRPr="00996B16">
        <w:tab/>
        <w:t>(ii)</w:t>
      </w:r>
      <w:r w:rsidRPr="00996B16">
        <w:tab/>
        <w:t>copies a document, or part of a document, that forms part of the records or report of a Court of Inquiry;</w:t>
      </w:r>
    </w:p>
    <w:p w:rsidR="003E3981" w:rsidRPr="00996B16" w:rsidRDefault="003E3981" w:rsidP="003E3981">
      <w:pPr>
        <w:pStyle w:val="paragraphsub"/>
      </w:pPr>
      <w:r w:rsidRPr="00996B16">
        <w:tab/>
        <w:t>(iii)</w:t>
      </w:r>
      <w:r w:rsidRPr="00996B16">
        <w:tab/>
        <w:t>discloses to a person, or makes available to the public generally, a document, part of a document, or a copy of all or part of a document, that forms part of the records or report of a Court of Inquiry; and</w:t>
      </w:r>
    </w:p>
    <w:p w:rsidR="003E3981" w:rsidRPr="00996B16" w:rsidRDefault="003E3981" w:rsidP="003E3981">
      <w:pPr>
        <w:pStyle w:val="paragraph"/>
      </w:pPr>
      <w:r w:rsidRPr="00996B16">
        <w:tab/>
        <w:t>(b)</w:t>
      </w:r>
      <w:r w:rsidRPr="00996B16">
        <w:tab/>
        <w:t xml:space="preserve">the information or document referred to in </w:t>
      </w:r>
      <w:r w:rsidR="00996B16" w:rsidRPr="00996B16">
        <w:t>paragraph (</w:t>
      </w:r>
      <w:r w:rsidRPr="00996B16">
        <w:t>a) came to the knowledge, or into the possession, of the person in the course of the person’s employment as a person to whom this regulation applies</w:t>
      </w:r>
      <w:r w:rsidR="00E47D59" w:rsidRPr="00996B16">
        <w:t>; and</w:t>
      </w:r>
    </w:p>
    <w:p w:rsidR="00E47D59" w:rsidRPr="00996B16" w:rsidRDefault="00E47D59" w:rsidP="003E3981">
      <w:pPr>
        <w:pStyle w:val="paragraph"/>
      </w:pPr>
      <w:r w:rsidRPr="00996B16">
        <w:tab/>
        <w:t>(c)</w:t>
      </w:r>
      <w:r w:rsidRPr="00996B16">
        <w:tab/>
        <w:t xml:space="preserve">the information or document referred to in </w:t>
      </w:r>
      <w:r w:rsidR="00996B16" w:rsidRPr="00996B16">
        <w:t>paragraph (</w:t>
      </w:r>
      <w:r w:rsidRPr="00996B16">
        <w:t>a) does not relate to oral evidence given in public in the course of an inquiry.</w:t>
      </w:r>
    </w:p>
    <w:p w:rsidR="003E3981" w:rsidRPr="00996B16" w:rsidRDefault="003E3981" w:rsidP="002F0A95">
      <w:pPr>
        <w:pStyle w:val="Penalty"/>
      </w:pPr>
      <w:r w:rsidRPr="00996B16">
        <w:lastRenderedPageBreak/>
        <w:t>Penalty:</w:t>
      </w:r>
      <w:r w:rsidR="002F0A95" w:rsidRPr="00996B16">
        <w:tab/>
      </w:r>
      <w:r w:rsidR="00E47D59" w:rsidRPr="00996B16">
        <w:t>10</w:t>
      </w:r>
      <w:r w:rsidRPr="00996B16">
        <w:t xml:space="preserve"> penalty units or imprisonment for 3</w:t>
      </w:r>
      <w:r w:rsidR="00361762" w:rsidRPr="00996B16">
        <w:t xml:space="preserve"> </w:t>
      </w:r>
      <w:r w:rsidRPr="00996B16">
        <w:t>months.</w:t>
      </w:r>
    </w:p>
    <w:p w:rsidR="003E3981" w:rsidRPr="00996B16" w:rsidRDefault="00981F2A" w:rsidP="003E3981">
      <w:pPr>
        <w:pStyle w:val="SubsectionHead"/>
      </w:pPr>
      <w:r w:rsidRPr="00996B16">
        <w:t>Defence</w:t>
      </w:r>
    </w:p>
    <w:p w:rsidR="003E3981" w:rsidRPr="00996B16" w:rsidRDefault="003E3981" w:rsidP="003E3981">
      <w:pPr>
        <w:pStyle w:val="subsection"/>
      </w:pPr>
      <w:r w:rsidRPr="00996B16">
        <w:tab/>
        <w:t>(2)</w:t>
      </w:r>
      <w:r w:rsidRPr="00996B16">
        <w:tab/>
        <w:t xml:space="preserve">It is </w:t>
      </w:r>
      <w:r w:rsidR="00C051F6" w:rsidRPr="00996B16">
        <w:t xml:space="preserve">a </w:t>
      </w:r>
      <w:r w:rsidRPr="00996B16">
        <w:t>defence to a prosecution for an offence against subregulation</w:t>
      </w:r>
      <w:r w:rsidR="00B85334" w:rsidRPr="00996B16">
        <w:t xml:space="preserve"> </w:t>
      </w:r>
      <w:r w:rsidRPr="00996B16">
        <w:t>(1) that the person:</w:t>
      </w:r>
    </w:p>
    <w:p w:rsidR="003E3981" w:rsidRPr="00996B16" w:rsidRDefault="003E3981" w:rsidP="003E3981">
      <w:pPr>
        <w:pStyle w:val="paragraph"/>
      </w:pPr>
      <w:r w:rsidRPr="00996B16">
        <w:tab/>
        <w:t>(a)</w:t>
      </w:r>
      <w:r w:rsidRPr="00996B16">
        <w:tab/>
        <w:t>is authorised under subregulation (</w:t>
      </w:r>
      <w:r w:rsidR="00FB78A5" w:rsidRPr="00996B16">
        <w:t>4</w:t>
      </w:r>
      <w:r w:rsidRPr="00996B16">
        <w:t>)</w:t>
      </w:r>
      <w:r w:rsidR="00981F2A" w:rsidRPr="00996B16">
        <w:t xml:space="preserve"> or (</w:t>
      </w:r>
      <w:r w:rsidR="00FB78A5" w:rsidRPr="00996B16">
        <w:t>6</w:t>
      </w:r>
      <w:r w:rsidR="00981F2A" w:rsidRPr="00996B16">
        <w:t>)</w:t>
      </w:r>
      <w:r w:rsidRPr="00996B16">
        <w:t xml:space="preserve"> to disclose the information or document; and</w:t>
      </w:r>
    </w:p>
    <w:p w:rsidR="003E3981" w:rsidRPr="00996B16" w:rsidRDefault="003E3981" w:rsidP="003E3981">
      <w:pPr>
        <w:pStyle w:val="paragraph"/>
      </w:pPr>
      <w:r w:rsidRPr="00996B16">
        <w:tab/>
        <w:t>(b)</w:t>
      </w:r>
      <w:r w:rsidRPr="00996B16">
        <w:tab/>
        <w:t>disclosed the information or document in accordance with the authorisation.</w:t>
      </w:r>
    </w:p>
    <w:p w:rsidR="003E3981" w:rsidRPr="00996B16" w:rsidRDefault="003E3981" w:rsidP="002F0A95">
      <w:pPr>
        <w:pStyle w:val="notetext"/>
      </w:pPr>
      <w:r w:rsidRPr="00996B16">
        <w:t>Note</w:t>
      </w:r>
      <w:r w:rsidR="002F0A95" w:rsidRPr="00996B16">
        <w:t>:</w:t>
      </w:r>
      <w:r w:rsidR="002F0A95" w:rsidRPr="00996B16">
        <w:tab/>
      </w:r>
      <w:r w:rsidRPr="00996B16">
        <w:t>A defendant bears an evidential burden in relation to the matters mentioned in subregulation (2) (see section</w:t>
      </w:r>
      <w:r w:rsidR="00996B16" w:rsidRPr="00996B16">
        <w:t> </w:t>
      </w:r>
      <w:r w:rsidRPr="00996B16">
        <w:t xml:space="preserve">13.3 of the </w:t>
      </w:r>
      <w:r w:rsidRPr="00996B16">
        <w:rPr>
          <w:i/>
        </w:rPr>
        <w:t>Criminal Code</w:t>
      </w:r>
      <w:r w:rsidRPr="00996B16">
        <w:t>).</w:t>
      </w:r>
    </w:p>
    <w:p w:rsidR="00D3180D" w:rsidRPr="00996B16" w:rsidRDefault="00DA632C" w:rsidP="00DA632C">
      <w:pPr>
        <w:pStyle w:val="subsection"/>
      </w:pPr>
      <w:r w:rsidRPr="00996B16">
        <w:tab/>
        <w:t>(</w:t>
      </w:r>
      <w:r w:rsidR="00D3180D" w:rsidRPr="00996B16">
        <w:t>3</w:t>
      </w:r>
      <w:r w:rsidRPr="00996B16">
        <w:t>)</w:t>
      </w:r>
      <w:r w:rsidRPr="00996B16">
        <w:tab/>
        <w:t xml:space="preserve">It is </w:t>
      </w:r>
      <w:r w:rsidR="00C051F6" w:rsidRPr="00996B16">
        <w:t xml:space="preserve">a </w:t>
      </w:r>
      <w:r w:rsidRPr="00996B16">
        <w:t>defence to a prosecution for an offence against subregulation</w:t>
      </w:r>
      <w:r w:rsidR="00B85334" w:rsidRPr="00996B16">
        <w:t xml:space="preserve"> </w:t>
      </w:r>
      <w:r w:rsidRPr="00996B16">
        <w:t xml:space="preserve">(1) that the information, document, or part of a document has </w:t>
      </w:r>
      <w:r w:rsidR="00D3180D" w:rsidRPr="00996B16">
        <w:t xml:space="preserve">previously </w:t>
      </w:r>
      <w:r w:rsidRPr="00996B16">
        <w:t>been made available to the public generally in accordance with an authorisation u</w:t>
      </w:r>
      <w:r w:rsidR="00D3180D" w:rsidRPr="00996B16">
        <w:t>nder:</w:t>
      </w:r>
    </w:p>
    <w:p w:rsidR="00DA632C" w:rsidRPr="00996B16" w:rsidRDefault="00D3180D" w:rsidP="00D3180D">
      <w:pPr>
        <w:pStyle w:val="paragraph"/>
      </w:pPr>
      <w:r w:rsidRPr="00996B16">
        <w:tab/>
        <w:t>(a)</w:t>
      </w:r>
      <w:r w:rsidRPr="00996B16">
        <w:tab/>
      </w:r>
      <w:r w:rsidR="00DA632C" w:rsidRPr="00996B16">
        <w:t>subregulation (</w:t>
      </w:r>
      <w:r w:rsidR="008E1EEE" w:rsidRPr="00996B16">
        <w:t>4</w:t>
      </w:r>
      <w:r w:rsidR="00DA632C" w:rsidRPr="00996B16">
        <w:t>) or (</w:t>
      </w:r>
      <w:r w:rsidR="008E1EEE" w:rsidRPr="00996B16">
        <w:t>6</w:t>
      </w:r>
      <w:r w:rsidR="00DA632C" w:rsidRPr="00996B16">
        <w:t>)</w:t>
      </w:r>
      <w:r w:rsidRPr="00996B16">
        <w:t>; or</w:t>
      </w:r>
    </w:p>
    <w:p w:rsidR="00D3180D" w:rsidRPr="00996B16" w:rsidRDefault="00D3180D" w:rsidP="00D3180D">
      <w:pPr>
        <w:pStyle w:val="paragraph"/>
      </w:pPr>
      <w:r w:rsidRPr="00996B16">
        <w:tab/>
        <w:t>(b)</w:t>
      </w:r>
      <w:r w:rsidRPr="00996B16">
        <w:tab/>
        <w:t>regulation</w:t>
      </w:r>
      <w:r w:rsidR="00996B16" w:rsidRPr="00996B16">
        <w:t> </w:t>
      </w:r>
      <w:r w:rsidRPr="00996B16">
        <w:t>63 of these Regulations as in force at any time before this paragraph commences.</w:t>
      </w:r>
    </w:p>
    <w:p w:rsidR="00D3180D" w:rsidRPr="00996B16" w:rsidRDefault="00D3180D" w:rsidP="00D3180D">
      <w:pPr>
        <w:pStyle w:val="notetext"/>
      </w:pPr>
      <w:r w:rsidRPr="00996B16">
        <w:t>Note</w:t>
      </w:r>
      <w:r w:rsidR="008E1EEE" w:rsidRPr="00996B16">
        <w:t xml:space="preserve"> 1</w:t>
      </w:r>
      <w:r w:rsidRPr="00996B16">
        <w:t>:</w:t>
      </w:r>
      <w:r w:rsidRPr="00996B16">
        <w:tab/>
        <w:t>This regulation was repealed and replaced in 2013.</w:t>
      </w:r>
    </w:p>
    <w:p w:rsidR="008E1EEE" w:rsidRPr="00996B16" w:rsidRDefault="008E1EEE" w:rsidP="008E1EEE">
      <w:pPr>
        <w:pStyle w:val="notetext"/>
      </w:pPr>
      <w:r w:rsidRPr="00996B16">
        <w:t>Note 2:</w:t>
      </w:r>
      <w:r w:rsidRPr="00996B16">
        <w:tab/>
        <w:t>A defendant bears an evidential burden in relation to the matters mentioned in subregulation (3) (see section</w:t>
      </w:r>
      <w:r w:rsidR="00996B16" w:rsidRPr="00996B16">
        <w:t> </w:t>
      </w:r>
      <w:r w:rsidRPr="00996B16">
        <w:t xml:space="preserve">13.3 of the </w:t>
      </w:r>
      <w:r w:rsidRPr="00996B16">
        <w:rPr>
          <w:i/>
        </w:rPr>
        <w:t>Criminal Code</w:t>
      </w:r>
      <w:r w:rsidRPr="00996B16">
        <w:t>).</w:t>
      </w:r>
    </w:p>
    <w:p w:rsidR="00C020EE" w:rsidRPr="00996B16" w:rsidRDefault="003E3981" w:rsidP="00C020EE">
      <w:pPr>
        <w:pStyle w:val="SubsectionHead"/>
      </w:pPr>
      <w:r w:rsidRPr="00996B16">
        <w:t>General a</w:t>
      </w:r>
      <w:r w:rsidR="00C020EE" w:rsidRPr="00996B16">
        <w:t>uthority to disclose</w:t>
      </w:r>
      <w:r w:rsidR="00D167BB" w:rsidRPr="00996B16">
        <w:t xml:space="preserve"> or copy</w:t>
      </w:r>
    </w:p>
    <w:p w:rsidR="00D167BB" w:rsidRPr="00996B16" w:rsidRDefault="00C020EE" w:rsidP="00751B8D">
      <w:pPr>
        <w:pStyle w:val="subsection"/>
      </w:pPr>
      <w:r w:rsidRPr="00996B16">
        <w:tab/>
        <w:t>(</w:t>
      </w:r>
      <w:r w:rsidR="008E1EEE" w:rsidRPr="00996B16">
        <w:t>4</w:t>
      </w:r>
      <w:r w:rsidRPr="00996B16">
        <w:t>)</w:t>
      </w:r>
      <w:r w:rsidRPr="00996B16">
        <w:tab/>
        <w:t>A person to whom this regulation applies</w:t>
      </w:r>
      <w:r w:rsidR="007E0942" w:rsidRPr="00996B16">
        <w:t xml:space="preserve"> </w:t>
      </w:r>
      <w:r w:rsidRPr="00996B16">
        <w:t>is auth</w:t>
      </w:r>
      <w:r w:rsidR="00D167BB" w:rsidRPr="00996B16">
        <w:t>orised</w:t>
      </w:r>
      <w:r w:rsidR="00504C75" w:rsidRPr="00996B16">
        <w:t xml:space="preserve"> to</w:t>
      </w:r>
      <w:r w:rsidR="00D167BB" w:rsidRPr="00996B16">
        <w:t>:</w:t>
      </w:r>
    </w:p>
    <w:p w:rsidR="00D167BB" w:rsidRPr="00996B16" w:rsidRDefault="00D167BB" w:rsidP="00D167BB">
      <w:pPr>
        <w:pStyle w:val="paragraph"/>
      </w:pPr>
      <w:r w:rsidRPr="00996B16">
        <w:tab/>
        <w:t>(a)</w:t>
      </w:r>
      <w:r w:rsidRPr="00996B16">
        <w:tab/>
        <w:t>disclose to a person, or make available to the public generally, information contained in the records or report of a Court of Inquiry; and</w:t>
      </w:r>
    </w:p>
    <w:p w:rsidR="00D167BB" w:rsidRPr="00996B16" w:rsidRDefault="00D167BB" w:rsidP="00D167BB">
      <w:pPr>
        <w:pStyle w:val="paragraph"/>
      </w:pPr>
      <w:r w:rsidRPr="00996B16">
        <w:tab/>
        <w:t>(b)</w:t>
      </w:r>
      <w:r w:rsidRPr="00996B16">
        <w:tab/>
        <w:t>copy a document, or part of a document, that forms part of the records or report of a Court of Inquiry; and</w:t>
      </w:r>
    </w:p>
    <w:p w:rsidR="00D167BB" w:rsidRPr="00996B16" w:rsidRDefault="00D167BB" w:rsidP="00D167BB">
      <w:pPr>
        <w:pStyle w:val="paragraph"/>
      </w:pPr>
      <w:r w:rsidRPr="00996B16">
        <w:tab/>
        <w:t>(c)</w:t>
      </w:r>
      <w:r w:rsidRPr="00996B16">
        <w:tab/>
        <w:t>disclose to a person, or make available to the public generally:</w:t>
      </w:r>
    </w:p>
    <w:p w:rsidR="00D167BB" w:rsidRPr="00996B16" w:rsidRDefault="00D167BB" w:rsidP="00D167BB">
      <w:pPr>
        <w:pStyle w:val="paragraphsub"/>
      </w:pPr>
      <w:r w:rsidRPr="00996B16">
        <w:tab/>
        <w:t>(i)</w:t>
      </w:r>
      <w:r w:rsidRPr="00996B16">
        <w:tab/>
        <w:t>a document that forms part of the records or report of a Court of Inquiry; or</w:t>
      </w:r>
    </w:p>
    <w:p w:rsidR="00D167BB" w:rsidRPr="00996B16" w:rsidRDefault="00D167BB" w:rsidP="00D167BB">
      <w:pPr>
        <w:pStyle w:val="paragraphsub"/>
      </w:pPr>
      <w:r w:rsidRPr="00996B16">
        <w:tab/>
        <w:t>(ii)</w:t>
      </w:r>
      <w:r w:rsidRPr="00996B16">
        <w:tab/>
        <w:t>a part of a document that forms part of the records or report of a Court of Inquiry; or</w:t>
      </w:r>
    </w:p>
    <w:p w:rsidR="00D167BB" w:rsidRPr="00996B16" w:rsidRDefault="00D167BB" w:rsidP="00D167BB">
      <w:pPr>
        <w:pStyle w:val="paragraphsub"/>
      </w:pPr>
      <w:r w:rsidRPr="00996B16">
        <w:lastRenderedPageBreak/>
        <w:tab/>
        <w:t>(iii)</w:t>
      </w:r>
      <w:r w:rsidRPr="00996B16">
        <w:tab/>
        <w:t>a copy of all or part of a document that forms part of the records or report of a Court of Inquiry;</w:t>
      </w:r>
    </w:p>
    <w:p w:rsidR="00C020EE" w:rsidRPr="00996B16" w:rsidRDefault="00C020EE" w:rsidP="00C020EE">
      <w:pPr>
        <w:pStyle w:val="subsection2"/>
      </w:pPr>
      <w:r w:rsidRPr="00996B16">
        <w:t xml:space="preserve">in the performance of the </w:t>
      </w:r>
      <w:r w:rsidR="007E0942" w:rsidRPr="00996B16">
        <w:t>person</w:t>
      </w:r>
      <w:r w:rsidRPr="00996B16">
        <w:t>’s duties</w:t>
      </w:r>
      <w:r w:rsidR="00D167BB" w:rsidRPr="00996B16">
        <w:t xml:space="preserve"> as a person to whom this regulation applies</w:t>
      </w:r>
      <w:r w:rsidR="00287E93" w:rsidRPr="00996B16">
        <w:t>.</w:t>
      </w:r>
    </w:p>
    <w:p w:rsidR="00E47D59" w:rsidRPr="00996B16" w:rsidRDefault="00E47D59" w:rsidP="00E47D59">
      <w:pPr>
        <w:pStyle w:val="SubsectionHead"/>
      </w:pPr>
      <w:r w:rsidRPr="00996B16">
        <w:t>Ministerial directions about duties</w:t>
      </w:r>
      <w:r w:rsidR="0027484D" w:rsidRPr="00996B16">
        <w:t xml:space="preserve"> of person to whom this regulation applies</w:t>
      </w:r>
    </w:p>
    <w:p w:rsidR="00E47D59" w:rsidRPr="00996B16" w:rsidRDefault="00E47D59" w:rsidP="00E47D59">
      <w:pPr>
        <w:pStyle w:val="subsection"/>
      </w:pPr>
      <w:r w:rsidRPr="00996B16">
        <w:tab/>
        <w:t>(</w:t>
      </w:r>
      <w:r w:rsidR="008E1EEE" w:rsidRPr="00996B16">
        <w:t>5</w:t>
      </w:r>
      <w:r w:rsidRPr="00996B16">
        <w:t>)</w:t>
      </w:r>
      <w:r w:rsidRPr="00996B16">
        <w:tab/>
        <w:t>For subregulation (</w:t>
      </w:r>
      <w:r w:rsidR="008E1EEE" w:rsidRPr="00996B16">
        <w:t>4</w:t>
      </w:r>
      <w:r w:rsidRPr="00996B16">
        <w:t>):</w:t>
      </w:r>
    </w:p>
    <w:p w:rsidR="00E47D59" w:rsidRPr="00996B16" w:rsidRDefault="00E47D59" w:rsidP="00E47D59">
      <w:pPr>
        <w:pStyle w:val="paragraph"/>
      </w:pPr>
      <w:r w:rsidRPr="00996B16">
        <w:tab/>
        <w:t>(a)</w:t>
      </w:r>
      <w:r w:rsidRPr="00996B16">
        <w:tab/>
        <w:t>the Minister may, in writing, direct a person to whom this regulation applies as to when doing a thing referred to in subregulation (</w:t>
      </w:r>
      <w:r w:rsidR="008E1EEE" w:rsidRPr="00996B16">
        <w:t>4</w:t>
      </w:r>
      <w:r w:rsidRPr="00996B16">
        <w:t>) is, or is not, in the performance of the person’s duties as a person to whom this regulation applies; and</w:t>
      </w:r>
    </w:p>
    <w:p w:rsidR="00E47D59" w:rsidRPr="00996B16" w:rsidRDefault="00E47D59" w:rsidP="00E47D59">
      <w:pPr>
        <w:pStyle w:val="paragraph"/>
      </w:pPr>
      <w:r w:rsidRPr="00996B16">
        <w:tab/>
        <w:t>(b)</w:t>
      </w:r>
      <w:r w:rsidRPr="00996B16">
        <w:tab/>
        <w:t>a person’s authorisation under subregulation (</w:t>
      </w:r>
      <w:r w:rsidR="008E1EEE" w:rsidRPr="00996B16">
        <w:t>4</w:t>
      </w:r>
      <w:r w:rsidRPr="00996B16">
        <w:t>) applies subject t</w:t>
      </w:r>
      <w:r w:rsidR="00012D02" w:rsidRPr="00996B16">
        <w:t>o any direction by the Minister; and</w:t>
      </w:r>
    </w:p>
    <w:p w:rsidR="00012D02" w:rsidRPr="00996B16" w:rsidRDefault="00012D02" w:rsidP="00E47D59">
      <w:pPr>
        <w:pStyle w:val="paragraph"/>
      </w:pPr>
      <w:r w:rsidRPr="00996B16">
        <w:tab/>
        <w:t>(c)</w:t>
      </w:r>
      <w:r w:rsidRPr="00996B16">
        <w:tab/>
        <w:t>a direction is not a legislative instrument.</w:t>
      </w:r>
    </w:p>
    <w:p w:rsidR="0027484D" w:rsidRPr="00996B16" w:rsidRDefault="0027484D" w:rsidP="0027484D">
      <w:pPr>
        <w:pStyle w:val="notetext"/>
      </w:pPr>
      <w:r w:rsidRPr="00996B16">
        <w:t>Note:</w:t>
      </w:r>
      <w:r w:rsidRPr="00996B16">
        <w:tab/>
        <w:t xml:space="preserve">The Minister </w:t>
      </w:r>
      <w:r w:rsidR="00875366" w:rsidRPr="00996B16">
        <w:t xml:space="preserve">may </w:t>
      </w:r>
      <w:r w:rsidRPr="00996B16">
        <w:t>give a direction to a person or a class of persons: see subsection</w:t>
      </w:r>
      <w:r w:rsidR="00996B16" w:rsidRPr="00996B16">
        <w:t> </w:t>
      </w:r>
      <w:r w:rsidRPr="00996B16">
        <w:t xml:space="preserve">33(3A) of the </w:t>
      </w:r>
      <w:r w:rsidRPr="00996B16">
        <w:rPr>
          <w:i/>
        </w:rPr>
        <w:t>Acts Interpretation Act 1901</w:t>
      </w:r>
      <w:r w:rsidRPr="00996B16">
        <w:t>.</w:t>
      </w:r>
    </w:p>
    <w:p w:rsidR="003E3981" w:rsidRPr="00996B16" w:rsidRDefault="003E3981" w:rsidP="003E3981">
      <w:pPr>
        <w:pStyle w:val="SubsectionHead"/>
      </w:pPr>
      <w:r w:rsidRPr="00996B16">
        <w:t>Ministerial authority to disclose or copy</w:t>
      </w:r>
    </w:p>
    <w:p w:rsidR="003E3981" w:rsidRPr="00996B16" w:rsidRDefault="003E3981" w:rsidP="003E3981">
      <w:pPr>
        <w:pStyle w:val="subsection"/>
      </w:pPr>
      <w:r w:rsidRPr="00996B16">
        <w:tab/>
      </w:r>
      <w:r w:rsidR="008E1EEE" w:rsidRPr="00996B16">
        <w:t>(6</w:t>
      </w:r>
      <w:r w:rsidRPr="00996B16">
        <w:t>)</w:t>
      </w:r>
      <w:r w:rsidRPr="00996B16">
        <w:tab/>
        <w:t>The Minister may, in writing, authorise a person to whom this regulation applies to</w:t>
      </w:r>
      <w:r w:rsidR="009F75AD" w:rsidRPr="00996B16">
        <w:t xml:space="preserve"> do any of the following</w:t>
      </w:r>
      <w:r w:rsidRPr="00996B16">
        <w:t>:</w:t>
      </w:r>
    </w:p>
    <w:p w:rsidR="00721F31" w:rsidRPr="00996B16" w:rsidRDefault="00B71ACF" w:rsidP="00721F31">
      <w:pPr>
        <w:pStyle w:val="paragraph"/>
      </w:pPr>
      <w:r w:rsidRPr="00996B16">
        <w:tab/>
        <w:t>(a)</w:t>
      </w:r>
      <w:r w:rsidRPr="00996B16">
        <w:tab/>
        <w:t>disclose to a person or a class of persons,</w:t>
      </w:r>
      <w:r w:rsidR="00721F31" w:rsidRPr="00996B16">
        <w:t xml:space="preserve"> or make available to the public generally, information contained in the records or report of a Court of Inquiry;</w:t>
      </w:r>
    </w:p>
    <w:p w:rsidR="00721F31" w:rsidRPr="00996B16" w:rsidRDefault="00721F31" w:rsidP="00721F31">
      <w:pPr>
        <w:pStyle w:val="paragraph"/>
      </w:pPr>
      <w:r w:rsidRPr="00996B16">
        <w:tab/>
        <w:t>(b)</w:t>
      </w:r>
      <w:r w:rsidRPr="00996B16">
        <w:tab/>
        <w:t>copy a document, or part of a document, that forms part of the records or report of a Court of Inquiry;</w:t>
      </w:r>
    </w:p>
    <w:p w:rsidR="00721F31" w:rsidRPr="00996B16" w:rsidRDefault="00721F31" w:rsidP="00721F31">
      <w:pPr>
        <w:pStyle w:val="paragraph"/>
      </w:pPr>
      <w:r w:rsidRPr="00996B16">
        <w:tab/>
        <w:t>(c)</w:t>
      </w:r>
      <w:r w:rsidRPr="00996B16">
        <w:tab/>
        <w:t>disclose to a person</w:t>
      </w:r>
      <w:r w:rsidR="00B71ACF" w:rsidRPr="00996B16">
        <w:t xml:space="preserve"> or a class of persons</w:t>
      </w:r>
      <w:r w:rsidRPr="00996B16">
        <w:t>, or make available to the public generally:</w:t>
      </w:r>
    </w:p>
    <w:p w:rsidR="00721F31" w:rsidRPr="00996B16" w:rsidRDefault="00721F31" w:rsidP="00721F31">
      <w:pPr>
        <w:pStyle w:val="paragraphsub"/>
      </w:pPr>
      <w:r w:rsidRPr="00996B16">
        <w:tab/>
        <w:t>(i)</w:t>
      </w:r>
      <w:r w:rsidRPr="00996B16">
        <w:tab/>
        <w:t>a document that forms part of the records or report of a Court of Inquiry; or</w:t>
      </w:r>
    </w:p>
    <w:p w:rsidR="00721F31" w:rsidRPr="00996B16" w:rsidRDefault="00721F31" w:rsidP="00721F31">
      <w:pPr>
        <w:pStyle w:val="paragraphsub"/>
      </w:pPr>
      <w:r w:rsidRPr="00996B16">
        <w:tab/>
        <w:t>(ii)</w:t>
      </w:r>
      <w:r w:rsidRPr="00996B16">
        <w:tab/>
        <w:t>a part of a document that forms part of the records or report of a Court of Inquiry; or</w:t>
      </w:r>
    </w:p>
    <w:p w:rsidR="00721F31" w:rsidRPr="00996B16" w:rsidRDefault="00721F31" w:rsidP="00721F31">
      <w:pPr>
        <w:pStyle w:val="paragraphsub"/>
      </w:pPr>
      <w:r w:rsidRPr="00996B16">
        <w:tab/>
        <w:t>(iii)</w:t>
      </w:r>
      <w:r w:rsidRPr="00996B16">
        <w:tab/>
        <w:t xml:space="preserve">a copy of all or part of a document that forms part of the records </w:t>
      </w:r>
      <w:r w:rsidR="00DA632C" w:rsidRPr="00996B16">
        <w:t>or report of a Court of Inquiry.</w:t>
      </w:r>
    </w:p>
    <w:p w:rsidR="00E47D59" w:rsidRPr="00996B16" w:rsidRDefault="003E3981" w:rsidP="003E3981">
      <w:pPr>
        <w:pStyle w:val="subsection"/>
      </w:pPr>
      <w:r w:rsidRPr="00996B16">
        <w:tab/>
        <w:t>(</w:t>
      </w:r>
      <w:r w:rsidR="008E1EEE" w:rsidRPr="00996B16">
        <w:t>7</w:t>
      </w:r>
      <w:r w:rsidRPr="00996B16">
        <w:t>)</w:t>
      </w:r>
      <w:r w:rsidRPr="00996B16">
        <w:tab/>
      </w:r>
      <w:r w:rsidR="00E47D59" w:rsidRPr="00996B16">
        <w:t>An authorisation under subregulation (</w:t>
      </w:r>
      <w:r w:rsidR="008E1EEE" w:rsidRPr="00996B16">
        <w:t>6</w:t>
      </w:r>
      <w:r w:rsidR="00E47D59" w:rsidRPr="00996B16">
        <w:t>):</w:t>
      </w:r>
    </w:p>
    <w:p w:rsidR="003E3981" w:rsidRPr="00996B16" w:rsidRDefault="00E47D59" w:rsidP="009F75AD">
      <w:pPr>
        <w:pStyle w:val="paragraph"/>
      </w:pPr>
      <w:r w:rsidRPr="00996B16">
        <w:lastRenderedPageBreak/>
        <w:tab/>
        <w:t>(a)</w:t>
      </w:r>
      <w:r w:rsidRPr="00996B16">
        <w:tab/>
      </w:r>
      <w:r w:rsidR="009F75AD" w:rsidRPr="00996B16">
        <w:t>may be expressed t</w:t>
      </w:r>
      <w:r w:rsidRPr="00996B16">
        <w:t>o be subject to conditions specified in the authorisation; and</w:t>
      </w:r>
    </w:p>
    <w:p w:rsidR="003E3981" w:rsidRPr="00996B16" w:rsidRDefault="00E47D59" w:rsidP="00E47D59">
      <w:pPr>
        <w:pStyle w:val="paragraph"/>
      </w:pPr>
      <w:r w:rsidRPr="00996B16">
        <w:tab/>
        <w:t>(</w:t>
      </w:r>
      <w:r w:rsidR="00B71ACF" w:rsidRPr="00996B16">
        <w:t>b</w:t>
      </w:r>
      <w:r w:rsidR="003E3981" w:rsidRPr="00996B16">
        <w:t>)</w:t>
      </w:r>
      <w:r w:rsidR="003E3981" w:rsidRPr="00996B16">
        <w:tab/>
        <w:t xml:space="preserve">may be given </w:t>
      </w:r>
      <w:r w:rsidRPr="00996B16">
        <w:t>whether or not</w:t>
      </w:r>
      <w:r w:rsidR="003E3981" w:rsidRPr="00996B16">
        <w:t xml:space="preserve"> the information or documents to which it relates is or are the subject, in whole or in part, of a d</w:t>
      </w:r>
      <w:r w:rsidRPr="00996B16">
        <w:t>irection under subregulation</w:t>
      </w:r>
      <w:r w:rsidR="00996B16" w:rsidRPr="00996B16">
        <w:t> </w:t>
      </w:r>
      <w:r w:rsidRPr="00996B16">
        <w:t>62</w:t>
      </w:r>
      <w:r w:rsidR="003E3981" w:rsidRPr="00996B16">
        <w:t>(1).</w:t>
      </w:r>
    </w:p>
    <w:p w:rsidR="00751B8D" w:rsidRPr="00996B16" w:rsidRDefault="00981F2A" w:rsidP="00751B8D">
      <w:pPr>
        <w:pStyle w:val="subsection"/>
      </w:pPr>
      <w:r w:rsidRPr="00996B16">
        <w:tab/>
        <w:t>(</w:t>
      </w:r>
      <w:r w:rsidR="008E1EEE" w:rsidRPr="00996B16">
        <w:t>8</w:t>
      </w:r>
      <w:r w:rsidR="00751B8D" w:rsidRPr="00996B16">
        <w:t>)</w:t>
      </w:r>
      <w:r w:rsidR="00751B8D" w:rsidRPr="00996B16">
        <w:tab/>
        <w:t>Subregulation (</w:t>
      </w:r>
      <w:r w:rsidRPr="00996B16">
        <w:t>1</w:t>
      </w:r>
      <w:r w:rsidR="00751B8D" w:rsidRPr="00996B16">
        <w:t xml:space="preserve">) </w:t>
      </w:r>
      <w:r w:rsidRPr="00996B16">
        <w:t>is</w:t>
      </w:r>
      <w:r w:rsidR="00751B8D" w:rsidRPr="00996B16">
        <w:t xml:space="preserve"> not </w:t>
      </w:r>
      <w:r w:rsidRPr="00996B16">
        <w:t xml:space="preserve">to </w:t>
      </w:r>
      <w:r w:rsidR="00751B8D" w:rsidRPr="00996B16">
        <w:t>be taken to limit the operation of subregulation</w:t>
      </w:r>
      <w:r w:rsidR="00DA632C" w:rsidRPr="00996B16">
        <w:t xml:space="preserve"> </w:t>
      </w:r>
      <w:r w:rsidR="00751B8D" w:rsidRPr="00996B16">
        <w:t>(</w:t>
      </w:r>
      <w:r w:rsidR="008E1EEE" w:rsidRPr="00996B16">
        <w:t>6</w:t>
      </w:r>
      <w:r w:rsidR="00751B8D" w:rsidRPr="00996B16">
        <w:t>).</w:t>
      </w:r>
    </w:p>
    <w:p w:rsidR="00981F2A" w:rsidRPr="00996B16" w:rsidRDefault="00981F2A" w:rsidP="00504C75">
      <w:pPr>
        <w:pStyle w:val="subsection"/>
      </w:pPr>
      <w:r w:rsidRPr="00996B16">
        <w:tab/>
        <w:t>(</w:t>
      </w:r>
      <w:r w:rsidR="008E1EEE" w:rsidRPr="00996B16">
        <w:t>9</w:t>
      </w:r>
      <w:r w:rsidR="00504C75" w:rsidRPr="00996B16">
        <w:t>)</w:t>
      </w:r>
      <w:r w:rsidR="00504C75" w:rsidRPr="00996B16">
        <w:tab/>
      </w:r>
      <w:r w:rsidRPr="00996B16">
        <w:t>The Minister may, in writing, delegate his or her powers under subregulation (</w:t>
      </w:r>
      <w:r w:rsidR="00A131CF" w:rsidRPr="00996B16">
        <w:t>5) or (6</w:t>
      </w:r>
      <w:r w:rsidRPr="00996B16">
        <w:t>).</w:t>
      </w:r>
    </w:p>
    <w:p w:rsidR="00504C75" w:rsidRPr="00996B16" w:rsidRDefault="00981F2A" w:rsidP="00504C75">
      <w:pPr>
        <w:pStyle w:val="subsection"/>
      </w:pPr>
      <w:r w:rsidRPr="00996B16">
        <w:tab/>
        <w:t>(</w:t>
      </w:r>
      <w:r w:rsidR="008E1EEE" w:rsidRPr="00996B16">
        <w:t>10</w:t>
      </w:r>
      <w:r w:rsidRPr="00996B16">
        <w:t>)</w:t>
      </w:r>
      <w:r w:rsidRPr="00996B16">
        <w:tab/>
      </w:r>
      <w:r w:rsidR="00504C75" w:rsidRPr="00996B16">
        <w:t>In this regulation:</w:t>
      </w:r>
    </w:p>
    <w:p w:rsidR="00504C75" w:rsidRPr="00996B16" w:rsidRDefault="00504C75" w:rsidP="00981F2A">
      <w:pPr>
        <w:pStyle w:val="Definition"/>
      </w:pPr>
      <w:r w:rsidRPr="00996B16">
        <w:rPr>
          <w:b/>
          <w:i/>
        </w:rPr>
        <w:t>person to whom this regulation applies</w:t>
      </w:r>
      <w:r w:rsidRPr="00996B16">
        <w:t>:</w:t>
      </w:r>
    </w:p>
    <w:p w:rsidR="00504C75" w:rsidRPr="00996B16" w:rsidRDefault="00504C75" w:rsidP="00504C75">
      <w:pPr>
        <w:pStyle w:val="paragraph"/>
      </w:pPr>
      <w:r w:rsidRPr="00996B16">
        <w:tab/>
        <w:t>(a)</w:t>
      </w:r>
      <w:r w:rsidRPr="00996B16">
        <w:tab/>
        <w:t>means a person employed by the Commonwealth; and</w:t>
      </w:r>
    </w:p>
    <w:p w:rsidR="00504C75" w:rsidRPr="00996B16" w:rsidRDefault="00504C75" w:rsidP="00504C75">
      <w:pPr>
        <w:pStyle w:val="paragraph"/>
      </w:pPr>
      <w:r w:rsidRPr="00996B16">
        <w:tab/>
        <w:t>(b)</w:t>
      </w:r>
      <w:r w:rsidRPr="00996B16">
        <w:tab/>
        <w:t>includes a member of the Defence Force.</w:t>
      </w:r>
    </w:p>
    <w:p w:rsidR="00504C75" w:rsidRPr="00996B16" w:rsidRDefault="00504C75" w:rsidP="00504C75">
      <w:pPr>
        <w:pStyle w:val="Definition"/>
      </w:pPr>
      <w:r w:rsidRPr="00996B16">
        <w:rPr>
          <w:b/>
          <w:i/>
        </w:rPr>
        <w:t>records</w:t>
      </w:r>
      <w:r w:rsidRPr="00996B16">
        <w:t>, in relation to a Court of Inquiry, means:</w:t>
      </w:r>
    </w:p>
    <w:p w:rsidR="00504C75" w:rsidRPr="00996B16" w:rsidRDefault="00504C75" w:rsidP="00504C75">
      <w:pPr>
        <w:pStyle w:val="paragraph"/>
      </w:pPr>
      <w:r w:rsidRPr="00996B16">
        <w:tab/>
        <w:t>(a)</w:t>
      </w:r>
      <w:r w:rsidRPr="00996B16">
        <w:tab/>
        <w:t>the transcript or other record of oral evidence taken during the course of an inquiry by the Court; and</w:t>
      </w:r>
    </w:p>
    <w:p w:rsidR="00504C75" w:rsidRPr="00996B16" w:rsidRDefault="00504C75" w:rsidP="00504C75">
      <w:pPr>
        <w:pStyle w:val="paragraph"/>
      </w:pPr>
      <w:r w:rsidRPr="00996B16">
        <w:tab/>
        <w:t>(b)</w:t>
      </w:r>
      <w:r w:rsidRPr="00996B16">
        <w:tab/>
        <w:t>documents received by the Court and accepted as evidence during the course of an inquiry by the Court; and</w:t>
      </w:r>
    </w:p>
    <w:p w:rsidR="00504C75" w:rsidRPr="00996B16" w:rsidRDefault="00504C75" w:rsidP="00504C75">
      <w:pPr>
        <w:pStyle w:val="paragraph"/>
      </w:pPr>
      <w:r w:rsidRPr="00996B16">
        <w:tab/>
        <w:t>(c)</w:t>
      </w:r>
      <w:r w:rsidRPr="00996B16">
        <w:tab/>
        <w:t>statements made under regulation</w:t>
      </w:r>
      <w:r w:rsidR="00996B16" w:rsidRPr="00996B16">
        <w:t> </w:t>
      </w:r>
      <w:r w:rsidRPr="00996B16">
        <w:t>52 and received by the Court during the course of an inquiry by the Court, whether or not they are accepted as evidence.</w:t>
      </w:r>
    </w:p>
    <w:p w:rsidR="00504C75" w:rsidRPr="00996B16" w:rsidRDefault="00504C75" w:rsidP="00504C75">
      <w:pPr>
        <w:pStyle w:val="Definition"/>
      </w:pPr>
      <w:r w:rsidRPr="00996B16">
        <w:rPr>
          <w:b/>
          <w:i/>
        </w:rPr>
        <w:t>report</w:t>
      </w:r>
      <w:r w:rsidRPr="00996B16">
        <w:t>:</w:t>
      </w:r>
    </w:p>
    <w:p w:rsidR="00504C75" w:rsidRPr="00996B16" w:rsidRDefault="00504C75" w:rsidP="00504C75">
      <w:pPr>
        <w:pStyle w:val="paragraph"/>
      </w:pPr>
      <w:r w:rsidRPr="00996B16">
        <w:tab/>
        <w:t>(a)</w:t>
      </w:r>
      <w:r w:rsidRPr="00996B16">
        <w:tab/>
        <w:t>means a report of a Court of Inquiry; and</w:t>
      </w:r>
    </w:p>
    <w:p w:rsidR="00751B8D" w:rsidRPr="00996B16" w:rsidRDefault="00504C75" w:rsidP="00981F2A">
      <w:pPr>
        <w:pStyle w:val="paragraph"/>
      </w:pPr>
      <w:r w:rsidRPr="00996B16">
        <w:tab/>
        <w:t>(b)</w:t>
      </w:r>
      <w:r w:rsidRPr="00996B16">
        <w:tab/>
        <w:t>in the case of a General Court of Inquiry—includes a statement of an assessor made under subregulation</w:t>
      </w:r>
      <w:r w:rsidR="00996B16" w:rsidRPr="00996B16">
        <w:t> </w:t>
      </w:r>
      <w:r w:rsidRPr="00996B16">
        <w:t>19(2).</w:t>
      </w:r>
    </w:p>
    <w:p w:rsidR="00A53DE3" w:rsidRPr="00996B16" w:rsidRDefault="00A53DE3" w:rsidP="00A53DE3">
      <w:pPr>
        <w:pStyle w:val="ItemHead"/>
        <w:tabs>
          <w:tab w:val="left" w:pos="6663"/>
        </w:tabs>
      </w:pPr>
      <w:r w:rsidRPr="00996B16">
        <w:t>4  Subregulation</w:t>
      </w:r>
      <w:r w:rsidR="00996B16" w:rsidRPr="00996B16">
        <w:t> </w:t>
      </w:r>
      <w:r w:rsidRPr="00996B16">
        <w:t>64(2)</w:t>
      </w:r>
    </w:p>
    <w:p w:rsidR="00A53DE3" w:rsidRPr="00996B16" w:rsidRDefault="00A53DE3" w:rsidP="00A53DE3">
      <w:pPr>
        <w:pStyle w:val="Item"/>
      </w:pPr>
      <w:r w:rsidRPr="00996B16">
        <w:t>Omit “</w:t>
      </w:r>
      <w:r w:rsidR="00682E4B" w:rsidRPr="00996B16">
        <w:t>63 (2)</w:t>
      </w:r>
      <w:r w:rsidRPr="00996B16">
        <w:t>”, substitute “63(1)</w:t>
      </w:r>
      <w:r w:rsidR="00682E4B" w:rsidRPr="00996B16">
        <w:t>”</w:t>
      </w:r>
      <w:r w:rsidRPr="00996B16">
        <w:t>.</w:t>
      </w:r>
    </w:p>
    <w:p w:rsidR="00A53DE3" w:rsidRPr="00996B16" w:rsidRDefault="00A53DE3" w:rsidP="00A53DE3">
      <w:pPr>
        <w:pStyle w:val="ItemHead"/>
        <w:tabs>
          <w:tab w:val="left" w:pos="6663"/>
        </w:tabs>
      </w:pPr>
      <w:r w:rsidRPr="00996B16">
        <w:t>5  Subregulation</w:t>
      </w:r>
      <w:r w:rsidR="00996B16" w:rsidRPr="00996B16">
        <w:t> </w:t>
      </w:r>
      <w:r w:rsidRPr="00996B16">
        <w:t>64(3)</w:t>
      </w:r>
    </w:p>
    <w:p w:rsidR="00A53DE3" w:rsidRPr="00996B16" w:rsidRDefault="00A53DE3" w:rsidP="00A53DE3">
      <w:pPr>
        <w:pStyle w:val="Item"/>
      </w:pPr>
      <w:r w:rsidRPr="00996B16">
        <w:t>Omit “63</w:t>
      </w:r>
      <w:r w:rsidR="00B85334" w:rsidRPr="00996B16">
        <w:t xml:space="preserve"> </w:t>
      </w:r>
      <w:r w:rsidRPr="00996B16">
        <w:t>(2)”, substitute “63(1)</w:t>
      </w:r>
      <w:r w:rsidR="00682E4B" w:rsidRPr="00996B16">
        <w:t>”</w:t>
      </w:r>
      <w:r w:rsidRPr="00996B16">
        <w:t>.</w:t>
      </w:r>
    </w:p>
    <w:sectPr w:rsidR="00A53DE3" w:rsidRPr="00996B16" w:rsidSect="004B29C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B8D" w:rsidRDefault="00751B8D" w:rsidP="0048364F">
      <w:pPr>
        <w:spacing w:line="240" w:lineRule="auto"/>
      </w:pPr>
      <w:r>
        <w:separator/>
      </w:r>
    </w:p>
  </w:endnote>
  <w:endnote w:type="continuationSeparator" w:id="0">
    <w:p w:rsidR="00751B8D" w:rsidRDefault="00751B8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C6" w:rsidRPr="004B29C6" w:rsidRDefault="004B29C6" w:rsidP="004B29C6">
    <w:pPr>
      <w:pStyle w:val="Footer"/>
      <w:rPr>
        <w:sz w:val="18"/>
      </w:rPr>
    </w:pPr>
    <w:r>
      <w:rPr>
        <w:sz w:val="18"/>
      </w:rPr>
      <w:t>OPC60021</w:t>
    </w:r>
    <w:r w:rsidRPr="004B29C6">
      <w:rPr>
        <w:sz w:val="18"/>
      </w:rPr>
      <w:t xml:space="preserve">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7946FE">
      <w:tc>
        <w:tcPr>
          <w:tcW w:w="7303" w:type="dxa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48364F" w:rsidRPr="006D3667" w:rsidRDefault="004B29C6" w:rsidP="004B29C6">
    <w:pPr>
      <w:pStyle w:val="Footer"/>
    </w:pPr>
    <w:r>
      <w:t>OPC60021</w:t>
    </w:r>
    <w:r w:rsidRPr="004B29C6">
      <w:rPr>
        <w:sz w:val="18"/>
      </w:rPr>
      <w:t xml:space="preserve">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C6" w:rsidRPr="004B29C6" w:rsidRDefault="004B29C6" w:rsidP="004B29C6">
    <w:pPr>
      <w:pStyle w:val="Footer"/>
      <w:rPr>
        <w:sz w:val="18"/>
      </w:rPr>
    </w:pPr>
    <w:r>
      <w:rPr>
        <w:sz w:val="18"/>
      </w:rPr>
      <w:t>OPC60021</w:t>
    </w:r>
    <w:r w:rsidRPr="004B29C6">
      <w:rPr>
        <w:sz w:val="18"/>
      </w:rPr>
      <w:t xml:space="preserve">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4B29C6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4B29C6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4B29C6" w:rsidRDefault="006D3667" w:rsidP="00E33C1C">
          <w:pPr>
            <w:spacing w:line="0" w:lineRule="atLeast"/>
            <w:rPr>
              <w:rFonts w:cs="Times New Roman"/>
              <w:sz w:val="18"/>
            </w:rPr>
          </w:pPr>
          <w:r w:rsidRPr="004B29C6">
            <w:rPr>
              <w:rFonts w:cs="Times New Roman"/>
              <w:i/>
              <w:sz w:val="18"/>
            </w:rPr>
            <w:fldChar w:fldCharType="begin"/>
          </w:r>
          <w:r w:rsidRPr="004B29C6">
            <w:rPr>
              <w:rFonts w:cs="Times New Roman"/>
              <w:i/>
              <w:sz w:val="18"/>
            </w:rPr>
            <w:instrText xml:space="preserve"> PAGE </w:instrText>
          </w:r>
          <w:r w:rsidRPr="004B29C6">
            <w:rPr>
              <w:rFonts w:cs="Times New Roman"/>
              <w:i/>
              <w:sz w:val="18"/>
            </w:rPr>
            <w:fldChar w:fldCharType="separate"/>
          </w:r>
          <w:r w:rsidR="0046246F">
            <w:rPr>
              <w:rFonts w:cs="Times New Roman"/>
              <w:i/>
              <w:noProof/>
              <w:sz w:val="18"/>
            </w:rPr>
            <w:t>ii</w:t>
          </w:r>
          <w:r w:rsidRPr="004B29C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4B29C6" w:rsidRDefault="00A2057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4B29C6">
            <w:rPr>
              <w:rFonts w:cs="Times New Roman"/>
              <w:i/>
              <w:sz w:val="18"/>
            </w:rPr>
            <w:fldChar w:fldCharType="begin"/>
          </w:r>
          <w:r w:rsidRPr="004B29C6">
            <w:rPr>
              <w:rFonts w:cs="Times New Roman"/>
              <w:i/>
              <w:sz w:val="18"/>
            </w:rPr>
            <w:instrText xml:space="preserve"> DOCPROPERTY ShortT </w:instrText>
          </w:r>
          <w:r w:rsidRPr="004B29C6">
            <w:rPr>
              <w:rFonts w:cs="Times New Roman"/>
              <w:i/>
              <w:sz w:val="18"/>
            </w:rPr>
            <w:fldChar w:fldCharType="separate"/>
          </w:r>
          <w:r w:rsidR="007D1114">
            <w:rPr>
              <w:rFonts w:cs="Times New Roman"/>
              <w:i/>
              <w:sz w:val="18"/>
            </w:rPr>
            <w:t>Defence (Inquiry) Amendment Regulation 2013 (No. 1)</w:t>
          </w:r>
          <w:r w:rsidRPr="004B29C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4B29C6" w:rsidRDefault="00A2057D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4B29C6">
            <w:rPr>
              <w:rFonts w:cs="Times New Roman"/>
              <w:i/>
              <w:sz w:val="18"/>
            </w:rPr>
            <w:fldChar w:fldCharType="begin"/>
          </w:r>
          <w:r w:rsidRPr="004B29C6">
            <w:rPr>
              <w:rFonts w:cs="Times New Roman"/>
              <w:i/>
              <w:sz w:val="18"/>
            </w:rPr>
            <w:instrText xml:space="preserve"> DOCPROPERTY ActNo </w:instrText>
          </w:r>
          <w:r w:rsidRPr="004B29C6">
            <w:rPr>
              <w:rFonts w:cs="Times New Roman"/>
              <w:i/>
              <w:sz w:val="18"/>
            </w:rPr>
            <w:fldChar w:fldCharType="separate"/>
          </w:r>
          <w:r w:rsidR="007D1114">
            <w:rPr>
              <w:rFonts w:cs="Times New Roman"/>
              <w:i/>
              <w:sz w:val="18"/>
            </w:rPr>
            <w:t>No. 113, 2013</w:t>
          </w:r>
          <w:r w:rsidRPr="004B29C6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4B29C6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4B29C6" w:rsidRDefault="006D3667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6D3667" w:rsidRPr="004B29C6" w:rsidRDefault="004B29C6" w:rsidP="004B29C6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OPC60021</w:t>
    </w:r>
    <w:r w:rsidRPr="004B29C6">
      <w:rPr>
        <w:rFonts w:cs="Times New Roman"/>
        <w:i/>
        <w:sz w:val="18"/>
      </w:rPr>
      <w:t xml:space="preserve">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D1114">
            <w:rPr>
              <w:i/>
              <w:sz w:val="18"/>
            </w:rPr>
            <w:t>No. 113,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1114">
            <w:rPr>
              <w:i/>
              <w:sz w:val="18"/>
            </w:rPr>
            <w:t>Defence (Inquiry)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0054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6D3667" w:rsidRPr="00ED79B6" w:rsidRDefault="004B29C6" w:rsidP="004B29C6">
    <w:pPr>
      <w:rPr>
        <w:i/>
        <w:sz w:val="18"/>
      </w:rPr>
    </w:pPr>
    <w:r>
      <w:rPr>
        <w:i/>
        <w:sz w:val="18"/>
      </w:rPr>
      <w:t>OPC60021</w:t>
    </w:r>
    <w:r w:rsidRPr="004B29C6">
      <w:rPr>
        <w:rFonts w:cs="Times New Roman"/>
        <w:i/>
        <w:sz w:val="18"/>
      </w:rPr>
      <w:t xml:space="preserve">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4B29C6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4B29C6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4B29C6" w:rsidRDefault="00304E75" w:rsidP="00E33C1C">
          <w:pPr>
            <w:spacing w:line="0" w:lineRule="atLeast"/>
            <w:rPr>
              <w:rFonts w:cs="Times New Roman"/>
              <w:sz w:val="18"/>
            </w:rPr>
          </w:pPr>
          <w:r w:rsidRPr="004B29C6">
            <w:rPr>
              <w:rFonts w:cs="Times New Roman"/>
              <w:i/>
              <w:sz w:val="18"/>
            </w:rPr>
            <w:fldChar w:fldCharType="begin"/>
          </w:r>
          <w:r w:rsidRPr="004B29C6">
            <w:rPr>
              <w:rFonts w:cs="Times New Roman"/>
              <w:i/>
              <w:sz w:val="18"/>
            </w:rPr>
            <w:instrText xml:space="preserve"> PAGE </w:instrText>
          </w:r>
          <w:r w:rsidRPr="004B29C6">
            <w:rPr>
              <w:rFonts w:cs="Times New Roman"/>
              <w:i/>
              <w:sz w:val="18"/>
            </w:rPr>
            <w:fldChar w:fldCharType="separate"/>
          </w:r>
          <w:r w:rsidR="00F00546">
            <w:rPr>
              <w:rFonts w:cs="Times New Roman"/>
              <w:i/>
              <w:noProof/>
              <w:sz w:val="18"/>
            </w:rPr>
            <w:t>4</w:t>
          </w:r>
          <w:r w:rsidRPr="004B29C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4B29C6" w:rsidRDefault="00304E75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4B29C6">
            <w:rPr>
              <w:rFonts w:cs="Times New Roman"/>
              <w:i/>
              <w:sz w:val="18"/>
            </w:rPr>
            <w:fldChar w:fldCharType="begin"/>
          </w:r>
          <w:r w:rsidRPr="004B29C6">
            <w:rPr>
              <w:rFonts w:cs="Times New Roman"/>
              <w:i/>
              <w:sz w:val="18"/>
            </w:rPr>
            <w:instrText xml:space="preserve"> DOCPROPERTY ShortT </w:instrText>
          </w:r>
          <w:r w:rsidRPr="004B29C6">
            <w:rPr>
              <w:rFonts w:cs="Times New Roman"/>
              <w:i/>
              <w:sz w:val="18"/>
            </w:rPr>
            <w:fldChar w:fldCharType="separate"/>
          </w:r>
          <w:r w:rsidR="007D1114">
            <w:rPr>
              <w:rFonts w:cs="Times New Roman"/>
              <w:i/>
              <w:sz w:val="18"/>
            </w:rPr>
            <w:t>Defence (Inquiry) Amendment Regulation 2013 (No. 1)</w:t>
          </w:r>
          <w:r w:rsidRPr="004B29C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4B29C6" w:rsidRDefault="00304E7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4B29C6">
            <w:rPr>
              <w:rFonts w:cs="Times New Roman"/>
              <w:i/>
              <w:sz w:val="18"/>
            </w:rPr>
            <w:fldChar w:fldCharType="begin"/>
          </w:r>
          <w:r w:rsidRPr="004B29C6">
            <w:rPr>
              <w:rFonts w:cs="Times New Roman"/>
              <w:i/>
              <w:sz w:val="18"/>
            </w:rPr>
            <w:instrText xml:space="preserve"> DOCPROPERTY ActNo </w:instrText>
          </w:r>
          <w:r w:rsidRPr="004B29C6">
            <w:rPr>
              <w:rFonts w:cs="Times New Roman"/>
              <w:i/>
              <w:sz w:val="18"/>
            </w:rPr>
            <w:fldChar w:fldCharType="separate"/>
          </w:r>
          <w:r w:rsidR="007D1114">
            <w:rPr>
              <w:rFonts w:cs="Times New Roman"/>
              <w:i/>
              <w:sz w:val="18"/>
            </w:rPr>
            <w:t>No. 113, 2013</w:t>
          </w:r>
          <w:r w:rsidRPr="004B29C6">
            <w:rPr>
              <w:rFonts w:cs="Times New Roman"/>
              <w:i/>
              <w:sz w:val="18"/>
            </w:rPr>
            <w:fldChar w:fldCharType="end"/>
          </w:r>
        </w:p>
      </w:tc>
    </w:tr>
    <w:tr w:rsidR="00304E75" w:rsidRPr="004B29C6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4B29C6" w:rsidRDefault="00304E75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304E75" w:rsidRPr="004B29C6" w:rsidRDefault="004B29C6" w:rsidP="004B29C6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OPC60021</w:t>
    </w:r>
    <w:r w:rsidRPr="004B29C6">
      <w:rPr>
        <w:rFonts w:cs="Times New Roman"/>
        <w:i/>
        <w:sz w:val="18"/>
      </w:rPr>
      <w:t xml:space="preserve">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D1114">
            <w:rPr>
              <w:i/>
              <w:sz w:val="18"/>
            </w:rPr>
            <w:t>No. 113,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1114">
            <w:rPr>
              <w:i/>
              <w:sz w:val="18"/>
            </w:rPr>
            <w:t>Defence (Inquiry)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00546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7946FE">
          <w:pPr>
            <w:rPr>
              <w:sz w:val="18"/>
            </w:rPr>
          </w:pPr>
        </w:p>
      </w:tc>
    </w:tr>
  </w:tbl>
  <w:p w:rsidR="00B63BDE" w:rsidRPr="00ED79B6" w:rsidRDefault="004B29C6" w:rsidP="004B29C6">
    <w:pPr>
      <w:rPr>
        <w:i/>
        <w:sz w:val="18"/>
      </w:rPr>
    </w:pPr>
    <w:r>
      <w:rPr>
        <w:i/>
        <w:sz w:val="18"/>
      </w:rPr>
      <w:t>OPC60021</w:t>
    </w:r>
    <w:r w:rsidRPr="004B29C6">
      <w:rPr>
        <w:rFonts w:cs="Times New Roman"/>
        <w:i/>
        <w:sz w:val="18"/>
      </w:rPr>
      <w:t xml:space="preserve">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D1114">
            <w:rPr>
              <w:i/>
              <w:sz w:val="18"/>
            </w:rPr>
            <w:t>No. 113,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1114">
            <w:rPr>
              <w:i/>
              <w:sz w:val="18"/>
            </w:rPr>
            <w:t>Defence (Inquiry)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6246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533C52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B8D" w:rsidRDefault="00751B8D" w:rsidP="0048364F">
      <w:pPr>
        <w:spacing w:line="240" w:lineRule="auto"/>
      </w:pPr>
      <w:r>
        <w:separator/>
      </w:r>
    </w:p>
  </w:footnote>
  <w:footnote w:type="continuationSeparator" w:id="0">
    <w:p w:rsidR="00751B8D" w:rsidRDefault="00751B8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00546">
      <w:rPr>
        <w:b/>
        <w:sz w:val="20"/>
      </w:rPr>
      <w:fldChar w:fldCharType="separate"/>
    </w:r>
    <w:r w:rsidR="00F0054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00546">
      <w:rPr>
        <w:sz w:val="20"/>
      </w:rPr>
      <w:fldChar w:fldCharType="separate"/>
    </w:r>
    <w:r w:rsidR="00F00546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00546">
      <w:rPr>
        <w:sz w:val="20"/>
      </w:rPr>
      <w:fldChar w:fldCharType="separate"/>
    </w:r>
    <w:r w:rsidR="00F00546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00546">
      <w:rPr>
        <w:b/>
        <w:sz w:val="20"/>
      </w:rPr>
      <w:fldChar w:fldCharType="separate"/>
    </w:r>
    <w:r w:rsidR="00F0054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8D"/>
    <w:rsid w:val="000041C6"/>
    <w:rsid w:val="00004515"/>
    <w:rsid w:val="000113BC"/>
    <w:rsid w:val="00012D02"/>
    <w:rsid w:val="000136AF"/>
    <w:rsid w:val="00025060"/>
    <w:rsid w:val="00037A36"/>
    <w:rsid w:val="0004044E"/>
    <w:rsid w:val="000614BF"/>
    <w:rsid w:val="00063C80"/>
    <w:rsid w:val="00085AEB"/>
    <w:rsid w:val="00097FDD"/>
    <w:rsid w:val="000B058B"/>
    <w:rsid w:val="000D05EF"/>
    <w:rsid w:val="000F21C1"/>
    <w:rsid w:val="000F7427"/>
    <w:rsid w:val="0010745C"/>
    <w:rsid w:val="00154EAC"/>
    <w:rsid w:val="001643C9"/>
    <w:rsid w:val="00165568"/>
    <w:rsid w:val="00166C2F"/>
    <w:rsid w:val="001716C9"/>
    <w:rsid w:val="00171EAE"/>
    <w:rsid w:val="00193461"/>
    <w:rsid w:val="001939E1"/>
    <w:rsid w:val="00195382"/>
    <w:rsid w:val="001B7A5D"/>
    <w:rsid w:val="001C69C4"/>
    <w:rsid w:val="001E3590"/>
    <w:rsid w:val="001E562E"/>
    <w:rsid w:val="001E7407"/>
    <w:rsid w:val="001F6924"/>
    <w:rsid w:val="00201D27"/>
    <w:rsid w:val="00240749"/>
    <w:rsid w:val="00265FBC"/>
    <w:rsid w:val="00266D05"/>
    <w:rsid w:val="0027484D"/>
    <w:rsid w:val="00287E93"/>
    <w:rsid w:val="002932B1"/>
    <w:rsid w:val="00297ECB"/>
    <w:rsid w:val="002B5B89"/>
    <w:rsid w:val="002B7D96"/>
    <w:rsid w:val="002C651B"/>
    <w:rsid w:val="002D043A"/>
    <w:rsid w:val="002F0A95"/>
    <w:rsid w:val="002F7406"/>
    <w:rsid w:val="00304E75"/>
    <w:rsid w:val="003072FA"/>
    <w:rsid w:val="0031713F"/>
    <w:rsid w:val="003415D3"/>
    <w:rsid w:val="00342AB5"/>
    <w:rsid w:val="00351F63"/>
    <w:rsid w:val="00352B0F"/>
    <w:rsid w:val="00361762"/>
    <w:rsid w:val="00361BD9"/>
    <w:rsid w:val="00373D88"/>
    <w:rsid w:val="003801D0"/>
    <w:rsid w:val="0039228E"/>
    <w:rsid w:val="003926B5"/>
    <w:rsid w:val="003B04EC"/>
    <w:rsid w:val="003C5F2B"/>
    <w:rsid w:val="003D0BFE"/>
    <w:rsid w:val="003D5700"/>
    <w:rsid w:val="003E3981"/>
    <w:rsid w:val="003E5FF5"/>
    <w:rsid w:val="003F4CA9"/>
    <w:rsid w:val="003F567B"/>
    <w:rsid w:val="003F77AA"/>
    <w:rsid w:val="004010E7"/>
    <w:rsid w:val="00401403"/>
    <w:rsid w:val="004116CD"/>
    <w:rsid w:val="00411C16"/>
    <w:rsid w:val="00412B83"/>
    <w:rsid w:val="00424CA9"/>
    <w:rsid w:val="0044291A"/>
    <w:rsid w:val="004436CF"/>
    <w:rsid w:val="004541B9"/>
    <w:rsid w:val="00460499"/>
    <w:rsid w:val="0046246F"/>
    <w:rsid w:val="0048364F"/>
    <w:rsid w:val="00494089"/>
    <w:rsid w:val="00496F97"/>
    <w:rsid w:val="004A2484"/>
    <w:rsid w:val="004B29C6"/>
    <w:rsid w:val="004C2921"/>
    <w:rsid w:val="004C6444"/>
    <w:rsid w:val="004C6DE1"/>
    <w:rsid w:val="004D27F6"/>
    <w:rsid w:val="004D2E65"/>
    <w:rsid w:val="004F1DFF"/>
    <w:rsid w:val="004F1FAC"/>
    <w:rsid w:val="004F3A90"/>
    <w:rsid w:val="004F676E"/>
    <w:rsid w:val="00503742"/>
    <w:rsid w:val="00504C75"/>
    <w:rsid w:val="005133B6"/>
    <w:rsid w:val="00516B8D"/>
    <w:rsid w:val="005312DA"/>
    <w:rsid w:val="0053614C"/>
    <w:rsid w:val="00537FBC"/>
    <w:rsid w:val="00543469"/>
    <w:rsid w:val="00557C7A"/>
    <w:rsid w:val="00584811"/>
    <w:rsid w:val="0058646E"/>
    <w:rsid w:val="00590EB8"/>
    <w:rsid w:val="00591E07"/>
    <w:rsid w:val="00593AA6"/>
    <w:rsid w:val="00594161"/>
    <w:rsid w:val="00594749"/>
    <w:rsid w:val="005B4067"/>
    <w:rsid w:val="005C04FE"/>
    <w:rsid w:val="005C12DE"/>
    <w:rsid w:val="005C3F41"/>
    <w:rsid w:val="005F66B2"/>
    <w:rsid w:val="00600219"/>
    <w:rsid w:val="00622E9D"/>
    <w:rsid w:val="006249E6"/>
    <w:rsid w:val="00630733"/>
    <w:rsid w:val="0064468A"/>
    <w:rsid w:val="00654CCA"/>
    <w:rsid w:val="00656DE9"/>
    <w:rsid w:val="00676125"/>
    <w:rsid w:val="00677CC2"/>
    <w:rsid w:val="00680F17"/>
    <w:rsid w:val="00682E4B"/>
    <w:rsid w:val="00685F42"/>
    <w:rsid w:val="0069207B"/>
    <w:rsid w:val="00692B8B"/>
    <w:rsid w:val="006937E2"/>
    <w:rsid w:val="006977FB"/>
    <w:rsid w:val="006B262A"/>
    <w:rsid w:val="006B658F"/>
    <w:rsid w:val="006C2C12"/>
    <w:rsid w:val="006C403D"/>
    <w:rsid w:val="006C7F8C"/>
    <w:rsid w:val="006D3667"/>
    <w:rsid w:val="006E004B"/>
    <w:rsid w:val="00700B2C"/>
    <w:rsid w:val="00701E6A"/>
    <w:rsid w:val="00712382"/>
    <w:rsid w:val="00713084"/>
    <w:rsid w:val="00721F31"/>
    <w:rsid w:val="00722023"/>
    <w:rsid w:val="00731E00"/>
    <w:rsid w:val="007440B7"/>
    <w:rsid w:val="00747B36"/>
    <w:rsid w:val="00751B8D"/>
    <w:rsid w:val="00752966"/>
    <w:rsid w:val="007634AD"/>
    <w:rsid w:val="007715C9"/>
    <w:rsid w:val="00774EDD"/>
    <w:rsid w:val="00775376"/>
    <w:rsid w:val="007757EC"/>
    <w:rsid w:val="007769D4"/>
    <w:rsid w:val="00785AFA"/>
    <w:rsid w:val="007903AC"/>
    <w:rsid w:val="007D1114"/>
    <w:rsid w:val="007E0942"/>
    <w:rsid w:val="007E7D4A"/>
    <w:rsid w:val="007F2BEE"/>
    <w:rsid w:val="00826DA5"/>
    <w:rsid w:val="00833416"/>
    <w:rsid w:val="0083475E"/>
    <w:rsid w:val="00856A31"/>
    <w:rsid w:val="00874B69"/>
    <w:rsid w:val="00875366"/>
    <w:rsid w:val="008754D0"/>
    <w:rsid w:val="00877D48"/>
    <w:rsid w:val="0089783B"/>
    <w:rsid w:val="008A477C"/>
    <w:rsid w:val="008D0EE0"/>
    <w:rsid w:val="008E1EEE"/>
    <w:rsid w:val="008F07E3"/>
    <w:rsid w:val="008F4F1C"/>
    <w:rsid w:val="009051D6"/>
    <w:rsid w:val="00907271"/>
    <w:rsid w:val="00921306"/>
    <w:rsid w:val="00932377"/>
    <w:rsid w:val="00935CAB"/>
    <w:rsid w:val="0095646E"/>
    <w:rsid w:val="00981F2A"/>
    <w:rsid w:val="00992422"/>
    <w:rsid w:val="00996B16"/>
    <w:rsid w:val="009B3629"/>
    <w:rsid w:val="009C49D8"/>
    <w:rsid w:val="009E3601"/>
    <w:rsid w:val="009F727E"/>
    <w:rsid w:val="009F75AD"/>
    <w:rsid w:val="00A10E41"/>
    <w:rsid w:val="00A131CF"/>
    <w:rsid w:val="00A15227"/>
    <w:rsid w:val="00A2057D"/>
    <w:rsid w:val="00A231E2"/>
    <w:rsid w:val="00A2550D"/>
    <w:rsid w:val="00A26DBE"/>
    <w:rsid w:val="00A326A4"/>
    <w:rsid w:val="00A4169B"/>
    <w:rsid w:val="00A4361F"/>
    <w:rsid w:val="00A53DE3"/>
    <w:rsid w:val="00A64912"/>
    <w:rsid w:val="00A66A5D"/>
    <w:rsid w:val="00A70A74"/>
    <w:rsid w:val="00A87AB9"/>
    <w:rsid w:val="00AA1136"/>
    <w:rsid w:val="00AB3315"/>
    <w:rsid w:val="00AB6BA3"/>
    <w:rsid w:val="00AC1BB7"/>
    <w:rsid w:val="00AD5641"/>
    <w:rsid w:val="00AD6E7B"/>
    <w:rsid w:val="00AF0336"/>
    <w:rsid w:val="00B032D8"/>
    <w:rsid w:val="00B03801"/>
    <w:rsid w:val="00B124B3"/>
    <w:rsid w:val="00B332B8"/>
    <w:rsid w:val="00B33B3C"/>
    <w:rsid w:val="00B61D2C"/>
    <w:rsid w:val="00B63BDE"/>
    <w:rsid w:val="00B71ACF"/>
    <w:rsid w:val="00B8075B"/>
    <w:rsid w:val="00B85334"/>
    <w:rsid w:val="00B87490"/>
    <w:rsid w:val="00BA5026"/>
    <w:rsid w:val="00BB247C"/>
    <w:rsid w:val="00BB6E79"/>
    <w:rsid w:val="00BC4F91"/>
    <w:rsid w:val="00BD60E6"/>
    <w:rsid w:val="00BE253A"/>
    <w:rsid w:val="00BE719A"/>
    <w:rsid w:val="00BE720A"/>
    <w:rsid w:val="00C020EE"/>
    <w:rsid w:val="00C051F6"/>
    <w:rsid w:val="00C067E5"/>
    <w:rsid w:val="00C164CA"/>
    <w:rsid w:val="00C21B63"/>
    <w:rsid w:val="00C42BF8"/>
    <w:rsid w:val="00C460AE"/>
    <w:rsid w:val="00C50043"/>
    <w:rsid w:val="00C7573B"/>
    <w:rsid w:val="00C76CF3"/>
    <w:rsid w:val="00C86F70"/>
    <w:rsid w:val="00CA1726"/>
    <w:rsid w:val="00CA1A9E"/>
    <w:rsid w:val="00CA3E0A"/>
    <w:rsid w:val="00CB0180"/>
    <w:rsid w:val="00CD606E"/>
    <w:rsid w:val="00CD7ECB"/>
    <w:rsid w:val="00CF0BB2"/>
    <w:rsid w:val="00D13441"/>
    <w:rsid w:val="00D167BB"/>
    <w:rsid w:val="00D17B17"/>
    <w:rsid w:val="00D243A3"/>
    <w:rsid w:val="00D3180D"/>
    <w:rsid w:val="00D33440"/>
    <w:rsid w:val="00D40403"/>
    <w:rsid w:val="00D5216F"/>
    <w:rsid w:val="00D52EFE"/>
    <w:rsid w:val="00D63EF6"/>
    <w:rsid w:val="00D674C1"/>
    <w:rsid w:val="00D67856"/>
    <w:rsid w:val="00D70DFB"/>
    <w:rsid w:val="00D75776"/>
    <w:rsid w:val="00D766DF"/>
    <w:rsid w:val="00D83D21"/>
    <w:rsid w:val="00D84B58"/>
    <w:rsid w:val="00D925D1"/>
    <w:rsid w:val="00D92A89"/>
    <w:rsid w:val="00DA632C"/>
    <w:rsid w:val="00DC589E"/>
    <w:rsid w:val="00DC719C"/>
    <w:rsid w:val="00DD4C5F"/>
    <w:rsid w:val="00E05704"/>
    <w:rsid w:val="00E05C46"/>
    <w:rsid w:val="00E243D6"/>
    <w:rsid w:val="00E30206"/>
    <w:rsid w:val="00E328B4"/>
    <w:rsid w:val="00E33C1C"/>
    <w:rsid w:val="00E405C3"/>
    <w:rsid w:val="00E443FC"/>
    <w:rsid w:val="00E47D59"/>
    <w:rsid w:val="00E51579"/>
    <w:rsid w:val="00E54292"/>
    <w:rsid w:val="00E74DC7"/>
    <w:rsid w:val="00E84B32"/>
    <w:rsid w:val="00E87699"/>
    <w:rsid w:val="00ED3A7D"/>
    <w:rsid w:val="00ED4E35"/>
    <w:rsid w:val="00EE7CBD"/>
    <w:rsid w:val="00EF2E3A"/>
    <w:rsid w:val="00F00546"/>
    <w:rsid w:val="00F047E2"/>
    <w:rsid w:val="00F06FE0"/>
    <w:rsid w:val="00F078DC"/>
    <w:rsid w:val="00F13E86"/>
    <w:rsid w:val="00F14C55"/>
    <w:rsid w:val="00F24C35"/>
    <w:rsid w:val="00F5478C"/>
    <w:rsid w:val="00F56759"/>
    <w:rsid w:val="00F677A9"/>
    <w:rsid w:val="00F84CF5"/>
    <w:rsid w:val="00FA420B"/>
    <w:rsid w:val="00FB78A5"/>
    <w:rsid w:val="00FC2197"/>
    <w:rsid w:val="00FD7CFE"/>
    <w:rsid w:val="00FE67A6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6B16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6B16"/>
  </w:style>
  <w:style w:type="paragraph" w:customStyle="1" w:styleId="OPCParaBase">
    <w:name w:val="OPCParaBase"/>
    <w:qFormat/>
    <w:rsid w:val="00996B1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96B1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6B1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6B1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6B1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6B1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96B1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6B1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6B1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6B1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6B1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96B16"/>
  </w:style>
  <w:style w:type="paragraph" w:customStyle="1" w:styleId="Blocks">
    <w:name w:val="Blocks"/>
    <w:aliases w:val="bb"/>
    <w:basedOn w:val="OPCParaBase"/>
    <w:qFormat/>
    <w:rsid w:val="00996B1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6B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6B1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6B16"/>
    <w:rPr>
      <w:i/>
    </w:rPr>
  </w:style>
  <w:style w:type="paragraph" w:customStyle="1" w:styleId="BoxList">
    <w:name w:val="BoxList"/>
    <w:aliases w:val="bl"/>
    <w:basedOn w:val="BoxText"/>
    <w:qFormat/>
    <w:rsid w:val="00996B1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6B1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6B1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6B16"/>
    <w:pPr>
      <w:ind w:left="1985" w:hanging="851"/>
    </w:pPr>
  </w:style>
  <w:style w:type="character" w:customStyle="1" w:styleId="CharAmPartNo">
    <w:name w:val="CharAmPartNo"/>
    <w:basedOn w:val="OPCCharBase"/>
    <w:qFormat/>
    <w:rsid w:val="00996B16"/>
  </w:style>
  <w:style w:type="character" w:customStyle="1" w:styleId="CharAmPartText">
    <w:name w:val="CharAmPartText"/>
    <w:basedOn w:val="OPCCharBase"/>
    <w:qFormat/>
    <w:rsid w:val="00996B16"/>
  </w:style>
  <w:style w:type="character" w:customStyle="1" w:styleId="CharAmSchNo">
    <w:name w:val="CharAmSchNo"/>
    <w:basedOn w:val="OPCCharBase"/>
    <w:qFormat/>
    <w:rsid w:val="00996B16"/>
  </w:style>
  <w:style w:type="character" w:customStyle="1" w:styleId="CharAmSchText">
    <w:name w:val="CharAmSchText"/>
    <w:basedOn w:val="OPCCharBase"/>
    <w:qFormat/>
    <w:rsid w:val="00996B16"/>
  </w:style>
  <w:style w:type="character" w:customStyle="1" w:styleId="CharBoldItalic">
    <w:name w:val="CharBoldItalic"/>
    <w:basedOn w:val="OPCCharBase"/>
    <w:uiPriority w:val="1"/>
    <w:qFormat/>
    <w:rsid w:val="00996B16"/>
    <w:rPr>
      <w:b/>
      <w:i/>
    </w:rPr>
  </w:style>
  <w:style w:type="character" w:customStyle="1" w:styleId="CharChapNo">
    <w:name w:val="CharChapNo"/>
    <w:basedOn w:val="OPCCharBase"/>
    <w:uiPriority w:val="1"/>
    <w:qFormat/>
    <w:rsid w:val="00996B16"/>
  </w:style>
  <w:style w:type="character" w:customStyle="1" w:styleId="CharChapText">
    <w:name w:val="CharChapText"/>
    <w:basedOn w:val="OPCCharBase"/>
    <w:uiPriority w:val="1"/>
    <w:qFormat/>
    <w:rsid w:val="00996B16"/>
  </w:style>
  <w:style w:type="character" w:customStyle="1" w:styleId="CharDivNo">
    <w:name w:val="CharDivNo"/>
    <w:basedOn w:val="OPCCharBase"/>
    <w:uiPriority w:val="1"/>
    <w:qFormat/>
    <w:rsid w:val="00996B16"/>
  </w:style>
  <w:style w:type="character" w:customStyle="1" w:styleId="CharDivText">
    <w:name w:val="CharDivText"/>
    <w:basedOn w:val="OPCCharBase"/>
    <w:uiPriority w:val="1"/>
    <w:qFormat/>
    <w:rsid w:val="00996B16"/>
  </w:style>
  <w:style w:type="character" w:customStyle="1" w:styleId="CharItalic">
    <w:name w:val="CharItalic"/>
    <w:basedOn w:val="OPCCharBase"/>
    <w:uiPriority w:val="1"/>
    <w:qFormat/>
    <w:rsid w:val="00996B16"/>
    <w:rPr>
      <w:i/>
    </w:rPr>
  </w:style>
  <w:style w:type="character" w:customStyle="1" w:styleId="CharPartNo">
    <w:name w:val="CharPartNo"/>
    <w:basedOn w:val="OPCCharBase"/>
    <w:uiPriority w:val="1"/>
    <w:qFormat/>
    <w:rsid w:val="00996B16"/>
  </w:style>
  <w:style w:type="character" w:customStyle="1" w:styleId="CharPartText">
    <w:name w:val="CharPartText"/>
    <w:basedOn w:val="OPCCharBase"/>
    <w:uiPriority w:val="1"/>
    <w:qFormat/>
    <w:rsid w:val="00996B16"/>
  </w:style>
  <w:style w:type="character" w:customStyle="1" w:styleId="CharSectno">
    <w:name w:val="CharSectno"/>
    <w:basedOn w:val="OPCCharBase"/>
    <w:qFormat/>
    <w:rsid w:val="00996B16"/>
  </w:style>
  <w:style w:type="character" w:customStyle="1" w:styleId="CharSubdNo">
    <w:name w:val="CharSubdNo"/>
    <w:basedOn w:val="OPCCharBase"/>
    <w:uiPriority w:val="1"/>
    <w:qFormat/>
    <w:rsid w:val="00996B16"/>
  </w:style>
  <w:style w:type="character" w:customStyle="1" w:styleId="CharSubdText">
    <w:name w:val="CharSubdText"/>
    <w:basedOn w:val="OPCCharBase"/>
    <w:uiPriority w:val="1"/>
    <w:qFormat/>
    <w:rsid w:val="00996B16"/>
  </w:style>
  <w:style w:type="paragraph" w:customStyle="1" w:styleId="CTA--">
    <w:name w:val="CTA --"/>
    <w:basedOn w:val="OPCParaBase"/>
    <w:next w:val="Normal"/>
    <w:rsid w:val="00996B1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6B1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6B1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6B1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6B1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6B1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6B1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6B1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6B1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6B1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6B1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6B1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6B1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6B1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96B1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6B1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96B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96B1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96B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96B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96B1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6B1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6B1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6B1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96B1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6B1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6B1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6B1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6B1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6B1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6B1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996B16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996B1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6B1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6B1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6B1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96B1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6B1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6B1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6B1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6B1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6B1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6B1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6B1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6B1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6B1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96B1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6B1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6B1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6B1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6B1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6B1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6B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6B1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6B1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6B1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96B1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96B1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96B1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96B1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96B1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96B1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96B1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96B1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96B1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96B1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6B1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6B1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6B1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6B1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6B1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6B1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6B1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96B16"/>
    <w:rPr>
      <w:sz w:val="16"/>
    </w:rPr>
  </w:style>
  <w:style w:type="table" w:customStyle="1" w:styleId="CFlag">
    <w:name w:val="CFlag"/>
    <w:basedOn w:val="TableNormal"/>
    <w:uiPriority w:val="99"/>
    <w:rsid w:val="00996B1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B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B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6B16"/>
    <w:rPr>
      <w:color w:val="0000FF"/>
      <w:u w:val="single"/>
    </w:rPr>
  </w:style>
  <w:style w:type="table" w:styleId="TableGrid">
    <w:name w:val="Table Grid"/>
    <w:basedOn w:val="TableNormal"/>
    <w:uiPriority w:val="59"/>
    <w:rsid w:val="00996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96B1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96B16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96B1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96B1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996B1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96B1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96B16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996B16"/>
  </w:style>
  <w:style w:type="paragraph" w:customStyle="1" w:styleId="CompiledActNo">
    <w:name w:val="CompiledActNo"/>
    <w:basedOn w:val="OPCParaBase"/>
    <w:next w:val="Normal"/>
    <w:rsid w:val="00996B1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96B1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96B1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996B16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996B1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96B1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996B1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6B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996B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6B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96B1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96B1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96B1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6B16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996B1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">
    <w:name w:val="ENoteTTIndentHeading"/>
    <w:aliases w:val="enTTHi"/>
    <w:basedOn w:val="OPCParaBase"/>
    <w:rsid w:val="00996B1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96B1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96B16"/>
    <w:pPr>
      <w:spacing w:before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6B16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6B16"/>
  </w:style>
  <w:style w:type="paragraph" w:customStyle="1" w:styleId="OPCParaBase">
    <w:name w:val="OPCParaBase"/>
    <w:qFormat/>
    <w:rsid w:val="00996B1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96B1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6B1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6B1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6B1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6B1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96B1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6B1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6B1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6B1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6B1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96B16"/>
  </w:style>
  <w:style w:type="paragraph" w:customStyle="1" w:styleId="Blocks">
    <w:name w:val="Blocks"/>
    <w:aliases w:val="bb"/>
    <w:basedOn w:val="OPCParaBase"/>
    <w:qFormat/>
    <w:rsid w:val="00996B1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6B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6B1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6B16"/>
    <w:rPr>
      <w:i/>
    </w:rPr>
  </w:style>
  <w:style w:type="paragraph" w:customStyle="1" w:styleId="BoxList">
    <w:name w:val="BoxList"/>
    <w:aliases w:val="bl"/>
    <w:basedOn w:val="BoxText"/>
    <w:qFormat/>
    <w:rsid w:val="00996B1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6B1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6B1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6B16"/>
    <w:pPr>
      <w:ind w:left="1985" w:hanging="851"/>
    </w:pPr>
  </w:style>
  <w:style w:type="character" w:customStyle="1" w:styleId="CharAmPartNo">
    <w:name w:val="CharAmPartNo"/>
    <w:basedOn w:val="OPCCharBase"/>
    <w:qFormat/>
    <w:rsid w:val="00996B16"/>
  </w:style>
  <w:style w:type="character" w:customStyle="1" w:styleId="CharAmPartText">
    <w:name w:val="CharAmPartText"/>
    <w:basedOn w:val="OPCCharBase"/>
    <w:qFormat/>
    <w:rsid w:val="00996B16"/>
  </w:style>
  <w:style w:type="character" w:customStyle="1" w:styleId="CharAmSchNo">
    <w:name w:val="CharAmSchNo"/>
    <w:basedOn w:val="OPCCharBase"/>
    <w:qFormat/>
    <w:rsid w:val="00996B16"/>
  </w:style>
  <w:style w:type="character" w:customStyle="1" w:styleId="CharAmSchText">
    <w:name w:val="CharAmSchText"/>
    <w:basedOn w:val="OPCCharBase"/>
    <w:qFormat/>
    <w:rsid w:val="00996B16"/>
  </w:style>
  <w:style w:type="character" w:customStyle="1" w:styleId="CharBoldItalic">
    <w:name w:val="CharBoldItalic"/>
    <w:basedOn w:val="OPCCharBase"/>
    <w:uiPriority w:val="1"/>
    <w:qFormat/>
    <w:rsid w:val="00996B16"/>
    <w:rPr>
      <w:b/>
      <w:i/>
    </w:rPr>
  </w:style>
  <w:style w:type="character" w:customStyle="1" w:styleId="CharChapNo">
    <w:name w:val="CharChapNo"/>
    <w:basedOn w:val="OPCCharBase"/>
    <w:uiPriority w:val="1"/>
    <w:qFormat/>
    <w:rsid w:val="00996B16"/>
  </w:style>
  <w:style w:type="character" w:customStyle="1" w:styleId="CharChapText">
    <w:name w:val="CharChapText"/>
    <w:basedOn w:val="OPCCharBase"/>
    <w:uiPriority w:val="1"/>
    <w:qFormat/>
    <w:rsid w:val="00996B16"/>
  </w:style>
  <w:style w:type="character" w:customStyle="1" w:styleId="CharDivNo">
    <w:name w:val="CharDivNo"/>
    <w:basedOn w:val="OPCCharBase"/>
    <w:uiPriority w:val="1"/>
    <w:qFormat/>
    <w:rsid w:val="00996B16"/>
  </w:style>
  <w:style w:type="character" w:customStyle="1" w:styleId="CharDivText">
    <w:name w:val="CharDivText"/>
    <w:basedOn w:val="OPCCharBase"/>
    <w:uiPriority w:val="1"/>
    <w:qFormat/>
    <w:rsid w:val="00996B16"/>
  </w:style>
  <w:style w:type="character" w:customStyle="1" w:styleId="CharItalic">
    <w:name w:val="CharItalic"/>
    <w:basedOn w:val="OPCCharBase"/>
    <w:uiPriority w:val="1"/>
    <w:qFormat/>
    <w:rsid w:val="00996B16"/>
    <w:rPr>
      <w:i/>
    </w:rPr>
  </w:style>
  <w:style w:type="character" w:customStyle="1" w:styleId="CharPartNo">
    <w:name w:val="CharPartNo"/>
    <w:basedOn w:val="OPCCharBase"/>
    <w:uiPriority w:val="1"/>
    <w:qFormat/>
    <w:rsid w:val="00996B16"/>
  </w:style>
  <w:style w:type="character" w:customStyle="1" w:styleId="CharPartText">
    <w:name w:val="CharPartText"/>
    <w:basedOn w:val="OPCCharBase"/>
    <w:uiPriority w:val="1"/>
    <w:qFormat/>
    <w:rsid w:val="00996B16"/>
  </w:style>
  <w:style w:type="character" w:customStyle="1" w:styleId="CharSectno">
    <w:name w:val="CharSectno"/>
    <w:basedOn w:val="OPCCharBase"/>
    <w:qFormat/>
    <w:rsid w:val="00996B16"/>
  </w:style>
  <w:style w:type="character" w:customStyle="1" w:styleId="CharSubdNo">
    <w:name w:val="CharSubdNo"/>
    <w:basedOn w:val="OPCCharBase"/>
    <w:uiPriority w:val="1"/>
    <w:qFormat/>
    <w:rsid w:val="00996B16"/>
  </w:style>
  <w:style w:type="character" w:customStyle="1" w:styleId="CharSubdText">
    <w:name w:val="CharSubdText"/>
    <w:basedOn w:val="OPCCharBase"/>
    <w:uiPriority w:val="1"/>
    <w:qFormat/>
    <w:rsid w:val="00996B16"/>
  </w:style>
  <w:style w:type="paragraph" w:customStyle="1" w:styleId="CTA--">
    <w:name w:val="CTA --"/>
    <w:basedOn w:val="OPCParaBase"/>
    <w:next w:val="Normal"/>
    <w:rsid w:val="00996B1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6B1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6B1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6B1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6B1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6B1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6B1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6B1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6B1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6B1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6B1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6B1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6B1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6B1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96B1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6B1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96B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96B1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96B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96B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96B1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6B1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6B1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6B1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96B1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6B1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6B1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6B1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6B1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6B1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6B1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996B16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996B1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6B1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6B1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6B1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96B1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6B1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6B1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6B1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6B1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6B1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6B1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6B1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6B1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6B1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96B1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6B1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6B1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6B1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6B1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6B1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6B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6B1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6B1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6B1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96B1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96B1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96B1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96B1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96B1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96B1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96B1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96B1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96B1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96B1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6B1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6B1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6B1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6B1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6B1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6B1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6B1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96B16"/>
    <w:rPr>
      <w:sz w:val="16"/>
    </w:rPr>
  </w:style>
  <w:style w:type="table" w:customStyle="1" w:styleId="CFlag">
    <w:name w:val="CFlag"/>
    <w:basedOn w:val="TableNormal"/>
    <w:uiPriority w:val="99"/>
    <w:rsid w:val="00996B1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B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B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6B16"/>
    <w:rPr>
      <w:color w:val="0000FF"/>
      <w:u w:val="single"/>
    </w:rPr>
  </w:style>
  <w:style w:type="table" w:styleId="TableGrid">
    <w:name w:val="Table Grid"/>
    <w:basedOn w:val="TableNormal"/>
    <w:uiPriority w:val="59"/>
    <w:rsid w:val="00996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96B1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96B16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96B1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96B1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996B1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96B1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96B16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996B16"/>
  </w:style>
  <w:style w:type="paragraph" w:customStyle="1" w:styleId="CompiledActNo">
    <w:name w:val="CompiledActNo"/>
    <w:basedOn w:val="OPCParaBase"/>
    <w:next w:val="Normal"/>
    <w:rsid w:val="00996B1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96B1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96B1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996B16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996B1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96B1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996B1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6B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996B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6B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96B1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96B1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96B1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6B16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996B1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">
    <w:name w:val="ENoteTTIndentHeading"/>
    <w:aliases w:val="enTTHi"/>
    <w:basedOn w:val="OPCParaBase"/>
    <w:rsid w:val="00996B1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96B1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96B16"/>
    <w:pPr>
      <w:spacing w:before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9</Pages>
  <Words>1238</Words>
  <Characters>5940</Characters>
  <Application>Microsoft Office Word</Application>
  <DocSecurity>0</DocSecurity>
  <PresentationFormat/>
  <Lines>173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Defence (Inquiry) Amendment Regulation 2013 (No. A)</vt:lpstr>
    </vt:vector>
  </TitlesOfParts>
  <Manager/>
  <Company/>
  <LinksUpToDate>false</LinksUpToDate>
  <CharactersWithSpaces>7146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2013-04-18T02:32:00Z</cp:lastPrinted>
  <dcterms:created xsi:type="dcterms:W3CDTF">2013-06-07T00:27:00Z</dcterms:created>
  <dcterms:modified xsi:type="dcterms:W3CDTF">2013-06-07T00:27:00Z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113, 2013</vt:lpwstr>
  </property>
  <property fmtid="{D5CDD505-2E9C-101B-9397-08002B2CF9AE}" pid="3" name="ShortT">
    <vt:lpwstr>Defence (Inquiry) Amendment Regulation 2013 (No. 1)</vt:lpwstr>
  </property>
  <property fmtid="{D5CDD505-2E9C-101B-9397-08002B2CF9AE}" pid="4" name="Class">
    <vt:lpwstr>Unkown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13 June 2013</vt:lpwstr>
  </property>
  <property fmtid="{D5CDD505-2E9C-101B-9397-08002B2CF9AE}" pid="10" name="Authority">
    <vt:lpwstr/>
  </property>
  <property fmtid="{D5CDD505-2E9C-101B-9397-08002B2CF9AE}" pid="11" name="ID">
    <vt:lpwstr>OPC60021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CounterSign">
    <vt:lpwstr/>
  </property>
  <property fmtid="{D5CDD505-2E9C-101B-9397-08002B2CF9AE}" pid="16" name="ExcoDate">
    <vt:lpwstr>13 June 2013</vt:lpwstr>
  </property>
</Properties>
</file>