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8B0" w:rsidRDefault="00F768B0" w:rsidP="00F768B0">
      <w:pPr>
        <w:pStyle w:val="TOC2"/>
        <w:rPr>
          <w:rFonts w:eastAsiaTheme="minorEastAsia"/>
        </w:rPr>
      </w:pPr>
    </w:p>
    <w:p w:rsidR="00F768B0" w:rsidRPr="00884D10" w:rsidRDefault="00F768B0" w:rsidP="00F768B0">
      <w:pPr>
        <w:pStyle w:val="h1ChSch"/>
        <w:pageBreakBefore w:val="0"/>
        <w:spacing w:before="0"/>
        <w:rPr>
          <w:b w:val="0"/>
          <w:vanish/>
          <w:sz w:val="12"/>
        </w:rPr>
      </w:pPr>
      <w:r w:rsidRPr="00884D10">
        <w:rPr>
          <w:b w:val="0"/>
          <w:vanish/>
          <w:sz w:val="12"/>
        </w:rPr>
        <w:t>[Don’t delete]</w:t>
      </w:r>
    </w:p>
    <w:p w:rsidR="00F768B0" w:rsidRPr="00884D10" w:rsidRDefault="00F768B0" w:rsidP="00F768B0">
      <w:pPr>
        <w:pStyle w:val="h2Part"/>
        <w:pageBreakBefore w:val="0"/>
        <w:spacing w:before="0"/>
        <w:rPr>
          <w:b w:val="0"/>
          <w:vanish/>
          <w:sz w:val="12"/>
        </w:rPr>
      </w:pPr>
      <w:r w:rsidRPr="00884D10">
        <w:rPr>
          <w:b w:val="0"/>
          <w:vanish/>
          <w:sz w:val="12"/>
        </w:rPr>
        <w:t>[Don’t delete]</w:t>
      </w:r>
    </w:p>
    <w:p w:rsidR="00F768B0" w:rsidRPr="00884D10" w:rsidRDefault="00F768B0" w:rsidP="00F768B0">
      <w:pPr>
        <w:pStyle w:val="h3Div"/>
        <w:spacing w:before="0"/>
        <w:rPr>
          <w:b w:val="0"/>
          <w:vanish/>
          <w:sz w:val="12"/>
        </w:rPr>
      </w:pPr>
      <w:r w:rsidRPr="00884D10">
        <w:rPr>
          <w:b w:val="0"/>
          <w:vanish/>
          <w:sz w:val="12"/>
        </w:rPr>
        <w:t>[Don’t delete]</w:t>
      </w:r>
    </w:p>
    <w:p w:rsidR="00F768B0" w:rsidRPr="00884D10" w:rsidRDefault="00F768B0" w:rsidP="00F768B0">
      <w:pPr>
        <w:rPr>
          <w:rFonts w:ascii="Arial" w:hAnsi="Arial"/>
          <w:color w:val="808080" w:themeColor="background1" w:themeShade="80"/>
        </w:rPr>
      </w:pPr>
      <w:r w:rsidRPr="00884D10">
        <w:rPr>
          <w:noProof/>
        </w:rPr>
        <w:drawing>
          <wp:inline distT="0" distB="0" distL="0" distR="0" wp14:anchorId="72BF7203" wp14:editId="3585D68D">
            <wp:extent cx="1414145" cy="1105535"/>
            <wp:effectExtent l="0" t="0" r="0" b="120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4145" cy="1105535"/>
                    </a:xfrm>
                    <a:prstGeom prst="rect">
                      <a:avLst/>
                    </a:prstGeom>
                    <a:noFill/>
                    <a:ln>
                      <a:noFill/>
                    </a:ln>
                  </pic:spPr>
                </pic:pic>
              </a:graphicData>
            </a:graphic>
          </wp:inline>
        </w:drawing>
      </w:r>
      <w:r w:rsidRPr="00884D10">
        <w:tab/>
      </w:r>
      <w:bookmarkStart w:id="0" w:name="Draft_and_version"/>
      <w:r w:rsidRPr="00884D10">
        <w:rPr>
          <w:rFonts w:ascii="Arial" w:hAnsi="Arial"/>
          <w:color w:val="808080" w:themeColor="background1" w:themeShade="80"/>
        </w:rPr>
        <w:t xml:space="preserve"> </w:t>
      </w:r>
      <w:bookmarkEnd w:id="0"/>
    </w:p>
    <w:p w:rsidR="00F768B0" w:rsidRPr="00884D10" w:rsidRDefault="00F768B0" w:rsidP="00F768B0">
      <w:pPr>
        <w:pStyle w:val="Title"/>
      </w:pPr>
      <w:bookmarkStart w:id="1" w:name="Citation"/>
      <w:r w:rsidRPr="00884D10">
        <w:t xml:space="preserve">Carbon Credits (Carbon Farming Initiative) (Reduction of Greenhouse Gas Emissions through Early Dry Season </w:t>
      </w:r>
      <w:proofErr w:type="spellStart"/>
      <w:r w:rsidRPr="00884D10">
        <w:t>Savanna</w:t>
      </w:r>
      <w:proofErr w:type="spellEnd"/>
      <w:r w:rsidRPr="00884D10">
        <w:t xml:space="preserve"> </w:t>
      </w:r>
      <w:r w:rsidRPr="00884D10">
        <w:br/>
        <w:t>Burning—1.1) Methodology Determination 2013</w:t>
      </w:r>
      <w:bookmarkEnd w:id="1"/>
      <w:r w:rsidRPr="00884D10">
        <w:rPr>
          <w:b w:val="0"/>
          <w:vertAlign w:val="superscript"/>
        </w:rPr>
        <w:t>1</w:t>
      </w:r>
    </w:p>
    <w:p w:rsidR="00F768B0" w:rsidRPr="00884D10" w:rsidRDefault="00F768B0" w:rsidP="00F768B0">
      <w:pPr>
        <w:pBdr>
          <w:bottom w:val="single" w:sz="4" w:space="3" w:color="auto"/>
        </w:pBdr>
        <w:spacing w:before="480"/>
        <w:rPr>
          <w:rFonts w:ascii="Arial" w:hAnsi="Arial" w:cs="Arial"/>
          <w:i/>
          <w:sz w:val="28"/>
          <w:szCs w:val="28"/>
          <w:lang w:val="en-US"/>
        </w:rPr>
      </w:pPr>
      <w:r w:rsidRPr="00884D10">
        <w:rPr>
          <w:rFonts w:ascii="Arial" w:hAnsi="Arial" w:cs="Arial"/>
          <w:i/>
          <w:sz w:val="28"/>
          <w:szCs w:val="28"/>
          <w:lang w:val="en-US"/>
        </w:rPr>
        <w:t>Carbon Credits (Carbon Farming Initiative) Act 2011</w:t>
      </w:r>
    </w:p>
    <w:p w:rsidR="00F768B0" w:rsidRPr="00884D10" w:rsidRDefault="00F768B0" w:rsidP="00F768B0">
      <w:pPr>
        <w:spacing w:before="360"/>
        <w:jc w:val="both"/>
      </w:pPr>
      <w:r w:rsidRPr="00884D10">
        <w:t xml:space="preserve">I, Yvette </w:t>
      </w:r>
      <w:proofErr w:type="spellStart"/>
      <w:r w:rsidRPr="00884D10">
        <w:t>D’Ath</w:t>
      </w:r>
      <w:proofErr w:type="spellEnd"/>
      <w:r w:rsidRPr="00884D10">
        <w:t xml:space="preserve">, Parliamentary Secretary for Climate Change, Industry and Innovation, make this Methodology Determination under subsection 106(1) of the </w:t>
      </w:r>
      <w:r w:rsidRPr="00884D10">
        <w:rPr>
          <w:i/>
        </w:rPr>
        <w:t>Carbon Credits (Carbon Farming Initiative) Act 2011</w:t>
      </w:r>
      <w:r w:rsidRPr="00884D10">
        <w:t>.</w:t>
      </w:r>
    </w:p>
    <w:p w:rsidR="00F768B0" w:rsidRPr="00884D10" w:rsidRDefault="00D70AFE" w:rsidP="00F768B0">
      <w:pPr>
        <w:tabs>
          <w:tab w:val="left" w:pos="3119"/>
        </w:tabs>
        <w:spacing w:before="300" w:after="600" w:line="300" w:lineRule="atLeast"/>
      </w:pPr>
      <w:r>
        <w:t>Dated 10 June 2013</w:t>
      </w:r>
      <w:bookmarkStart w:id="2" w:name="_GoBack"/>
      <w:bookmarkEnd w:id="2"/>
    </w:p>
    <w:p w:rsidR="00F768B0" w:rsidRPr="00884D10" w:rsidRDefault="00F768B0" w:rsidP="00F768B0">
      <w:pPr>
        <w:tabs>
          <w:tab w:val="left" w:pos="3969"/>
        </w:tabs>
        <w:spacing w:before="120" w:after="120"/>
      </w:pPr>
      <w:r w:rsidRPr="00884D10">
        <w:t>YVETTE D’ATH</w:t>
      </w:r>
    </w:p>
    <w:p w:rsidR="00F768B0" w:rsidRPr="00884D10" w:rsidRDefault="00F768B0" w:rsidP="00F768B0">
      <w:pPr>
        <w:pBdr>
          <w:bottom w:val="single" w:sz="4" w:space="12" w:color="auto"/>
        </w:pBdr>
        <w:tabs>
          <w:tab w:val="left" w:pos="3119"/>
        </w:tabs>
        <w:spacing w:after="240" w:line="300" w:lineRule="atLeast"/>
      </w:pPr>
      <w:r w:rsidRPr="00884D10">
        <w:t>Parliamentary Secretary for Climate Change, Industry and Innovation</w:t>
      </w:r>
    </w:p>
    <w:p w:rsidR="00F768B0" w:rsidRPr="00884D10" w:rsidRDefault="00F768B0" w:rsidP="00F768B0">
      <w:r w:rsidRPr="00884D10">
        <w:br w:type="page"/>
      </w:r>
    </w:p>
    <w:p w:rsidR="00F768B0" w:rsidRDefault="00F768B0" w:rsidP="00F768B0">
      <w:pPr>
        <w:pStyle w:val="h2Part"/>
      </w:pPr>
      <w:r>
        <w:lastRenderedPageBreak/>
        <w:t>Contents</w:t>
      </w:r>
    </w:p>
    <w:p w:rsidR="00F768B0" w:rsidRDefault="00F768B0" w:rsidP="00F768B0">
      <w:pPr>
        <w:pStyle w:val="TOC2"/>
        <w:rPr>
          <w:rFonts w:asciiTheme="minorHAnsi" w:eastAsiaTheme="minorEastAsia" w:hAnsiTheme="minorHAnsi" w:cstheme="minorBidi"/>
          <w:b w:val="0"/>
          <w:lang w:eastAsia="en-AU"/>
        </w:rPr>
      </w:pPr>
      <w:r>
        <w:t>Part 1</w:t>
      </w:r>
      <w:r>
        <w:rPr>
          <w:rFonts w:asciiTheme="minorHAnsi" w:eastAsiaTheme="minorEastAsia" w:hAnsiTheme="minorHAnsi" w:cstheme="minorBidi"/>
          <w:b w:val="0"/>
          <w:lang w:eastAsia="en-AU"/>
        </w:rPr>
        <w:tab/>
      </w:r>
      <w:r>
        <w:t>Preliminary</w:t>
      </w:r>
    </w:p>
    <w:p w:rsidR="00F768B0" w:rsidRDefault="00F768B0" w:rsidP="00F768B0">
      <w:pPr>
        <w:pStyle w:val="TOC5"/>
        <w:rPr>
          <w:rFonts w:asciiTheme="minorHAnsi" w:eastAsiaTheme="minorEastAsia" w:hAnsiTheme="minorHAnsi" w:cstheme="minorBidi"/>
          <w:sz w:val="22"/>
          <w:szCs w:val="22"/>
          <w:lang w:eastAsia="en-AU"/>
        </w:rPr>
      </w:pPr>
      <w:r>
        <w:tab/>
        <w:t>1.1</w:t>
      </w:r>
      <w:r>
        <w:rPr>
          <w:rFonts w:asciiTheme="minorHAnsi" w:eastAsiaTheme="minorEastAsia" w:hAnsiTheme="minorHAnsi" w:cstheme="minorBidi"/>
          <w:sz w:val="22"/>
          <w:szCs w:val="22"/>
          <w:lang w:eastAsia="en-AU"/>
        </w:rPr>
        <w:tab/>
      </w:r>
      <w:r>
        <w:t>Name of Determination</w:t>
      </w:r>
      <w:r>
        <w:tab/>
        <w:t>4</w:t>
      </w:r>
    </w:p>
    <w:p w:rsidR="00F768B0" w:rsidRDefault="00F768B0" w:rsidP="00F768B0">
      <w:pPr>
        <w:pStyle w:val="TOC5"/>
        <w:rPr>
          <w:rFonts w:asciiTheme="minorHAnsi" w:eastAsiaTheme="minorEastAsia" w:hAnsiTheme="minorHAnsi" w:cstheme="minorBidi"/>
          <w:sz w:val="22"/>
          <w:szCs w:val="22"/>
          <w:lang w:eastAsia="en-AU"/>
        </w:rPr>
      </w:pPr>
      <w:r>
        <w:tab/>
        <w:t>1.2</w:t>
      </w:r>
      <w:r>
        <w:rPr>
          <w:rFonts w:asciiTheme="minorHAnsi" w:eastAsiaTheme="minorEastAsia" w:hAnsiTheme="minorHAnsi" w:cstheme="minorBidi"/>
          <w:sz w:val="22"/>
          <w:szCs w:val="22"/>
          <w:lang w:eastAsia="en-AU"/>
        </w:rPr>
        <w:tab/>
      </w:r>
      <w:r>
        <w:t>Commencement</w:t>
      </w:r>
      <w:r>
        <w:tab/>
        <w:t>4</w:t>
      </w:r>
    </w:p>
    <w:p w:rsidR="00F768B0" w:rsidRDefault="00F768B0" w:rsidP="00F768B0">
      <w:pPr>
        <w:pStyle w:val="TOC5"/>
        <w:rPr>
          <w:rFonts w:asciiTheme="minorHAnsi" w:eastAsiaTheme="minorEastAsia" w:hAnsiTheme="minorHAnsi" w:cstheme="minorBidi"/>
          <w:sz w:val="22"/>
          <w:szCs w:val="22"/>
          <w:lang w:eastAsia="en-AU"/>
        </w:rPr>
      </w:pPr>
      <w:r>
        <w:tab/>
        <w:t>1.3</w:t>
      </w:r>
      <w:r>
        <w:rPr>
          <w:rFonts w:asciiTheme="minorHAnsi" w:eastAsiaTheme="minorEastAsia" w:hAnsiTheme="minorHAnsi" w:cstheme="minorBidi"/>
          <w:sz w:val="22"/>
          <w:szCs w:val="22"/>
          <w:lang w:eastAsia="en-AU"/>
        </w:rPr>
        <w:tab/>
      </w:r>
      <w:r>
        <w:t>Definitions</w:t>
      </w:r>
      <w:r>
        <w:tab/>
        <w:t>4</w:t>
      </w:r>
    </w:p>
    <w:p w:rsidR="00F768B0" w:rsidRDefault="00F768B0" w:rsidP="00F768B0">
      <w:pPr>
        <w:pStyle w:val="TOC5"/>
        <w:rPr>
          <w:rFonts w:asciiTheme="minorHAnsi" w:eastAsiaTheme="minorEastAsia" w:hAnsiTheme="minorHAnsi" w:cstheme="minorBidi"/>
          <w:sz w:val="22"/>
          <w:szCs w:val="22"/>
          <w:lang w:eastAsia="en-AU"/>
        </w:rPr>
      </w:pPr>
      <w:r>
        <w:tab/>
        <w:t>1.4</w:t>
      </w:r>
      <w:r>
        <w:rPr>
          <w:rFonts w:asciiTheme="minorHAnsi" w:eastAsiaTheme="minorEastAsia" w:hAnsiTheme="minorHAnsi" w:cstheme="minorBidi"/>
          <w:sz w:val="22"/>
          <w:szCs w:val="22"/>
          <w:lang w:eastAsia="en-AU"/>
        </w:rPr>
        <w:tab/>
      </w:r>
      <w:r>
        <w:t>Kind of project to which this Determination applies</w:t>
      </w:r>
      <w:r>
        <w:tab/>
        <w:t>7</w:t>
      </w:r>
    </w:p>
    <w:p w:rsidR="00F768B0" w:rsidRDefault="00F768B0" w:rsidP="00F768B0">
      <w:pPr>
        <w:pStyle w:val="TOC2"/>
        <w:rPr>
          <w:rFonts w:asciiTheme="minorHAnsi" w:eastAsiaTheme="minorEastAsia" w:hAnsiTheme="minorHAnsi" w:cstheme="minorBidi"/>
          <w:b w:val="0"/>
          <w:lang w:eastAsia="en-AU"/>
        </w:rPr>
      </w:pPr>
      <w:r>
        <w:t>Part 2</w:t>
      </w:r>
      <w:r>
        <w:rPr>
          <w:rFonts w:asciiTheme="minorHAnsi" w:eastAsiaTheme="minorEastAsia" w:hAnsiTheme="minorHAnsi" w:cstheme="minorBidi"/>
          <w:b w:val="0"/>
          <w:lang w:eastAsia="en-AU"/>
        </w:rPr>
        <w:tab/>
      </w:r>
      <w:r>
        <w:t>Requirements for declaration as eligible project</w:t>
      </w:r>
    </w:p>
    <w:p w:rsidR="00F768B0" w:rsidRDefault="00F768B0" w:rsidP="00F768B0">
      <w:pPr>
        <w:pStyle w:val="TOC5"/>
        <w:rPr>
          <w:rFonts w:asciiTheme="minorHAnsi" w:eastAsiaTheme="minorEastAsia" w:hAnsiTheme="minorHAnsi" w:cstheme="minorBidi"/>
          <w:sz w:val="22"/>
          <w:szCs w:val="22"/>
          <w:lang w:eastAsia="en-AU"/>
        </w:rPr>
      </w:pPr>
      <w:r>
        <w:tab/>
        <w:t>2.1</w:t>
      </w:r>
      <w:r>
        <w:rPr>
          <w:rFonts w:asciiTheme="minorHAnsi" w:eastAsiaTheme="minorEastAsia" w:hAnsiTheme="minorHAnsi" w:cstheme="minorBidi"/>
          <w:sz w:val="22"/>
          <w:szCs w:val="22"/>
          <w:lang w:eastAsia="en-AU"/>
        </w:rPr>
        <w:tab/>
      </w:r>
      <w:r>
        <w:t>Eligible projects</w:t>
      </w:r>
      <w:r>
        <w:tab/>
        <w:t>8</w:t>
      </w:r>
    </w:p>
    <w:p w:rsidR="00F768B0" w:rsidRDefault="00F768B0" w:rsidP="00F768B0">
      <w:pPr>
        <w:pStyle w:val="TOC5"/>
        <w:rPr>
          <w:rFonts w:asciiTheme="minorHAnsi" w:eastAsiaTheme="minorEastAsia" w:hAnsiTheme="minorHAnsi" w:cstheme="minorBidi"/>
          <w:sz w:val="22"/>
          <w:szCs w:val="22"/>
          <w:lang w:eastAsia="en-AU"/>
        </w:rPr>
      </w:pPr>
      <w:r>
        <w:tab/>
        <w:t>2.2</w:t>
      </w:r>
      <w:r>
        <w:rPr>
          <w:rFonts w:asciiTheme="minorHAnsi" w:eastAsiaTheme="minorEastAsia" w:hAnsiTheme="minorHAnsi" w:cstheme="minorBidi"/>
          <w:sz w:val="22"/>
          <w:szCs w:val="22"/>
          <w:lang w:eastAsia="en-AU"/>
        </w:rPr>
        <w:tab/>
      </w:r>
      <w:r>
        <w:t>Location</w:t>
      </w:r>
      <w:r>
        <w:tab/>
        <w:t>8</w:t>
      </w:r>
    </w:p>
    <w:p w:rsidR="00F768B0" w:rsidRDefault="00F768B0" w:rsidP="00F768B0">
      <w:pPr>
        <w:pStyle w:val="TOC5"/>
        <w:rPr>
          <w:rFonts w:asciiTheme="minorHAnsi" w:eastAsiaTheme="minorEastAsia" w:hAnsiTheme="minorHAnsi" w:cstheme="minorBidi"/>
          <w:sz w:val="22"/>
          <w:szCs w:val="22"/>
          <w:lang w:eastAsia="en-AU"/>
        </w:rPr>
      </w:pPr>
      <w:r>
        <w:tab/>
        <w:t>2.3</w:t>
      </w:r>
      <w:r>
        <w:rPr>
          <w:rFonts w:asciiTheme="minorHAnsi" w:eastAsiaTheme="minorEastAsia" w:hAnsiTheme="minorHAnsi" w:cstheme="minorBidi"/>
          <w:sz w:val="22"/>
          <w:szCs w:val="22"/>
          <w:lang w:eastAsia="en-AU"/>
        </w:rPr>
        <w:tab/>
      </w:r>
      <w:r>
        <w:t>Project land characteristics</w:t>
      </w:r>
      <w:r>
        <w:tab/>
        <w:t>8</w:t>
      </w:r>
    </w:p>
    <w:p w:rsidR="00F768B0" w:rsidRDefault="00F768B0" w:rsidP="00F768B0">
      <w:pPr>
        <w:pStyle w:val="TOC5"/>
        <w:rPr>
          <w:rFonts w:asciiTheme="minorHAnsi" w:eastAsiaTheme="minorEastAsia" w:hAnsiTheme="minorHAnsi" w:cstheme="minorBidi"/>
          <w:sz w:val="22"/>
          <w:szCs w:val="22"/>
          <w:lang w:eastAsia="en-AU"/>
        </w:rPr>
      </w:pPr>
      <w:r>
        <w:tab/>
        <w:t>2.4</w:t>
      </w:r>
      <w:r>
        <w:rPr>
          <w:rFonts w:asciiTheme="minorHAnsi" w:eastAsiaTheme="minorEastAsia" w:hAnsiTheme="minorHAnsi" w:cstheme="minorBidi"/>
          <w:sz w:val="22"/>
          <w:szCs w:val="22"/>
          <w:lang w:eastAsia="en-AU"/>
        </w:rPr>
        <w:tab/>
      </w:r>
      <w:r>
        <w:t>Project mechanism</w:t>
      </w:r>
      <w:r>
        <w:tab/>
        <w:t>9</w:t>
      </w:r>
    </w:p>
    <w:p w:rsidR="00F768B0" w:rsidRDefault="00F768B0" w:rsidP="00F768B0">
      <w:pPr>
        <w:pStyle w:val="TOC5"/>
        <w:rPr>
          <w:rFonts w:asciiTheme="minorHAnsi" w:eastAsiaTheme="minorEastAsia" w:hAnsiTheme="minorHAnsi" w:cstheme="minorBidi"/>
          <w:sz w:val="22"/>
          <w:szCs w:val="22"/>
          <w:lang w:eastAsia="en-AU"/>
        </w:rPr>
      </w:pPr>
      <w:r>
        <w:tab/>
        <w:t>2.5</w:t>
      </w:r>
      <w:r>
        <w:rPr>
          <w:rFonts w:asciiTheme="minorHAnsi" w:eastAsiaTheme="minorEastAsia" w:hAnsiTheme="minorHAnsi" w:cstheme="minorBidi"/>
          <w:sz w:val="22"/>
          <w:szCs w:val="22"/>
          <w:lang w:eastAsia="en-AU"/>
        </w:rPr>
        <w:tab/>
      </w:r>
      <w:r>
        <w:t>Identification of project area</w:t>
      </w:r>
      <w:r>
        <w:tab/>
        <w:t>9</w:t>
      </w:r>
    </w:p>
    <w:p w:rsidR="00F768B0" w:rsidRDefault="00F768B0" w:rsidP="00F768B0">
      <w:pPr>
        <w:pStyle w:val="TOC2"/>
        <w:rPr>
          <w:rFonts w:asciiTheme="minorHAnsi" w:eastAsiaTheme="minorEastAsia" w:hAnsiTheme="minorHAnsi" w:cstheme="minorBidi"/>
          <w:b w:val="0"/>
          <w:lang w:eastAsia="en-AU"/>
        </w:rPr>
      </w:pPr>
      <w:r>
        <w:t>Part 3</w:t>
      </w:r>
      <w:r>
        <w:rPr>
          <w:rFonts w:asciiTheme="minorHAnsi" w:eastAsiaTheme="minorEastAsia" w:hAnsiTheme="minorHAnsi" w:cstheme="minorBidi"/>
          <w:b w:val="0"/>
          <w:lang w:eastAsia="en-AU"/>
        </w:rPr>
        <w:tab/>
      </w:r>
      <w:r>
        <w:t>Requirements for operation of eligible projects</w:t>
      </w:r>
    </w:p>
    <w:p w:rsidR="00F768B0" w:rsidRDefault="00F768B0" w:rsidP="00F768B0">
      <w:pPr>
        <w:pStyle w:val="TOC3"/>
        <w:rPr>
          <w:rFonts w:asciiTheme="minorHAnsi" w:eastAsiaTheme="minorEastAsia" w:hAnsiTheme="minorHAnsi" w:cstheme="minorBidi"/>
          <w:b w:val="0"/>
          <w:noProof/>
          <w:sz w:val="22"/>
          <w:szCs w:val="22"/>
          <w:lang w:eastAsia="en-AU"/>
        </w:rPr>
      </w:pPr>
      <w:r>
        <w:rPr>
          <w:noProof/>
        </w:rPr>
        <w:t>Division 3.1</w:t>
      </w:r>
      <w:r>
        <w:rPr>
          <w:rFonts w:asciiTheme="minorHAnsi" w:eastAsiaTheme="minorEastAsia" w:hAnsiTheme="minorHAnsi" w:cstheme="minorBidi"/>
          <w:b w:val="0"/>
          <w:noProof/>
          <w:sz w:val="22"/>
          <w:szCs w:val="22"/>
          <w:lang w:eastAsia="en-AU"/>
        </w:rPr>
        <w:tab/>
      </w:r>
      <w:r>
        <w:rPr>
          <w:noProof/>
        </w:rPr>
        <w:t>Operation of eligible projects</w:t>
      </w:r>
    </w:p>
    <w:p w:rsidR="00F768B0" w:rsidRDefault="00F768B0" w:rsidP="00F768B0">
      <w:pPr>
        <w:pStyle w:val="TOC5"/>
        <w:rPr>
          <w:rFonts w:asciiTheme="minorHAnsi" w:eastAsiaTheme="minorEastAsia" w:hAnsiTheme="minorHAnsi" w:cstheme="minorBidi"/>
          <w:sz w:val="22"/>
          <w:szCs w:val="22"/>
          <w:lang w:eastAsia="en-AU"/>
        </w:rPr>
      </w:pPr>
      <w:r>
        <w:tab/>
        <w:t>3.1</w:t>
      </w:r>
      <w:r>
        <w:rPr>
          <w:rFonts w:asciiTheme="minorHAnsi" w:eastAsiaTheme="minorEastAsia" w:hAnsiTheme="minorHAnsi" w:cstheme="minorBidi"/>
          <w:sz w:val="22"/>
          <w:szCs w:val="22"/>
          <w:lang w:eastAsia="en-AU"/>
        </w:rPr>
        <w:tab/>
      </w:r>
      <w:r>
        <w:t>Operation of eligible projects</w:t>
      </w:r>
      <w:r>
        <w:tab/>
        <w:t>10</w:t>
      </w:r>
    </w:p>
    <w:p w:rsidR="00F768B0" w:rsidRDefault="00F768B0" w:rsidP="00F768B0">
      <w:pPr>
        <w:pStyle w:val="TOC5"/>
        <w:rPr>
          <w:rFonts w:asciiTheme="minorHAnsi" w:eastAsiaTheme="minorEastAsia" w:hAnsiTheme="minorHAnsi" w:cstheme="minorBidi"/>
          <w:sz w:val="22"/>
          <w:szCs w:val="22"/>
          <w:lang w:eastAsia="en-AU"/>
        </w:rPr>
      </w:pPr>
      <w:r>
        <w:tab/>
        <w:t>3.2</w:t>
      </w:r>
      <w:r>
        <w:rPr>
          <w:rFonts w:asciiTheme="minorHAnsi" w:eastAsiaTheme="minorEastAsia" w:hAnsiTheme="minorHAnsi" w:cstheme="minorBidi"/>
          <w:sz w:val="22"/>
          <w:szCs w:val="22"/>
          <w:lang w:eastAsia="en-AU"/>
        </w:rPr>
        <w:tab/>
      </w:r>
      <w:r>
        <w:t>Ineligible activities</w:t>
      </w:r>
      <w:r>
        <w:tab/>
        <w:t>10</w:t>
      </w:r>
    </w:p>
    <w:p w:rsidR="00F768B0" w:rsidRDefault="00F768B0" w:rsidP="00F768B0">
      <w:pPr>
        <w:pStyle w:val="TOC3"/>
        <w:rPr>
          <w:rFonts w:asciiTheme="minorHAnsi" w:eastAsiaTheme="minorEastAsia" w:hAnsiTheme="minorHAnsi" w:cstheme="minorBidi"/>
          <w:b w:val="0"/>
          <w:noProof/>
          <w:sz w:val="22"/>
          <w:szCs w:val="22"/>
          <w:lang w:eastAsia="en-AU"/>
        </w:rPr>
      </w:pPr>
      <w:r>
        <w:rPr>
          <w:noProof/>
        </w:rPr>
        <w:t>Division 3.2</w:t>
      </w:r>
      <w:r>
        <w:rPr>
          <w:rFonts w:asciiTheme="minorHAnsi" w:eastAsiaTheme="minorEastAsia" w:hAnsiTheme="minorHAnsi" w:cstheme="minorBidi"/>
          <w:b w:val="0"/>
          <w:noProof/>
          <w:sz w:val="22"/>
          <w:szCs w:val="22"/>
          <w:lang w:eastAsia="en-AU"/>
        </w:rPr>
        <w:tab/>
      </w:r>
      <w:r>
        <w:rPr>
          <w:noProof/>
        </w:rPr>
        <w:t>Vegetation maps</w:t>
      </w:r>
    </w:p>
    <w:p w:rsidR="00F768B0" w:rsidRDefault="00F768B0" w:rsidP="00F768B0">
      <w:pPr>
        <w:pStyle w:val="TOC5"/>
        <w:rPr>
          <w:rFonts w:asciiTheme="minorHAnsi" w:eastAsiaTheme="minorEastAsia" w:hAnsiTheme="minorHAnsi" w:cstheme="minorBidi"/>
          <w:sz w:val="22"/>
          <w:szCs w:val="22"/>
          <w:lang w:eastAsia="en-AU"/>
        </w:rPr>
      </w:pPr>
      <w:r>
        <w:tab/>
        <w:t>3.3</w:t>
      </w:r>
      <w:r>
        <w:rPr>
          <w:rFonts w:asciiTheme="minorHAnsi" w:eastAsiaTheme="minorEastAsia" w:hAnsiTheme="minorHAnsi" w:cstheme="minorBidi"/>
          <w:sz w:val="22"/>
          <w:szCs w:val="22"/>
          <w:lang w:eastAsia="en-AU"/>
        </w:rPr>
        <w:tab/>
      </w:r>
      <w:r>
        <w:t>Requirements for a vegetation map</w:t>
      </w:r>
      <w:r>
        <w:tab/>
        <w:t>10</w:t>
      </w:r>
    </w:p>
    <w:p w:rsidR="00F768B0" w:rsidRDefault="00F768B0" w:rsidP="00F768B0">
      <w:pPr>
        <w:pStyle w:val="TOC5"/>
        <w:rPr>
          <w:rFonts w:asciiTheme="minorHAnsi" w:eastAsiaTheme="minorEastAsia" w:hAnsiTheme="minorHAnsi" w:cstheme="minorBidi"/>
          <w:sz w:val="22"/>
          <w:szCs w:val="22"/>
          <w:lang w:eastAsia="en-AU"/>
        </w:rPr>
      </w:pPr>
      <w:r>
        <w:tab/>
        <w:t>3.4</w:t>
      </w:r>
      <w:r>
        <w:rPr>
          <w:rFonts w:asciiTheme="minorHAnsi" w:eastAsiaTheme="minorEastAsia" w:hAnsiTheme="minorHAnsi" w:cstheme="minorBidi"/>
          <w:sz w:val="22"/>
          <w:szCs w:val="22"/>
          <w:lang w:eastAsia="en-AU"/>
        </w:rPr>
        <w:tab/>
      </w:r>
      <w:r>
        <w:t>Validation of a vegetation map</w:t>
      </w:r>
      <w:r>
        <w:tab/>
        <w:t>10</w:t>
      </w:r>
    </w:p>
    <w:p w:rsidR="00F768B0" w:rsidRDefault="00F768B0" w:rsidP="00F768B0">
      <w:pPr>
        <w:pStyle w:val="TOC3"/>
        <w:rPr>
          <w:rFonts w:asciiTheme="minorHAnsi" w:eastAsiaTheme="minorEastAsia" w:hAnsiTheme="minorHAnsi" w:cstheme="minorBidi"/>
          <w:b w:val="0"/>
          <w:noProof/>
          <w:sz w:val="22"/>
          <w:szCs w:val="22"/>
          <w:lang w:eastAsia="en-AU"/>
        </w:rPr>
      </w:pPr>
      <w:r>
        <w:rPr>
          <w:noProof/>
        </w:rPr>
        <w:t>Division 3.3</w:t>
      </w:r>
      <w:r>
        <w:rPr>
          <w:rFonts w:asciiTheme="minorHAnsi" w:eastAsiaTheme="minorEastAsia" w:hAnsiTheme="minorHAnsi" w:cstheme="minorBidi"/>
          <w:b w:val="0"/>
          <w:noProof/>
          <w:sz w:val="22"/>
          <w:szCs w:val="22"/>
          <w:lang w:eastAsia="en-AU"/>
        </w:rPr>
        <w:tab/>
      </w:r>
      <w:r>
        <w:rPr>
          <w:noProof/>
        </w:rPr>
        <w:t>Fire maps</w:t>
      </w:r>
    </w:p>
    <w:p w:rsidR="00F768B0" w:rsidRDefault="00F768B0" w:rsidP="00F768B0">
      <w:pPr>
        <w:pStyle w:val="TOC5"/>
        <w:rPr>
          <w:rFonts w:asciiTheme="minorHAnsi" w:eastAsiaTheme="minorEastAsia" w:hAnsiTheme="minorHAnsi" w:cstheme="minorBidi"/>
          <w:sz w:val="22"/>
          <w:szCs w:val="22"/>
          <w:lang w:eastAsia="en-AU"/>
        </w:rPr>
      </w:pPr>
      <w:r>
        <w:tab/>
        <w:t>3.5</w:t>
      </w:r>
      <w:r>
        <w:rPr>
          <w:rFonts w:asciiTheme="minorHAnsi" w:eastAsiaTheme="minorEastAsia" w:hAnsiTheme="minorHAnsi" w:cstheme="minorBidi"/>
          <w:sz w:val="22"/>
          <w:szCs w:val="22"/>
          <w:lang w:eastAsia="en-AU"/>
        </w:rPr>
        <w:tab/>
      </w:r>
      <w:r>
        <w:t>Monthly fire maps</w:t>
      </w:r>
      <w:r>
        <w:tab/>
        <w:t>11</w:t>
      </w:r>
    </w:p>
    <w:p w:rsidR="00F768B0" w:rsidRDefault="00F768B0" w:rsidP="00F768B0">
      <w:pPr>
        <w:pStyle w:val="TOC5"/>
        <w:rPr>
          <w:rFonts w:asciiTheme="minorHAnsi" w:eastAsiaTheme="minorEastAsia" w:hAnsiTheme="minorHAnsi" w:cstheme="minorBidi"/>
          <w:sz w:val="22"/>
          <w:szCs w:val="22"/>
          <w:lang w:eastAsia="en-AU"/>
        </w:rPr>
      </w:pPr>
      <w:r>
        <w:tab/>
        <w:t>3.6</w:t>
      </w:r>
      <w:r>
        <w:rPr>
          <w:rFonts w:asciiTheme="minorHAnsi" w:eastAsiaTheme="minorEastAsia" w:hAnsiTheme="minorHAnsi" w:cstheme="minorBidi"/>
          <w:sz w:val="22"/>
          <w:szCs w:val="22"/>
          <w:lang w:eastAsia="en-AU"/>
        </w:rPr>
        <w:tab/>
      </w:r>
      <w:r>
        <w:t>Seasonal fire maps</w:t>
      </w:r>
      <w:r>
        <w:tab/>
        <w:t>12</w:t>
      </w:r>
    </w:p>
    <w:p w:rsidR="00F768B0" w:rsidRDefault="00F768B0" w:rsidP="00F768B0">
      <w:pPr>
        <w:pStyle w:val="TOC5"/>
        <w:rPr>
          <w:rFonts w:asciiTheme="minorHAnsi" w:eastAsiaTheme="minorEastAsia" w:hAnsiTheme="minorHAnsi" w:cstheme="minorBidi"/>
          <w:sz w:val="22"/>
          <w:szCs w:val="22"/>
          <w:lang w:eastAsia="en-AU"/>
        </w:rPr>
      </w:pPr>
      <w:r>
        <w:tab/>
        <w:t>3.7</w:t>
      </w:r>
      <w:r>
        <w:rPr>
          <w:rFonts w:asciiTheme="minorHAnsi" w:eastAsiaTheme="minorEastAsia" w:hAnsiTheme="minorHAnsi" w:cstheme="minorBidi"/>
          <w:sz w:val="22"/>
          <w:szCs w:val="22"/>
          <w:lang w:eastAsia="en-AU"/>
        </w:rPr>
        <w:tab/>
      </w:r>
      <w:r>
        <w:t>Seasonal fire maps not sourced from NAFI</w:t>
      </w:r>
      <w:r>
        <w:tab/>
        <w:t>12</w:t>
      </w:r>
    </w:p>
    <w:p w:rsidR="00F768B0" w:rsidRDefault="00F768B0" w:rsidP="00F768B0">
      <w:pPr>
        <w:pStyle w:val="TOC2"/>
        <w:rPr>
          <w:rFonts w:asciiTheme="minorHAnsi" w:eastAsiaTheme="minorEastAsia" w:hAnsiTheme="minorHAnsi" w:cstheme="minorBidi"/>
          <w:b w:val="0"/>
          <w:lang w:eastAsia="en-AU"/>
        </w:rPr>
      </w:pPr>
      <w:r>
        <w:t>Part 4</w:t>
      </w:r>
      <w:r>
        <w:rPr>
          <w:rFonts w:asciiTheme="minorHAnsi" w:eastAsiaTheme="minorEastAsia" w:hAnsiTheme="minorHAnsi" w:cstheme="minorBidi"/>
          <w:b w:val="0"/>
          <w:lang w:eastAsia="en-AU"/>
        </w:rPr>
        <w:tab/>
      </w:r>
      <w:r>
        <w:t>The net abatement amount</w:t>
      </w:r>
    </w:p>
    <w:p w:rsidR="00F768B0" w:rsidRDefault="00F768B0" w:rsidP="00F768B0">
      <w:pPr>
        <w:pStyle w:val="TOC3"/>
        <w:rPr>
          <w:rFonts w:asciiTheme="minorHAnsi" w:eastAsiaTheme="minorEastAsia" w:hAnsiTheme="minorHAnsi" w:cstheme="minorBidi"/>
          <w:b w:val="0"/>
          <w:noProof/>
          <w:sz w:val="22"/>
          <w:szCs w:val="22"/>
          <w:lang w:eastAsia="en-AU"/>
        </w:rPr>
      </w:pPr>
      <w:r>
        <w:rPr>
          <w:noProof/>
        </w:rPr>
        <w:t>Division 4.1</w:t>
      </w:r>
      <w:r>
        <w:rPr>
          <w:rFonts w:asciiTheme="minorHAnsi" w:eastAsiaTheme="minorEastAsia" w:hAnsiTheme="minorHAnsi" w:cstheme="minorBidi"/>
          <w:b w:val="0"/>
          <w:noProof/>
          <w:sz w:val="22"/>
          <w:szCs w:val="22"/>
          <w:lang w:eastAsia="en-AU"/>
        </w:rPr>
        <w:tab/>
      </w:r>
      <w:r>
        <w:rPr>
          <w:noProof/>
        </w:rPr>
        <w:t>The net abatement amount</w:t>
      </w:r>
    </w:p>
    <w:p w:rsidR="00F768B0" w:rsidRDefault="00F768B0" w:rsidP="00F768B0">
      <w:pPr>
        <w:pStyle w:val="TOC5"/>
        <w:rPr>
          <w:rFonts w:asciiTheme="minorHAnsi" w:eastAsiaTheme="minorEastAsia" w:hAnsiTheme="minorHAnsi" w:cstheme="minorBidi"/>
          <w:sz w:val="22"/>
          <w:szCs w:val="22"/>
          <w:lang w:eastAsia="en-AU"/>
        </w:rPr>
      </w:pPr>
      <w:r>
        <w:tab/>
        <w:t>4.1</w:t>
      </w:r>
      <w:r>
        <w:rPr>
          <w:rFonts w:asciiTheme="minorHAnsi" w:eastAsiaTheme="minorEastAsia" w:hAnsiTheme="minorHAnsi" w:cstheme="minorBidi"/>
          <w:sz w:val="22"/>
          <w:szCs w:val="22"/>
          <w:lang w:eastAsia="en-AU"/>
        </w:rPr>
        <w:tab/>
      </w:r>
      <w:r>
        <w:t>The net abatement amount</w:t>
      </w:r>
      <w:r>
        <w:tab/>
        <w:t>14</w:t>
      </w:r>
    </w:p>
    <w:p w:rsidR="00F768B0" w:rsidRDefault="00F768B0" w:rsidP="00F768B0">
      <w:pPr>
        <w:pStyle w:val="TOC3"/>
        <w:rPr>
          <w:rFonts w:asciiTheme="minorHAnsi" w:eastAsiaTheme="minorEastAsia" w:hAnsiTheme="minorHAnsi" w:cstheme="minorBidi"/>
          <w:b w:val="0"/>
          <w:noProof/>
          <w:sz w:val="22"/>
          <w:szCs w:val="22"/>
          <w:lang w:eastAsia="en-AU"/>
        </w:rPr>
      </w:pPr>
      <w:r>
        <w:rPr>
          <w:noProof/>
        </w:rPr>
        <w:t>Division 4.2</w:t>
      </w:r>
      <w:r>
        <w:rPr>
          <w:rFonts w:asciiTheme="minorHAnsi" w:eastAsiaTheme="minorEastAsia" w:hAnsiTheme="minorHAnsi" w:cstheme="minorBidi"/>
          <w:b w:val="0"/>
          <w:noProof/>
          <w:sz w:val="22"/>
          <w:szCs w:val="22"/>
          <w:lang w:eastAsia="en-AU"/>
        </w:rPr>
        <w:tab/>
      </w:r>
      <w:r>
        <w:rPr>
          <w:noProof/>
        </w:rPr>
        <w:t>Calculations—Preliminary</w:t>
      </w:r>
    </w:p>
    <w:p w:rsidR="00F768B0" w:rsidRDefault="00F768B0" w:rsidP="00F768B0">
      <w:pPr>
        <w:pStyle w:val="TOC5"/>
        <w:rPr>
          <w:rFonts w:asciiTheme="minorHAnsi" w:eastAsiaTheme="minorEastAsia" w:hAnsiTheme="minorHAnsi" w:cstheme="minorBidi"/>
          <w:sz w:val="22"/>
          <w:szCs w:val="22"/>
          <w:lang w:eastAsia="en-AU"/>
        </w:rPr>
      </w:pPr>
      <w:r>
        <w:tab/>
        <w:t>4.2</w:t>
      </w:r>
      <w:r>
        <w:rPr>
          <w:rFonts w:asciiTheme="minorHAnsi" w:eastAsiaTheme="minorEastAsia" w:hAnsiTheme="minorHAnsi" w:cstheme="minorBidi"/>
          <w:sz w:val="22"/>
          <w:szCs w:val="22"/>
          <w:lang w:eastAsia="en-AU"/>
        </w:rPr>
        <w:tab/>
      </w:r>
      <w:r>
        <w:t>General</w:t>
      </w:r>
      <w:r>
        <w:tab/>
        <w:t>14</w:t>
      </w:r>
    </w:p>
    <w:p w:rsidR="00F768B0" w:rsidRDefault="00F768B0" w:rsidP="00F768B0">
      <w:pPr>
        <w:pStyle w:val="TOC5"/>
        <w:rPr>
          <w:rFonts w:asciiTheme="minorHAnsi" w:eastAsiaTheme="minorEastAsia" w:hAnsiTheme="minorHAnsi" w:cstheme="minorBidi"/>
          <w:sz w:val="22"/>
          <w:szCs w:val="22"/>
          <w:lang w:eastAsia="en-AU"/>
        </w:rPr>
      </w:pPr>
      <w:r>
        <w:tab/>
        <w:t>4.3</w:t>
      </w:r>
      <w:r>
        <w:rPr>
          <w:rFonts w:asciiTheme="minorHAnsi" w:eastAsiaTheme="minorEastAsia" w:hAnsiTheme="minorHAnsi" w:cstheme="minorBidi"/>
          <w:sz w:val="22"/>
          <w:szCs w:val="22"/>
          <w:lang w:eastAsia="en-AU"/>
        </w:rPr>
        <w:tab/>
      </w:r>
      <w:r>
        <w:t>Greenhouse gas assessment boundary</w:t>
      </w:r>
      <w:r>
        <w:tab/>
        <w:t>15</w:t>
      </w:r>
    </w:p>
    <w:p w:rsidR="00F768B0" w:rsidRDefault="00F768B0" w:rsidP="00F768B0">
      <w:pPr>
        <w:pStyle w:val="TOC5"/>
        <w:rPr>
          <w:rFonts w:asciiTheme="minorHAnsi" w:eastAsiaTheme="minorEastAsia" w:hAnsiTheme="minorHAnsi" w:cstheme="minorBidi"/>
          <w:sz w:val="22"/>
          <w:szCs w:val="22"/>
          <w:lang w:eastAsia="en-AU"/>
        </w:rPr>
      </w:pPr>
      <w:r>
        <w:tab/>
        <w:t>4.4</w:t>
      </w:r>
      <w:r>
        <w:rPr>
          <w:rFonts w:asciiTheme="minorHAnsi" w:eastAsiaTheme="minorEastAsia" w:hAnsiTheme="minorHAnsi" w:cstheme="minorBidi"/>
          <w:sz w:val="22"/>
          <w:szCs w:val="22"/>
          <w:lang w:eastAsia="en-AU"/>
        </w:rPr>
        <w:tab/>
      </w:r>
      <w:r>
        <w:t>The start and end of the late dry season</w:t>
      </w:r>
      <w:r>
        <w:tab/>
        <w:t>15</w:t>
      </w:r>
    </w:p>
    <w:p w:rsidR="00F768B0" w:rsidRDefault="00F768B0" w:rsidP="00F768B0">
      <w:pPr>
        <w:pStyle w:val="TOC3"/>
        <w:rPr>
          <w:rFonts w:asciiTheme="minorHAnsi" w:eastAsiaTheme="minorEastAsia" w:hAnsiTheme="minorHAnsi" w:cstheme="minorBidi"/>
          <w:b w:val="0"/>
          <w:noProof/>
          <w:sz w:val="22"/>
          <w:szCs w:val="22"/>
          <w:lang w:eastAsia="en-AU"/>
        </w:rPr>
      </w:pPr>
      <w:r>
        <w:rPr>
          <w:noProof/>
        </w:rPr>
        <w:t>Division 4.3</w:t>
      </w:r>
      <w:r>
        <w:rPr>
          <w:rFonts w:asciiTheme="minorHAnsi" w:eastAsiaTheme="minorEastAsia" w:hAnsiTheme="minorHAnsi" w:cstheme="minorBidi"/>
          <w:b w:val="0"/>
          <w:noProof/>
          <w:sz w:val="22"/>
          <w:szCs w:val="22"/>
          <w:lang w:eastAsia="en-AU"/>
        </w:rPr>
        <w:tab/>
      </w:r>
      <w:r>
        <w:rPr>
          <w:noProof/>
        </w:rPr>
        <w:t>Calculations</w:t>
      </w:r>
    </w:p>
    <w:p w:rsidR="00F768B0" w:rsidRDefault="00F768B0" w:rsidP="00F768B0">
      <w:pPr>
        <w:pStyle w:val="TOC4"/>
        <w:rPr>
          <w:rFonts w:asciiTheme="minorHAnsi" w:eastAsiaTheme="minorEastAsia" w:hAnsiTheme="minorHAnsi" w:cstheme="minorBidi"/>
          <w:b w:val="0"/>
          <w:noProof/>
          <w:sz w:val="22"/>
          <w:szCs w:val="22"/>
          <w:lang w:eastAsia="en-AU"/>
        </w:rPr>
      </w:pPr>
      <w:r>
        <w:rPr>
          <w:noProof/>
        </w:rPr>
        <w:t>Subdivision 4.3.1</w:t>
      </w:r>
      <w:r>
        <w:rPr>
          <w:rFonts w:asciiTheme="minorHAnsi" w:eastAsiaTheme="minorEastAsia" w:hAnsiTheme="minorHAnsi" w:cstheme="minorBidi"/>
          <w:b w:val="0"/>
          <w:noProof/>
          <w:sz w:val="22"/>
          <w:szCs w:val="22"/>
          <w:lang w:eastAsia="en-AU"/>
        </w:rPr>
        <w:tab/>
      </w:r>
      <w:r>
        <w:rPr>
          <w:noProof/>
        </w:rPr>
        <w:t>Developing maps and calculating fire scar area</w:t>
      </w:r>
    </w:p>
    <w:p w:rsidR="00F768B0" w:rsidRDefault="00F768B0" w:rsidP="00F768B0">
      <w:pPr>
        <w:pStyle w:val="TOC5"/>
        <w:rPr>
          <w:rFonts w:asciiTheme="minorHAnsi" w:eastAsiaTheme="minorEastAsia" w:hAnsiTheme="minorHAnsi" w:cstheme="minorBidi"/>
          <w:sz w:val="22"/>
          <w:szCs w:val="22"/>
          <w:lang w:eastAsia="en-AU"/>
        </w:rPr>
      </w:pPr>
      <w:r>
        <w:tab/>
        <w:t>4.5</w:t>
      </w:r>
      <w:r>
        <w:rPr>
          <w:rFonts w:asciiTheme="minorHAnsi" w:eastAsiaTheme="minorEastAsia" w:hAnsiTheme="minorHAnsi" w:cstheme="minorBidi"/>
          <w:sz w:val="22"/>
          <w:szCs w:val="22"/>
          <w:lang w:eastAsia="en-AU"/>
        </w:rPr>
        <w:tab/>
      </w:r>
      <w:r>
        <w:t>Developing maps used to calculate emissions</w:t>
      </w:r>
      <w:r>
        <w:tab/>
        <w:t>16</w:t>
      </w:r>
    </w:p>
    <w:p w:rsidR="00F768B0" w:rsidRDefault="00F768B0" w:rsidP="00F768B0">
      <w:pPr>
        <w:pStyle w:val="TOC5"/>
        <w:rPr>
          <w:rFonts w:asciiTheme="minorHAnsi" w:eastAsiaTheme="minorEastAsia" w:hAnsiTheme="minorHAnsi" w:cstheme="minorBidi"/>
          <w:sz w:val="22"/>
          <w:szCs w:val="22"/>
          <w:lang w:eastAsia="en-AU"/>
        </w:rPr>
      </w:pPr>
      <w:r>
        <w:tab/>
        <w:t>4.6</w:t>
      </w:r>
      <w:r>
        <w:rPr>
          <w:rFonts w:asciiTheme="minorHAnsi" w:eastAsiaTheme="minorEastAsia" w:hAnsiTheme="minorHAnsi" w:cstheme="minorBidi"/>
          <w:sz w:val="22"/>
          <w:szCs w:val="22"/>
          <w:lang w:eastAsia="en-AU"/>
        </w:rPr>
        <w:tab/>
      </w:r>
      <w:r>
        <w:t>Calculating the fire scar area (A) in the early dry season and the late dry season periods for each vegetation class</w:t>
      </w:r>
      <w:r>
        <w:tab/>
        <w:t>16</w:t>
      </w:r>
    </w:p>
    <w:p w:rsidR="00F768B0" w:rsidRDefault="00F768B0" w:rsidP="00F768B0">
      <w:pPr>
        <w:pStyle w:val="TOC4"/>
        <w:rPr>
          <w:rFonts w:asciiTheme="minorHAnsi" w:eastAsiaTheme="minorEastAsia" w:hAnsiTheme="minorHAnsi" w:cstheme="minorBidi"/>
          <w:b w:val="0"/>
          <w:noProof/>
          <w:sz w:val="22"/>
          <w:szCs w:val="22"/>
          <w:lang w:eastAsia="en-AU"/>
        </w:rPr>
      </w:pPr>
      <w:r>
        <w:rPr>
          <w:noProof/>
        </w:rPr>
        <w:t>Subdivision 4.3.2</w:t>
      </w:r>
      <w:r>
        <w:rPr>
          <w:rFonts w:asciiTheme="minorHAnsi" w:eastAsiaTheme="minorEastAsia" w:hAnsiTheme="minorHAnsi" w:cstheme="minorBidi"/>
          <w:b w:val="0"/>
          <w:noProof/>
          <w:sz w:val="22"/>
          <w:szCs w:val="22"/>
          <w:lang w:eastAsia="en-AU"/>
        </w:rPr>
        <w:tab/>
      </w:r>
      <w:r>
        <w:rPr>
          <w:noProof/>
        </w:rPr>
        <w:t>Calculating annual fire emissions for the baseline period and the reporting period</w:t>
      </w:r>
    </w:p>
    <w:p w:rsidR="00F768B0" w:rsidRDefault="00F768B0" w:rsidP="00F768B0">
      <w:pPr>
        <w:pStyle w:val="TOC5"/>
      </w:pPr>
      <w:r>
        <w:tab/>
        <w:t>4.7</w:t>
      </w:r>
      <w:r>
        <w:rPr>
          <w:rFonts w:asciiTheme="minorHAnsi" w:eastAsiaTheme="minorEastAsia" w:hAnsiTheme="minorHAnsi" w:cstheme="minorBidi"/>
          <w:sz w:val="22"/>
          <w:szCs w:val="22"/>
          <w:lang w:eastAsia="en-AU"/>
        </w:rPr>
        <w:tab/>
      </w:r>
      <w:r>
        <w:t>Calculating annual fire emissions</w:t>
      </w:r>
      <w:r>
        <w:tab/>
        <w:t>17</w:t>
      </w:r>
    </w:p>
    <w:p w:rsidR="001276A7" w:rsidRDefault="001276A7" w:rsidP="001276A7">
      <w:pPr>
        <w:rPr>
          <w:rFonts w:eastAsiaTheme="minorEastAsia"/>
          <w:lang w:eastAsia="en-US"/>
        </w:rPr>
      </w:pPr>
    </w:p>
    <w:p w:rsidR="001276A7" w:rsidRPr="001276A7" w:rsidRDefault="001276A7" w:rsidP="001276A7">
      <w:pPr>
        <w:rPr>
          <w:rFonts w:eastAsiaTheme="minorEastAsia"/>
          <w:lang w:eastAsia="en-US"/>
        </w:rPr>
      </w:pPr>
    </w:p>
    <w:p w:rsidR="00F768B0" w:rsidRDefault="00F768B0" w:rsidP="00F768B0">
      <w:pPr>
        <w:pStyle w:val="TOC5"/>
        <w:rPr>
          <w:rFonts w:asciiTheme="minorHAnsi" w:eastAsiaTheme="minorEastAsia" w:hAnsiTheme="minorHAnsi" w:cstheme="minorBidi"/>
          <w:sz w:val="22"/>
          <w:szCs w:val="22"/>
          <w:lang w:eastAsia="en-AU"/>
        </w:rPr>
      </w:pPr>
      <w:r>
        <w:lastRenderedPageBreak/>
        <w:tab/>
        <w:t>4.8</w:t>
      </w:r>
      <w:r>
        <w:rPr>
          <w:rFonts w:asciiTheme="minorHAnsi" w:eastAsiaTheme="minorEastAsia" w:hAnsiTheme="minorHAnsi" w:cstheme="minorBidi"/>
          <w:sz w:val="22"/>
          <w:szCs w:val="22"/>
          <w:lang w:eastAsia="en-AU"/>
        </w:rPr>
        <w:tab/>
      </w:r>
      <w:r>
        <w:t>Calculating the area burnt (Ab)</w:t>
      </w:r>
      <w:r>
        <w:tab/>
        <w:t>17</w:t>
      </w:r>
    </w:p>
    <w:p w:rsidR="00F768B0" w:rsidRDefault="00F768B0" w:rsidP="00F768B0">
      <w:pPr>
        <w:pStyle w:val="TOC5"/>
        <w:rPr>
          <w:rFonts w:asciiTheme="minorHAnsi" w:eastAsiaTheme="minorEastAsia" w:hAnsiTheme="minorHAnsi" w:cstheme="minorBidi"/>
          <w:sz w:val="22"/>
          <w:szCs w:val="22"/>
          <w:lang w:eastAsia="en-AU"/>
        </w:rPr>
      </w:pPr>
      <w:r>
        <w:tab/>
        <w:t>4.9</w:t>
      </w:r>
      <w:r>
        <w:rPr>
          <w:rFonts w:asciiTheme="minorHAnsi" w:eastAsiaTheme="minorEastAsia" w:hAnsiTheme="minorHAnsi" w:cstheme="minorBidi"/>
          <w:sz w:val="22"/>
          <w:szCs w:val="22"/>
          <w:lang w:eastAsia="en-AU"/>
        </w:rPr>
        <w:tab/>
      </w:r>
      <w:r>
        <w:t>Calculating potential emissions (Pe)</w:t>
      </w:r>
      <w:r>
        <w:tab/>
        <w:t>18</w:t>
      </w:r>
    </w:p>
    <w:p w:rsidR="00F768B0" w:rsidRDefault="00F768B0" w:rsidP="00F768B0">
      <w:pPr>
        <w:pStyle w:val="TOC5"/>
        <w:rPr>
          <w:rFonts w:asciiTheme="minorHAnsi" w:eastAsiaTheme="minorEastAsia" w:hAnsiTheme="minorHAnsi" w:cstheme="minorBidi"/>
          <w:sz w:val="22"/>
          <w:szCs w:val="22"/>
          <w:lang w:eastAsia="en-AU"/>
        </w:rPr>
      </w:pPr>
      <w:r>
        <w:tab/>
        <w:t>4.10</w:t>
      </w:r>
      <w:r>
        <w:rPr>
          <w:rFonts w:asciiTheme="minorHAnsi" w:eastAsiaTheme="minorEastAsia" w:hAnsiTheme="minorHAnsi" w:cstheme="minorBidi"/>
          <w:sz w:val="22"/>
          <w:szCs w:val="22"/>
          <w:lang w:eastAsia="en-AU"/>
        </w:rPr>
        <w:tab/>
      </w:r>
      <w:r>
        <w:t>Burning efficiency (BEF)</w:t>
      </w:r>
      <w:r>
        <w:tab/>
        <w:t>20</w:t>
      </w:r>
    </w:p>
    <w:p w:rsidR="00F768B0" w:rsidRDefault="00F768B0" w:rsidP="00F768B0">
      <w:pPr>
        <w:pStyle w:val="TOC5"/>
        <w:rPr>
          <w:rFonts w:asciiTheme="minorHAnsi" w:eastAsiaTheme="minorEastAsia" w:hAnsiTheme="minorHAnsi" w:cstheme="minorBidi"/>
          <w:sz w:val="22"/>
          <w:szCs w:val="22"/>
          <w:lang w:eastAsia="en-AU"/>
        </w:rPr>
      </w:pPr>
      <w:r>
        <w:tab/>
        <w:t>4.11</w:t>
      </w:r>
      <w:r>
        <w:rPr>
          <w:rFonts w:asciiTheme="minorHAnsi" w:eastAsiaTheme="minorEastAsia" w:hAnsiTheme="minorHAnsi" w:cstheme="minorBidi"/>
          <w:sz w:val="22"/>
          <w:szCs w:val="22"/>
          <w:lang w:eastAsia="en-AU"/>
        </w:rPr>
        <w:tab/>
      </w:r>
      <w:r>
        <w:t>Fuel load (FL)</w:t>
      </w:r>
      <w:r>
        <w:tab/>
        <w:t>20</w:t>
      </w:r>
    </w:p>
    <w:p w:rsidR="00F768B0" w:rsidRDefault="00F768B0" w:rsidP="00F768B0">
      <w:pPr>
        <w:pStyle w:val="TOC5"/>
        <w:rPr>
          <w:rFonts w:asciiTheme="minorHAnsi" w:eastAsiaTheme="minorEastAsia" w:hAnsiTheme="minorHAnsi" w:cstheme="minorBidi"/>
          <w:sz w:val="22"/>
          <w:szCs w:val="22"/>
          <w:lang w:eastAsia="en-AU"/>
        </w:rPr>
      </w:pPr>
      <w:r>
        <w:tab/>
        <w:t>4.12</w:t>
      </w:r>
      <w:r>
        <w:rPr>
          <w:rFonts w:asciiTheme="minorHAnsi" w:eastAsiaTheme="minorEastAsia" w:hAnsiTheme="minorHAnsi" w:cstheme="minorBidi"/>
          <w:sz w:val="22"/>
          <w:szCs w:val="22"/>
          <w:lang w:eastAsia="en-AU"/>
        </w:rPr>
        <w:tab/>
      </w:r>
      <w:r>
        <w:t>Calculating years since last burnt (YSLB) for a pixel</w:t>
      </w:r>
      <w:r>
        <w:tab/>
        <w:t>20</w:t>
      </w:r>
    </w:p>
    <w:p w:rsidR="00F768B0" w:rsidRDefault="00F768B0" w:rsidP="00F768B0">
      <w:pPr>
        <w:pStyle w:val="TOC5"/>
        <w:rPr>
          <w:rFonts w:asciiTheme="minorHAnsi" w:eastAsiaTheme="minorEastAsia" w:hAnsiTheme="minorHAnsi" w:cstheme="minorBidi"/>
          <w:sz w:val="22"/>
          <w:szCs w:val="22"/>
          <w:lang w:eastAsia="en-AU"/>
        </w:rPr>
      </w:pPr>
      <w:r>
        <w:tab/>
        <w:t>4.13</w:t>
      </w:r>
      <w:r>
        <w:rPr>
          <w:rFonts w:asciiTheme="minorHAnsi" w:eastAsiaTheme="minorEastAsia" w:hAnsiTheme="minorHAnsi" w:cstheme="minorBidi"/>
          <w:sz w:val="22"/>
          <w:szCs w:val="22"/>
          <w:lang w:eastAsia="en-AU"/>
        </w:rPr>
        <w:tab/>
      </w:r>
      <w:r>
        <w:t>Calculating the relative frequency distribution of fire history</w:t>
      </w:r>
      <w:r>
        <w:tab/>
        <w:t>22</w:t>
      </w:r>
    </w:p>
    <w:p w:rsidR="00F768B0" w:rsidRDefault="00F768B0" w:rsidP="00F768B0">
      <w:pPr>
        <w:pStyle w:val="TOC5"/>
        <w:rPr>
          <w:rFonts w:asciiTheme="minorHAnsi" w:eastAsiaTheme="minorEastAsia" w:hAnsiTheme="minorHAnsi" w:cstheme="minorBidi"/>
          <w:sz w:val="22"/>
          <w:szCs w:val="22"/>
          <w:lang w:eastAsia="en-AU"/>
        </w:rPr>
      </w:pPr>
      <w:r>
        <w:tab/>
        <w:t>4.14</w:t>
      </w:r>
      <w:r>
        <w:rPr>
          <w:rFonts w:asciiTheme="minorHAnsi" w:eastAsiaTheme="minorEastAsia" w:hAnsiTheme="minorHAnsi" w:cstheme="minorBidi"/>
          <w:sz w:val="22"/>
          <w:szCs w:val="22"/>
          <w:lang w:eastAsia="en-AU"/>
        </w:rPr>
        <w:tab/>
      </w:r>
      <w:r>
        <w:t>Calculating the fuel load for fine fuels</w:t>
      </w:r>
      <w:r>
        <w:tab/>
        <w:t>23</w:t>
      </w:r>
    </w:p>
    <w:p w:rsidR="00F768B0" w:rsidRDefault="00F768B0" w:rsidP="00F768B0">
      <w:pPr>
        <w:pStyle w:val="TOC5"/>
        <w:rPr>
          <w:rFonts w:asciiTheme="minorHAnsi" w:eastAsiaTheme="minorEastAsia" w:hAnsiTheme="minorHAnsi" w:cstheme="minorBidi"/>
          <w:sz w:val="22"/>
          <w:szCs w:val="22"/>
          <w:lang w:eastAsia="en-AU"/>
        </w:rPr>
      </w:pPr>
      <w:r>
        <w:tab/>
        <w:t>4.15</w:t>
      </w:r>
      <w:r>
        <w:rPr>
          <w:rFonts w:asciiTheme="minorHAnsi" w:eastAsiaTheme="minorEastAsia" w:hAnsiTheme="minorHAnsi" w:cstheme="minorBidi"/>
          <w:sz w:val="22"/>
          <w:szCs w:val="22"/>
          <w:lang w:eastAsia="en-AU"/>
        </w:rPr>
        <w:tab/>
      </w:r>
      <w:r>
        <w:t>Emission factors (EF)</w:t>
      </w:r>
      <w:r>
        <w:tab/>
        <w:t>23</w:t>
      </w:r>
    </w:p>
    <w:p w:rsidR="00F768B0" w:rsidRDefault="00F768B0" w:rsidP="00F768B0">
      <w:pPr>
        <w:pStyle w:val="TOC5"/>
        <w:rPr>
          <w:rFonts w:asciiTheme="minorHAnsi" w:eastAsiaTheme="minorEastAsia" w:hAnsiTheme="minorHAnsi" w:cstheme="minorBidi"/>
          <w:sz w:val="22"/>
          <w:szCs w:val="22"/>
          <w:lang w:eastAsia="en-AU"/>
        </w:rPr>
      </w:pPr>
      <w:r>
        <w:tab/>
        <w:t>4.16</w:t>
      </w:r>
      <w:r>
        <w:rPr>
          <w:rFonts w:asciiTheme="minorHAnsi" w:eastAsiaTheme="minorEastAsia" w:hAnsiTheme="minorHAnsi" w:cstheme="minorBidi"/>
          <w:sz w:val="22"/>
          <w:szCs w:val="22"/>
          <w:lang w:eastAsia="en-AU"/>
        </w:rPr>
        <w:tab/>
      </w:r>
      <w:r>
        <w:t>Carbon content (CC)</w:t>
      </w:r>
      <w:r>
        <w:tab/>
        <w:t>24</w:t>
      </w:r>
    </w:p>
    <w:p w:rsidR="00F768B0" w:rsidRDefault="00F768B0" w:rsidP="00F768B0">
      <w:pPr>
        <w:pStyle w:val="TOC5"/>
        <w:rPr>
          <w:rFonts w:asciiTheme="minorHAnsi" w:eastAsiaTheme="minorEastAsia" w:hAnsiTheme="minorHAnsi" w:cstheme="minorBidi"/>
          <w:sz w:val="22"/>
          <w:szCs w:val="22"/>
          <w:lang w:eastAsia="en-AU"/>
        </w:rPr>
      </w:pPr>
      <w:r>
        <w:tab/>
        <w:t>4.17</w:t>
      </w:r>
      <w:r>
        <w:rPr>
          <w:rFonts w:asciiTheme="minorHAnsi" w:eastAsiaTheme="minorEastAsia" w:hAnsiTheme="minorHAnsi" w:cstheme="minorBidi"/>
          <w:sz w:val="22"/>
          <w:szCs w:val="22"/>
          <w:lang w:eastAsia="en-AU"/>
        </w:rPr>
        <w:tab/>
      </w:r>
      <w:r>
        <w:t>Nitrogen to carbon ratio (NC)</w:t>
      </w:r>
      <w:r>
        <w:tab/>
        <w:t>24</w:t>
      </w:r>
    </w:p>
    <w:p w:rsidR="00F768B0" w:rsidRDefault="00F768B0" w:rsidP="00F768B0">
      <w:pPr>
        <w:pStyle w:val="TOC5"/>
        <w:rPr>
          <w:rFonts w:asciiTheme="minorHAnsi" w:eastAsiaTheme="minorEastAsia" w:hAnsiTheme="minorHAnsi" w:cstheme="minorBidi"/>
          <w:sz w:val="22"/>
          <w:szCs w:val="22"/>
          <w:lang w:eastAsia="en-AU"/>
        </w:rPr>
      </w:pPr>
      <w:r>
        <w:tab/>
        <w:t>4.18</w:t>
      </w:r>
      <w:r>
        <w:rPr>
          <w:rFonts w:asciiTheme="minorHAnsi" w:eastAsiaTheme="minorEastAsia" w:hAnsiTheme="minorHAnsi" w:cstheme="minorBidi"/>
          <w:sz w:val="22"/>
          <w:szCs w:val="22"/>
          <w:lang w:eastAsia="en-AU"/>
        </w:rPr>
        <w:tab/>
      </w:r>
      <w:r>
        <w:t>Converting the molecular mass to elemental mass (M)</w:t>
      </w:r>
      <w:r>
        <w:tab/>
        <w:t>24</w:t>
      </w:r>
    </w:p>
    <w:p w:rsidR="00F768B0" w:rsidRDefault="00F768B0" w:rsidP="00F768B0">
      <w:pPr>
        <w:pStyle w:val="TOC5"/>
        <w:rPr>
          <w:rFonts w:asciiTheme="minorHAnsi" w:eastAsiaTheme="minorEastAsia" w:hAnsiTheme="minorHAnsi" w:cstheme="minorBidi"/>
          <w:sz w:val="22"/>
          <w:szCs w:val="22"/>
          <w:lang w:eastAsia="en-AU"/>
        </w:rPr>
      </w:pPr>
      <w:r>
        <w:tab/>
        <w:t>4.19</w:t>
      </w:r>
      <w:r>
        <w:rPr>
          <w:rFonts w:asciiTheme="minorHAnsi" w:eastAsiaTheme="minorEastAsia" w:hAnsiTheme="minorHAnsi" w:cstheme="minorBidi"/>
          <w:sz w:val="22"/>
          <w:szCs w:val="22"/>
          <w:lang w:eastAsia="en-AU"/>
        </w:rPr>
        <w:tab/>
      </w:r>
      <w:r>
        <w:t>Calculating the annual fire emissions in tonnes CO</w:t>
      </w:r>
      <w:r w:rsidRPr="00764E4E">
        <w:rPr>
          <w:vertAlign w:val="subscript"/>
        </w:rPr>
        <w:t>2</w:t>
      </w:r>
      <w:r>
        <w:t>-e</w:t>
      </w:r>
      <w:r>
        <w:tab/>
        <w:t>25</w:t>
      </w:r>
    </w:p>
    <w:p w:rsidR="00F768B0" w:rsidRDefault="00F768B0" w:rsidP="00F768B0">
      <w:pPr>
        <w:pStyle w:val="TOC5"/>
        <w:rPr>
          <w:rFonts w:asciiTheme="minorHAnsi" w:eastAsiaTheme="minorEastAsia" w:hAnsiTheme="minorHAnsi" w:cstheme="minorBidi"/>
          <w:sz w:val="22"/>
          <w:szCs w:val="22"/>
          <w:lang w:eastAsia="en-AU"/>
        </w:rPr>
      </w:pPr>
      <w:r>
        <w:tab/>
        <w:t>4.20</w:t>
      </w:r>
      <w:r>
        <w:rPr>
          <w:rFonts w:asciiTheme="minorHAnsi" w:eastAsiaTheme="minorEastAsia" w:hAnsiTheme="minorHAnsi" w:cstheme="minorBidi"/>
          <w:sz w:val="22"/>
          <w:szCs w:val="22"/>
          <w:lang w:eastAsia="en-AU"/>
        </w:rPr>
        <w:tab/>
      </w:r>
      <w:r>
        <w:t>Calculating average baseline emissions</w:t>
      </w:r>
      <w:r>
        <w:tab/>
        <w:t>25</w:t>
      </w:r>
    </w:p>
    <w:p w:rsidR="00F768B0" w:rsidRDefault="00F768B0" w:rsidP="00F768B0">
      <w:pPr>
        <w:pStyle w:val="TOC4"/>
        <w:rPr>
          <w:rFonts w:asciiTheme="minorHAnsi" w:eastAsiaTheme="minorEastAsia" w:hAnsiTheme="minorHAnsi" w:cstheme="minorBidi"/>
          <w:b w:val="0"/>
          <w:noProof/>
          <w:sz w:val="22"/>
          <w:szCs w:val="22"/>
          <w:lang w:eastAsia="en-AU"/>
        </w:rPr>
      </w:pPr>
      <w:r>
        <w:rPr>
          <w:noProof/>
        </w:rPr>
        <w:t>Subdivision 4.3.3</w:t>
      </w:r>
      <w:r>
        <w:rPr>
          <w:rFonts w:asciiTheme="minorHAnsi" w:eastAsiaTheme="minorEastAsia" w:hAnsiTheme="minorHAnsi" w:cstheme="minorBidi"/>
          <w:b w:val="0"/>
          <w:noProof/>
          <w:sz w:val="22"/>
          <w:szCs w:val="22"/>
          <w:lang w:eastAsia="en-AU"/>
        </w:rPr>
        <w:tab/>
      </w:r>
      <w:r>
        <w:rPr>
          <w:noProof/>
        </w:rPr>
        <w:t>Calculating total annual project emissions</w:t>
      </w:r>
    </w:p>
    <w:p w:rsidR="00F768B0" w:rsidRDefault="00F768B0" w:rsidP="00F768B0">
      <w:pPr>
        <w:pStyle w:val="TOC5"/>
        <w:rPr>
          <w:rFonts w:asciiTheme="minorHAnsi" w:eastAsiaTheme="minorEastAsia" w:hAnsiTheme="minorHAnsi" w:cstheme="minorBidi"/>
          <w:sz w:val="22"/>
          <w:szCs w:val="22"/>
          <w:lang w:eastAsia="en-AU"/>
        </w:rPr>
      </w:pPr>
      <w:r>
        <w:tab/>
        <w:t>4.21</w:t>
      </w:r>
      <w:r>
        <w:rPr>
          <w:rFonts w:asciiTheme="minorHAnsi" w:eastAsiaTheme="minorEastAsia" w:hAnsiTheme="minorHAnsi" w:cstheme="minorBidi"/>
          <w:sz w:val="22"/>
          <w:szCs w:val="22"/>
          <w:lang w:eastAsia="en-AU"/>
        </w:rPr>
        <w:tab/>
      </w:r>
      <w:r>
        <w:t>Calculating the emissions from fuel used to establish and manage a project</w:t>
      </w:r>
      <w:r>
        <w:tab/>
        <w:t>26</w:t>
      </w:r>
    </w:p>
    <w:p w:rsidR="00F768B0" w:rsidRDefault="00F768B0" w:rsidP="00F768B0">
      <w:pPr>
        <w:pStyle w:val="TOC5"/>
        <w:rPr>
          <w:rFonts w:asciiTheme="minorHAnsi" w:eastAsiaTheme="minorEastAsia" w:hAnsiTheme="minorHAnsi" w:cstheme="minorBidi"/>
          <w:sz w:val="22"/>
          <w:szCs w:val="22"/>
          <w:lang w:eastAsia="en-AU"/>
        </w:rPr>
      </w:pPr>
      <w:r>
        <w:tab/>
        <w:t>4.22</w:t>
      </w:r>
      <w:r>
        <w:rPr>
          <w:rFonts w:asciiTheme="minorHAnsi" w:eastAsiaTheme="minorEastAsia" w:hAnsiTheme="minorHAnsi" w:cstheme="minorBidi"/>
          <w:sz w:val="22"/>
          <w:szCs w:val="22"/>
          <w:lang w:eastAsia="en-AU"/>
        </w:rPr>
        <w:tab/>
      </w:r>
      <w:r>
        <w:t>Calculating total project emissions</w:t>
      </w:r>
      <w:r>
        <w:tab/>
        <w:t>27</w:t>
      </w:r>
    </w:p>
    <w:p w:rsidR="00F768B0" w:rsidRDefault="00F768B0" w:rsidP="00F768B0">
      <w:pPr>
        <w:pStyle w:val="TOC4"/>
        <w:rPr>
          <w:rFonts w:asciiTheme="minorHAnsi" w:eastAsiaTheme="minorEastAsia" w:hAnsiTheme="minorHAnsi" w:cstheme="minorBidi"/>
          <w:b w:val="0"/>
          <w:noProof/>
          <w:sz w:val="22"/>
          <w:szCs w:val="22"/>
          <w:lang w:eastAsia="en-AU"/>
        </w:rPr>
      </w:pPr>
      <w:r>
        <w:rPr>
          <w:noProof/>
        </w:rPr>
        <w:t>Subdivision 4.3.4</w:t>
      </w:r>
      <w:r>
        <w:rPr>
          <w:rFonts w:asciiTheme="minorHAnsi" w:eastAsiaTheme="minorEastAsia" w:hAnsiTheme="minorHAnsi" w:cstheme="minorBidi"/>
          <w:b w:val="0"/>
          <w:noProof/>
          <w:sz w:val="22"/>
          <w:szCs w:val="22"/>
          <w:lang w:eastAsia="en-AU"/>
        </w:rPr>
        <w:tab/>
      </w:r>
      <w:r>
        <w:rPr>
          <w:noProof/>
        </w:rPr>
        <w:t>Calculating net annual greenhouse gas abatement</w:t>
      </w:r>
    </w:p>
    <w:p w:rsidR="00F768B0" w:rsidRDefault="00F768B0" w:rsidP="00F768B0">
      <w:pPr>
        <w:pStyle w:val="TOC5"/>
        <w:rPr>
          <w:rFonts w:asciiTheme="minorHAnsi" w:eastAsiaTheme="minorEastAsia" w:hAnsiTheme="minorHAnsi" w:cstheme="minorBidi"/>
          <w:sz w:val="22"/>
          <w:szCs w:val="22"/>
          <w:lang w:eastAsia="en-AU"/>
        </w:rPr>
      </w:pPr>
      <w:r>
        <w:tab/>
        <w:t>4.23</w:t>
      </w:r>
      <w:r>
        <w:rPr>
          <w:rFonts w:asciiTheme="minorHAnsi" w:eastAsiaTheme="minorEastAsia" w:hAnsiTheme="minorHAnsi" w:cstheme="minorBidi"/>
          <w:sz w:val="22"/>
          <w:szCs w:val="22"/>
          <w:lang w:eastAsia="en-AU"/>
        </w:rPr>
        <w:tab/>
      </w:r>
      <w:r>
        <w:t>Calculating net annual greenhouse gas abatement</w:t>
      </w:r>
      <w:r>
        <w:tab/>
        <w:t>28</w:t>
      </w:r>
    </w:p>
    <w:p w:rsidR="00F768B0" w:rsidRDefault="00F768B0" w:rsidP="00F768B0">
      <w:pPr>
        <w:pStyle w:val="TOC3"/>
        <w:rPr>
          <w:rFonts w:asciiTheme="minorHAnsi" w:eastAsiaTheme="minorEastAsia" w:hAnsiTheme="minorHAnsi" w:cstheme="minorBidi"/>
          <w:b w:val="0"/>
          <w:noProof/>
          <w:sz w:val="22"/>
          <w:szCs w:val="22"/>
          <w:lang w:eastAsia="en-AU"/>
        </w:rPr>
      </w:pPr>
      <w:r>
        <w:rPr>
          <w:noProof/>
        </w:rPr>
        <w:t>Division 4.4</w:t>
      </w:r>
      <w:r>
        <w:rPr>
          <w:rFonts w:asciiTheme="minorHAnsi" w:eastAsiaTheme="minorEastAsia" w:hAnsiTheme="minorHAnsi" w:cstheme="minorBidi"/>
          <w:b w:val="0"/>
          <w:noProof/>
          <w:sz w:val="22"/>
          <w:szCs w:val="22"/>
          <w:lang w:eastAsia="en-AU"/>
        </w:rPr>
        <w:tab/>
      </w:r>
      <w:r>
        <w:rPr>
          <w:noProof/>
        </w:rPr>
        <w:t>Data collection</w:t>
      </w:r>
    </w:p>
    <w:p w:rsidR="00F768B0" w:rsidRDefault="00F768B0" w:rsidP="00F768B0">
      <w:pPr>
        <w:pStyle w:val="TOC5"/>
        <w:rPr>
          <w:rFonts w:asciiTheme="minorHAnsi" w:eastAsiaTheme="minorEastAsia" w:hAnsiTheme="minorHAnsi" w:cstheme="minorBidi"/>
          <w:sz w:val="22"/>
          <w:szCs w:val="22"/>
          <w:lang w:eastAsia="en-AU"/>
        </w:rPr>
      </w:pPr>
      <w:r>
        <w:tab/>
        <w:t>4.24</w:t>
      </w:r>
      <w:r>
        <w:rPr>
          <w:rFonts w:asciiTheme="minorHAnsi" w:eastAsiaTheme="minorEastAsia" w:hAnsiTheme="minorHAnsi" w:cstheme="minorBidi"/>
          <w:sz w:val="22"/>
          <w:szCs w:val="22"/>
          <w:lang w:eastAsia="en-AU"/>
        </w:rPr>
        <w:tab/>
      </w:r>
      <w:r>
        <w:t>Data collection</w:t>
      </w:r>
      <w:r>
        <w:tab/>
        <w:t>28</w:t>
      </w:r>
    </w:p>
    <w:p w:rsidR="00F768B0" w:rsidRDefault="00F768B0" w:rsidP="00F768B0">
      <w:pPr>
        <w:pStyle w:val="TOC2"/>
        <w:rPr>
          <w:rFonts w:asciiTheme="minorHAnsi" w:eastAsiaTheme="minorEastAsia" w:hAnsiTheme="minorHAnsi" w:cstheme="minorBidi"/>
          <w:b w:val="0"/>
          <w:lang w:eastAsia="en-AU"/>
        </w:rPr>
      </w:pPr>
      <w:r>
        <w:t>Part 5</w:t>
      </w:r>
      <w:r>
        <w:rPr>
          <w:rFonts w:asciiTheme="minorHAnsi" w:eastAsiaTheme="minorEastAsia" w:hAnsiTheme="minorHAnsi" w:cstheme="minorBidi"/>
          <w:b w:val="0"/>
          <w:lang w:eastAsia="en-AU"/>
        </w:rPr>
        <w:tab/>
      </w:r>
      <w:r>
        <w:t>Record-keeping and reporting requirements</w:t>
      </w:r>
    </w:p>
    <w:p w:rsidR="00F768B0" w:rsidRDefault="00F768B0" w:rsidP="00F768B0">
      <w:pPr>
        <w:pStyle w:val="TOC3"/>
        <w:rPr>
          <w:rFonts w:asciiTheme="minorHAnsi" w:eastAsiaTheme="minorEastAsia" w:hAnsiTheme="minorHAnsi" w:cstheme="minorBidi"/>
          <w:b w:val="0"/>
          <w:noProof/>
          <w:sz w:val="22"/>
          <w:szCs w:val="22"/>
          <w:lang w:eastAsia="en-AU"/>
        </w:rPr>
      </w:pPr>
      <w:r>
        <w:rPr>
          <w:noProof/>
        </w:rPr>
        <w:t>Division 5.1</w:t>
      </w:r>
      <w:r>
        <w:rPr>
          <w:rFonts w:asciiTheme="minorHAnsi" w:eastAsiaTheme="minorEastAsia" w:hAnsiTheme="minorHAnsi" w:cstheme="minorBidi"/>
          <w:b w:val="0"/>
          <w:noProof/>
          <w:sz w:val="22"/>
          <w:szCs w:val="22"/>
          <w:lang w:eastAsia="en-AU"/>
        </w:rPr>
        <w:tab/>
      </w:r>
      <w:r>
        <w:rPr>
          <w:noProof/>
        </w:rPr>
        <w:t>General</w:t>
      </w:r>
    </w:p>
    <w:p w:rsidR="00F768B0" w:rsidRDefault="00F768B0" w:rsidP="00F768B0">
      <w:pPr>
        <w:pStyle w:val="TOC5"/>
        <w:rPr>
          <w:rFonts w:asciiTheme="minorHAnsi" w:eastAsiaTheme="minorEastAsia" w:hAnsiTheme="minorHAnsi" w:cstheme="minorBidi"/>
          <w:sz w:val="22"/>
          <w:szCs w:val="22"/>
          <w:lang w:eastAsia="en-AU"/>
        </w:rPr>
      </w:pPr>
      <w:r>
        <w:tab/>
        <w:t>5.1</w:t>
      </w:r>
      <w:r>
        <w:rPr>
          <w:rFonts w:asciiTheme="minorHAnsi" w:eastAsiaTheme="minorEastAsia" w:hAnsiTheme="minorHAnsi" w:cstheme="minorBidi"/>
          <w:sz w:val="22"/>
          <w:szCs w:val="22"/>
          <w:lang w:eastAsia="en-AU"/>
        </w:rPr>
        <w:tab/>
      </w:r>
      <w:r>
        <w:t>Application</w:t>
      </w:r>
      <w:r>
        <w:tab/>
        <w:t>29</w:t>
      </w:r>
    </w:p>
    <w:p w:rsidR="00F768B0" w:rsidRDefault="00F768B0" w:rsidP="00F768B0">
      <w:pPr>
        <w:pStyle w:val="TOC3"/>
        <w:rPr>
          <w:rFonts w:asciiTheme="minorHAnsi" w:eastAsiaTheme="minorEastAsia" w:hAnsiTheme="minorHAnsi" w:cstheme="minorBidi"/>
          <w:b w:val="0"/>
          <w:noProof/>
          <w:sz w:val="22"/>
          <w:szCs w:val="22"/>
          <w:lang w:eastAsia="en-AU"/>
        </w:rPr>
      </w:pPr>
      <w:r>
        <w:rPr>
          <w:noProof/>
        </w:rPr>
        <w:t>Division 5.2</w:t>
      </w:r>
      <w:r>
        <w:rPr>
          <w:rFonts w:asciiTheme="minorHAnsi" w:eastAsiaTheme="minorEastAsia" w:hAnsiTheme="minorHAnsi" w:cstheme="minorBidi"/>
          <w:b w:val="0"/>
          <w:noProof/>
          <w:sz w:val="22"/>
          <w:szCs w:val="22"/>
          <w:lang w:eastAsia="en-AU"/>
        </w:rPr>
        <w:tab/>
      </w:r>
      <w:r>
        <w:rPr>
          <w:noProof/>
        </w:rPr>
        <w:t>Record-keeping requirements</w:t>
      </w:r>
    </w:p>
    <w:p w:rsidR="00F768B0" w:rsidRDefault="00F768B0" w:rsidP="00F768B0">
      <w:pPr>
        <w:pStyle w:val="TOC5"/>
        <w:rPr>
          <w:rFonts w:asciiTheme="minorHAnsi" w:eastAsiaTheme="minorEastAsia" w:hAnsiTheme="minorHAnsi" w:cstheme="minorBidi"/>
          <w:sz w:val="22"/>
          <w:szCs w:val="22"/>
          <w:lang w:eastAsia="en-AU"/>
        </w:rPr>
      </w:pPr>
      <w:r>
        <w:tab/>
        <w:t>5.2</w:t>
      </w:r>
      <w:r>
        <w:rPr>
          <w:rFonts w:asciiTheme="minorHAnsi" w:eastAsiaTheme="minorEastAsia" w:hAnsiTheme="minorHAnsi" w:cstheme="minorBidi"/>
          <w:sz w:val="22"/>
          <w:szCs w:val="22"/>
          <w:lang w:eastAsia="en-AU"/>
        </w:rPr>
        <w:tab/>
      </w:r>
      <w:r>
        <w:t>Records that must be kept</w:t>
      </w:r>
      <w:r>
        <w:tab/>
        <w:t>29</w:t>
      </w:r>
    </w:p>
    <w:p w:rsidR="00F768B0" w:rsidRDefault="00F768B0" w:rsidP="00F768B0">
      <w:pPr>
        <w:pStyle w:val="TOC3"/>
        <w:rPr>
          <w:rFonts w:asciiTheme="minorHAnsi" w:eastAsiaTheme="minorEastAsia" w:hAnsiTheme="minorHAnsi" w:cstheme="minorBidi"/>
          <w:b w:val="0"/>
          <w:noProof/>
          <w:sz w:val="22"/>
          <w:szCs w:val="22"/>
          <w:lang w:eastAsia="en-AU"/>
        </w:rPr>
      </w:pPr>
      <w:r>
        <w:rPr>
          <w:noProof/>
        </w:rPr>
        <w:t>Division 5.3</w:t>
      </w:r>
      <w:r>
        <w:rPr>
          <w:rFonts w:asciiTheme="minorHAnsi" w:eastAsiaTheme="minorEastAsia" w:hAnsiTheme="minorHAnsi" w:cstheme="minorBidi"/>
          <w:b w:val="0"/>
          <w:noProof/>
          <w:sz w:val="22"/>
          <w:szCs w:val="22"/>
          <w:lang w:eastAsia="en-AU"/>
        </w:rPr>
        <w:tab/>
      </w:r>
      <w:r>
        <w:rPr>
          <w:noProof/>
        </w:rPr>
        <w:t>Offsets report requirements</w:t>
      </w:r>
    </w:p>
    <w:p w:rsidR="00F768B0" w:rsidRDefault="00F768B0" w:rsidP="00F768B0">
      <w:pPr>
        <w:pStyle w:val="TOC5"/>
        <w:rPr>
          <w:rFonts w:asciiTheme="minorHAnsi" w:eastAsiaTheme="minorEastAsia" w:hAnsiTheme="minorHAnsi" w:cstheme="minorBidi"/>
          <w:sz w:val="22"/>
          <w:szCs w:val="22"/>
          <w:lang w:eastAsia="en-AU"/>
        </w:rPr>
      </w:pPr>
      <w:r>
        <w:tab/>
        <w:t>5.3</w:t>
      </w:r>
      <w:r>
        <w:rPr>
          <w:rFonts w:asciiTheme="minorHAnsi" w:eastAsiaTheme="minorEastAsia" w:hAnsiTheme="minorHAnsi" w:cstheme="minorBidi"/>
          <w:sz w:val="22"/>
          <w:szCs w:val="22"/>
          <w:lang w:eastAsia="en-AU"/>
        </w:rPr>
        <w:tab/>
      </w:r>
      <w:r>
        <w:t>Information that must be included in first offsets report</w:t>
      </w:r>
      <w:r>
        <w:tab/>
        <w:t>31</w:t>
      </w:r>
    </w:p>
    <w:p w:rsidR="00F768B0" w:rsidRDefault="00F768B0" w:rsidP="00F768B0">
      <w:pPr>
        <w:pStyle w:val="TOC5"/>
        <w:rPr>
          <w:rFonts w:asciiTheme="minorHAnsi" w:eastAsiaTheme="minorEastAsia" w:hAnsiTheme="minorHAnsi" w:cstheme="minorBidi"/>
          <w:sz w:val="22"/>
          <w:szCs w:val="22"/>
          <w:lang w:eastAsia="en-AU"/>
        </w:rPr>
      </w:pPr>
      <w:r>
        <w:tab/>
        <w:t>5.4</w:t>
      </w:r>
      <w:r>
        <w:rPr>
          <w:rFonts w:asciiTheme="minorHAnsi" w:eastAsiaTheme="minorEastAsia" w:hAnsiTheme="minorHAnsi" w:cstheme="minorBidi"/>
          <w:sz w:val="22"/>
          <w:szCs w:val="22"/>
          <w:lang w:eastAsia="en-AU"/>
        </w:rPr>
        <w:tab/>
      </w:r>
      <w:r>
        <w:t>Subsequent reporting periods</w:t>
      </w:r>
      <w:r>
        <w:tab/>
        <w:t>31</w:t>
      </w:r>
    </w:p>
    <w:p w:rsidR="00F768B0" w:rsidRPr="00884D10" w:rsidRDefault="00F768B0" w:rsidP="00F768B0">
      <w:pPr>
        <w:pStyle w:val="TOC1"/>
        <w:rPr>
          <w:b w:val="0"/>
          <w:noProof/>
          <w:sz w:val="20"/>
        </w:rPr>
      </w:pPr>
    </w:p>
    <w:p w:rsidR="00F768B0" w:rsidRPr="00884D10" w:rsidRDefault="00F768B0" w:rsidP="00F768B0">
      <w:pPr>
        <w:pStyle w:val="TOC1"/>
        <w:rPr>
          <w:b w:val="0"/>
          <w:noProof/>
          <w:sz w:val="20"/>
        </w:rPr>
      </w:pPr>
      <w:r w:rsidRPr="00884D10">
        <w:rPr>
          <w:noProof/>
          <w:sz w:val="20"/>
        </w:rPr>
        <w:t>Schedule 1</w:t>
      </w:r>
      <w:r w:rsidRPr="00884D10">
        <w:rPr>
          <w:noProof/>
          <w:sz w:val="20"/>
        </w:rPr>
        <w:tab/>
        <w:t>Vegetation classes</w:t>
      </w:r>
    </w:p>
    <w:p w:rsidR="00F768B0" w:rsidRPr="00884D10" w:rsidRDefault="00F768B0" w:rsidP="00F768B0">
      <w:pPr>
        <w:pStyle w:val="TOC1"/>
        <w:rPr>
          <w:b w:val="0"/>
          <w:noProof/>
          <w:sz w:val="20"/>
        </w:rPr>
      </w:pPr>
      <w:r w:rsidRPr="00884D10">
        <w:rPr>
          <w:noProof/>
          <w:sz w:val="20"/>
        </w:rPr>
        <w:t>Schedule 2</w:t>
      </w:r>
      <w:r w:rsidRPr="00884D10">
        <w:rPr>
          <w:noProof/>
          <w:sz w:val="20"/>
        </w:rPr>
        <w:tab/>
        <w:t>Forms</w:t>
      </w:r>
    </w:p>
    <w:p w:rsidR="00F768B0" w:rsidRPr="00884D10" w:rsidRDefault="00F768B0" w:rsidP="00F768B0">
      <w:pPr>
        <w:rPr>
          <w:rFonts w:ascii="Arial" w:hAnsi="Arial" w:cs="Arial"/>
          <w:b/>
          <w:iCs/>
          <w:sz w:val="36"/>
        </w:rPr>
      </w:pPr>
      <w:r w:rsidRPr="00884D10">
        <w:br w:type="page"/>
      </w:r>
    </w:p>
    <w:p w:rsidR="00F768B0" w:rsidRPr="00884D10" w:rsidRDefault="00F768B0" w:rsidP="00F768B0">
      <w:pPr>
        <w:pStyle w:val="h2Part"/>
      </w:pPr>
      <w:bookmarkStart w:id="3" w:name="_Toc357780149"/>
      <w:r w:rsidRPr="00884D10">
        <w:lastRenderedPageBreak/>
        <w:t xml:space="preserve">Part </w:t>
      </w:r>
      <w:r>
        <w:t>1</w:t>
      </w:r>
      <w:r w:rsidRPr="00884D10">
        <w:tab/>
        <w:t>Preliminary</w:t>
      </w:r>
      <w:bookmarkEnd w:id="3"/>
    </w:p>
    <w:p w:rsidR="00F768B0" w:rsidRPr="00884D10" w:rsidRDefault="00F768B0" w:rsidP="00F768B0">
      <w:pPr>
        <w:pStyle w:val="h5Section"/>
      </w:pPr>
      <w:bookmarkStart w:id="4" w:name="_Toc357780150"/>
      <w:r>
        <w:t>1.1</w:t>
      </w:r>
      <w:r w:rsidRPr="00884D10">
        <w:tab/>
        <w:t>Name of Determination</w:t>
      </w:r>
      <w:bookmarkEnd w:id="4"/>
    </w:p>
    <w:p w:rsidR="00F768B0" w:rsidRPr="00884D10" w:rsidRDefault="00F768B0" w:rsidP="00F768B0">
      <w:pPr>
        <w:pStyle w:val="tMain"/>
      </w:pPr>
      <w:r w:rsidRPr="00884D10">
        <w:tab/>
      </w:r>
      <w:r w:rsidRPr="00884D10">
        <w:tab/>
        <w:t xml:space="preserve">This Determination is the </w:t>
      </w:r>
      <w:r w:rsidRPr="00884D10">
        <w:rPr>
          <w:i/>
        </w:rPr>
        <w:t xml:space="preserve">Carbon Credits (Carbon Farming Initiative) (Reduction of Greenhouse Gas Emissions through Early Dry Season </w:t>
      </w:r>
      <w:proofErr w:type="spellStart"/>
      <w:r w:rsidRPr="00884D10">
        <w:rPr>
          <w:i/>
        </w:rPr>
        <w:t>Savanna</w:t>
      </w:r>
      <w:proofErr w:type="spellEnd"/>
      <w:r w:rsidRPr="00884D10">
        <w:rPr>
          <w:i/>
        </w:rPr>
        <w:t xml:space="preserve"> </w:t>
      </w:r>
      <w:r w:rsidRPr="00884D10">
        <w:rPr>
          <w:i/>
        </w:rPr>
        <w:br/>
        <w:t>Burning—1.1) Methodology Determination 2013</w:t>
      </w:r>
      <w:r w:rsidRPr="00884D10">
        <w:t>.</w:t>
      </w:r>
    </w:p>
    <w:p w:rsidR="00F768B0" w:rsidRPr="00884D10" w:rsidRDefault="00F768B0" w:rsidP="00F768B0">
      <w:pPr>
        <w:pStyle w:val="h5Section"/>
      </w:pPr>
      <w:bookmarkStart w:id="5" w:name="_Toc357780151"/>
      <w:r>
        <w:t>1.2</w:t>
      </w:r>
      <w:r w:rsidRPr="00884D10">
        <w:tab/>
        <w:t>Commencement</w:t>
      </w:r>
      <w:bookmarkEnd w:id="5"/>
    </w:p>
    <w:p w:rsidR="00F768B0" w:rsidRPr="00884D10" w:rsidRDefault="00F768B0" w:rsidP="00F768B0">
      <w:pPr>
        <w:pStyle w:val="tMain"/>
      </w:pPr>
      <w:r w:rsidRPr="00884D10">
        <w:tab/>
      </w:r>
      <w:r w:rsidRPr="00884D10">
        <w:tab/>
        <w:t>This Determination is taken to have come into force on 1 July 2010.</w:t>
      </w:r>
    </w:p>
    <w:p w:rsidR="00F768B0" w:rsidRPr="00884D10" w:rsidRDefault="00F768B0" w:rsidP="00F768B0">
      <w:pPr>
        <w:pStyle w:val="h5Section"/>
      </w:pPr>
      <w:bookmarkStart w:id="6" w:name="_Toc357780152"/>
      <w:r>
        <w:t>1.3</w:t>
      </w:r>
      <w:r w:rsidRPr="00884D10">
        <w:tab/>
        <w:t>Definitions</w:t>
      </w:r>
      <w:bookmarkEnd w:id="6"/>
    </w:p>
    <w:p w:rsidR="00F768B0" w:rsidRPr="00884D10" w:rsidRDefault="00F768B0" w:rsidP="00F768B0">
      <w:pPr>
        <w:pStyle w:val="tMain"/>
        <w:rPr>
          <w:rStyle w:val="CharSectno"/>
        </w:rPr>
      </w:pPr>
      <w:r w:rsidRPr="00884D10">
        <w:rPr>
          <w:rStyle w:val="CharSectno"/>
        </w:rPr>
        <w:tab/>
      </w:r>
      <w:r w:rsidRPr="00884D10">
        <w:rPr>
          <w:rStyle w:val="CharSectno"/>
        </w:rPr>
        <w:tab/>
        <w:t>In this Determination:</w:t>
      </w:r>
    </w:p>
    <w:p w:rsidR="00F768B0" w:rsidRPr="00884D10" w:rsidRDefault="00F768B0" w:rsidP="00F768B0">
      <w:pPr>
        <w:pStyle w:val="tDefn"/>
      </w:pPr>
      <w:r w:rsidRPr="00884D10">
        <w:rPr>
          <w:b/>
          <w:i/>
        </w:rPr>
        <w:t>Act</w:t>
      </w:r>
      <w:r w:rsidRPr="00884D10">
        <w:t xml:space="preserve"> means the </w:t>
      </w:r>
      <w:r w:rsidRPr="00884D10">
        <w:rPr>
          <w:i/>
        </w:rPr>
        <w:t>Carbon Credits (Carbon Farming Initiative) Act 2011</w:t>
      </w:r>
      <w:r w:rsidRPr="00884D10">
        <w:t xml:space="preserve">. </w:t>
      </w:r>
    </w:p>
    <w:p w:rsidR="00F768B0" w:rsidRPr="00884D10" w:rsidRDefault="00F768B0" w:rsidP="00F768B0">
      <w:pPr>
        <w:pStyle w:val="tDefn"/>
      </w:pPr>
      <w:r w:rsidRPr="00884D10">
        <w:rPr>
          <w:b/>
          <w:i/>
        </w:rPr>
        <w:t>annual fire map</w:t>
      </w:r>
      <w:r w:rsidRPr="00884D10">
        <w:rPr>
          <w:i/>
        </w:rPr>
        <w:t xml:space="preserve"> </w:t>
      </w:r>
      <w:r w:rsidRPr="00884D10">
        <w:t>means a fire map which shows fire scars for a calendar year for each vegetation class in the project area.</w:t>
      </w:r>
    </w:p>
    <w:p w:rsidR="00F768B0" w:rsidRPr="00884D10" w:rsidRDefault="00F768B0" w:rsidP="00F768B0">
      <w:pPr>
        <w:pStyle w:val="tDefn"/>
      </w:pPr>
      <w:r w:rsidRPr="00884D10">
        <w:rPr>
          <w:b/>
          <w:i/>
        </w:rPr>
        <w:t xml:space="preserve">baseline period </w:t>
      </w:r>
      <w:r w:rsidRPr="00884D10">
        <w:t>means the period of 10 years mentioned in subsection 4.20(1) or 4.20(2), whichever is applicable to the project.</w:t>
      </w:r>
    </w:p>
    <w:p w:rsidR="00F768B0" w:rsidRPr="00884D10" w:rsidRDefault="00F768B0" w:rsidP="00F768B0">
      <w:pPr>
        <w:pStyle w:val="tDefn"/>
      </w:pPr>
      <w:r w:rsidRPr="00884D10">
        <w:rPr>
          <w:b/>
          <w:i/>
        </w:rPr>
        <w:t xml:space="preserve">calendar year </w:t>
      </w:r>
      <w:r w:rsidRPr="00884D10">
        <w:t>means the period 1 January to 31 December in a given year.</w:t>
      </w:r>
    </w:p>
    <w:p w:rsidR="00F768B0" w:rsidRPr="00884D10" w:rsidRDefault="00F768B0" w:rsidP="00F768B0">
      <w:pPr>
        <w:pStyle w:val="tDefn"/>
      </w:pPr>
      <w:r w:rsidRPr="00884D10">
        <w:rPr>
          <w:b/>
          <w:i/>
        </w:rPr>
        <w:t>CO</w:t>
      </w:r>
      <w:r w:rsidRPr="00884D10">
        <w:rPr>
          <w:b/>
          <w:i/>
          <w:vertAlign w:val="subscript"/>
        </w:rPr>
        <w:t>2</w:t>
      </w:r>
      <w:r w:rsidRPr="00884D10">
        <w:rPr>
          <w:b/>
          <w:i/>
        </w:rPr>
        <w:t>-e</w:t>
      </w:r>
      <w:r w:rsidRPr="00884D10">
        <w:t xml:space="preserve"> means carbon dioxide equivalent.</w:t>
      </w:r>
    </w:p>
    <w:p w:rsidR="00F768B0" w:rsidRPr="00884D10" w:rsidRDefault="00F768B0" w:rsidP="00F768B0">
      <w:pPr>
        <w:pStyle w:val="tDefn"/>
      </w:pPr>
      <w:r w:rsidRPr="00884D10">
        <w:rPr>
          <w:b/>
          <w:i/>
        </w:rPr>
        <w:t>coarse fuel</w:t>
      </w:r>
      <w:r w:rsidRPr="00884D10">
        <w:t xml:space="preserve"> means twigs and dead branches of not less than 6 millimetres in diameter and not more than 50 millimetres in diameter.</w:t>
      </w:r>
    </w:p>
    <w:p w:rsidR="00F768B0" w:rsidRPr="00884D10" w:rsidRDefault="00F768B0" w:rsidP="00F768B0">
      <w:pPr>
        <w:pStyle w:val="tDefn"/>
      </w:pPr>
      <w:r w:rsidRPr="00884D10">
        <w:rPr>
          <w:b/>
          <w:i/>
        </w:rPr>
        <w:t xml:space="preserve">data waypoint </w:t>
      </w:r>
      <w:r w:rsidRPr="00884D10">
        <w:t>means a point within a project area where information is collected.</w:t>
      </w:r>
    </w:p>
    <w:p w:rsidR="00F768B0" w:rsidRPr="00884D10" w:rsidRDefault="00F768B0" w:rsidP="00F768B0">
      <w:pPr>
        <w:pStyle w:val="tDefn"/>
      </w:pPr>
      <w:r w:rsidRPr="00884D10">
        <w:rPr>
          <w:b/>
          <w:i/>
        </w:rPr>
        <w:t>early dry season</w:t>
      </w:r>
      <w:r w:rsidRPr="00884D10">
        <w:t xml:space="preserve"> or </w:t>
      </w:r>
      <w:r w:rsidRPr="00884D10">
        <w:rPr>
          <w:b/>
          <w:i/>
        </w:rPr>
        <w:t>EDS</w:t>
      </w:r>
      <w:r w:rsidRPr="00884D10">
        <w:t xml:space="preserve"> means the months in a calendar year that are not the late dry season.</w:t>
      </w:r>
    </w:p>
    <w:p w:rsidR="00F768B0" w:rsidRPr="00884D10" w:rsidRDefault="00F768B0" w:rsidP="00F768B0">
      <w:pPr>
        <w:pStyle w:val="tDefn"/>
      </w:pPr>
      <w:r w:rsidRPr="00884D10">
        <w:rPr>
          <w:b/>
          <w:i/>
        </w:rPr>
        <w:t>early dry season burning</w:t>
      </w:r>
      <w:r w:rsidRPr="00884D10">
        <w:t xml:space="preserve"> or </w:t>
      </w:r>
      <w:r w:rsidRPr="00884D10">
        <w:rPr>
          <w:b/>
          <w:i/>
        </w:rPr>
        <w:t xml:space="preserve">EDS burning </w:t>
      </w:r>
      <w:r w:rsidRPr="00884D10">
        <w:t>means a fire or prescribed burn which occurs in the early dry season.</w:t>
      </w:r>
    </w:p>
    <w:p w:rsidR="00F768B0" w:rsidRPr="00884D10" w:rsidRDefault="00F768B0" w:rsidP="00F768B0">
      <w:pPr>
        <w:pStyle w:val="tDefn"/>
      </w:pPr>
      <w:r w:rsidRPr="00884D10">
        <w:rPr>
          <w:b/>
          <w:i/>
        </w:rPr>
        <w:t>fine fuel</w:t>
      </w:r>
      <w:r w:rsidRPr="00884D10">
        <w:t xml:space="preserve"> means grass, leaf litter, bark and small twigs of less than 6 millimetres in diameter.</w:t>
      </w:r>
    </w:p>
    <w:p w:rsidR="00F768B0" w:rsidRPr="00884D10" w:rsidRDefault="00F768B0" w:rsidP="00F768B0">
      <w:pPr>
        <w:pStyle w:val="tDefn"/>
      </w:pPr>
      <w:r w:rsidRPr="00884D10">
        <w:rPr>
          <w:b/>
          <w:i/>
        </w:rPr>
        <w:t xml:space="preserve">fire map </w:t>
      </w:r>
      <w:r w:rsidRPr="00884D10">
        <w:t>means a geospatial map in raster format which shows the presence and absence of fire scars within the project area by way of pixels representing burnt or unburnt areas.</w:t>
      </w:r>
    </w:p>
    <w:p w:rsidR="00F768B0" w:rsidRPr="00884D10" w:rsidRDefault="00F768B0" w:rsidP="00F768B0">
      <w:pPr>
        <w:pStyle w:val="tDefn"/>
      </w:pPr>
      <w:r w:rsidRPr="00884D10">
        <w:rPr>
          <w:b/>
          <w:i/>
        </w:rPr>
        <w:t xml:space="preserve">fire scar area </w:t>
      </w:r>
      <w:r w:rsidRPr="00884D10">
        <w:t>means the spatial extent, within a project area, that has been affected by fire.</w:t>
      </w:r>
    </w:p>
    <w:p w:rsidR="00F03447" w:rsidRPr="001276A7" w:rsidRDefault="00F768B0" w:rsidP="001276A7">
      <w:pPr>
        <w:pStyle w:val="tDefn"/>
      </w:pPr>
      <w:r w:rsidRPr="00884D10">
        <w:rPr>
          <w:b/>
          <w:i/>
        </w:rPr>
        <w:t>fire scar</w:t>
      </w:r>
      <w:r w:rsidRPr="00884D10">
        <w:t xml:space="preserve"> means an area that has been burnt.</w:t>
      </w:r>
    </w:p>
    <w:p w:rsidR="00F768B0" w:rsidRPr="00884D10" w:rsidRDefault="00F768B0" w:rsidP="00F768B0">
      <w:pPr>
        <w:pStyle w:val="tDefn"/>
        <w:rPr>
          <w:i/>
        </w:rPr>
      </w:pPr>
      <w:r w:rsidRPr="00884D10">
        <w:rPr>
          <w:b/>
          <w:i/>
        </w:rPr>
        <w:t xml:space="preserve">fire season </w:t>
      </w:r>
      <w:r w:rsidRPr="00884D10">
        <w:t>means a season that is either the early dry season or the late dry season.</w:t>
      </w:r>
      <w:r w:rsidR="001276A7">
        <w:br/>
      </w:r>
    </w:p>
    <w:p w:rsidR="00F768B0" w:rsidRPr="00884D10" w:rsidRDefault="00F768B0" w:rsidP="00F768B0">
      <w:pPr>
        <w:pStyle w:val="tDefn"/>
      </w:pPr>
      <w:r w:rsidRPr="00884D10">
        <w:rPr>
          <w:b/>
          <w:i/>
        </w:rPr>
        <w:lastRenderedPageBreak/>
        <w:t xml:space="preserve">fuel load estimation period </w:t>
      </w:r>
      <w:r w:rsidRPr="00884D10">
        <w:t>means the 5 years immediately prior to the baseline period.</w:t>
      </w:r>
    </w:p>
    <w:p w:rsidR="00F768B0" w:rsidRPr="00884D10" w:rsidRDefault="00F768B0" w:rsidP="00F768B0">
      <w:pPr>
        <w:pStyle w:val="tDefn"/>
      </w:pPr>
      <w:r w:rsidRPr="00884D10">
        <w:rPr>
          <w:b/>
          <w:i/>
        </w:rPr>
        <w:t xml:space="preserve">GIS </w:t>
      </w:r>
      <w:r w:rsidRPr="00884D10">
        <w:t>means geographic information system</w:t>
      </w:r>
      <w:r w:rsidRPr="00884D10">
        <w:rPr>
          <w:b/>
          <w:i/>
        </w:rPr>
        <w:t>.</w:t>
      </w:r>
    </w:p>
    <w:p w:rsidR="00F768B0" w:rsidRPr="00884D10" w:rsidRDefault="00F768B0" w:rsidP="00F768B0">
      <w:pPr>
        <w:pStyle w:val="tDefn"/>
      </w:pPr>
      <w:r w:rsidRPr="00884D10">
        <w:rPr>
          <w:b/>
          <w:i/>
        </w:rPr>
        <w:t>GPS</w:t>
      </w:r>
      <w:r w:rsidRPr="00884D10">
        <w:t xml:space="preserve"> means global positioning system.</w:t>
      </w:r>
    </w:p>
    <w:p w:rsidR="00F768B0" w:rsidRPr="00884D10" w:rsidRDefault="00F768B0" w:rsidP="00F768B0">
      <w:pPr>
        <w:pStyle w:val="tDefn"/>
      </w:pPr>
      <w:r w:rsidRPr="00884D10">
        <w:rPr>
          <w:b/>
          <w:i/>
        </w:rPr>
        <w:t>greenhouse gas assessment boundary</w:t>
      </w:r>
      <w:r w:rsidRPr="00884D10">
        <w:t xml:space="preserve"> means the boundary specified in section 4.3.</w:t>
      </w:r>
    </w:p>
    <w:p w:rsidR="00F768B0" w:rsidRPr="00884D10" w:rsidRDefault="00F768B0" w:rsidP="00F768B0">
      <w:pPr>
        <w:pStyle w:val="tDefn"/>
      </w:pPr>
      <w:r w:rsidRPr="00884D10">
        <w:rPr>
          <w:b/>
          <w:i/>
        </w:rPr>
        <w:t xml:space="preserve">GWP </w:t>
      </w:r>
      <w:r w:rsidRPr="00884D10">
        <w:t>means Global Warming Potential.</w:t>
      </w:r>
    </w:p>
    <w:p w:rsidR="00F768B0" w:rsidRPr="00884D10" w:rsidRDefault="00F768B0" w:rsidP="00F768B0">
      <w:pPr>
        <w:pStyle w:val="tDefn"/>
      </w:pPr>
      <w:r w:rsidRPr="00884D10">
        <w:rPr>
          <w:b/>
          <w:i/>
        </w:rPr>
        <w:t xml:space="preserve">heavy fuel </w:t>
      </w:r>
      <w:r w:rsidRPr="00884D10">
        <w:t>means branches and logs of greater than 50 millimetres in diameter.</w:t>
      </w:r>
    </w:p>
    <w:p w:rsidR="00F768B0" w:rsidRPr="00884D10" w:rsidRDefault="00F768B0" w:rsidP="00F768B0">
      <w:pPr>
        <w:pStyle w:val="tDefn"/>
      </w:pPr>
      <w:r w:rsidRPr="00884D10">
        <w:rPr>
          <w:b/>
          <w:i/>
        </w:rPr>
        <w:t>late dry season</w:t>
      </w:r>
      <w:r w:rsidRPr="00884D10">
        <w:t xml:space="preserve"> or </w:t>
      </w:r>
      <w:r w:rsidRPr="00884D10">
        <w:rPr>
          <w:b/>
          <w:i/>
        </w:rPr>
        <w:t>LDS</w:t>
      </w:r>
      <w:r w:rsidRPr="00884D10">
        <w:t xml:space="preserve"> means the period in a calendar year, for a region, determined in accordance with section 4.4. </w:t>
      </w:r>
    </w:p>
    <w:p w:rsidR="00F768B0" w:rsidRPr="00884D10" w:rsidRDefault="00F768B0" w:rsidP="00F768B0">
      <w:pPr>
        <w:pStyle w:val="tDefn"/>
        <w:rPr>
          <w:i/>
        </w:rPr>
      </w:pPr>
      <w:r w:rsidRPr="00884D10">
        <w:rPr>
          <w:b/>
          <w:i/>
        </w:rPr>
        <w:t xml:space="preserve">monthly fire map </w:t>
      </w:r>
      <w:r w:rsidRPr="00884D10">
        <w:t>means a fire map relating to one or more calendar months of a year and that meets the requirements of section 3.5.</w:t>
      </w:r>
      <w:r w:rsidRPr="00884D10">
        <w:rPr>
          <w:i/>
        </w:rPr>
        <w:t xml:space="preserve"> </w:t>
      </w:r>
    </w:p>
    <w:p w:rsidR="00F768B0" w:rsidRPr="00884D10" w:rsidRDefault="00F768B0" w:rsidP="00F768B0">
      <w:pPr>
        <w:pStyle w:val="tDefn"/>
      </w:pPr>
      <w:r w:rsidRPr="00884D10">
        <w:rPr>
          <w:b/>
          <w:i/>
        </w:rPr>
        <w:t xml:space="preserve">NAFI </w:t>
      </w:r>
      <w:r w:rsidRPr="00884D10">
        <w:t>means the North Australian Fire Information website.</w:t>
      </w:r>
    </w:p>
    <w:p w:rsidR="00F768B0" w:rsidRPr="00884D10" w:rsidRDefault="00F768B0" w:rsidP="00F768B0">
      <w:pPr>
        <w:pStyle w:val="notePara"/>
      </w:pPr>
      <w:r w:rsidRPr="00884D10">
        <w:tab/>
      </w:r>
      <w:r w:rsidRPr="00884D10">
        <w:rPr>
          <w:b/>
          <w:i/>
        </w:rPr>
        <w:t>Note</w:t>
      </w:r>
      <w:r w:rsidRPr="00884D10">
        <w:tab/>
        <w:t xml:space="preserve">NAFI can be accessed at </w:t>
      </w:r>
      <w:r w:rsidRPr="00884D10">
        <w:rPr>
          <w:u w:val="single"/>
        </w:rPr>
        <w:t>www.firenorth.org.au</w:t>
      </w:r>
      <w:r w:rsidRPr="00884D10">
        <w:t>.</w:t>
      </w:r>
    </w:p>
    <w:p w:rsidR="00F768B0" w:rsidRPr="00884D10" w:rsidRDefault="00F768B0" w:rsidP="00F768B0">
      <w:pPr>
        <w:pStyle w:val="tDefn"/>
      </w:pPr>
      <w:r w:rsidRPr="00884D10">
        <w:rPr>
          <w:b/>
          <w:i/>
        </w:rPr>
        <w:t xml:space="preserve">NGER Measurement Determination </w:t>
      </w:r>
      <w:r w:rsidRPr="00884D10">
        <w:t xml:space="preserve">means the applicable determination made under subsection 10(3) of the </w:t>
      </w:r>
      <w:r w:rsidRPr="00884D10">
        <w:rPr>
          <w:i/>
        </w:rPr>
        <w:t>National Greenhouse and Energy Reporting Act 2007</w:t>
      </w:r>
      <w:r w:rsidRPr="00884D10">
        <w:t>.</w:t>
      </w:r>
    </w:p>
    <w:p w:rsidR="00F768B0" w:rsidRPr="00884D10" w:rsidRDefault="00F768B0" w:rsidP="00F768B0">
      <w:pPr>
        <w:pStyle w:val="tDefn"/>
      </w:pPr>
      <w:r w:rsidRPr="00884D10">
        <w:rPr>
          <w:b/>
          <w:i/>
        </w:rPr>
        <w:t>NGER Regulations</w:t>
      </w:r>
      <w:r w:rsidRPr="00884D10">
        <w:rPr>
          <w:b/>
        </w:rPr>
        <w:t xml:space="preserve"> </w:t>
      </w:r>
      <w:r w:rsidRPr="00884D10">
        <w:t xml:space="preserve">means the </w:t>
      </w:r>
      <w:r w:rsidRPr="00884D10">
        <w:rPr>
          <w:i/>
        </w:rPr>
        <w:t>National Greenhouse and Energy Reporting Regulations 2008</w:t>
      </w:r>
      <w:r w:rsidRPr="00884D10">
        <w:t>.</w:t>
      </w:r>
    </w:p>
    <w:p w:rsidR="00F768B0" w:rsidRPr="00884D10" w:rsidRDefault="00F768B0" w:rsidP="00F768B0">
      <w:pPr>
        <w:pStyle w:val="tDefn"/>
      </w:pPr>
      <w:r w:rsidRPr="00884D10">
        <w:rPr>
          <w:b/>
          <w:bCs/>
          <w:i/>
          <w:iCs/>
        </w:rPr>
        <w:t>project commencement</w:t>
      </w:r>
      <w:r w:rsidRPr="00884D10">
        <w:t xml:space="preserve"> means the project’s declaration date, which is the date on which the declaration of project eligibility under section 27 of the Act takes effect.</w:t>
      </w:r>
    </w:p>
    <w:p w:rsidR="00F768B0" w:rsidRPr="00884D10" w:rsidRDefault="00F768B0" w:rsidP="00F768B0">
      <w:pPr>
        <w:pStyle w:val="notePara"/>
      </w:pPr>
      <w:r w:rsidRPr="00884D10">
        <w:tab/>
      </w:r>
      <w:r w:rsidRPr="00884D10">
        <w:rPr>
          <w:b/>
          <w:i/>
        </w:rPr>
        <w:t>Note</w:t>
      </w:r>
      <w:r w:rsidRPr="00884D10">
        <w:tab/>
        <w:t>Under the Act a project’s declaration date cannot be earlier than 1 July 2010.  Because this Determination operates on a full calendar year basis, offsets projects to which this Determination applies will need to commence after the conclusion of the late dry season that is taken to have ended on 31 December 2010.</w:t>
      </w:r>
    </w:p>
    <w:p w:rsidR="00F768B0" w:rsidRPr="00884D10" w:rsidRDefault="00F768B0" w:rsidP="00F768B0">
      <w:pPr>
        <w:pStyle w:val="tDefn"/>
        <w:rPr>
          <w:b/>
        </w:rPr>
      </w:pPr>
      <w:r w:rsidRPr="00884D10">
        <w:rPr>
          <w:b/>
          <w:i/>
        </w:rPr>
        <w:t xml:space="preserve">raster format </w:t>
      </w:r>
      <w:r w:rsidRPr="00884D10">
        <w:t>means, for a map, the division of a map into a grid of pixels that can be coded according to characteristics of, or relating to, the area represented by the pixel.</w:t>
      </w:r>
    </w:p>
    <w:p w:rsidR="00F768B0" w:rsidRPr="00884D10" w:rsidRDefault="00F768B0" w:rsidP="00F768B0">
      <w:pPr>
        <w:pStyle w:val="tDefn"/>
      </w:pPr>
      <w:r w:rsidRPr="00884D10">
        <w:rPr>
          <w:b/>
          <w:i/>
        </w:rPr>
        <w:t>registered greenhouse and energy auditor</w:t>
      </w:r>
      <w:r w:rsidRPr="00884D10">
        <w:rPr>
          <w:b/>
        </w:rPr>
        <w:t xml:space="preserve"> </w:t>
      </w:r>
      <w:r w:rsidRPr="00884D10">
        <w:t xml:space="preserve">has the meaning given by the </w:t>
      </w:r>
      <w:r w:rsidRPr="00884D10">
        <w:rPr>
          <w:i/>
        </w:rPr>
        <w:t>National Greenhouse and Energy Reporting Act 2007</w:t>
      </w:r>
      <w:r w:rsidRPr="00884D10">
        <w:t>.</w:t>
      </w:r>
    </w:p>
    <w:p w:rsidR="00F768B0" w:rsidRPr="00884D10" w:rsidRDefault="00F768B0" w:rsidP="00F768B0">
      <w:pPr>
        <w:pStyle w:val="tDefn"/>
      </w:pPr>
      <w:r w:rsidRPr="00884D10">
        <w:rPr>
          <w:b/>
          <w:i/>
        </w:rPr>
        <w:t>Regulations</w:t>
      </w:r>
      <w:r w:rsidRPr="00884D10">
        <w:t xml:space="preserve"> means the </w:t>
      </w:r>
      <w:r w:rsidRPr="00884D10">
        <w:rPr>
          <w:i/>
        </w:rPr>
        <w:t>Carbon Credits (Carbon Farming Initiative) Regulations 2011</w:t>
      </w:r>
      <w:r w:rsidRPr="00884D10">
        <w:t>.</w:t>
      </w:r>
    </w:p>
    <w:p w:rsidR="00F768B0" w:rsidRPr="00884D10" w:rsidRDefault="00F768B0" w:rsidP="00F768B0">
      <w:pPr>
        <w:pStyle w:val="tDefn"/>
      </w:pPr>
      <w:proofErr w:type="spellStart"/>
      <w:r w:rsidRPr="00884D10">
        <w:rPr>
          <w:b/>
          <w:i/>
        </w:rPr>
        <w:t>Savanna</w:t>
      </w:r>
      <w:proofErr w:type="spellEnd"/>
      <w:r w:rsidRPr="00884D10">
        <w:rPr>
          <w:b/>
          <w:i/>
        </w:rPr>
        <w:t xml:space="preserve"> burning 1000 mm rainfall map</w:t>
      </w:r>
      <w:r w:rsidRPr="00884D10">
        <w:t xml:space="preserve"> means the map that shows the eligible land area under this Determination (above 1,000 millimetres of rainfall). </w:t>
      </w:r>
    </w:p>
    <w:p w:rsidR="00F768B0" w:rsidRPr="00884D10" w:rsidRDefault="00F768B0" w:rsidP="00F768B0">
      <w:pPr>
        <w:pStyle w:val="notePara"/>
      </w:pPr>
      <w:r w:rsidRPr="00884D10">
        <w:tab/>
      </w:r>
      <w:r w:rsidRPr="00884D10">
        <w:rPr>
          <w:b/>
          <w:i/>
        </w:rPr>
        <w:t>Note</w:t>
      </w:r>
      <w:r w:rsidRPr="00884D10">
        <w:tab/>
        <w:t>This map can be found at www.climatechange.gov.au.</w:t>
      </w:r>
    </w:p>
    <w:p w:rsidR="00F768B0" w:rsidRPr="00884D10" w:rsidRDefault="00F768B0" w:rsidP="00F768B0">
      <w:pPr>
        <w:pStyle w:val="tDefn"/>
      </w:pPr>
      <w:r w:rsidRPr="00884D10">
        <w:rPr>
          <w:b/>
          <w:i/>
        </w:rPr>
        <w:t xml:space="preserve">seasonal fire map </w:t>
      </w:r>
      <w:r w:rsidRPr="00884D10">
        <w:t>means a fire map that relates to either the early dry season or the late dry season and that meets the requirements of sections 3.6 and 3.7.</w:t>
      </w:r>
    </w:p>
    <w:p w:rsidR="00F768B0" w:rsidRDefault="00F768B0" w:rsidP="00F768B0">
      <w:pPr>
        <w:pStyle w:val="tDefn"/>
      </w:pPr>
      <w:r w:rsidRPr="00884D10">
        <w:rPr>
          <w:b/>
          <w:i/>
        </w:rPr>
        <w:t xml:space="preserve">shrubs </w:t>
      </w:r>
      <w:r w:rsidRPr="00884D10">
        <w:t>means living plants with a stem diameter of less than 50 millimetres at a height of 1.3 metres.</w:t>
      </w:r>
    </w:p>
    <w:p w:rsidR="001276A7" w:rsidRPr="00884D10" w:rsidRDefault="001276A7" w:rsidP="00F768B0">
      <w:pPr>
        <w:pStyle w:val="tDefn"/>
      </w:pPr>
    </w:p>
    <w:p w:rsidR="00F768B0" w:rsidRPr="00884D10" w:rsidRDefault="00F768B0" w:rsidP="00F768B0">
      <w:pPr>
        <w:pStyle w:val="tDefn"/>
        <w:rPr>
          <w:b/>
          <w:i/>
        </w:rPr>
      </w:pPr>
      <w:r w:rsidRPr="00884D10">
        <w:rPr>
          <w:b/>
          <w:i/>
        </w:rPr>
        <w:lastRenderedPageBreak/>
        <w:t xml:space="preserve">square kilometre </w:t>
      </w:r>
      <w:r w:rsidRPr="00884D10">
        <w:t>means a unit of measure equal to the area of a square whose side is one kilometre.</w:t>
      </w:r>
    </w:p>
    <w:p w:rsidR="00F768B0" w:rsidRPr="00884D10" w:rsidRDefault="00F768B0" w:rsidP="00F768B0">
      <w:pPr>
        <w:pStyle w:val="notePara"/>
      </w:pPr>
      <w:r w:rsidRPr="00884D10">
        <w:tab/>
      </w:r>
      <w:r w:rsidRPr="00884D10">
        <w:rPr>
          <w:b/>
          <w:i/>
        </w:rPr>
        <w:t>Note</w:t>
      </w:r>
      <w:r w:rsidRPr="00884D10">
        <w:tab/>
        <w:t>For example, 3 square kilometres is a square with sides equal to 3 kilometres.</w:t>
      </w:r>
    </w:p>
    <w:p w:rsidR="00F768B0" w:rsidRPr="00884D10" w:rsidRDefault="00F768B0" w:rsidP="00F768B0">
      <w:pPr>
        <w:pStyle w:val="tDefn"/>
        <w:rPr>
          <w:b/>
          <w:i/>
        </w:rPr>
      </w:pPr>
      <w:r w:rsidRPr="00884D10">
        <w:rPr>
          <w:b/>
          <w:i/>
        </w:rPr>
        <w:t>square metre</w:t>
      </w:r>
      <w:r w:rsidRPr="00884D10">
        <w:t xml:space="preserve"> means a unit of measure equal to the area of a square whose side is one metre.</w:t>
      </w:r>
    </w:p>
    <w:p w:rsidR="00F768B0" w:rsidRPr="00884D10" w:rsidRDefault="00F768B0" w:rsidP="00F768B0">
      <w:pPr>
        <w:pStyle w:val="notePara"/>
      </w:pPr>
      <w:r w:rsidRPr="00884D10">
        <w:tab/>
      </w:r>
      <w:r w:rsidRPr="00884D10">
        <w:rPr>
          <w:b/>
          <w:i/>
        </w:rPr>
        <w:t>Note</w:t>
      </w:r>
      <w:r w:rsidRPr="00884D10">
        <w:tab/>
        <w:t>For example, 3 square metres is a square with sides equal to 3 metres.</w:t>
      </w:r>
    </w:p>
    <w:p w:rsidR="00F768B0" w:rsidRPr="00884D10" w:rsidRDefault="00F768B0" w:rsidP="00F768B0">
      <w:pPr>
        <w:pStyle w:val="tDefn"/>
      </w:pPr>
      <w:r w:rsidRPr="00884D10">
        <w:rPr>
          <w:b/>
          <w:i/>
        </w:rPr>
        <w:t xml:space="preserve">strategic early dry season fire management </w:t>
      </w:r>
      <w:r w:rsidRPr="00884D10">
        <w:t>is the planned and intended deployment of prescribed burns that:</w:t>
      </w:r>
    </w:p>
    <w:p w:rsidR="00F768B0" w:rsidRPr="00884D10" w:rsidRDefault="00F768B0" w:rsidP="00F768B0">
      <w:pPr>
        <w:pStyle w:val="tDefn"/>
        <w:numPr>
          <w:ilvl w:val="0"/>
          <w:numId w:val="42"/>
        </w:numPr>
        <w:ind w:left="1701" w:hanging="567"/>
      </w:pPr>
      <w:r w:rsidRPr="00884D10">
        <w:t>are</w:t>
      </w:r>
      <w:r w:rsidRPr="00884D10">
        <w:rPr>
          <w:b/>
          <w:i/>
        </w:rPr>
        <w:t xml:space="preserve"> </w:t>
      </w:r>
      <w:r w:rsidRPr="00884D10">
        <w:t>carried out in the early dry season; and</w:t>
      </w:r>
    </w:p>
    <w:p w:rsidR="00F768B0" w:rsidRPr="00884D10" w:rsidRDefault="00F768B0" w:rsidP="00F768B0">
      <w:pPr>
        <w:pStyle w:val="tDefn"/>
        <w:numPr>
          <w:ilvl w:val="0"/>
          <w:numId w:val="42"/>
        </w:numPr>
        <w:ind w:left="1701" w:hanging="567"/>
      </w:pPr>
      <w:r w:rsidRPr="00884D10">
        <w:t xml:space="preserve">may be carried out in combination with natural and constructed barriers to stop the spread of fire and/or the active extinguishment of fires.  </w:t>
      </w:r>
    </w:p>
    <w:p w:rsidR="00F768B0" w:rsidRPr="00884D10" w:rsidRDefault="00F768B0" w:rsidP="00F768B0">
      <w:pPr>
        <w:pStyle w:val="tDefn"/>
      </w:pPr>
      <w:r w:rsidRPr="00884D10">
        <w:rPr>
          <w:b/>
          <w:i/>
        </w:rPr>
        <w:t>vegetation class</w:t>
      </w:r>
      <w:r w:rsidRPr="00884D10">
        <w:rPr>
          <w:b/>
        </w:rPr>
        <w:t xml:space="preserve"> </w:t>
      </w:r>
      <w:r w:rsidRPr="00884D10">
        <w:t xml:space="preserve">means a vegetation class specified in Schedule 1. </w:t>
      </w:r>
    </w:p>
    <w:p w:rsidR="00F768B0" w:rsidRPr="00884D10" w:rsidRDefault="00F768B0" w:rsidP="00F768B0">
      <w:pPr>
        <w:pStyle w:val="tDefn"/>
      </w:pPr>
      <w:r w:rsidRPr="00884D10">
        <w:rPr>
          <w:b/>
          <w:i/>
        </w:rPr>
        <w:t>vegetation map</w:t>
      </w:r>
      <w:r w:rsidRPr="00884D10">
        <w:rPr>
          <w:i/>
        </w:rPr>
        <w:t xml:space="preserve"> </w:t>
      </w:r>
      <w:r w:rsidRPr="00884D10">
        <w:t>means a geospatial map in raster format, that identifies the class and location of vegetation in the project area and that is developed in accordance with section 3.3.</w:t>
      </w:r>
      <w:r w:rsidRPr="00884D10">
        <w:rPr>
          <w:i/>
          <w:sz w:val="22"/>
        </w:rPr>
        <w:t xml:space="preserve"> </w:t>
      </w:r>
    </w:p>
    <w:p w:rsidR="00F768B0" w:rsidRPr="00884D10" w:rsidRDefault="00F768B0" w:rsidP="00F768B0">
      <w:pPr>
        <w:pStyle w:val="notePara"/>
      </w:pPr>
      <w:r w:rsidRPr="00884D10">
        <w:tab/>
      </w:r>
      <w:r w:rsidRPr="00884D10">
        <w:rPr>
          <w:b/>
          <w:i/>
        </w:rPr>
        <w:t>Note</w:t>
      </w:r>
      <w:r w:rsidRPr="00884D10">
        <w:tab/>
        <w:t>Vegetation maps must also meet the requirements relating to format, resolution and other matters set out in section 3.4.</w:t>
      </w:r>
    </w:p>
    <w:p w:rsidR="00F768B0" w:rsidRPr="00884D10" w:rsidRDefault="00F768B0" w:rsidP="00F768B0">
      <w:pPr>
        <w:pStyle w:val="tDefn"/>
      </w:pPr>
      <w:r w:rsidRPr="00884D10">
        <w:rPr>
          <w:b/>
          <w:i/>
        </w:rPr>
        <w:t xml:space="preserve">years since last burnt </w:t>
      </w:r>
      <w:r w:rsidRPr="00884D10">
        <w:t>or</w:t>
      </w:r>
      <w:r w:rsidRPr="00884D10">
        <w:rPr>
          <w:b/>
          <w:i/>
        </w:rPr>
        <w:t xml:space="preserve"> YSLB </w:t>
      </w:r>
      <w:r w:rsidRPr="00884D10">
        <w:t>means the number of years since a pixel was last burnt.</w:t>
      </w:r>
    </w:p>
    <w:p w:rsidR="00F768B0" w:rsidRPr="00884D10" w:rsidRDefault="00F768B0" w:rsidP="00F768B0">
      <w:pPr>
        <w:pStyle w:val="tDefn"/>
        <w:ind w:left="244" w:firstLine="720"/>
      </w:pPr>
    </w:p>
    <w:p w:rsidR="00F768B0" w:rsidRPr="00884D10" w:rsidRDefault="00F768B0" w:rsidP="00F768B0">
      <w:pPr>
        <w:pStyle w:val="notePara"/>
      </w:pPr>
      <w:r w:rsidRPr="00884D10">
        <w:tab/>
      </w:r>
      <w:r w:rsidRPr="00884D10">
        <w:rPr>
          <w:b/>
          <w:i/>
        </w:rPr>
        <w:t>Note</w:t>
      </w:r>
      <w:r w:rsidRPr="00884D10">
        <w:tab/>
        <w:t>Other words and expressions used in this Determination have the meaning given by the Act.  These include:</w:t>
      </w:r>
    </w:p>
    <w:p w:rsidR="00F768B0" w:rsidRPr="00884D10" w:rsidRDefault="00F768B0" w:rsidP="00F768B0">
      <w:pPr>
        <w:pStyle w:val="notePara"/>
        <w:ind w:left="1800" w:firstLine="0"/>
        <w:rPr>
          <w:b/>
          <w:i/>
        </w:rPr>
      </w:pPr>
      <w:r w:rsidRPr="00884D10">
        <w:rPr>
          <w:b/>
          <w:i/>
        </w:rPr>
        <w:t>baseline</w:t>
      </w:r>
    </w:p>
    <w:p w:rsidR="00F768B0" w:rsidRPr="00884D10" w:rsidRDefault="00F768B0" w:rsidP="00F768B0">
      <w:pPr>
        <w:pStyle w:val="notePara"/>
        <w:ind w:left="1800" w:firstLine="0"/>
        <w:rPr>
          <w:b/>
          <w:i/>
        </w:rPr>
      </w:pPr>
      <w:r w:rsidRPr="00884D10">
        <w:rPr>
          <w:b/>
          <w:i/>
        </w:rPr>
        <w:t>eligible offsets project</w:t>
      </w:r>
    </w:p>
    <w:p w:rsidR="00F768B0" w:rsidRPr="00884D10" w:rsidRDefault="00F768B0" w:rsidP="00F768B0">
      <w:pPr>
        <w:pStyle w:val="notePara"/>
        <w:ind w:left="1800" w:firstLine="0"/>
        <w:rPr>
          <w:b/>
          <w:i/>
        </w:rPr>
      </w:pPr>
      <w:r w:rsidRPr="00884D10">
        <w:rPr>
          <w:b/>
          <w:i/>
        </w:rPr>
        <w:t>emission</w:t>
      </w:r>
    </w:p>
    <w:p w:rsidR="00F768B0" w:rsidRPr="00884D10" w:rsidRDefault="00F768B0" w:rsidP="00F768B0">
      <w:pPr>
        <w:pStyle w:val="notePara"/>
        <w:ind w:left="1800" w:firstLine="0"/>
        <w:rPr>
          <w:b/>
          <w:i/>
        </w:rPr>
      </w:pPr>
      <w:r w:rsidRPr="00884D10">
        <w:rPr>
          <w:b/>
          <w:i/>
        </w:rPr>
        <w:t>greenhouse gas</w:t>
      </w:r>
    </w:p>
    <w:p w:rsidR="00F768B0" w:rsidRPr="00884D10" w:rsidRDefault="00F768B0" w:rsidP="00F768B0">
      <w:pPr>
        <w:pStyle w:val="notePara"/>
        <w:ind w:left="1800" w:firstLine="0"/>
        <w:rPr>
          <w:b/>
          <w:i/>
        </w:rPr>
      </w:pPr>
      <w:r w:rsidRPr="00884D10">
        <w:rPr>
          <w:b/>
          <w:i/>
        </w:rPr>
        <w:t>methodology determination</w:t>
      </w:r>
    </w:p>
    <w:p w:rsidR="00F768B0" w:rsidRPr="00884D10" w:rsidRDefault="00F768B0" w:rsidP="00F768B0">
      <w:pPr>
        <w:pStyle w:val="notePara"/>
        <w:ind w:left="1800" w:firstLine="0"/>
        <w:rPr>
          <w:b/>
          <w:i/>
        </w:rPr>
      </w:pPr>
      <w:r w:rsidRPr="00884D10">
        <w:rPr>
          <w:b/>
          <w:i/>
        </w:rPr>
        <w:t>offsets project</w:t>
      </w:r>
    </w:p>
    <w:p w:rsidR="00F768B0" w:rsidRPr="00884D10" w:rsidRDefault="00F768B0" w:rsidP="00F768B0">
      <w:pPr>
        <w:pStyle w:val="notePara"/>
        <w:ind w:left="1800" w:firstLine="0"/>
        <w:rPr>
          <w:b/>
          <w:i/>
        </w:rPr>
      </w:pPr>
      <w:r w:rsidRPr="00884D10">
        <w:rPr>
          <w:b/>
          <w:i/>
        </w:rPr>
        <w:t>offsets report</w:t>
      </w:r>
    </w:p>
    <w:p w:rsidR="00F768B0" w:rsidRPr="00884D10" w:rsidRDefault="00F768B0" w:rsidP="00F768B0">
      <w:pPr>
        <w:pStyle w:val="notePara"/>
        <w:ind w:left="1800" w:firstLine="0"/>
        <w:rPr>
          <w:b/>
          <w:i/>
        </w:rPr>
      </w:pPr>
      <w:r w:rsidRPr="00884D10">
        <w:rPr>
          <w:b/>
          <w:i/>
        </w:rPr>
        <w:t>project</w:t>
      </w:r>
    </w:p>
    <w:p w:rsidR="00F768B0" w:rsidRPr="00884D10" w:rsidRDefault="00F768B0" w:rsidP="00F768B0">
      <w:pPr>
        <w:pStyle w:val="notePara"/>
        <w:ind w:left="1800" w:firstLine="0"/>
        <w:rPr>
          <w:b/>
          <w:i/>
        </w:rPr>
      </w:pPr>
      <w:r w:rsidRPr="00884D10">
        <w:rPr>
          <w:b/>
          <w:i/>
        </w:rPr>
        <w:t>project area</w:t>
      </w:r>
    </w:p>
    <w:p w:rsidR="00F768B0" w:rsidRPr="00884D10" w:rsidRDefault="00F768B0" w:rsidP="00F768B0">
      <w:pPr>
        <w:pStyle w:val="notePara"/>
        <w:ind w:left="1800" w:firstLine="0"/>
        <w:rPr>
          <w:b/>
          <w:i/>
        </w:rPr>
      </w:pPr>
      <w:r w:rsidRPr="00884D10">
        <w:rPr>
          <w:b/>
          <w:i/>
        </w:rPr>
        <w:t>project proponent</w:t>
      </w:r>
    </w:p>
    <w:p w:rsidR="00F768B0" w:rsidRPr="00884D10" w:rsidRDefault="00F768B0" w:rsidP="00F768B0">
      <w:pPr>
        <w:pStyle w:val="notePara"/>
        <w:ind w:left="1800" w:firstLine="0"/>
        <w:rPr>
          <w:b/>
          <w:i/>
        </w:rPr>
      </w:pPr>
      <w:r w:rsidRPr="00884D10">
        <w:rPr>
          <w:b/>
          <w:i/>
        </w:rPr>
        <w:t>Regulator</w:t>
      </w:r>
    </w:p>
    <w:p w:rsidR="00F768B0" w:rsidRPr="00884D10" w:rsidRDefault="00F768B0" w:rsidP="00F768B0">
      <w:pPr>
        <w:pStyle w:val="notePara"/>
        <w:ind w:left="1800" w:firstLine="0"/>
      </w:pPr>
      <w:r w:rsidRPr="00884D10">
        <w:rPr>
          <w:b/>
          <w:i/>
        </w:rPr>
        <w:t>reporting period</w:t>
      </w:r>
    </w:p>
    <w:p w:rsidR="00F768B0" w:rsidRPr="00884D10" w:rsidRDefault="00F768B0" w:rsidP="00F768B0">
      <w:pPr>
        <w:pStyle w:val="h5Section"/>
      </w:pPr>
      <w:bookmarkStart w:id="7" w:name="_Toc357780153"/>
      <w:r>
        <w:lastRenderedPageBreak/>
        <w:t>1.4</w:t>
      </w:r>
      <w:r w:rsidRPr="00884D10">
        <w:tab/>
        <w:t>Kind of project to which this Determination applies</w:t>
      </w:r>
      <w:bookmarkEnd w:id="7"/>
      <w:r w:rsidRPr="00884D10">
        <w:t xml:space="preserve"> </w:t>
      </w:r>
    </w:p>
    <w:p w:rsidR="00F768B0" w:rsidRPr="00884D10" w:rsidRDefault="00F768B0" w:rsidP="00F768B0">
      <w:pPr>
        <w:pStyle w:val="noteMain"/>
        <w:keepNext/>
      </w:pPr>
      <w:r w:rsidRPr="00884D10">
        <w:tab/>
      </w:r>
      <w:r w:rsidRPr="00884D10">
        <w:rPr>
          <w:b/>
          <w:i/>
        </w:rPr>
        <w:t>Note</w:t>
      </w:r>
      <w:r w:rsidRPr="00884D10">
        <w:tab/>
        <w:t xml:space="preserve">See </w:t>
      </w:r>
      <w:r w:rsidRPr="00884D10">
        <w:rPr>
          <w:color w:val="000000" w:themeColor="text1"/>
        </w:rPr>
        <w:t xml:space="preserve">paragraph </w:t>
      </w:r>
      <w:r w:rsidRPr="00884D10">
        <w:t>106(1)(a) of the Act.</w:t>
      </w:r>
    </w:p>
    <w:p w:rsidR="00F768B0" w:rsidRPr="00884D10" w:rsidRDefault="00F768B0" w:rsidP="00F768B0">
      <w:pPr>
        <w:pStyle w:val="tMain"/>
      </w:pPr>
      <w:r w:rsidRPr="00884D10">
        <w:rPr>
          <w:color w:val="FF0000"/>
        </w:rPr>
        <w:tab/>
      </w:r>
      <w:r w:rsidRPr="00884D10">
        <w:tab/>
        <w:t>This Determination applies to a project to avoid the emission of methane (CH</w:t>
      </w:r>
      <w:r w:rsidRPr="00884D10">
        <w:rPr>
          <w:vertAlign w:val="subscript"/>
        </w:rPr>
        <w:t>4</w:t>
      </w:r>
      <w:r w:rsidRPr="00884D10">
        <w:t>) and nitrous oxide (N</w:t>
      </w:r>
      <w:r w:rsidRPr="00884D10">
        <w:rPr>
          <w:vertAlign w:val="subscript"/>
        </w:rPr>
        <w:t>2</w:t>
      </w:r>
      <w:r w:rsidRPr="00884D10">
        <w:t xml:space="preserve">O) through the use of strategic early dry season fire management across the </w:t>
      </w:r>
      <w:proofErr w:type="spellStart"/>
      <w:r w:rsidRPr="00884D10">
        <w:t>savannas</w:t>
      </w:r>
      <w:proofErr w:type="spellEnd"/>
      <w:r w:rsidRPr="00884D10">
        <w:t xml:space="preserve"> in Australia that receive more than 1,000 millimetres long-term average annual rainfall. </w:t>
      </w:r>
    </w:p>
    <w:p w:rsidR="00F768B0" w:rsidRPr="00884D10" w:rsidRDefault="00F768B0" w:rsidP="00F768B0">
      <w:pPr>
        <w:pStyle w:val="notePara"/>
      </w:pPr>
      <w:r w:rsidRPr="00884D10">
        <w:tab/>
      </w:r>
      <w:r w:rsidRPr="00884D10">
        <w:rPr>
          <w:b/>
          <w:i/>
        </w:rPr>
        <w:t>Note</w:t>
      </w:r>
      <w:r w:rsidRPr="00884D10">
        <w:tab/>
        <w:t xml:space="preserve">The </w:t>
      </w:r>
      <w:proofErr w:type="spellStart"/>
      <w:r w:rsidRPr="00884D10">
        <w:t>Savanna</w:t>
      </w:r>
      <w:proofErr w:type="spellEnd"/>
      <w:r w:rsidRPr="00884D10">
        <w:t xml:space="preserve"> burning 1000 mm rainfall map can be used to determine whether a </w:t>
      </w:r>
      <w:proofErr w:type="spellStart"/>
      <w:r w:rsidRPr="00884D10">
        <w:t>savanna</w:t>
      </w:r>
      <w:proofErr w:type="spellEnd"/>
      <w:r w:rsidRPr="00884D10">
        <w:t xml:space="preserve"> is located in an area that receives above 1,000 millimetres of rainfall.</w:t>
      </w:r>
    </w:p>
    <w:p w:rsidR="00F768B0" w:rsidRPr="00884D10" w:rsidRDefault="00F768B0" w:rsidP="00F768B0">
      <w:pPr>
        <w:pStyle w:val="h2Part"/>
      </w:pPr>
      <w:bookmarkStart w:id="8" w:name="_Toc357780154"/>
      <w:r w:rsidRPr="00884D10">
        <w:lastRenderedPageBreak/>
        <w:t xml:space="preserve">Part </w:t>
      </w:r>
      <w:r>
        <w:t>2</w:t>
      </w:r>
      <w:r w:rsidRPr="00884D10">
        <w:tab/>
        <w:t>Requirements for declaration as eligible project</w:t>
      </w:r>
      <w:bookmarkEnd w:id="8"/>
    </w:p>
    <w:p w:rsidR="00F768B0" w:rsidRPr="00884D10" w:rsidRDefault="00F768B0" w:rsidP="00F768B0">
      <w:pPr>
        <w:pStyle w:val="noteMain"/>
      </w:pPr>
      <w:r w:rsidRPr="00884D10">
        <w:tab/>
      </w:r>
      <w:r w:rsidRPr="00884D10">
        <w:rPr>
          <w:b/>
          <w:i/>
        </w:rPr>
        <w:t>Note</w:t>
      </w:r>
      <w:r w:rsidRPr="00884D10">
        <w:tab/>
        <w:t>See paragraphs 27(4)(c) and 106(1)(b) of the Act.</w:t>
      </w:r>
    </w:p>
    <w:p w:rsidR="00F768B0" w:rsidRPr="00884D10" w:rsidRDefault="00F768B0" w:rsidP="00F768B0">
      <w:pPr>
        <w:pStyle w:val="h5Section"/>
      </w:pPr>
      <w:bookmarkStart w:id="9" w:name="_Toc357780155"/>
      <w:r>
        <w:t>2.1</w:t>
      </w:r>
      <w:r w:rsidRPr="00884D10">
        <w:tab/>
        <w:t>Eligible projects</w:t>
      </w:r>
      <w:bookmarkEnd w:id="9"/>
    </w:p>
    <w:p w:rsidR="00F768B0" w:rsidRPr="00884D10" w:rsidRDefault="00F768B0" w:rsidP="00F768B0">
      <w:pPr>
        <w:pStyle w:val="tMain"/>
      </w:pPr>
      <w:r w:rsidRPr="00884D10">
        <w:tab/>
      </w:r>
      <w:r w:rsidRPr="00884D10">
        <w:tab/>
        <w:t>To be declared an eligible offsets project, a project to which this Determination applies must meet the requirements in this Part.</w:t>
      </w:r>
    </w:p>
    <w:p w:rsidR="00F768B0" w:rsidRPr="00884D10" w:rsidRDefault="00F768B0" w:rsidP="00F768B0">
      <w:pPr>
        <w:pStyle w:val="notePara"/>
      </w:pPr>
      <w:r w:rsidRPr="00884D10">
        <w:tab/>
      </w:r>
      <w:r w:rsidRPr="00884D10">
        <w:rPr>
          <w:b/>
          <w:i/>
        </w:rPr>
        <w:t>Note</w:t>
      </w:r>
      <w:r w:rsidRPr="00884D10">
        <w:tab/>
        <w:t>A project must also meet the requirements in subsection 27(4) of the Act and in the Regulations, including the requirement that the project is not an excluded offsets project (see regulations 3.36 and 3.37).</w:t>
      </w:r>
    </w:p>
    <w:p w:rsidR="00F768B0" w:rsidRPr="00884D10" w:rsidRDefault="00F768B0" w:rsidP="00F768B0">
      <w:pPr>
        <w:pStyle w:val="h5Section"/>
      </w:pPr>
      <w:bookmarkStart w:id="10" w:name="_Toc357780156"/>
      <w:r>
        <w:t>2.2</w:t>
      </w:r>
      <w:r w:rsidRPr="00884D10">
        <w:tab/>
        <w:t>Location</w:t>
      </w:r>
      <w:bookmarkEnd w:id="10"/>
    </w:p>
    <w:p w:rsidR="00F768B0" w:rsidRPr="00884D10" w:rsidRDefault="00F768B0" w:rsidP="00F768B0">
      <w:pPr>
        <w:pStyle w:val="tMain"/>
      </w:pPr>
      <w:r w:rsidRPr="00884D10">
        <w:tab/>
      </w:r>
      <w:r w:rsidRPr="00884D10">
        <w:tab/>
        <w:t>The project area must be within Australia.</w:t>
      </w:r>
    </w:p>
    <w:p w:rsidR="00F768B0" w:rsidRPr="00884D10" w:rsidRDefault="00F768B0" w:rsidP="00F768B0">
      <w:pPr>
        <w:pStyle w:val="h5Section"/>
      </w:pPr>
      <w:bookmarkStart w:id="11" w:name="_Toc357780157"/>
      <w:r>
        <w:t>2.3</w:t>
      </w:r>
      <w:r w:rsidRPr="00884D10">
        <w:tab/>
        <w:t>Project land characteristics</w:t>
      </w:r>
      <w:bookmarkEnd w:id="11"/>
      <w:r w:rsidRPr="00884D10">
        <w:t xml:space="preserve"> </w:t>
      </w:r>
    </w:p>
    <w:p w:rsidR="00F768B0" w:rsidRPr="00884D10" w:rsidRDefault="00F768B0" w:rsidP="00F768B0">
      <w:pPr>
        <w:pStyle w:val="tMain"/>
      </w:pPr>
      <w:r w:rsidRPr="00884D10">
        <w:tab/>
      </w:r>
      <w:r w:rsidRPr="00884D10">
        <w:tab/>
        <w:t>The project area must include land that:</w:t>
      </w:r>
    </w:p>
    <w:p w:rsidR="00F768B0" w:rsidRPr="00884D10" w:rsidRDefault="00F768B0" w:rsidP="00F768B0">
      <w:pPr>
        <w:pStyle w:val="tPara"/>
      </w:pPr>
      <w:r w:rsidRPr="00884D10">
        <w:tab/>
        <w:t>(a)</w:t>
      </w:r>
      <w:r w:rsidRPr="00884D10">
        <w:tab/>
        <w:t xml:space="preserve">is located in an area which, according to the </w:t>
      </w:r>
      <w:proofErr w:type="spellStart"/>
      <w:r w:rsidRPr="00884D10">
        <w:t>Savanna</w:t>
      </w:r>
      <w:proofErr w:type="spellEnd"/>
      <w:r w:rsidRPr="00884D10">
        <w:t xml:space="preserve"> burning </w:t>
      </w:r>
      <w:r w:rsidRPr="00884D10">
        <w:rPr>
          <w:b/>
          <w:i/>
        </w:rPr>
        <w:br/>
      </w:r>
      <w:r w:rsidRPr="00884D10">
        <w:t>1000 mm rainfall map, receives more than 1,000 millimetres long-term average annual rainfall; and</w:t>
      </w:r>
    </w:p>
    <w:p w:rsidR="00F768B0" w:rsidRPr="00884D10" w:rsidRDefault="00F768B0" w:rsidP="00F768B0">
      <w:pPr>
        <w:pStyle w:val="tPara"/>
      </w:pPr>
      <w:r w:rsidRPr="00884D10">
        <w:tab/>
        <w:t>(b)</w:t>
      </w:r>
      <w:r w:rsidRPr="00884D10">
        <w:tab/>
        <w:t>contains one or more of the following vegetation classes as described in Schedule 1:</w:t>
      </w:r>
    </w:p>
    <w:p w:rsidR="00F768B0" w:rsidRPr="00884D10" w:rsidRDefault="00F768B0" w:rsidP="00F768B0">
      <w:pPr>
        <w:pStyle w:val="tSubpara"/>
      </w:pPr>
      <w:r w:rsidRPr="00884D10">
        <w:tab/>
        <w:t>(</w:t>
      </w:r>
      <w:proofErr w:type="spellStart"/>
      <w:r w:rsidRPr="00884D10">
        <w:t>i</w:t>
      </w:r>
      <w:proofErr w:type="spellEnd"/>
      <w:r w:rsidRPr="00884D10">
        <w:t>)</w:t>
      </w:r>
      <w:r w:rsidRPr="00884D10">
        <w:tab/>
        <w:t>eucalypt open forest with tussock grass ground layer (EOF);</w:t>
      </w:r>
    </w:p>
    <w:p w:rsidR="00F768B0" w:rsidRPr="00884D10" w:rsidRDefault="00F768B0" w:rsidP="00F768B0">
      <w:pPr>
        <w:pStyle w:val="tSubpara"/>
      </w:pPr>
      <w:r w:rsidRPr="00884D10">
        <w:tab/>
        <w:t>(ii)</w:t>
      </w:r>
      <w:r w:rsidRPr="00884D10">
        <w:tab/>
        <w:t>eucalypt woodland with tussock grass ground layer (EW);</w:t>
      </w:r>
    </w:p>
    <w:p w:rsidR="00F768B0" w:rsidRPr="00884D10" w:rsidRDefault="00F768B0" w:rsidP="00F768B0">
      <w:pPr>
        <w:pStyle w:val="tSubpara"/>
      </w:pPr>
      <w:r w:rsidRPr="00884D10">
        <w:tab/>
        <w:t>(iii)</w:t>
      </w:r>
      <w:r w:rsidRPr="00884D10">
        <w:tab/>
        <w:t>sandstone woodland with a mixed tussock and/or hummock (spinifex) grass ground layer (SW); and</w:t>
      </w:r>
    </w:p>
    <w:p w:rsidR="00F768B0" w:rsidRPr="00884D10" w:rsidRDefault="00F768B0" w:rsidP="00F768B0">
      <w:pPr>
        <w:pStyle w:val="tSubpara"/>
      </w:pPr>
      <w:r w:rsidRPr="00884D10">
        <w:tab/>
        <w:t>(iv)</w:t>
      </w:r>
      <w:r w:rsidRPr="00884D10">
        <w:tab/>
        <w:t>sandstone heath with a ground layer dominated by hummock grasses (spinifex) (SH).</w:t>
      </w:r>
    </w:p>
    <w:p w:rsidR="00F768B0" w:rsidRPr="00884D10" w:rsidRDefault="00F768B0" w:rsidP="00F768B0">
      <w:pPr>
        <w:pStyle w:val="notePara"/>
      </w:pPr>
      <w:r w:rsidRPr="00884D10">
        <w:tab/>
      </w:r>
      <w:r w:rsidRPr="00884D10">
        <w:rPr>
          <w:b/>
          <w:i/>
        </w:rPr>
        <w:t>Note</w:t>
      </w:r>
      <w:r w:rsidRPr="00884D10">
        <w:tab/>
        <w:t xml:space="preserve">The </w:t>
      </w:r>
      <w:proofErr w:type="spellStart"/>
      <w:r w:rsidRPr="00884D10">
        <w:t>Savanna</w:t>
      </w:r>
      <w:proofErr w:type="spellEnd"/>
      <w:r w:rsidRPr="00884D10">
        <w:t xml:space="preserve"> burning 1000 mm rainfall map can be used to determine whether a </w:t>
      </w:r>
      <w:proofErr w:type="spellStart"/>
      <w:r w:rsidRPr="00884D10">
        <w:t>savanna</w:t>
      </w:r>
      <w:proofErr w:type="spellEnd"/>
      <w:r w:rsidRPr="00884D10">
        <w:t xml:space="preserve"> is located in an area that receives above 1,000 millimetres of rainfall.</w:t>
      </w:r>
    </w:p>
    <w:p w:rsidR="00F768B0" w:rsidRPr="00884D10" w:rsidRDefault="00F768B0" w:rsidP="00F768B0">
      <w:pPr>
        <w:pStyle w:val="h5Section"/>
      </w:pPr>
      <w:bookmarkStart w:id="12" w:name="_Toc357780158"/>
      <w:r>
        <w:lastRenderedPageBreak/>
        <w:t>2.4</w:t>
      </w:r>
      <w:r w:rsidRPr="00884D10">
        <w:tab/>
        <w:t>Project mechanism</w:t>
      </w:r>
      <w:bookmarkEnd w:id="12"/>
      <w:r w:rsidRPr="00884D10">
        <w:t xml:space="preserve"> </w:t>
      </w:r>
    </w:p>
    <w:p w:rsidR="00F768B0" w:rsidRPr="00884D10" w:rsidRDefault="00F768B0" w:rsidP="00F768B0">
      <w:pPr>
        <w:pStyle w:val="tMain"/>
        <w:keepNext/>
      </w:pPr>
      <w:r w:rsidRPr="00884D10">
        <w:tab/>
      </w:r>
      <w:r w:rsidRPr="00884D10">
        <w:tab/>
        <w:t>A project proponent must apply strategic early dry season fire management in the project area:</w:t>
      </w:r>
    </w:p>
    <w:p w:rsidR="00F768B0" w:rsidRPr="00884D10" w:rsidRDefault="00F768B0" w:rsidP="00F768B0">
      <w:pPr>
        <w:pStyle w:val="tPara"/>
        <w:keepNext/>
      </w:pPr>
      <w:r w:rsidRPr="00884D10">
        <w:tab/>
        <w:t>(a)</w:t>
      </w:r>
      <w:r w:rsidRPr="00884D10">
        <w:tab/>
        <w:t xml:space="preserve">to reduce the areas of </w:t>
      </w:r>
      <w:proofErr w:type="spellStart"/>
      <w:r w:rsidRPr="00884D10">
        <w:t>savannas</w:t>
      </w:r>
      <w:proofErr w:type="spellEnd"/>
      <w:r w:rsidRPr="00884D10">
        <w:t xml:space="preserve"> that are burnt each year;</w:t>
      </w:r>
    </w:p>
    <w:p w:rsidR="00F768B0" w:rsidRPr="00884D10" w:rsidRDefault="00F768B0" w:rsidP="00F768B0">
      <w:pPr>
        <w:pStyle w:val="tPara"/>
        <w:keepNext/>
      </w:pPr>
      <w:r w:rsidRPr="00884D10">
        <w:tab/>
        <w:t>(b)</w:t>
      </w:r>
      <w:r w:rsidRPr="00884D10">
        <w:tab/>
        <w:t xml:space="preserve">to shift the seasonality of the </w:t>
      </w:r>
      <w:proofErr w:type="spellStart"/>
      <w:r w:rsidRPr="00884D10">
        <w:t>savanna</w:t>
      </w:r>
      <w:proofErr w:type="spellEnd"/>
      <w:r w:rsidRPr="00884D10">
        <w:t xml:space="preserve"> burning from the late dry season to the early dry season; or</w:t>
      </w:r>
    </w:p>
    <w:p w:rsidR="00F768B0" w:rsidRPr="00884D10" w:rsidRDefault="00F768B0" w:rsidP="00F768B0">
      <w:pPr>
        <w:pStyle w:val="tPara"/>
        <w:keepNext/>
      </w:pPr>
      <w:r w:rsidRPr="00884D10">
        <w:tab/>
        <w:t>(c)</w:t>
      </w:r>
      <w:r w:rsidRPr="00884D10">
        <w:tab/>
        <w:t>to achieve a combination of (a) and (b).</w:t>
      </w:r>
    </w:p>
    <w:p w:rsidR="00F768B0" w:rsidRPr="00884D10" w:rsidRDefault="00F768B0" w:rsidP="00F768B0">
      <w:pPr>
        <w:pStyle w:val="notePara"/>
        <w:keepNext/>
        <w:spacing w:after="0"/>
      </w:pPr>
      <w:r w:rsidRPr="00884D10">
        <w:tab/>
      </w:r>
      <w:r w:rsidRPr="00884D10">
        <w:rPr>
          <w:b/>
          <w:i/>
        </w:rPr>
        <w:t>Note</w:t>
      </w:r>
      <w:r w:rsidRPr="00884D10">
        <w:tab/>
        <w:t>Under section 3.2, the area that has been burnt by strategic early dry season fire management cannot be reduced by:</w:t>
      </w:r>
    </w:p>
    <w:p w:rsidR="00F768B0" w:rsidRPr="00884D10" w:rsidRDefault="00F768B0" w:rsidP="00F768B0">
      <w:pPr>
        <w:pStyle w:val="notePara"/>
        <w:keepNext/>
        <w:numPr>
          <w:ilvl w:val="0"/>
          <w:numId w:val="41"/>
        </w:numPr>
        <w:spacing w:after="0" w:line="240" w:lineRule="auto"/>
      </w:pPr>
      <w:r w:rsidRPr="00884D10">
        <w:t>indirect methods such as the introduction of cattle; or</w:t>
      </w:r>
    </w:p>
    <w:p w:rsidR="00F768B0" w:rsidRPr="00884D10" w:rsidRDefault="00F768B0" w:rsidP="00F768B0">
      <w:pPr>
        <w:pStyle w:val="notePara"/>
        <w:keepNext/>
        <w:numPr>
          <w:ilvl w:val="0"/>
          <w:numId w:val="41"/>
        </w:numPr>
        <w:spacing w:after="0" w:line="240" w:lineRule="auto"/>
      </w:pPr>
      <w:r w:rsidRPr="00884D10">
        <w:t>inducing an increase in late dry season fires in areas bordering the project area.</w:t>
      </w:r>
    </w:p>
    <w:p w:rsidR="00F768B0" w:rsidRPr="00884D10" w:rsidRDefault="00F768B0" w:rsidP="00F768B0">
      <w:pPr>
        <w:pStyle w:val="h5Section"/>
      </w:pPr>
      <w:bookmarkStart w:id="13" w:name="_Toc357780159"/>
      <w:r>
        <w:t>2.5</w:t>
      </w:r>
      <w:r w:rsidRPr="00884D10">
        <w:tab/>
        <w:t>Identification of project area</w:t>
      </w:r>
      <w:bookmarkEnd w:id="13"/>
      <w:r w:rsidRPr="00884D10">
        <w:tab/>
      </w:r>
    </w:p>
    <w:p w:rsidR="00F768B0" w:rsidRPr="00884D10" w:rsidRDefault="00F768B0" w:rsidP="00F768B0">
      <w:pPr>
        <w:pStyle w:val="tMain"/>
      </w:pPr>
      <w:r w:rsidRPr="00884D10">
        <w:tab/>
      </w:r>
      <w:r w:rsidRPr="00884D10">
        <w:tab/>
        <w:t>The boundaries of the project area must be delineated in accordance with sections 3.3 and 3.4.</w:t>
      </w:r>
    </w:p>
    <w:p w:rsidR="00F768B0" w:rsidRPr="00884D10" w:rsidRDefault="00F768B0" w:rsidP="00F768B0">
      <w:pPr>
        <w:pStyle w:val="noteMain"/>
      </w:pPr>
      <w:r w:rsidRPr="00884D10">
        <w:tab/>
      </w:r>
      <w:r w:rsidRPr="00884D10">
        <w:rPr>
          <w:b/>
          <w:i/>
        </w:rPr>
        <w:t>Note</w:t>
      </w:r>
      <w:r w:rsidRPr="00884D10">
        <w:tab/>
        <w:t>Sections 3.3 and 3.4 set out the requirements for delineating the boundaries of a vegetation map.</w:t>
      </w:r>
    </w:p>
    <w:p w:rsidR="00F768B0" w:rsidRPr="00884D10" w:rsidRDefault="00F768B0" w:rsidP="00F768B0">
      <w:pPr>
        <w:pStyle w:val="tMain"/>
      </w:pPr>
    </w:p>
    <w:p w:rsidR="00F768B0" w:rsidRPr="00884D10" w:rsidRDefault="00F768B0" w:rsidP="00F768B0">
      <w:pPr>
        <w:pStyle w:val="h2Part"/>
      </w:pPr>
      <w:bookmarkStart w:id="14" w:name="_Toc357780160"/>
      <w:r w:rsidRPr="00884D10">
        <w:lastRenderedPageBreak/>
        <w:t xml:space="preserve">Part </w:t>
      </w:r>
      <w:r>
        <w:t>3</w:t>
      </w:r>
      <w:r w:rsidRPr="00884D10">
        <w:tab/>
        <w:t>Requirements for operation of eligible projects</w:t>
      </w:r>
      <w:bookmarkEnd w:id="14"/>
    </w:p>
    <w:p w:rsidR="00F768B0" w:rsidRPr="00884D10" w:rsidRDefault="00F768B0" w:rsidP="00F768B0">
      <w:pPr>
        <w:pStyle w:val="noteMain"/>
      </w:pPr>
      <w:r w:rsidRPr="00884D10">
        <w:tab/>
      </w:r>
      <w:r w:rsidRPr="00884D10">
        <w:rPr>
          <w:b/>
          <w:i/>
        </w:rPr>
        <w:t>Note</w:t>
      </w:r>
      <w:r w:rsidRPr="00884D10">
        <w:tab/>
        <w:t>See paragraphs 27(4)(c), 35(2)(a) and 106(1)(b) of the Act and regulations 1.12 and 3.26 of the Regulations.</w:t>
      </w:r>
    </w:p>
    <w:p w:rsidR="00F768B0" w:rsidRPr="00884D10" w:rsidRDefault="00F768B0" w:rsidP="00F768B0">
      <w:pPr>
        <w:pStyle w:val="h3Div"/>
      </w:pPr>
      <w:bookmarkStart w:id="15" w:name="_Toc357780161"/>
      <w:r w:rsidRPr="00884D10">
        <w:t xml:space="preserve">Division </w:t>
      </w:r>
      <w:r>
        <w:t>3.1</w:t>
      </w:r>
      <w:r w:rsidRPr="00884D10">
        <w:tab/>
        <w:t>Operation of eligible projects</w:t>
      </w:r>
      <w:bookmarkEnd w:id="15"/>
    </w:p>
    <w:p w:rsidR="00F768B0" w:rsidRPr="00884D10" w:rsidRDefault="00F768B0" w:rsidP="00F768B0">
      <w:pPr>
        <w:pStyle w:val="h5Section"/>
      </w:pPr>
      <w:bookmarkStart w:id="16" w:name="_Toc357780162"/>
      <w:r>
        <w:t>3.1</w:t>
      </w:r>
      <w:r w:rsidRPr="00884D10">
        <w:tab/>
        <w:t>Operation of eligible projects</w:t>
      </w:r>
      <w:bookmarkEnd w:id="16"/>
    </w:p>
    <w:p w:rsidR="00F768B0" w:rsidRPr="00884D10" w:rsidRDefault="00F768B0" w:rsidP="00F768B0">
      <w:pPr>
        <w:pStyle w:val="tMain"/>
      </w:pPr>
      <w:r w:rsidRPr="00884D10">
        <w:tab/>
      </w:r>
      <w:r w:rsidRPr="00884D10">
        <w:tab/>
        <w:t>An eligible offsets project to which this Determination applies must be operated in accordance with this Part.</w:t>
      </w:r>
    </w:p>
    <w:p w:rsidR="00F768B0" w:rsidRPr="00884D10" w:rsidRDefault="00F768B0" w:rsidP="00F768B0">
      <w:pPr>
        <w:pStyle w:val="h5Section"/>
      </w:pPr>
      <w:bookmarkStart w:id="17" w:name="_Toc357780163"/>
      <w:r>
        <w:t>3.2</w:t>
      </w:r>
      <w:r w:rsidRPr="00884D10">
        <w:tab/>
        <w:t>Ineligible activities</w:t>
      </w:r>
      <w:bookmarkEnd w:id="17"/>
      <w:r w:rsidRPr="00884D10">
        <w:t xml:space="preserve"> </w:t>
      </w:r>
    </w:p>
    <w:p w:rsidR="00F768B0" w:rsidRPr="00884D10" w:rsidRDefault="00F768B0" w:rsidP="00F768B0">
      <w:pPr>
        <w:pStyle w:val="tMain"/>
      </w:pPr>
      <w:r w:rsidRPr="00884D10">
        <w:tab/>
      </w:r>
      <w:r w:rsidRPr="00884D10">
        <w:tab/>
        <w:t>The fire scar area must not be reduced by:</w:t>
      </w:r>
    </w:p>
    <w:p w:rsidR="00F768B0" w:rsidRPr="00884D10" w:rsidRDefault="00F768B0" w:rsidP="00F768B0">
      <w:pPr>
        <w:pStyle w:val="tPara"/>
      </w:pPr>
      <w:r w:rsidRPr="00884D10">
        <w:tab/>
      </w:r>
      <w:r>
        <w:t>(a)</w:t>
      </w:r>
      <w:r w:rsidRPr="00884D10">
        <w:tab/>
        <w:t>indirect methods such as the introduction of cattle; or</w:t>
      </w:r>
    </w:p>
    <w:p w:rsidR="00F768B0" w:rsidRPr="00884D10" w:rsidRDefault="00F768B0" w:rsidP="00F768B0">
      <w:pPr>
        <w:pStyle w:val="tPara"/>
      </w:pPr>
      <w:r w:rsidRPr="00884D10">
        <w:tab/>
      </w:r>
      <w:r>
        <w:t>(b)</w:t>
      </w:r>
      <w:r w:rsidRPr="00884D10">
        <w:tab/>
        <w:t>inducing an increase in late dry season fires in areas bordering the project area.</w:t>
      </w:r>
    </w:p>
    <w:p w:rsidR="00F768B0" w:rsidRPr="00884D10" w:rsidRDefault="00F768B0" w:rsidP="00F768B0">
      <w:pPr>
        <w:pStyle w:val="h3Div"/>
      </w:pPr>
      <w:bookmarkStart w:id="18" w:name="_Toc357780164"/>
      <w:r w:rsidRPr="00884D10">
        <w:t xml:space="preserve">Division </w:t>
      </w:r>
      <w:r>
        <w:t>3.2</w:t>
      </w:r>
      <w:r w:rsidRPr="00884D10">
        <w:tab/>
        <w:t>Vegetation maps</w:t>
      </w:r>
      <w:bookmarkEnd w:id="18"/>
    </w:p>
    <w:p w:rsidR="00F768B0" w:rsidRPr="00884D10" w:rsidRDefault="00F768B0" w:rsidP="00F768B0">
      <w:pPr>
        <w:pStyle w:val="h5Section"/>
      </w:pPr>
      <w:bookmarkStart w:id="19" w:name="_Toc357780165"/>
      <w:r>
        <w:t>3.3</w:t>
      </w:r>
      <w:r w:rsidRPr="00884D10">
        <w:tab/>
        <w:t>Requirements for a vegetation map</w:t>
      </w:r>
      <w:bookmarkEnd w:id="19"/>
      <w:r w:rsidRPr="00884D10">
        <w:t xml:space="preserve"> </w:t>
      </w:r>
    </w:p>
    <w:p w:rsidR="00F768B0" w:rsidRPr="00884D10" w:rsidRDefault="00F768B0" w:rsidP="00F768B0">
      <w:pPr>
        <w:pStyle w:val="tMain"/>
      </w:pPr>
      <w:r w:rsidRPr="00884D10">
        <w:tab/>
      </w:r>
      <w:r w:rsidRPr="00884D10">
        <w:tab/>
        <w:t>A vegetation map must:</w:t>
      </w:r>
    </w:p>
    <w:p w:rsidR="00F768B0" w:rsidRPr="00884D10" w:rsidRDefault="00F768B0" w:rsidP="00F768B0">
      <w:pPr>
        <w:pStyle w:val="tPara"/>
      </w:pPr>
      <w:r w:rsidRPr="00884D10">
        <w:tab/>
      </w:r>
      <w:r>
        <w:t>(a)</w:t>
      </w:r>
      <w:r w:rsidRPr="00884D10">
        <w:tab/>
        <w:t>be in raster format with a minimum pixel size of 250 square metres (m</w:t>
      </w:r>
      <w:r w:rsidRPr="00884D10">
        <w:rPr>
          <w:vertAlign w:val="superscript"/>
        </w:rPr>
        <w:t>2</w:t>
      </w:r>
      <w:r w:rsidRPr="00884D10">
        <w:t>);</w:t>
      </w:r>
    </w:p>
    <w:p w:rsidR="00F768B0" w:rsidRPr="00884D10" w:rsidRDefault="00F768B0" w:rsidP="00F768B0">
      <w:pPr>
        <w:pStyle w:val="tPara"/>
      </w:pPr>
      <w:r w:rsidRPr="00884D10">
        <w:tab/>
      </w:r>
      <w:r>
        <w:t>(b)</w:t>
      </w:r>
      <w:r w:rsidRPr="00884D10">
        <w:tab/>
        <w:t>assign a vegetation class to each pixel that represents a part of the project area, according to the vegetation classes specified in Schedule 1;</w:t>
      </w:r>
    </w:p>
    <w:p w:rsidR="00F768B0" w:rsidRPr="00884D10" w:rsidRDefault="00F768B0" w:rsidP="00F768B0">
      <w:pPr>
        <w:pStyle w:val="tPara"/>
      </w:pPr>
      <w:r w:rsidRPr="00884D10">
        <w:tab/>
      </w:r>
      <w:r>
        <w:t>(c)</w:t>
      </w:r>
      <w:r w:rsidRPr="00884D10">
        <w:tab/>
        <w:t xml:space="preserve">be based on mapping products describing vegetation structure and ancillary land information such as soil type and foliage cover; </w:t>
      </w:r>
    </w:p>
    <w:p w:rsidR="00F768B0" w:rsidRPr="00884D10" w:rsidRDefault="00F768B0" w:rsidP="00F768B0">
      <w:pPr>
        <w:pStyle w:val="tPara"/>
      </w:pPr>
      <w:r w:rsidRPr="00884D10">
        <w:tab/>
      </w:r>
      <w:r>
        <w:t>(d)</w:t>
      </w:r>
      <w:r w:rsidRPr="00884D10">
        <w:tab/>
        <w:t xml:space="preserve">include at least one input of a cloud-free satellite image; and </w:t>
      </w:r>
    </w:p>
    <w:p w:rsidR="00F768B0" w:rsidRPr="00884D10" w:rsidRDefault="00F768B0" w:rsidP="00F768B0">
      <w:pPr>
        <w:pStyle w:val="tPara"/>
      </w:pPr>
      <w:r w:rsidRPr="00884D10">
        <w:tab/>
      </w:r>
      <w:r>
        <w:t>(e)</w:t>
      </w:r>
      <w:r w:rsidRPr="00884D10">
        <w:tab/>
        <w:t>be validated in accordance with section 3.4 not more than 3 years before project commencement.</w:t>
      </w:r>
    </w:p>
    <w:p w:rsidR="00F768B0" w:rsidRPr="00884D10" w:rsidRDefault="00F768B0" w:rsidP="00F768B0">
      <w:pPr>
        <w:pStyle w:val="h5Section"/>
      </w:pPr>
      <w:bookmarkStart w:id="20" w:name="_Toc357780166"/>
      <w:r>
        <w:t>3.4</w:t>
      </w:r>
      <w:r w:rsidRPr="00884D10">
        <w:tab/>
        <w:t>Validation of a vegetation map</w:t>
      </w:r>
      <w:bookmarkEnd w:id="20"/>
      <w:r w:rsidRPr="00884D10">
        <w:t xml:space="preserve"> </w:t>
      </w:r>
    </w:p>
    <w:p w:rsidR="00F768B0" w:rsidRPr="00884D10" w:rsidRDefault="00F768B0" w:rsidP="00F768B0">
      <w:pPr>
        <w:pStyle w:val="tMain"/>
      </w:pPr>
      <w:r w:rsidRPr="00884D10">
        <w:tab/>
        <w:t>(1)</w:t>
      </w:r>
      <w:r w:rsidRPr="00884D10">
        <w:tab/>
        <w:t>Vegetation maps must be validated in accordance with this Determination to be not less than 80% accurate overall at a maximum scale of 1:100 000.</w:t>
      </w:r>
    </w:p>
    <w:p w:rsidR="00F768B0" w:rsidRPr="00884D10" w:rsidRDefault="00F768B0" w:rsidP="00F768B0">
      <w:pPr>
        <w:pStyle w:val="tMain"/>
      </w:pPr>
      <w:r w:rsidRPr="00884D10">
        <w:tab/>
        <w:t>(2)</w:t>
      </w:r>
      <w:r w:rsidRPr="00884D10">
        <w:tab/>
        <w:t>The accuracy of a vegetation map must be validated using information from independent data waypoints.</w:t>
      </w:r>
    </w:p>
    <w:p w:rsidR="00F768B0" w:rsidRPr="00884D10" w:rsidRDefault="00F768B0" w:rsidP="00F768B0">
      <w:pPr>
        <w:pStyle w:val="tMain"/>
        <w:keepNext/>
      </w:pPr>
      <w:r w:rsidRPr="00884D10">
        <w:lastRenderedPageBreak/>
        <w:tab/>
        <w:t>(3)</w:t>
      </w:r>
      <w:r w:rsidRPr="00884D10">
        <w:tab/>
        <w:t xml:space="preserve">The independent data waypoints specified in subsection (2) must: </w:t>
      </w:r>
    </w:p>
    <w:p w:rsidR="00F768B0" w:rsidRPr="00884D10" w:rsidRDefault="00F768B0" w:rsidP="00F768B0">
      <w:pPr>
        <w:pStyle w:val="tPara"/>
        <w:keepNext/>
      </w:pPr>
      <w:r w:rsidRPr="00884D10">
        <w:tab/>
        <w:t>(a)</w:t>
      </w:r>
      <w:r w:rsidRPr="00884D10">
        <w:tab/>
        <w:t>be approximately 1 hectare in area and be congruent with the scale of the vegetation map; and</w:t>
      </w:r>
    </w:p>
    <w:p w:rsidR="00F768B0" w:rsidRPr="00884D10" w:rsidRDefault="00F768B0" w:rsidP="00F768B0">
      <w:pPr>
        <w:pStyle w:val="tPara"/>
        <w:keepNext/>
      </w:pPr>
      <w:r w:rsidRPr="00884D10">
        <w:tab/>
        <w:t>(b)</w:t>
      </w:r>
      <w:r w:rsidRPr="00884D10">
        <w:tab/>
        <w:t>be collected with reference to transects or a grid that samples all vegetation classes over the project area.</w:t>
      </w:r>
    </w:p>
    <w:p w:rsidR="00F768B0" w:rsidRPr="00884D10" w:rsidRDefault="00F768B0" w:rsidP="00F768B0">
      <w:pPr>
        <w:pStyle w:val="tMain"/>
      </w:pPr>
      <w:r w:rsidRPr="00884D10">
        <w:tab/>
        <w:t>(4)</w:t>
      </w:r>
      <w:r w:rsidRPr="00884D10">
        <w:tab/>
        <w:t>For project areas over 10,000 square kilometres (km</w:t>
      </w:r>
      <w:r w:rsidRPr="00884D10">
        <w:rPr>
          <w:vertAlign w:val="superscript"/>
        </w:rPr>
        <w:t>2</w:t>
      </w:r>
      <w:r w:rsidRPr="00884D10">
        <w:t>):</w:t>
      </w:r>
    </w:p>
    <w:p w:rsidR="00F768B0" w:rsidRPr="00884D10" w:rsidRDefault="00F768B0" w:rsidP="00F768B0">
      <w:pPr>
        <w:pStyle w:val="tPara"/>
      </w:pPr>
      <w:r w:rsidRPr="00884D10">
        <w:tab/>
        <w:t>(a)</w:t>
      </w:r>
      <w:r w:rsidRPr="00884D10">
        <w:tab/>
        <w:t>not less than 500 independent data waypoints must be used to refine the vegetation map; and</w:t>
      </w:r>
    </w:p>
    <w:p w:rsidR="00F768B0" w:rsidRPr="00884D10" w:rsidRDefault="00F768B0" w:rsidP="00F768B0">
      <w:pPr>
        <w:pStyle w:val="tPara"/>
      </w:pPr>
      <w:r w:rsidRPr="00884D10">
        <w:tab/>
        <w:t>(b)</w:t>
      </w:r>
      <w:r w:rsidRPr="00884D10">
        <w:tab/>
        <w:t>an additional 500 independent data waypoints must be used to assess the accuracy of the vegetation map.</w:t>
      </w:r>
    </w:p>
    <w:p w:rsidR="00F768B0" w:rsidRPr="00884D10" w:rsidRDefault="00F768B0" w:rsidP="00F768B0">
      <w:pPr>
        <w:pStyle w:val="tMain"/>
      </w:pPr>
      <w:r w:rsidRPr="00884D10">
        <w:tab/>
        <w:t>(5)</w:t>
      </w:r>
      <w:r w:rsidRPr="00884D10">
        <w:tab/>
        <w:t>For project areas less than 10,000 square kilometres (km</w:t>
      </w:r>
      <w:r w:rsidRPr="00884D10">
        <w:rPr>
          <w:vertAlign w:val="superscript"/>
        </w:rPr>
        <w:t>2</w:t>
      </w:r>
      <w:r w:rsidRPr="00884D10">
        <w:t>):</w:t>
      </w:r>
    </w:p>
    <w:p w:rsidR="00F768B0" w:rsidRPr="00884D10" w:rsidRDefault="00F768B0" w:rsidP="00F768B0">
      <w:pPr>
        <w:pStyle w:val="tPara"/>
      </w:pPr>
      <w:r w:rsidRPr="00884D10">
        <w:tab/>
        <w:t>(a)</w:t>
      </w:r>
      <w:r w:rsidRPr="00884D10">
        <w:tab/>
        <w:t>not less than 250 independent data waypoints must be used to refine the vegetation map; and</w:t>
      </w:r>
    </w:p>
    <w:p w:rsidR="00F768B0" w:rsidRPr="00884D10" w:rsidRDefault="00F768B0" w:rsidP="00F768B0">
      <w:pPr>
        <w:pStyle w:val="tPara"/>
      </w:pPr>
      <w:r w:rsidRPr="00884D10">
        <w:tab/>
        <w:t>(b)</w:t>
      </w:r>
      <w:r w:rsidRPr="00884D10">
        <w:tab/>
        <w:t>an additional 250 independent data waypoints must be used to assess the accuracy of the vegetation map.</w:t>
      </w:r>
    </w:p>
    <w:p w:rsidR="00F768B0" w:rsidRPr="00884D10" w:rsidRDefault="00F768B0" w:rsidP="00F768B0">
      <w:pPr>
        <w:pStyle w:val="tMain"/>
      </w:pPr>
      <w:r w:rsidRPr="00884D10">
        <w:tab/>
        <w:t>(6)</w:t>
      </w:r>
      <w:r w:rsidRPr="00884D10">
        <w:tab/>
        <w:t>The independent data waypoint information specified in subsection (2) must meet the following requirements:</w:t>
      </w:r>
    </w:p>
    <w:p w:rsidR="00F768B0" w:rsidRPr="00884D10" w:rsidRDefault="00F768B0" w:rsidP="00F768B0">
      <w:pPr>
        <w:pStyle w:val="tPara"/>
      </w:pPr>
      <w:r w:rsidRPr="00884D10">
        <w:tab/>
        <w:t>(a)</w:t>
      </w:r>
      <w:r w:rsidRPr="00884D10">
        <w:tab/>
        <w:t xml:space="preserve">the independent data waypoint information must be derived from </w:t>
      </w:r>
      <w:r w:rsidRPr="00884D10">
        <w:br/>
        <w:t>GPS-based comprehensive ground information, or aerial-based stratified random sampling, that covers all vegetation classes in the project area; and</w:t>
      </w:r>
    </w:p>
    <w:p w:rsidR="00F768B0" w:rsidRPr="00884D10" w:rsidRDefault="00F768B0" w:rsidP="00F768B0">
      <w:pPr>
        <w:pStyle w:val="tPara"/>
      </w:pPr>
      <w:r w:rsidRPr="00884D10">
        <w:tab/>
        <w:t>(b)</w:t>
      </w:r>
      <w:r w:rsidRPr="00884D10">
        <w:tab/>
        <w:t>geospatial software must be used as follows:</w:t>
      </w:r>
    </w:p>
    <w:p w:rsidR="00F768B0" w:rsidRPr="00884D10" w:rsidRDefault="00F768B0" w:rsidP="00F768B0">
      <w:pPr>
        <w:pStyle w:val="tSubpara"/>
      </w:pPr>
      <w:r w:rsidRPr="00884D10">
        <w:tab/>
        <w:t>(</w:t>
      </w:r>
      <w:proofErr w:type="spellStart"/>
      <w:r w:rsidRPr="00884D10">
        <w:t>i</w:t>
      </w:r>
      <w:proofErr w:type="spellEnd"/>
      <w:r w:rsidRPr="00884D10">
        <w:t>)</w:t>
      </w:r>
      <w:r w:rsidRPr="00884D10">
        <w:tab/>
        <w:t>the independent data waypoints must be intersected with the vegetation map to derive a standard error matrix including errors of omission and commission; and</w:t>
      </w:r>
    </w:p>
    <w:p w:rsidR="00F768B0" w:rsidRPr="00884D10" w:rsidRDefault="00F768B0" w:rsidP="00F768B0">
      <w:pPr>
        <w:pStyle w:val="tSubpara"/>
      </w:pPr>
      <w:r w:rsidRPr="00884D10">
        <w:tab/>
        <w:t>(ii)</w:t>
      </w:r>
      <w:r w:rsidRPr="00884D10">
        <w:tab/>
        <w:t>the data in the standard error matrix must be used to determine the accuracy of the vegetation map as a percentage; and</w:t>
      </w:r>
    </w:p>
    <w:p w:rsidR="00F768B0" w:rsidRPr="00884D10" w:rsidRDefault="00F768B0" w:rsidP="00F768B0">
      <w:pPr>
        <w:pStyle w:val="tPara"/>
      </w:pPr>
      <w:r w:rsidRPr="00884D10">
        <w:tab/>
        <w:t>(c)</w:t>
      </w:r>
      <w:r w:rsidRPr="00884D10">
        <w:tab/>
        <w:t>the data from paragraph (b) must be used to improve the accuracy of the vegetation map.</w:t>
      </w:r>
    </w:p>
    <w:p w:rsidR="00F768B0" w:rsidRPr="00884D10" w:rsidRDefault="00F768B0" w:rsidP="00F768B0">
      <w:pPr>
        <w:pStyle w:val="h3Div"/>
      </w:pPr>
      <w:bookmarkStart w:id="21" w:name="_Toc357780167"/>
      <w:r w:rsidRPr="00884D10">
        <w:t xml:space="preserve">Division </w:t>
      </w:r>
      <w:r>
        <w:t>3.3</w:t>
      </w:r>
      <w:r w:rsidRPr="00884D10">
        <w:tab/>
        <w:t>Fire maps</w:t>
      </w:r>
      <w:bookmarkEnd w:id="21"/>
    </w:p>
    <w:p w:rsidR="00F768B0" w:rsidRPr="00884D10" w:rsidRDefault="00F768B0" w:rsidP="00F768B0">
      <w:pPr>
        <w:pStyle w:val="h5Section"/>
      </w:pPr>
      <w:bookmarkStart w:id="22" w:name="_Ref324839160"/>
      <w:bookmarkStart w:id="23" w:name="_Ref324839183"/>
      <w:bookmarkStart w:id="24" w:name="_Ref324839353"/>
      <w:bookmarkStart w:id="25" w:name="_Toc357780168"/>
      <w:r>
        <w:t>3.5</w:t>
      </w:r>
      <w:r w:rsidRPr="00884D10">
        <w:tab/>
        <w:t>Monthly fire maps</w:t>
      </w:r>
      <w:bookmarkEnd w:id="22"/>
      <w:bookmarkEnd w:id="23"/>
      <w:bookmarkEnd w:id="24"/>
      <w:bookmarkEnd w:id="25"/>
      <w:r w:rsidRPr="00884D10">
        <w:t xml:space="preserve"> </w:t>
      </w:r>
    </w:p>
    <w:p w:rsidR="00F768B0" w:rsidRPr="00884D10" w:rsidRDefault="00F768B0" w:rsidP="00F768B0">
      <w:pPr>
        <w:pStyle w:val="tMain"/>
      </w:pPr>
      <w:r w:rsidRPr="00884D10">
        <w:tab/>
        <w:t>(1)</w:t>
      </w:r>
      <w:r w:rsidRPr="00884D10">
        <w:tab/>
        <w:t>Monthly fire maps must be in raster format.</w:t>
      </w:r>
    </w:p>
    <w:p w:rsidR="00F768B0" w:rsidRDefault="00F768B0" w:rsidP="00F768B0">
      <w:pPr>
        <w:pStyle w:val="tMain"/>
      </w:pPr>
      <w:r w:rsidRPr="00884D10">
        <w:tab/>
        <w:t>(2)</w:t>
      </w:r>
      <w:r w:rsidRPr="00884D10">
        <w:tab/>
        <w:t>A monthly fire map used to calculate the baseline emissions of a project area for the purposes of this Determination must have a spatial resolution of 1 square kilometre (km</w:t>
      </w:r>
      <w:r w:rsidRPr="00884D10">
        <w:rPr>
          <w:vertAlign w:val="superscript"/>
        </w:rPr>
        <w:t>2</w:t>
      </w:r>
      <w:r w:rsidRPr="00884D10">
        <w:t>) per pixel or finer.</w:t>
      </w:r>
    </w:p>
    <w:p w:rsidR="00F03447" w:rsidRDefault="00F03447" w:rsidP="00F768B0">
      <w:pPr>
        <w:pStyle w:val="tMain"/>
      </w:pPr>
    </w:p>
    <w:p w:rsidR="00F03447" w:rsidRPr="00884D10" w:rsidRDefault="00F03447" w:rsidP="00F768B0">
      <w:pPr>
        <w:pStyle w:val="tMain"/>
      </w:pPr>
    </w:p>
    <w:p w:rsidR="00F768B0" w:rsidRPr="00884D10" w:rsidRDefault="00F768B0" w:rsidP="00F768B0">
      <w:pPr>
        <w:pStyle w:val="tMain"/>
      </w:pPr>
      <w:r w:rsidRPr="00884D10">
        <w:lastRenderedPageBreak/>
        <w:tab/>
        <w:t>(3)</w:t>
      </w:r>
      <w:r w:rsidRPr="00884D10">
        <w:tab/>
        <w:t>A monthly fire map used to calculate project emissions of a project area for the purposes of this Determination must have a spatial resolution of 250 square metres (m</w:t>
      </w:r>
      <w:r w:rsidRPr="00884D10">
        <w:rPr>
          <w:vertAlign w:val="superscript"/>
        </w:rPr>
        <w:t>2</w:t>
      </w:r>
      <w:r w:rsidRPr="00884D10">
        <w:t xml:space="preserve">) per pixel or finer. </w:t>
      </w:r>
    </w:p>
    <w:p w:rsidR="00F768B0" w:rsidRPr="00884D10" w:rsidRDefault="00F768B0" w:rsidP="00F768B0">
      <w:pPr>
        <w:pStyle w:val="tMain"/>
      </w:pPr>
      <w:r w:rsidRPr="00884D10">
        <w:tab/>
        <w:t>(4)</w:t>
      </w:r>
      <w:r w:rsidRPr="00884D10">
        <w:tab/>
        <w:t xml:space="preserve">A monthly fire map used in relation to a baseline period, a reporting period or a fuel load estimation period must adopt a consistent time series and be derived from a single satellite imagery product. </w:t>
      </w:r>
    </w:p>
    <w:p w:rsidR="00F768B0" w:rsidRPr="00884D10" w:rsidRDefault="00F768B0" w:rsidP="00F768B0">
      <w:pPr>
        <w:pStyle w:val="notePara"/>
      </w:pPr>
      <w:r w:rsidRPr="00884D10">
        <w:tab/>
      </w:r>
      <w:r w:rsidRPr="00884D10">
        <w:rPr>
          <w:b/>
          <w:i/>
        </w:rPr>
        <w:t>Note</w:t>
      </w:r>
      <w:r w:rsidRPr="00884D10">
        <w:tab/>
        <w:t>A single GIS map may be used to meet the requirements in section 3.5.</w:t>
      </w:r>
    </w:p>
    <w:p w:rsidR="00F768B0" w:rsidRPr="00884D10" w:rsidRDefault="00F768B0" w:rsidP="00F768B0">
      <w:pPr>
        <w:pStyle w:val="notePara"/>
      </w:pPr>
      <w:r w:rsidRPr="00884D10">
        <w:tab/>
      </w:r>
      <w:r w:rsidRPr="00884D10">
        <w:rPr>
          <w:b/>
          <w:i/>
        </w:rPr>
        <w:t>Note</w:t>
      </w:r>
      <w:r w:rsidRPr="00884D10">
        <w:tab/>
        <w:t>The time series used to calculate the baseline period emissions and reporting period emissions do not have to be consistent with each other.</w:t>
      </w:r>
    </w:p>
    <w:p w:rsidR="00F768B0" w:rsidRPr="00884D10" w:rsidRDefault="00F768B0" w:rsidP="00F768B0">
      <w:pPr>
        <w:pStyle w:val="notePara"/>
        <w:rPr>
          <w:i/>
        </w:rPr>
      </w:pPr>
      <w:r w:rsidRPr="00884D10">
        <w:tab/>
      </w:r>
      <w:r w:rsidRPr="00884D10">
        <w:rPr>
          <w:b/>
          <w:i/>
        </w:rPr>
        <w:t>Note</w:t>
      </w:r>
      <w:r w:rsidRPr="00884D10">
        <w:tab/>
        <w:t>Gaps in the availability of satellite imagery may be filled by supplementing fine scale products with coarser scale products</w:t>
      </w:r>
      <w:r w:rsidRPr="00884D10">
        <w:rPr>
          <w:i/>
        </w:rPr>
        <w:t>.</w:t>
      </w:r>
    </w:p>
    <w:p w:rsidR="00F768B0" w:rsidRPr="00884D10" w:rsidRDefault="00F768B0" w:rsidP="00F768B0">
      <w:pPr>
        <w:pStyle w:val="h5Section"/>
      </w:pPr>
      <w:bookmarkStart w:id="26" w:name="_Ref324839406"/>
      <w:bookmarkStart w:id="27" w:name="_Toc357780169"/>
      <w:r>
        <w:t>3.6</w:t>
      </w:r>
      <w:r w:rsidRPr="00884D10">
        <w:tab/>
        <w:t>Seasonal fire maps</w:t>
      </w:r>
      <w:bookmarkEnd w:id="26"/>
      <w:bookmarkEnd w:id="27"/>
      <w:r w:rsidRPr="00884D10">
        <w:t xml:space="preserve"> </w:t>
      </w:r>
    </w:p>
    <w:p w:rsidR="00F768B0" w:rsidRPr="00884D10" w:rsidRDefault="00F768B0" w:rsidP="00F768B0">
      <w:pPr>
        <w:pStyle w:val="tMain"/>
      </w:pPr>
      <w:r w:rsidRPr="00884D10">
        <w:tab/>
      </w:r>
      <w:r>
        <w:t>(1)</w:t>
      </w:r>
      <w:r w:rsidRPr="00884D10">
        <w:tab/>
        <w:t>Seasonal fire maps must be in raster format.</w:t>
      </w:r>
    </w:p>
    <w:p w:rsidR="00F768B0" w:rsidRPr="00884D10" w:rsidRDefault="00F768B0" w:rsidP="00F768B0">
      <w:pPr>
        <w:pStyle w:val="tMain"/>
      </w:pPr>
      <w:r w:rsidRPr="00884D10">
        <w:tab/>
      </w:r>
      <w:r>
        <w:t>(2)</w:t>
      </w:r>
      <w:r w:rsidRPr="00884D10">
        <w:tab/>
        <w:t>Monthly fire maps for an entire calendar year must be combined to develop a seasonal fire map for the fire seasons in each calendar year in the baseline period and the project reporting period as follows:</w:t>
      </w:r>
    </w:p>
    <w:p w:rsidR="00F768B0" w:rsidRPr="00884D10" w:rsidRDefault="00F768B0" w:rsidP="00F768B0">
      <w:pPr>
        <w:pStyle w:val="tPara"/>
      </w:pPr>
      <w:r w:rsidRPr="00884D10">
        <w:tab/>
        <w:t>(a)</w:t>
      </w:r>
      <w:r w:rsidRPr="00884D10">
        <w:tab/>
        <w:t xml:space="preserve">all monthly fire maps from 1 January in a given year until the start of the late dry season must be combined into an early dry season fire map; and </w:t>
      </w:r>
    </w:p>
    <w:p w:rsidR="00F768B0" w:rsidRPr="00884D10" w:rsidRDefault="00F768B0" w:rsidP="00F768B0">
      <w:pPr>
        <w:pStyle w:val="tPara"/>
      </w:pPr>
      <w:r w:rsidRPr="00884D10">
        <w:tab/>
        <w:t>(b)</w:t>
      </w:r>
      <w:r w:rsidRPr="00884D10">
        <w:tab/>
        <w:t>all monthly fire maps from the start of the late dry season to 31 December in a given year must be combined into a late dry season map.</w:t>
      </w:r>
    </w:p>
    <w:p w:rsidR="00F768B0" w:rsidRPr="00884D10" w:rsidRDefault="00F768B0" w:rsidP="00F768B0">
      <w:pPr>
        <w:pStyle w:val="tMain"/>
      </w:pPr>
      <w:r w:rsidRPr="00884D10">
        <w:tab/>
        <w:t>(3)</w:t>
      </w:r>
      <w:r w:rsidRPr="00884D10">
        <w:tab/>
        <w:t>A seasonal fire map used to calculate the baseline emissions of a project area must have a spatial resolution of 1 square kilometre (km</w:t>
      </w:r>
      <w:r w:rsidRPr="00884D10">
        <w:rPr>
          <w:vertAlign w:val="superscript"/>
        </w:rPr>
        <w:t>2</w:t>
      </w:r>
      <w:r w:rsidRPr="00884D10">
        <w:t>) per pixel or finer.</w:t>
      </w:r>
    </w:p>
    <w:p w:rsidR="00F768B0" w:rsidRPr="00884D10" w:rsidRDefault="00F768B0" w:rsidP="00F768B0">
      <w:pPr>
        <w:pStyle w:val="tMain"/>
      </w:pPr>
      <w:r w:rsidRPr="00884D10">
        <w:tab/>
        <w:t>(4)</w:t>
      </w:r>
      <w:r w:rsidRPr="00884D10">
        <w:tab/>
        <w:t>A seasonal fire map used to calculate the project emissions of a project area must have a spatial resolution of 250 square metres (m</w:t>
      </w:r>
      <w:r w:rsidRPr="00884D10">
        <w:rPr>
          <w:vertAlign w:val="superscript"/>
        </w:rPr>
        <w:t>2</w:t>
      </w:r>
      <w:r w:rsidRPr="00884D10">
        <w:t xml:space="preserve">) per pixel or finer. </w:t>
      </w:r>
    </w:p>
    <w:p w:rsidR="00F768B0" w:rsidRPr="00884D10" w:rsidRDefault="00F768B0" w:rsidP="00F768B0">
      <w:pPr>
        <w:pStyle w:val="tMain"/>
      </w:pPr>
      <w:r w:rsidRPr="00884D10">
        <w:tab/>
        <w:t>(5)</w:t>
      </w:r>
      <w:r w:rsidRPr="00884D10">
        <w:tab/>
        <w:t xml:space="preserve">A seasonal fire map used in relation to a baseline period, a reporting period or a fuel load estimation period must be of a consistent time series, be from a single satellite imagery product, and be based on a time resolution of 1 month or less. </w:t>
      </w:r>
    </w:p>
    <w:p w:rsidR="00F768B0" w:rsidRPr="00884D10" w:rsidRDefault="00F768B0" w:rsidP="00F768B0">
      <w:pPr>
        <w:pStyle w:val="notePara"/>
      </w:pPr>
      <w:r w:rsidRPr="00884D10">
        <w:tab/>
      </w:r>
      <w:r w:rsidRPr="00884D10">
        <w:rPr>
          <w:b/>
          <w:i/>
        </w:rPr>
        <w:t>Note</w:t>
      </w:r>
      <w:r w:rsidRPr="00884D10">
        <w:tab/>
        <w:t>The time series used to calculate the baseline period emissions, fuel loads and reporting period emissions do not have to be consistent with each other.</w:t>
      </w:r>
    </w:p>
    <w:p w:rsidR="00F768B0" w:rsidRPr="00884D10" w:rsidRDefault="00F768B0" w:rsidP="00F768B0">
      <w:pPr>
        <w:pStyle w:val="notePara"/>
      </w:pPr>
      <w:r w:rsidRPr="00884D10">
        <w:tab/>
      </w:r>
      <w:r w:rsidRPr="00884D10">
        <w:rPr>
          <w:b/>
          <w:i/>
        </w:rPr>
        <w:t>Note</w:t>
      </w:r>
      <w:r w:rsidRPr="00884D10">
        <w:tab/>
        <w:t>Gaps in the availability of satellite imagery products may be filled by supplementing fine scale products with coarser scale products.</w:t>
      </w:r>
    </w:p>
    <w:p w:rsidR="00F768B0" w:rsidRPr="00884D10" w:rsidRDefault="00F768B0" w:rsidP="00F768B0">
      <w:pPr>
        <w:pStyle w:val="h5Section"/>
      </w:pPr>
      <w:bookmarkStart w:id="28" w:name="_Ref324839366"/>
      <w:bookmarkStart w:id="29" w:name="_Ref324839415"/>
      <w:bookmarkStart w:id="30" w:name="_Toc357780170"/>
      <w:r>
        <w:t>3.7</w:t>
      </w:r>
      <w:r w:rsidRPr="00884D10">
        <w:tab/>
        <w:t>Seasonal fire maps not sourced from NAFI</w:t>
      </w:r>
      <w:bookmarkEnd w:id="28"/>
      <w:bookmarkEnd w:id="29"/>
      <w:bookmarkEnd w:id="30"/>
      <w:r w:rsidRPr="00884D10">
        <w:t xml:space="preserve"> </w:t>
      </w:r>
    </w:p>
    <w:p w:rsidR="00F768B0" w:rsidRPr="00884D10" w:rsidRDefault="00F768B0" w:rsidP="00F768B0">
      <w:pPr>
        <w:pStyle w:val="tMain"/>
      </w:pPr>
      <w:r w:rsidRPr="00884D10">
        <w:tab/>
      </w:r>
      <w:r>
        <w:t>(1)</w:t>
      </w:r>
      <w:r w:rsidRPr="00884D10">
        <w:tab/>
        <w:t>This section applies to seasonal fire maps used in a reporting period.</w:t>
      </w:r>
    </w:p>
    <w:p w:rsidR="00F768B0" w:rsidRPr="00884D10" w:rsidRDefault="00F768B0" w:rsidP="00F768B0">
      <w:pPr>
        <w:pStyle w:val="tMain"/>
      </w:pPr>
      <w:r w:rsidRPr="00884D10">
        <w:tab/>
      </w:r>
      <w:r>
        <w:t>(2)</w:t>
      </w:r>
      <w:r w:rsidRPr="00884D10">
        <w:tab/>
        <w:t>Gaps in the availability of satellite imagery products may be filled by supplementing fine scale products with coarser scale products, up to a resolution of 1 square kilometre (km</w:t>
      </w:r>
      <w:r w:rsidRPr="00884D10">
        <w:rPr>
          <w:vertAlign w:val="superscript"/>
        </w:rPr>
        <w:t>2</w:t>
      </w:r>
      <w:r w:rsidRPr="00884D10">
        <w:t>) per pixel.</w:t>
      </w:r>
    </w:p>
    <w:p w:rsidR="00F768B0" w:rsidRPr="00884D10" w:rsidRDefault="00F768B0" w:rsidP="00F768B0">
      <w:pPr>
        <w:pStyle w:val="tMain"/>
      </w:pPr>
      <w:r w:rsidRPr="00884D10">
        <w:tab/>
      </w:r>
      <w:r>
        <w:t>(3)</w:t>
      </w:r>
      <w:r w:rsidRPr="00884D10">
        <w:tab/>
        <w:t>Seasonal fire maps that are not developed from monthly fire maps sourced from NAFI must be in raster format.</w:t>
      </w:r>
    </w:p>
    <w:p w:rsidR="00F768B0" w:rsidRPr="00884D10" w:rsidRDefault="00F768B0" w:rsidP="00F768B0">
      <w:pPr>
        <w:pStyle w:val="tMain"/>
      </w:pPr>
      <w:r w:rsidRPr="00884D10">
        <w:lastRenderedPageBreak/>
        <w:tab/>
      </w:r>
      <w:r>
        <w:t>(4)</w:t>
      </w:r>
      <w:r w:rsidRPr="00884D10">
        <w:tab/>
        <w:t>Seasonal fire maps that are not developed from monthly fire maps sourced from NAFI must be validated by a registered greenhouse and energy auditor to be at least 80% accurate overall for fire scars in the project area at a 1:100 000 scale for each year of the project.</w:t>
      </w:r>
    </w:p>
    <w:p w:rsidR="00F768B0" w:rsidRPr="00884D10" w:rsidRDefault="00F768B0" w:rsidP="00F768B0">
      <w:pPr>
        <w:pStyle w:val="tMain"/>
      </w:pPr>
      <w:r w:rsidRPr="00884D10">
        <w:tab/>
      </w:r>
      <w:r>
        <w:t>(5)</w:t>
      </w:r>
      <w:r w:rsidRPr="00884D10">
        <w:tab/>
        <w:t>Validation of seasonal fire maps not sourced from NAFI must be carried out in accordance with this section.</w:t>
      </w:r>
    </w:p>
    <w:p w:rsidR="00F768B0" w:rsidRPr="00884D10" w:rsidRDefault="00F768B0" w:rsidP="00F768B0">
      <w:pPr>
        <w:pStyle w:val="tMain"/>
      </w:pPr>
      <w:r w:rsidRPr="00884D10">
        <w:tab/>
      </w:r>
      <w:r>
        <w:t>(6)</w:t>
      </w:r>
      <w:r w:rsidRPr="00884D10">
        <w:tab/>
        <w:t>Validation of a seasonal fire map must be carried out using information gathered from independent data waypoints using GPS-based comprehensive aerial-based random sampling, which incorporates all vegetation classes in the project area.</w:t>
      </w:r>
    </w:p>
    <w:p w:rsidR="00F768B0" w:rsidRPr="00884D10" w:rsidRDefault="00F768B0" w:rsidP="00F768B0">
      <w:pPr>
        <w:pStyle w:val="tMain"/>
      </w:pPr>
      <w:r w:rsidRPr="00884D10">
        <w:tab/>
      </w:r>
      <w:r>
        <w:t>(7)</w:t>
      </w:r>
      <w:r w:rsidRPr="00884D10">
        <w:tab/>
        <w:t>In carrying out the data collection required in subsection (5):</w:t>
      </w:r>
    </w:p>
    <w:p w:rsidR="00F768B0" w:rsidRPr="00884D10" w:rsidRDefault="00F768B0" w:rsidP="00F768B0">
      <w:pPr>
        <w:pStyle w:val="tPara"/>
      </w:pPr>
      <w:r w:rsidRPr="00884D10">
        <w:tab/>
        <w:t>(a)</w:t>
      </w:r>
      <w:r w:rsidRPr="00884D10">
        <w:tab/>
        <w:t>data must be collected from the data waypoints along a series of transects that sample the areas containing fire activity for each fire season; and</w:t>
      </w:r>
    </w:p>
    <w:p w:rsidR="00F768B0" w:rsidRPr="00884D10" w:rsidRDefault="00F768B0" w:rsidP="00F768B0">
      <w:pPr>
        <w:pStyle w:val="tPara"/>
      </w:pPr>
      <w:r w:rsidRPr="00884D10">
        <w:tab/>
        <w:t>(b)</w:t>
      </w:r>
      <w:r w:rsidRPr="00884D10">
        <w:tab/>
        <w:t>at each data waypoint the registered greenhouse and energy auditor must undertake an on-site visual assessment and note:</w:t>
      </w:r>
    </w:p>
    <w:p w:rsidR="00F768B0" w:rsidRPr="00884D10" w:rsidRDefault="00F768B0" w:rsidP="00F768B0">
      <w:pPr>
        <w:pStyle w:val="tSubpara"/>
      </w:pPr>
      <w:r w:rsidRPr="00884D10">
        <w:tab/>
        <w:t>(</w:t>
      </w:r>
      <w:proofErr w:type="spellStart"/>
      <w:r w:rsidRPr="00884D10">
        <w:t>i</w:t>
      </w:r>
      <w:proofErr w:type="spellEnd"/>
      <w:r w:rsidRPr="00884D10">
        <w:t>)</w:t>
      </w:r>
      <w:r w:rsidRPr="00884D10">
        <w:tab/>
        <w:t xml:space="preserve">the vegetation class; and </w:t>
      </w:r>
    </w:p>
    <w:p w:rsidR="00F768B0" w:rsidRPr="00884D10" w:rsidRDefault="00F768B0" w:rsidP="00F768B0">
      <w:pPr>
        <w:pStyle w:val="tSubpara"/>
      </w:pPr>
      <w:r w:rsidRPr="00884D10">
        <w:tab/>
        <w:t>(ii)</w:t>
      </w:r>
      <w:r w:rsidRPr="00884D10">
        <w:tab/>
        <w:t xml:space="preserve">whether the area is ‘burnt’ or ‘unburnt’. </w:t>
      </w:r>
    </w:p>
    <w:p w:rsidR="00F768B0" w:rsidRPr="00884D10" w:rsidRDefault="00F768B0" w:rsidP="00F768B0">
      <w:pPr>
        <w:pStyle w:val="tMain"/>
      </w:pPr>
      <w:r w:rsidRPr="00884D10">
        <w:tab/>
      </w:r>
      <w:r>
        <w:t>(8)</w:t>
      </w:r>
      <w:r w:rsidRPr="00884D10">
        <w:tab/>
        <w:t>For project areas over 10,000 square kilometres (km</w:t>
      </w:r>
      <w:r w:rsidRPr="00884D10">
        <w:rPr>
          <w:vertAlign w:val="superscript"/>
        </w:rPr>
        <w:t>2</w:t>
      </w:r>
      <w:r w:rsidRPr="00884D10">
        <w:t>), data from at least 500 independent data waypoints must be collected to validate the map.</w:t>
      </w:r>
    </w:p>
    <w:p w:rsidR="00F768B0" w:rsidRPr="00884D10" w:rsidRDefault="00F768B0" w:rsidP="00F768B0">
      <w:pPr>
        <w:pStyle w:val="tMain"/>
      </w:pPr>
      <w:r w:rsidRPr="00884D10">
        <w:tab/>
      </w:r>
      <w:r>
        <w:t>(9)</w:t>
      </w:r>
      <w:r w:rsidRPr="00884D10">
        <w:tab/>
        <w:t>For project areas less than 10,000 square kilometres (km</w:t>
      </w:r>
      <w:r w:rsidRPr="00884D10">
        <w:rPr>
          <w:vertAlign w:val="superscript"/>
        </w:rPr>
        <w:t>2</w:t>
      </w:r>
      <w:r w:rsidRPr="00884D10">
        <w:t>), data from at least 250 independent data waypoints must be collected to validate the map.</w:t>
      </w:r>
    </w:p>
    <w:p w:rsidR="00F768B0" w:rsidRPr="00884D10" w:rsidRDefault="00F768B0" w:rsidP="00F768B0">
      <w:pPr>
        <w:pStyle w:val="tMain"/>
      </w:pPr>
      <w:r w:rsidRPr="00884D10">
        <w:tab/>
      </w:r>
      <w:r>
        <w:t>(10)</w:t>
      </w:r>
      <w:r w:rsidRPr="00884D10">
        <w:tab/>
        <w:t>The registered greenhouse and energy auditor must use GIS software to validate each seasonal fire map.</w:t>
      </w:r>
    </w:p>
    <w:p w:rsidR="00F768B0" w:rsidRPr="00884D10" w:rsidRDefault="00F768B0" w:rsidP="00F768B0">
      <w:pPr>
        <w:pStyle w:val="tMain"/>
      </w:pPr>
      <w:r w:rsidRPr="00884D10">
        <w:tab/>
      </w:r>
      <w:r>
        <w:t>(11)</w:t>
      </w:r>
      <w:r w:rsidRPr="00884D10">
        <w:tab/>
        <w:t>In using the GIS software specified in subsection (9):</w:t>
      </w:r>
    </w:p>
    <w:p w:rsidR="00F768B0" w:rsidRPr="00884D10" w:rsidRDefault="00F768B0" w:rsidP="00F768B0">
      <w:pPr>
        <w:pStyle w:val="tPara"/>
      </w:pPr>
      <w:r w:rsidRPr="00884D10">
        <w:tab/>
        <w:t>(a)</w:t>
      </w:r>
      <w:r w:rsidRPr="00884D10">
        <w:tab/>
        <w:t>the independent data waypoint must be intersected with the seasonal fire map to derive a standard error matrix including errors of omission and commission; and</w:t>
      </w:r>
    </w:p>
    <w:p w:rsidR="00F768B0" w:rsidRPr="00884D10" w:rsidRDefault="00F768B0" w:rsidP="00F768B0">
      <w:pPr>
        <w:pStyle w:val="tPara"/>
      </w:pPr>
      <w:r w:rsidRPr="00884D10">
        <w:tab/>
        <w:t>(b)</w:t>
      </w:r>
      <w:r w:rsidRPr="00884D10">
        <w:tab/>
        <w:t>the data in the standard error matrix must be used to determine the accuracy of the map as a percentage; and</w:t>
      </w:r>
    </w:p>
    <w:p w:rsidR="00F768B0" w:rsidRPr="00884D10" w:rsidRDefault="00F768B0" w:rsidP="00F768B0">
      <w:pPr>
        <w:pStyle w:val="tMain"/>
      </w:pPr>
      <w:r w:rsidRPr="00884D10">
        <w:tab/>
      </w:r>
      <w:r>
        <w:t>(12)</w:t>
      </w:r>
      <w:r w:rsidRPr="00884D10">
        <w:tab/>
        <w:t>A detailed report of the validation of each seasonal fire map must be produced.</w:t>
      </w:r>
    </w:p>
    <w:p w:rsidR="00F768B0" w:rsidRPr="00884D10" w:rsidRDefault="00F768B0" w:rsidP="00F768B0">
      <w:pPr>
        <w:pStyle w:val="noteDrafter"/>
      </w:pPr>
    </w:p>
    <w:p w:rsidR="00F768B0" w:rsidRPr="00884D10" w:rsidRDefault="00F768B0" w:rsidP="00F768B0">
      <w:pPr>
        <w:pStyle w:val="tMain"/>
      </w:pPr>
    </w:p>
    <w:p w:rsidR="00F768B0" w:rsidRPr="00884D10" w:rsidRDefault="00F768B0" w:rsidP="00F768B0">
      <w:pPr>
        <w:pStyle w:val="noteDrafter"/>
      </w:pPr>
    </w:p>
    <w:p w:rsidR="00F768B0" w:rsidRPr="00884D10" w:rsidRDefault="00F768B0" w:rsidP="00F768B0">
      <w:pPr>
        <w:pStyle w:val="tMain"/>
        <w:rPr>
          <w:color w:val="808080" w:themeColor="background1" w:themeShade="80"/>
        </w:rPr>
      </w:pPr>
    </w:p>
    <w:p w:rsidR="00F768B0" w:rsidRPr="00884D10" w:rsidRDefault="00F768B0" w:rsidP="00F768B0">
      <w:pPr>
        <w:pStyle w:val="h2Part"/>
      </w:pPr>
      <w:bookmarkStart w:id="31" w:name="_Toc357780171"/>
      <w:r w:rsidRPr="00884D10">
        <w:lastRenderedPageBreak/>
        <w:t xml:space="preserve">Part </w:t>
      </w:r>
      <w:r>
        <w:t>4</w:t>
      </w:r>
      <w:r w:rsidRPr="00884D10">
        <w:tab/>
        <w:t>The net abatement amount</w:t>
      </w:r>
      <w:bookmarkEnd w:id="31"/>
    </w:p>
    <w:p w:rsidR="00F768B0" w:rsidRPr="00884D10" w:rsidRDefault="00F768B0" w:rsidP="00F768B0">
      <w:pPr>
        <w:pStyle w:val="h3Div"/>
      </w:pPr>
      <w:bookmarkStart w:id="32" w:name="_Toc357780172"/>
      <w:r w:rsidRPr="00884D10">
        <w:t xml:space="preserve">Division </w:t>
      </w:r>
      <w:r>
        <w:t>4.1</w:t>
      </w:r>
      <w:r w:rsidRPr="00884D10">
        <w:tab/>
        <w:t>The net abatement amount</w:t>
      </w:r>
      <w:bookmarkEnd w:id="32"/>
    </w:p>
    <w:p w:rsidR="00F768B0" w:rsidRPr="00884D10" w:rsidRDefault="00F768B0" w:rsidP="00F768B0">
      <w:pPr>
        <w:pStyle w:val="h5Section"/>
      </w:pPr>
      <w:bookmarkStart w:id="33" w:name="_Toc357780173"/>
      <w:r>
        <w:t>4.1</w:t>
      </w:r>
      <w:r w:rsidRPr="00884D10">
        <w:tab/>
        <w:t>The net abatement amount</w:t>
      </w:r>
      <w:bookmarkEnd w:id="33"/>
    </w:p>
    <w:p w:rsidR="00F768B0" w:rsidRPr="00884D10" w:rsidRDefault="00F768B0" w:rsidP="00F768B0">
      <w:pPr>
        <w:pStyle w:val="noteMain"/>
      </w:pPr>
      <w:r w:rsidRPr="00884D10">
        <w:tab/>
      </w:r>
      <w:r w:rsidRPr="00884D10">
        <w:rPr>
          <w:b/>
          <w:i/>
        </w:rPr>
        <w:t>Note</w:t>
      </w:r>
      <w:r w:rsidRPr="00884D10">
        <w:tab/>
        <w:t>See paragraph 106(1)(c) of the Act.</w:t>
      </w:r>
    </w:p>
    <w:p w:rsidR="00F768B0" w:rsidRPr="00884D10" w:rsidRDefault="00F768B0" w:rsidP="00F768B0">
      <w:pPr>
        <w:pStyle w:val="tMain"/>
      </w:pPr>
      <w:r w:rsidRPr="00884D10">
        <w:tab/>
      </w:r>
      <w:r w:rsidRPr="00884D10">
        <w:tab/>
        <w:t>For an eligible offsets project to which this Determination applies, the annual carbon dioxide equivalent net abatement amount in relation to a project year is taken to be the project emissions subtracted from the baseline—see section 4.23 and Equation 9.</w:t>
      </w:r>
    </w:p>
    <w:p w:rsidR="00F768B0" w:rsidRPr="00884D10" w:rsidRDefault="00F768B0" w:rsidP="00F768B0">
      <w:pPr>
        <w:pStyle w:val="h3Div"/>
      </w:pPr>
      <w:bookmarkStart w:id="34" w:name="_Toc357780174"/>
      <w:r w:rsidRPr="00884D10">
        <w:t xml:space="preserve">Division </w:t>
      </w:r>
      <w:r>
        <w:t>4.2</w:t>
      </w:r>
      <w:r w:rsidRPr="00884D10">
        <w:tab/>
        <w:t>Calculations—Preliminary</w:t>
      </w:r>
      <w:bookmarkEnd w:id="34"/>
    </w:p>
    <w:p w:rsidR="00F768B0" w:rsidRPr="00884D10" w:rsidRDefault="00F768B0" w:rsidP="00F768B0">
      <w:pPr>
        <w:pStyle w:val="h5Section"/>
      </w:pPr>
      <w:bookmarkStart w:id="35" w:name="_Toc357780175"/>
      <w:r>
        <w:t>4.2</w:t>
      </w:r>
      <w:r w:rsidRPr="00884D10">
        <w:tab/>
        <w:t>General</w:t>
      </w:r>
      <w:bookmarkEnd w:id="35"/>
      <w:r w:rsidRPr="00884D10">
        <w:t xml:space="preserve"> </w:t>
      </w:r>
    </w:p>
    <w:p w:rsidR="00F768B0" w:rsidRPr="00884D10" w:rsidRDefault="00F768B0" w:rsidP="00F768B0">
      <w:pPr>
        <w:pStyle w:val="tMain"/>
      </w:pPr>
      <w:r w:rsidRPr="00884D10">
        <w:tab/>
      </w:r>
      <w:r w:rsidRPr="00884D10">
        <w:tab/>
        <w:t>In this Part:</w:t>
      </w:r>
    </w:p>
    <w:p w:rsidR="00F768B0" w:rsidRPr="00884D10" w:rsidRDefault="00F768B0" w:rsidP="00F768B0">
      <w:pPr>
        <w:pStyle w:val="tPara"/>
      </w:pPr>
      <w:r w:rsidRPr="00884D10">
        <w:tab/>
      </w:r>
      <w:r>
        <w:t>(a)</w:t>
      </w:r>
      <w:r w:rsidRPr="00884D10">
        <w:tab/>
        <w:t xml:space="preserve">calculations performed in accordance with this Part will provide the carbon dioxide equivalent net abatement amount for 1 calendar year of an offsets project; </w:t>
      </w:r>
    </w:p>
    <w:p w:rsidR="00F768B0" w:rsidRPr="00884D10" w:rsidRDefault="00F768B0" w:rsidP="00F768B0">
      <w:pPr>
        <w:pStyle w:val="tPara"/>
      </w:pPr>
      <w:r w:rsidRPr="00884D10">
        <w:tab/>
      </w:r>
      <w:r>
        <w:t>(b)</w:t>
      </w:r>
      <w:r w:rsidRPr="00884D10">
        <w:tab/>
        <w:t xml:space="preserve">if the reporting period consists of more than 1 calendar year, the calculations in this Part must be performed for each year of the reporting period and summed; </w:t>
      </w:r>
    </w:p>
    <w:p w:rsidR="00F768B0" w:rsidRPr="00884D10" w:rsidRDefault="00F768B0" w:rsidP="00F768B0">
      <w:pPr>
        <w:pStyle w:val="tPara"/>
      </w:pPr>
      <w:r w:rsidRPr="00884D10">
        <w:tab/>
      </w:r>
      <w:r>
        <w:t>(c)</w:t>
      </w:r>
      <w:r w:rsidRPr="00884D10">
        <w:tab/>
        <w:t xml:space="preserve">if a project area contains regions with different start dates of their late dry seasons, the carbon dioxide equivalent net abatement amount must be calculated separately for each region for each year of the reporting period and then summed to provide the carbon dioxide equivalent net abatement amount for the project area for the reporting period; </w:t>
      </w:r>
    </w:p>
    <w:p w:rsidR="00F768B0" w:rsidRPr="00884D10" w:rsidRDefault="00F768B0" w:rsidP="00F768B0">
      <w:pPr>
        <w:pStyle w:val="tPara"/>
      </w:pPr>
      <w:r w:rsidRPr="00884D10">
        <w:tab/>
      </w:r>
      <w:r>
        <w:t>(d)</w:t>
      </w:r>
      <w:r w:rsidRPr="00884D10">
        <w:tab/>
        <w:t>in carrying out the calculations in this Part the project proponent must use:</w:t>
      </w:r>
    </w:p>
    <w:p w:rsidR="00F768B0" w:rsidRPr="00884D10" w:rsidRDefault="00F768B0" w:rsidP="00F768B0">
      <w:pPr>
        <w:pStyle w:val="tSubpara"/>
      </w:pPr>
      <w:r w:rsidRPr="00884D10">
        <w:tab/>
      </w:r>
      <w:r>
        <w:t>(</w:t>
      </w:r>
      <w:proofErr w:type="spellStart"/>
      <w:r>
        <w:t>i</w:t>
      </w:r>
      <w:proofErr w:type="spellEnd"/>
      <w:r>
        <w:t>)</w:t>
      </w:r>
      <w:r w:rsidRPr="00884D10">
        <w:tab/>
        <w:t>a vegetation map for the project that is developed in accordance with section 3.3 and validated in accordance with section 3.4; and</w:t>
      </w:r>
    </w:p>
    <w:p w:rsidR="00F768B0" w:rsidRPr="00884D10" w:rsidRDefault="00F768B0" w:rsidP="00F768B0">
      <w:pPr>
        <w:pStyle w:val="tSubpara"/>
      </w:pPr>
      <w:r w:rsidRPr="00884D10">
        <w:tab/>
      </w:r>
      <w:r>
        <w:t>(ii)</w:t>
      </w:r>
      <w:r w:rsidRPr="00884D10">
        <w:tab/>
        <w:t>monthly fire maps that comply with the requirements of section 3.5 and that are created or sourced for each month of each year in the fuel load estimation period, the baseline period and the reporting period;</w:t>
      </w:r>
    </w:p>
    <w:p w:rsidR="00F768B0" w:rsidRPr="00884D10" w:rsidRDefault="00F768B0" w:rsidP="00F768B0">
      <w:pPr>
        <w:pStyle w:val="tPara"/>
      </w:pPr>
      <w:r w:rsidRPr="00884D10">
        <w:tab/>
      </w:r>
      <w:r>
        <w:t>(e)</w:t>
      </w:r>
      <w:r w:rsidRPr="00884D10">
        <w:tab/>
        <w:t xml:space="preserve">the data used in the calculations must comply with the data collection requirements specified in this Part; </w:t>
      </w:r>
    </w:p>
    <w:p w:rsidR="00F768B0" w:rsidRPr="00884D10" w:rsidRDefault="00F768B0" w:rsidP="00F768B0">
      <w:pPr>
        <w:pStyle w:val="tPara"/>
      </w:pPr>
      <w:r w:rsidRPr="00884D10">
        <w:tab/>
      </w:r>
      <w:r>
        <w:t>(f)</w:t>
      </w:r>
      <w:r w:rsidRPr="00884D10">
        <w:tab/>
        <w:t>project proponents must record the results of calculations in the manner and form specified in this Part; and</w:t>
      </w:r>
    </w:p>
    <w:p w:rsidR="00F768B0" w:rsidRPr="00884D10" w:rsidRDefault="00F768B0" w:rsidP="00F768B0">
      <w:pPr>
        <w:pStyle w:val="tPara"/>
      </w:pPr>
      <w:r w:rsidRPr="00884D10">
        <w:lastRenderedPageBreak/>
        <w:tab/>
      </w:r>
      <w:r>
        <w:t>(g)</w:t>
      </w:r>
      <w:r w:rsidRPr="00884D10">
        <w:tab/>
        <w:t>if a calculation refers to a factor or parameter prescribed in the NGER Measurement Determination or the NGER Regulations, the person carrying out the calculations must apply, to the whole reporting period, the NGER Measurement Determination or NGER Regulations in force at the time that the offsets report was submitted or was required to be submitted, whichever is earlier.</w:t>
      </w:r>
    </w:p>
    <w:p w:rsidR="00F768B0" w:rsidRPr="00884D10" w:rsidRDefault="00F768B0" w:rsidP="00F768B0">
      <w:pPr>
        <w:pStyle w:val="h5Section"/>
      </w:pPr>
      <w:bookmarkStart w:id="36" w:name="_Toc357780176"/>
      <w:r>
        <w:t>4.3</w:t>
      </w:r>
      <w:r w:rsidRPr="00884D10">
        <w:tab/>
        <w:t>Greenhouse gas assessment boundary</w:t>
      </w:r>
      <w:bookmarkEnd w:id="36"/>
      <w:r w:rsidRPr="00884D10">
        <w:t xml:space="preserve"> </w:t>
      </w:r>
    </w:p>
    <w:p w:rsidR="00F768B0" w:rsidRPr="00884D10" w:rsidRDefault="00F768B0" w:rsidP="00F768B0">
      <w:pPr>
        <w:pStyle w:val="tMain"/>
      </w:pPr>
      <w:r w:rsidRPr="00884D10">
        <w:tab/>
      </w:r>
      <w:r w:rsidRPr="00884D10">
        <w:tab/>
        <w:t>When making calculations under this Part:</w:t>
      </w:r>
    </w:p>
    <w:p w:rsidR="00F768B0" w:rsidRPr="00884D10" w:rsidRDefault="00F768B0" w:rsidP="00F768B0">
      <w:pPr>
        <w:pStyle w:val="tPara"/>
      </w:pPr>
      <w:r w:rsidRPr="00884D10">
        <w:tab/>
        <w:t>(a)</w:t>
      </w:r>
      <w:r w:rsidRPr="00884D10">
        <w:tab/>
        <w:t>the greenhouse gases in the following table must be taken into account in relation to the specified project activities; and</w:t>
      </w:r>
    </w:p>
    <w:p w:rsidR="00F768B0" w:rsidRPr="00884D10" w:rsidRDefault="00F768B0" w:rsidP="00F768B0">
      <w:pPr>
        <w:pStyle w:val="tPara"/>
      </w:pPr>
      <w:r w:rsidRPr="00884D10">
        <w:tab/>
        <w:t>(b)</w:t>
      </w:r>
      <w:r w:rsidRPr="00884D10">
        <w:tab/>
        <w:t>no other gases or project activities may be taken into account.</w:t>
      </w:r>
    </w:p>
    <w:p w:rsidR="00F768B0" w:rsidRPr="00884D10" w:rsidRDefault="00F768B0" w:rsidP="00F768B0">
      <w:pPr>
        <w:pStyle w:val="h6Subsec"/>
        <w:spacing w:after="120"/>
        <w:rPr>
          <w:rFonts w:ascii="Times New Roman" w:hAnsi="Times New Roman"/>
        </w:rPr>
      </w:pPr>
      <w:r w:rsidRPr="00884D10">
        <w:rPr>
          <w:rFonts w:ascii="Times New Roman" w:hAnsi="Times New Roman"/>
        </w:rPr>
        <w:t>Table of gases accounted for in the abatement calculations.</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60"/>
        <w:gridCol w:w="2573"/>
      </w:tblGrid>
      <w:tr w:rsidR="00F768B0" w:rsidRPr="00884D10" w:rsidTr="00C83E03">
        <w:trPr>
          <w:cantSplit/>
          <w:trHeight w:val="224"/>
        </w:trPr>
        <w:tc>
          <w:tcPr>
            <w:tcW w:w="3660" w:type="dxa"/>
            <w:tcBorders>
              <w:top w:val="single" w:sz="4" w:space="0" w:color="auto"/>
            </w:tcBorders>
          </w:tcPr>
          <w:p w:rsidR="00F768B0" w:rsidRPr="00884D10" w:rsidRDefault="00F768B0" w:rsidP="00C83E03">
            <w:pPr>
              <w:spacing w:before="120" w:after="120"/>
              <w:ind w:right="237"/>
              <w:rPr>
                <w:b/>
              </w:rPr>
            </w:pPr>
            <w:r w:rsidRPr="00884D10">
              <w:rPr>
                <w:b/>
              </w:rPr>
              <w:t>Project activity</w:t>
            </w:r>
          </w:p>
        </w:tc>
        <w:tc>
          <w:tcPr>
            <w:tcW w:w="0" w:type="auto"/>
            <w:tcBorders>
              <w:top w:val="single" w:sz="4" w:space="0" w:color="auto"/>
            </w:tcBorders>
          </w:tcPr>
          <w:p w:rsidR="00F768B0" w:rsidRPr="00884D10" w:rsidRDefault="00F768B0" w:rsidP="00C83E03">
            <w:pPr>
              <w:spacing w:before="120" w:after="120"/>
              <w:ind w:right="237"/>
            </w:pPr>
            <w:r w:rsidRPr="00884D10">
              <w:rPr>
                <w:b/>
              </w:rPr>
              <w:t>Greenhouse gas</w:t>
            </w:r>
          </w:p>
        </w:tc>
      </w:tr>
      <w:tr w:rsidR="00F768B0" w:rsidRPr="00884D10" w:rsidTr="00C83E03">
        <w:trPr>
          <w:cantSplit/>
          <w:trHeight w:val="224"/>
        </w:trPr>
        <w:tc>
          <w:tcPr>
            <w:tcW w:w="3660" w:type="dxa"/>
          </w:tcPr>
          <w:p w:rsidR="00F768B0" w:rsidRPr="00884D10" w:rsidRDefault="00F768B0" w:rsidP="00C83E03">
            <w:pPr>
              <w:spacing w:before="120" w:after="120"/>
              <w:ind w:right="237"/>
            </w:pPr>
            <w:r w:rsidRPr="00884D10">
              <w:t>Burning of flammable living and dead vegetation (fine, coarse and heavy fuels and shrubs) in the project area during the baseline period and project activity period</w:t>
            </w:r>
          </w:p>
        </w:tc>
        <w:tc>
          <w:tcPr>
            <w:tcW w:w="0" w:type="auto"/>
            <w:tcBorders>
              <w:top w:val="single" w:sz="4" w:space="0" w:color="auto"/>
            </w:tcBorders>
          </w:tcPr>
          <w:p w:rsidR="00F768B0" w:rsidRPr="00884D10" w:rsidRDefault="00F768B0" w:rsidP="00C83E03">
            <w:pPr>
              <w:spacing w:before="120" w:after="120"/>
              <w:ind w:right="237"/>
            </w:pPr>
            <w:r w:rsidRPr="00884D10">
              <w:t>Methane (CH</w:t>
            </w:r>
            <w:r w:rsidRPr="00884D10">
              <w:rPr>
                <w:vertAlign w:val="subscript"/>
              </w:rPr>
              <w:t>4</w:t>
            </w:r>
            <w:r w:rsidRPr="00884D10">
              <w:t>)</w:t>
            </w:r>
          </w:p>
          <w:p w:rsidR="00F768B0" w:rsidRPr="00884D10" w:rsidRDefault="00F768B0" w:rsidP="00C83E03">
            <w:pPr>
              <w:spacing w:before="120" w:after="120"/>
              <w:ind w:right="237"/>
            </w:pPr>
            <w:r w:rsidRPr="00884D10">
              <w:t>Nitrous oxide (N</w:t>
            </w:r>
            <w:r w:rsidRPr="00884D10">
              <w:rPr>
                <w:vertAlign w:val="subscript"/>
              </w:rPr>
              <w:t>2</w:t>
            </w:r>
            <w:r w:rsidRPr="00884D10">
              <w:t>O)</w:t>
            </w:r>
          </w:p>
        </w:tc>
      </w:tr>
      <w:tr w:rsidR="00F768B0" w:rsidRPr="00884D10" w:rsidTr="00C83E03">
        <w:trPr>
          <w:cantSplit/>
          <w:trHeight w:val="224"/>
        </w:trPr>
        <w:tc>
          <w:tcPr>
            <w:tcW w:w="3660" w:type="dxa"/>
          </w:tcPr>
          <w:p w:rsidR="00F768B0" w:rsidRPr="00884D10" w:rsidRDefault="00F768B0" w:rsidP="00C83E03">
            <w:pPr>
              <w:spacing w:before="120" w:after="120"/>
              <w:ind w:right="237"/>
            </w:pPr>
            <w:r w:rsidRPr="00884D10">
              <w:t>Fuel use to establish and maintain the project; for example, for helicopters and other energy-consuming equipment or drip torches</w:t>
            </w:r>
          </w:p>
        </w:tc>
        <w:tc>
          <w:tcPr>
            <w:tcW w:w="0" w:type="auto"/>
            <w:tcBorders>
              <w:top w:val="single" w:sz="4" w:space="0" w:color="auto"/>
            </w:tcBorders>
          </w:tcPr>
          <w:p w:rsidR="00F768B0" w:rsidRPr="00884D10" w:rsidRDefault="00F768B0" w:rsidP="00C83E03">
            <w:pPr>
              <w:spacing w:before="120" w:after="120"/>
              <w:ind w:right="237"/>
            </w:pPr>
            <w:r w:rsidRPr="00884D10">
              <w:t>Carbon dioxide (CO</w:t>
            </w:r>
            <w:r w:rsidRPr="00884D10">
              <w:rPr>
                <w:vertAlign w:val="subscript"/>
              </w:rPr>
              <w:t>2</w:t>
            </w:r>
            <w:r w:rsidRPr="00884D10">
              <w:t>)</w:t>
            </w:r>
          </w:p>
          <w:p w:rsidR="00F768B0" w:rsidRPr="00884D10" w:rsidRDefault="00F768B0" w:rsidP="00C83E03">
            <w:pPr>
              <w:spacing w:before="120" w:after="120"/>
              <w:ind w:right="237"/>
            </w:pPr>
            <w:r w:rsidRPr="00884D10">
              <w:t>Methane (CH</w:t>
            </w:r>
            <w:r w:rsidRPr="00884D10">
              <w:rPr>
                <w:vertAlign w:val="subscript"/>
              </w:rPr>
              <w:t>4</w:t>
            </w:r>
            <w:r w:rsidRPr="00884D10">
              <w:t>)</w:t>
            </w:r>
          </w:p>
          <w:p w:rsidR="00F768B0" w:rsidRPr="00884D10" w:rsidRDefault="00F768B0" w:rsidP="00C83E03">
            <w:pPr>
              <w:spacing w:before="120" w:after="120"/>
              <w:ind w:right="237"/>
            </w:pPr>
            <w:r w:rsidRPr="00884D10">
              <w:t>Nitrous oxide (N</w:t>
            </w:r>
            <w:r w:rsidRPr="00884D10">
              <w:rPr>
                <w:vertAlign w:val="subscript"/>
              </w:rPr>
              <w:t>2</w:t>
            </w:r>
            <w:r w:rsidRPr="00884D10">
              <w:t>O)</w:t>
            </w:r>
          </w:p>
        </w:tc>
      </w:tr>
    </w:tbl>
    <w:p w:rsidR="00F768B0" w:rsidRPr="00884D10" w:rsidRDefault="00F768B0" w:rsidP="00F768B0">
      <w:pPr>
        <w:pStyle w:val="h5Section"/>
      </w:pPr>
      <w:bookmarkStart w:id="37" w:name="_Toc357780177"/>
      <w:r>
        <w:t>4.4</w:t>
      </w:r>
      <w:r w:rsidRPr="00884D10">
        <w:tab/>
        <w:t>The start and end of the late dry season</w:t>
      </w:r>
      <w:bookmarkEnd w:id="37"/>
      <w:r w:rsidRPr="00884D10">
        <w:t xml:space="preserve"> </w:t>
      </w:r>
    </w:p>
    <w:p w:rsidR="00F768B0" w:rsidRPr="00884D10" w:rsidRDefault="00F768B0" w:rsidP="00F768B0">
      <w:pPr>
        <w:pStyle w:val="tMain"/>
      </w:pPr>
      <w:r w:rsidRPr="00884D10">
        <w:tab/>
        <w:t>(1)</w:t>
      </w:r>
      <w:r w:rsidRPr="00884D10">
        <w:tab/>
        <w:t>For each year of the baseline period and the reporting period, the following information may be made available at www.climatechange.gov.au:</w:t>
      </w:r>
    </w:p>
    <w:p w:rsidR="00F768B0" w:rsidRPr="00884D10" w:rsidRDefault="00F768B0" w:rsidP="00F768B0">
      <w:pPr>
        <w:pStyle w:val="tPara"/>
      </w:pPr>
      <w:r w:rsidRPr="00884D10">
        <w:tab/>
        <w:t>(a)</w:t>
      </w:r>
      <w:r w:rsidRPr="00884D10">
        <w:tab/>
        <w:t>the start date of the late dry season for a region; and</w:t>
      </w:r>
    </w:p>
    <w:p w:rsidR="00F768B0" w:rsidRPr="00884D10" w:rsidRDefault="00F768B0" w:rsidP="00F768B0">
      <w:pPr>
        <w:pStyle w:val="tPara"/>
      </w:pPr>
      <w:r w:rsidRPr="00884D10">
        <w:tab/>
        <w:t>(b)</w:t>
      </w:r>
      <w:r w:rsidRPr="00884D10">
        <w:tab/>
        <w:t>the method used to determine the start date.</w:t>
      </w:r>
    </w:p>
    <w:p w:rsidR="00F768B0" w:rsidRPr="00884D10" w:rsidRDefault="00F768B0" w:rsidP="00F768B0">
      <w:pPr>
        <w:pStyle w:val="tMain"/>
      </w:pPr>
      <w:r w:rsidRPr="00884D10">
        <w:tab/>
        <w:t>(2)</w:t>
      </w:r>
      <w:r w:rsidRPr="00884D10">
        <w:tab/>
        <w:t>The start date of the late dry season for a region as determined in accordance with subsection (1) will be one of the following dates:</w:t>
      </w:r>
    </w:p>
    <w:p w:rsidR="00F768B0" w:rsidRPr="00884D10" w:rsidRDefault="00F768B0" w:rsidP="00F768B0">
      <w:pPr>
        <w:pStyle w:val="tPara"/>
      </w:pPr>
      <w:r w:rsidRPr="00884D10">
        <w:tab/>
        <w:t>(a)</w:t>
      </w:r>
      <w:r w:rsidRPr="00884D10">
        <w:tab/>
        <w:t>1 July;</w:t>
      </w:r>
    </w:p>
    <w:p w:rsidR="00F768B0" w:rsidRPr="00884D10" w:rsidRDefault="00F768B0" w:rsidP="00F768B0">
      <w:pPr>
        <w:pStyle w:val="tPara"/>
      </w:pPr>
      <w:r w:rsidRPr="00884D10">
        <w:tab/>
        <w:t>(b)</w:t>
      </w:r>
      <w:r w:rsidRPr="00884D10">
        <w:tab/>
        <w:t xml:space="preserve">1 August; or </w:t>
      </w:r>
    </w:p>
    <w:p w:rsidR="00F768B0" w:rsidRPr="00884D10" w:rsidRDefault="00F768B0" w:rsidP="00F768B0">
      <w:pPr>
        <w:pStyle w:val="tPara"/>
      </w:pPr>
      <w:r w:rsidRPr="00884D10">
        <w:tab/>
        <w:t>(c)</w:t>
      </w:r>
      <w:r w:rsidRPr="00884D10">
        <w:tab/>
        <w:t>1 September.</w:t>
      </w:r>
    </w:p>
    <w:p w:rsidR="00C83E03" w:rsidRDefault="00C83E03" w:rsidP="00F768B0">
      <w:pPr>
        <w:pStyle w:val="tMain"/>
      </w:pPr>
    </w:p>
    <w:p w:rsidR="00C83E03" w:rsidRDefault="00C83E03" w:rsidP="00F768B0">
      <w:pPr>
        <w:pStyle w:val="tMain"/>
      </w:pPr>
    </w:p>
    <w:p w:rsidR="00F768B0" w:rsidRPr="00884D10" w:rsidRDefault="00F768B0" w:rsidP="00F768B0">
      <w:pPr>
        <w:pStyle w:val="tMain"/>
      </w:pPr>
      <w:r w:rsidRPr="00884D10">
        <w:lastRenderedPageBreak/>
        <w:tab/>
        <w:t>(3)</w:t>
      </w:r>
      <w:r w:rsidRPr="00884D10">
        <w:tab/>
        <w:t>If the start date of the late dry season for a region is not made available as specified under subsection (1), the date is taken to be 1 August.</w:t>
      </w:r>
    </w:p>
    <w:p w:rsidR="00F768B0" w:rsidRPr="00884D10" w:rsidRDefault="00F768B0" w:rsidP="00F768B0">
      <w:pPr>
        <w:pStyle w:val="tMain"/>
      </w:pPr>
      <w:r w:rsidRPr="00884D10">
        <w:tab/>
        <w:t>(4)</w:t>
      </w:r>
      <w:r w:rsidRPr="00884D10">
        <w:tab/>
        <w:t>The start date of the late dry season for a project area must be recorded in Table 9 of both Form 1 and Form 2 of Schedule 2 and must be used in any calculation of emissions for a project area that is required by this Determination.</w:t>
      </w:r>
    </w:p>
    <w:p w:rsidR="00F768B0" w:rsidRPr="00884D10" w:rsidRDefault="00F768B0" w:rsidP="00F768B0">
      <w:pPr>
        <w:pStyle w:val="tMain"/>
      </w:pPr>
      <w:r w:rsidRPr="00884D10">
        <w:tab/>
        <w:t>(5)</w:t>
      </w:r>
      <w:r w:rsidRPr="00884D10">
        <w:tab/>
        <w:t>For the purposes of this Determination the late dry season is taken to end on 31 December in a given year.</w:t>
      </w:r>
    </w:p>
    <w:p w:rsidR="00F768B0" w:rsidRPr="00884D10" w:rsidRDefault="00F768B0" w:rsidP="00F768B0">
      <w:pPr>
        <w:pStyle w:val="h3Div"/>
      </w:pPr>
      <w:bookmarkStart w:id="38" w:name="_Toc357780178"/>
      <w:bookmarkStart w:id="39" w:name="_Ref323896053"/>
      <w:r w:rsidRPr="00884D10">
        <w:t xml:space="preserve">Division </w:t>
      </w:r>
      <w:r>
        <w:t>4.3</w:t>
      </w:r>
      <w:r w:rsidRPr="00884D10">
        <w:tab/>
        <w:t>Calculations</w:t>
      </w:r>
      <w:bookmarkEnd w:id="38"/>
      <w:r w:rsidRPr="00884D10">
        <w:t xml:space="preserve"> </w:t>
      </w:r>
    </w:p>
    <w:p w:rsidR="00F768B0" w:rsidRPr="00884D10" w:rsidRDefault="00F768B0" w:rsidP="00F768B0">
      <w:pPr>
        <w:pStyle w:val="h4Subdiv"/>
      </w:pPr>
      <w:bookmarkStart w:id="40" w:name="_Toc357780179"/>
      <w:r w:rsidRPr="00884D10">
        <w:t xml:space="preserve">Subdivision </w:t>
      </w:r>
      <w:r>
        <w:t>4.3.1</w:t>
      </w:r>
      <w:r w:rsidRPr="00884D10">
        <w:tab/>
        <w:t>Developing maps and calculating fire scar area</w:t>
      </w:r>
      <w:bookmarkEnd w:id="40"/>
      <w:r w:rsidRPr="00884D10">
        <w:t xml:space="preserve"> </w:t>
      </w:r>
    </w:p>
    <w:p w:rsidR="00F768B0" w:rsidRPr="00884D10" w:rsidRDefault="00F768B0" w:rsidP="00F768B0">
      <w:pPr>
        <w:pStyle w:val="h5Section"/>
      </w:pPr>
      <w:bookmarkStart w:id="41" w:name="_Toc357780180"/>
      <w:bookmarkEnd w:id="39"/>
      <w:r>
        <w:t>4.5</w:t>
      </w:r>
      <w:r w:rsidRPr="00884D10">
        <w:tab/>
        <w:t>Developing maps used to calculate emissions</w:t>
      </w:r>
      <w:bookmarkEnd w:id="41"/>
      <w:r w:rsidRPr="00884D10">
        <w:t xml:space="preserve"> </w:t>
      </w:r>
    </w:p>
    <w:p w:rsidR="00F768B0" w:rsidRPr="00884D10" w:rsidRDefault="00F768B0" w:rsidP="00F768B0">
      <w:pPr>
        <w:pStyle w:val="tMain"/>
      </w:pPr>
      <w:bookmarkStart w:id="42" w:name="_Ref324507033"/>
      <w:r w:rsidRPr="00884D10">
        <w:tab/>
        <w:t>(1)</w:t>
      </w:r>
      <w:r w:rsidRPr="00884D10">
        <w:tab/>
        <w:t>A vegetation map for the project area that meets the requirements specified in section 3.3 and is validated in accordance with section 3.4 must be developed using GIS software.</w:t>
      </w:r>
      <w:bookmarkEnd w:id="42"/>
    </w:p>
    <w:p w:rsidR="00F768B0" w:rsidRPr="00884D10" w:rsidRDefault="00F768B0" w:rsidP="00F768B0">
      <w:pPr>
        <w:pStyle w:val="tMain"/>
      </w:pPr>
      <w:r w:rsidRPr="00884D10">
        <w:tab/>
        <w:t>(2)</w:t>
      </w:r>
      <w:r w:rsidRPr="00884D10">
        <w:tab/>
        <w:t>The area of each vegetation class in terms of the number of pixels must be calculated using GIS software.</w:t>
      </w:r>
    </w:p>
    <w:p w:rsidR="00F768B0" w:rsidRPr="00884D10" w:rsidRDefault="00F768B0" w:rsidP="00F768B0">
      <w:pPr>
        <w:pStyle w:val="tMain"/>
      </w:pPr>
      <w:r w:rsidRPr="00884D10">
        <w:tab/>
        <w:t>(3)</w:t>
      </w:r>
      <w:r w:rsidRPr="00884D10">
        <w:tab/>
        <w:t>Monthly fire maps meeting the requirements of section 3.5 must be sourced or developed for the fuel load estimation period, the baseline period, and the reporting period.</w:t>
      </w:r>
    </w:p>
    <w:p w:rsidR="00F768B0" w:rsidRPr="00884D10" w:rsidRDefault="00F768B0" w:rsidP="00F768B0">
      <w:pPr>
        <w:pStyle w:val="tMain"/>
      </w:pPr>
      <w:r w:rsidRPr="00884D10">
        <w:tab/>
        <w:t>(4)</w:t>
      </w:r>
      <w:r w:rsidRPr="00884D10">
        <w:tab/>
        <w:t>Monthly fire maps must be sourced for every month of every year for the baseline period, the fuel load estimation period and the reporting period to develop seasonal fire maps.</w:t>
      </w:r>
    </w:p>
    <w:p w:rsidR="00F768B0" w:rsidRPr="00884D10" w:rsidRDefault="00F768B0" w:rsidP="00F768B0">
      <w:pPr>
        <w:pStyle w:val="h5Section"/>
      </w:pPr>
      <w:bookmarkStart w:id="43" w:name="_Toc357780181"/>
      <w:r>
        <w:t>4.6</w:t>
      </w:r>
      <w:r w:rsidRPr="00884D10">
        <w:tab/>
        <w:t>Calculating the fire scar area (A) in the early dry season and the late dry season periods for each vegetation class</w:t>
      </w:r>
      <w:bookmarkEnd w:id="43"/>
      <w:r w:rsidRPr="00884D10">
        <w:t xml:space="preserve"> </w:t>
      </w:r>
    </w:p>
    <w:p w:rsidR="00F768B0" w:rsidRPr="00884D10" w:rsidRDefault="00F768B0" w:rsidP="00F768B0">
      <w:pPr>
        <w:pStyle w:val="tMain"/>
      </w:pPr>
      <w:r w:rsidRPr="00884D10">
        <w:tab/>
        <w:t>(1)</w:t>
      </w:r>
      <w:r w:rsidRPr="00884D10">
        <w:tab/>
        <w:t xml:space="preserve">The fire scar area in a project area must be calculated in hectares for each fire season for each calendar year of the baseline period and the reporting period according to vegetation class using GIS software. </w:t>
      </w:r>
    </w:p>
    <w:p w:rsidR="00F768B0" w:rsidRPr="00884D10" w:rsidRDefault="00F768B0" w:rsidP="00F768B0">
      <w:pPr>
        <w:pStyle w:val="tMain"/>
      </w:pPr>
      <w:r w:rsidRPr="00884D10">
        <w:tab/>
        <w:t>(2)</w:t>
      </w:r>
      <w:r w:rsidRPr="00884D10">
        <w:tab/>
        <w:t>Subsection (1) must be implemented by overlaying the vegetation map specified in subsection 4.5(1) with the seasonal fire maps mentioned in subsection 4.5(4), to produce a raster map that allocates a vegetation class and a fire season to each pixel that is part of a fire scar.</w:t>
      </w:r>
    </w:p>
    <w:p w:rsidR="00F768B0" w:rsidRPr="00884D10" w:rsidRDefault="00F768B0" w:rsidP="00F768B0">
      <w:pPr>
        <w:pStyle w:val="tMain"/>
      </w:pPr>
      <w:r w:rsidRPr="00884D10">
        <w:tab/>
        <w:t>(3)</w:t>
      </w:r>
      <w:r w:rsidRPr="00884D10">
        <w:tab/>
        <w:t>The fire scar area in the raster map specified in subsection (2) must be converted to hectares using GIS software.</w:t>
      </w:r>
    </w:p>
    <w:p w:rsidR="00F768B0" w:rsidRPr="00884D10" w:rsidRDefault="00F768B0" w:rsidP="00F768B0">
      <w:pPr>
        <w:pStyle w:val="tMain"/>
      </w:pPr>
      <w:r w:rsidRPr="00884D10">
        <w:tab/>
        <w:t>(4)</w:t>
      </w:r>
      <w:r w:rsidRPr="00884D10">
        <w:tab/>
        <w:t xml:space="preserve">The results of the calculation specified in subsection (3) must be recorded in Table 10 of Form 1 of Schedule 2 for each year of the baseline period and the reporting period. </w:t>
      </w:r>
    </w:p>
    <w:p w:rsidR="00F768B0" w:rsidRPr="00884D10" w:rsidRDefault="00F768B0" w:rsidP="00F768B0">
      <w:pPr>
        <w:pStyle w:val="tMain"/>
      </w:pPr>
    </w:p>
    <w:p w:rsidR="00F768B0" w:rsidRPr="00884D10" w:rsidRDefault="00F768B0" w:rsidP="00F768B0">
      <w:pPr>
        <w:pStyle w:val="h4Subdiv"/>
      </w:pPr>
      <w:bookmarkStart w:id="44" w:name="_Toc357780182"/>
      <w:r w:rsidRPr="00884D10">
        <w:lastRenderedPageBreak/>
        <w:t xml:space="preserve">Subdivision </w:t>
      </w:r>
      <w:r>
        <w:t>4.3.2</w:t>
      </w:r>
      <w:r w:rsidRPr="00884D10">
        <w:tab/>
        <w:t>Calculating annual fire emissions for the baseline period and the reporting period</w:t>
      </w:r>
      <w:bookmarkEnd w:id="44"/>
      <w:r w:rsidRPr="00884D10">
        <w:t xml:space="preserve"> </w:t>
      </w:r>
    </w:p>
    <w:p w:rsidR="00F768B0" w:rsidRPr="00884D10" w:rsidRDefault="00F768B0" w:rsidP="00F768B0">
      <w:pPr>
        <w:pStyle w:val="h5Section"/>
      </w:pPr>
      <w:bookmarkStart w:id="45" w:name="_Toc357780183"/>
      <w:r>
        <w:t>4.7</w:t>
      </w:r>
      <w:r w:rsidRPr="00884D10">
        <w:tab/>
        <w:t>Calculating annual fire emissions</w:t>
      </w:r>
      <w:bookmarkEnd w:id="45"/>
      <w:r w:rsidRPr="00884D10">
        <w:t xml:space="preserve"> </w:t>
      </w:r>
    </w:p>
    <w:p w:rsidR="00F768B0" w:rsidRPr="00884D10" w:rsidRDefault="00F768B0" w:rsidP="00F768B0">
      <w:pPr>
        <w:pStyle w:val="tMain"/>
        <w:rPr>
          <w:color w:val="808080" w:themeColor="background1" w:themeShade="80"/>
        </w:rPr>
      </w:pPr>
      <w:r w:rsidRPr="00884D10">
        <w:tab/>
        <w:t>(1)</w:t>
      </w:r>
      <w:r w:rsidRPr="00884D10">
        <w:tab/>
        <w:t>The annual emissions of greenhouse gases from fire for an offsets project must be calculated for each calendar year of the baseline period and the reporting period using the following formula</w:t>
      </w:r>
      <w:r w:rsidRPr="00884D10">
        <w:rPr>
          <w:color w:val="808080" w:themeColor="background1" w:themeShade="80"/>
        </w:rPr>
        <w:t>:</w:t>
      </w:r>
    </w:p>
    <w:tbl>
      <w:tblPr>
        <w:tblW w:w="7371"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3"/>
        <w:gridCol w:w="2268"/>
      </w:tblGrid>
      <w:tr w:rsidR="00F768B0" w:rsidRPr="00884D10" w:rsidTr="00C83E03">
        <w:tc>
          <w:tcPr>
            <w:tcW w:w="5103" w:type="dxa"/>
          </w:tcPr>
          <w:p w:rsidR="00F768B0" w:rsidRPr="00884D10" w:rsidRDefault="00F768B0" w:rsidP="00C83E03">
            <w:pPr>
              <w:spacing w:before="120" w:after="120"/>
              <w:ind w:right="237"/>
              <w:jc w:val="center"/>
              <w:rPr>
                <w:b/>
                <w:color w:val="808080" w:themeColor="background1" w:themeShade="80"/>
              </w:rPr>
            </w:pPr>
            <w:r w:rsidRPr="00884D10">
              <w:rPr>
                <w:b/>
                <w:lang w:val="es-AR"/>
              </w:rPr>
              <w:t>E</w:t>
            </w:r>
            <w:r w:rsidRPr="00884D10">
              <w:rPr>
                <w:b/>
                <w:vertAlign w:val="subscript"/>
                <w:lang w:val="es-AR"/>
              </w:rPr>
              <w:t>fire</w:t>
            </w:r>
            <w:r w:rsidRPr="00884D10">
              <w:rPr>
                <w:b/>
                <w:lang w:val="es-AR"/>
              </w:rPr>
              <w:t>CO</w:t>
            </w:r>
            <w:r w:rsidRPr="00884D10">
              <w:rPr>
                <w:b/>
                <w:vertAlign w:val="subscript"/>
                <w:lang w:val="es-AR"/>
              </w:rPr>
              <w:t>2</w:t>
            </w:r>
            <w:r w:rsidRPr="00884D10">
              <w:rPr>
                <w:b/>
                <w:lang w:val="es-AR"/>
              </w:rPr>
              <w:t>-e</w:t>
            </w:r>
            <w:r w:rsidRPr="00884D10" w:rsidDel="00C55B1E">
              <w:rPr>
                <w:b/>
                <w:lang w:val="es-AR"/>
              </w:rPr>
              <w:t xml:space="preserve"> </w:t>
            </w:r>
            <w:r w:rsidRPr="00884D10">
              <w:rPr>
                <w:b/>
                <w:lang w:val="es-AR"/>
              </w:rPr>
              <w:t>= Ab x Pe</w:t>
            </w:r>
          </w:p>
        </w:tc>
        <w:tc>
          <w:tcPr>
            <w:tcW w:w="2268" w:type="dxa"/>
            <w:vAlign w:val="center"/>
          </w:tcPr>
          <w:p w:rsidR="00F768B0" w:rsidRPr="00884D10" w:rsidRDefault="00F768B0" w:rsidP="00C83E03">
            <w:pPr>
              <w:spacing w:before="120" w:after="120"/>
              <w:ind w:right="237"/>
              <w:jc w:val="center"/>
              <w:rPr>
                <w:b/>
                <w:color w:val="808080" w:themeColor="background1" w:themeShade="80"/>
              </w:rPr>
            </w:pPr>
            <w:r w:rsidRPr="00884D10">
              <w:rPr>
                <w:b/>
              </w:rPr>
              <w:t>Equation 1</w:t>
            </w:r>
          </w:p>
        </w:tc>
      </w:tr>
    </w:tbl>
    <w:p w:rsidR="00F768B0" w:rsidRPr="00884D10" w:rsidRDefault="00F768B0" w:rsidP="00F768B0">
      <w:pPr>
        <w:pStyle w:val="tMain"/>
        <w:keepNext/>
      </w:pPr>
      <w:r w:rsidRPr="00884D10">
        <w:tab/>
      </w:r>
      <w:r w:rsidRPr="00884D10">
        <w:tab/>
        <w:t>Where:</w:t>
      </w:r>
    </w:p>
    <w:p w:rsidR="00F768B0" w:rsidRPr="00884D10" w:rsidRDefault="00F768B0" w:rsidP="00F768B0">
      <w:pPr>
        <w:pStyle w:val="R2"/>
        <w:tabs>
          <w:tab w:val="clear" w:pos="794"/>
        </w:tabs>
        <w:ind w:left="2127" w:hanging="1134"/>
      </w:pPr>
      <w:r w:rsidRPr="00884D10">
        <w:rPr>
          <w:b/>
        </w:rPr>
        <w:t>E</w:t>
      </w:r>
      <w:r w:rsidRPr="00884D10">
        <w:rPr>
          <w:b/>
          <w:vertAlign w:val="subscript"/>
        </w:rPr>
        <w:t>fire</w:t>
      </w:r>
      <w:r w:rsidRPr="00884D10">
        <w:rPr>
          <w:b/>
        </w:rPr>
        <w:t>CO</w:t>
      </w:r>
      <w:r w:rsidRPr="00884D10">
        <w:rPr>
          <w:b/>
          <w:vertAlign w:val="subscript"/>
        </w:rPr>
        <w:t>2</w:t>
      </w:r>
      <w:r w:rsidRPr="00884D10">
        <w:rPr>
          <w:b/>
        </w:rPr>
        <w:t>-e</w:t>
      </w:r>
      <w:r w:rsidRPr="00884D10" w:rsidDel="00C55B1E">
        <w:rPr>
          <w:b/>
        </w:rPr>
        <w:t xml:space="preserve"> </w:t>
      </w:r>
      <w:r w:rsidRPr="00884D10">
        <w:rPr>
          <w:b/>
        </w:rPr>
        <w:t xml:space="preserve">= </w:t>
      </w:r>
      <w:r w:rsidRPr="00884D10">
        <w:t>annual fire emissions, being the annual emissions of greenhouse gases (in tonnes CO</w:t>
      </w:r>
      <w:r w:rsidRPr="00884D10">
        <w:rPr>
          <w:vertAlign w:val="subscript"/>
        </w:rPr>
        <w:t>2</w:t>
      </w:r>
      <w:r w:rsidRPr="00884D10">
        <w:t>-e) from fire for an offsets project over a calendar year.</w:t>
      </w:r>
    </w:p>
    <w:p w:rsidR="00F768B0" w:rsidRPr="00884D10" w:rsidRDefault="00F768B0" w:rsidP="00F768B0">
      <w:pPr>
        <w:pStyle w:val="R2"/>
        <w:tabs>
          <w:tab w:val="clear" w:pos="794"/>
        </w:tabs>
        <w:ind w:left="2127" w:hanging="1134"/>
      </w:pPr>
      <w:proofErr w:type="spellStart"/>
      <w:r w:rsidRPr="00884D10">
        <w:rPr>
          <w:b/>
        </w:rPr>
        <w:t>Ab</w:t>
      </w:r>
      <w:proofErr w:type="spellEnd"/>
      <w:r w:rsidRPr="00884D10">
        <w:rPr>
          <w:b/>
        </w:rPr>
        <w:t xml:space="preserve"> = </w:t>
      </w:r>
      <w:r w:rsidRPr="00884D10">
        <w:rPr>
          <w:b/>
        </w:rPr>
        <w:tab/>
      </w:r>
      <w:r w:rsidRPr="00884D10">
        <w:t>area burnt, the fire scar area in hectares, taking patchiness into account, calculated in accordance with section 4.8.</w:t>
      </w:r>
    </w:p>
    <w:p w:rsidR="00F768B0" w:rsidRPr="00884D10" w:rsidRDefault="00F768B0" w:rsidP="00F768B0">
      <w:pPr>
        <w:pStyle w:val="R2"/>
        <w:tabs>
          <w:tab w:val="clear" w:pos="794"/>
        </w:tabs>
        <w:spacing w:after="40" w:line="300" w:lineRule="exact"/>
        <w:ind w:left="2126" w:hanging="1134"/>
      </w:pPr>
      <w:proofErr w:type="spellStart"/>
      <w:r w:rsidRPr="00884D10">
        <w:rPr>
          <w:b/>
        </w:rPr>
        <w:t>Pe</w:t>
      </w:r>
      <w:proofErr w:type="spellEnd"/>
      <w:r w:rsidRPr="00884D10">
        <w:rPr>
          <w:b/>
        </w:rPr>
        <w:t xml:space="preserve"> </w:t>
      </w:r>
      <w:r w:rsidRPr="00884D10">
        <w:t xml:space="preserve">= </w:t>
      </w:r>
      <w:r w:rsidRPr="00884D10">
        <w:tab/>
        <w:t>potential emissions, the emissions per unit area that would occur if that area was burnt (in tonnes per hectare, t ha</w:t>
      </w:r>
      <w:r w:rsidRPr="00884D10">
        <w:rPr>
          <w:vertAlign w:val="superscript"/>
        </w:rPr>
        <w:t>-1</w:t>
      </w:r>
      <w:r w:rsidRPr="00884D10">
        <w:t>)</w:t>
      </w:r>
      <w:r w:rsidRPr="00884D10">
        <w:rPr>
          <w:vertAlign w:val="superscript"/>
        </w:rPr>
        <w:t xml:space="preserve"> </w:t>
      </w:r>
      <w:r w:rsidRPr="00884D10">
        <w:t xml:space="preserve">comprising the sum of </w:t>
      </w:r>
      <w:proofErr w:type="spellStart"/>
      <w:r w:rsidRPr="00884D10">
        <w:t>Pe</w:t>
      </w:r>
      <w:r w:rsidRPr="00884D10">
        <w:rPr>
          <w:vertAlign w:val="subscript"/>
        </w:rPr>
        <w:t>CH</w:t>
      </w:r>
      <w:proofErr w:type="spellEnd"/>
      <w:r w:rsidRPr="00884D10">
        <w:rPr>
          <w:position w:val="-2"/>
          <w:vertAlign w:val="subscript"/>
        </w:rPr>
        <w:t>4</w:t>
      </w:r>
      <w:r w:rsidRPr="00884D10">
        <w:t xml:space="preserve"> </w:t>
      </w:r>
      <w:r w:rsidRPr="00884D10">
        <w:rPr>
          <w:sz w:val="22"/>
          <w:szCs w:val="22"/>
        </w:rPr>
        <w:t xml:space="preserve">and </w:t>
      </w:r>
      <m:oMath>
        <m:sSub>
          <m:sSubPr>
            <m:ctrlPr>
              <w:rPr>
                <w:rFonts w:ascii="Cambria Math" w:hAnsi="Cambria Math"/>
                <w:sz w:val="22"/>
                <w:szCs w:val="22"/>
              </w:rPr>
            </m:ctrlPr>
          </m:sSubPr>
          <m:e>
            <m:r>
              <m:rPr>
                <m:sty m:val="p"/>
              </m:rPr>
              <w:rPr>
                <w:rFonts w:ascii="Cambria Math"/>
                <w:sz w:val="22"/>
                <w:szCs w:val="22"/>
              </w:rPr>
              <m:t>Pe</m:t>
            </m:r>
          </m:e>
          <m:sub>
            <m:sSub>
              <m:sSubPr>
                <m:ctrlPr>
                  <w:rPr>
                    <w:rFonts w:ascii="Cambria Math" w:hAnsi="Cambria Math"/>
                    <w:sz w:val="22"/>
                    <w:szCs w:val="22"/>
                  </w:rPr>
                </m:ctrlPr>
              </m:sSubPr>
              <m:e>
                <m:r>
                  <m:rPr>
                    <m:sty m:val="p"/>
                  </m:rPr>
                  <w:rPr>
                    <w:rFonts w:ascii="Cambria Math"/>
                    <w:sz w:val="22"/>
                    <w:szCs w:val="22"/>
                  </w:rPr>
                  <m:t>N</m:t>
                </m:r>
              </m:e>
              <m:sub>
                <m:r>
                  <m:rPr>
                    <m:sty m:val="p"/>
                  </m:rPr>
                  <w:rPr>
                    <w:rFonts w:ascii="Cambria Math"/>
                    <w:sz w:val="22"/>
                    <w:szCs w:val="22"/>
                  </w:rPr>
                  <m:t>2</m:t>
                </m:r>
              </m:sub>
            </m:sSub>
            <m:r>
              <m:rPr>
                <m:sty m:val="p"/>
              </m:rPr>
              <w:rPr>
                <w:rFonts w:ascii="Cambria Math"/>
                <w:sz w:val="22"/>
                <w:szCs w:val="22"/>
              </w:rPr>
              <m:t>0</m:t>
            </m:r>
          </m:sub>
        </m:sSub>
      </m:oMath>
      <w:r w:rsidRPr="00884D10">
        <w:rPr>
          <w:sz w:val="22"/>
          <w:szCs w:val="22"/>
        </w:rPr>
        <w:t xml:space="preserve">, </w:t>
      </w:r>
      <w:r w:rsidRPr="00884D10">
        <w:t>calculated in accordance with section 4.9.</w:t>
      </w:r>
    </w:p>
    <w:p w:rsidR="00F768B0" w:rsidRPr="00884D10" w:rsidRDefault="00F768B0" w:rsidP="00F768B0">
      <w:pPr>
        <w:pStyle w:val="tMain"/>
      </w:pPr>
      <w:r w:rsidRPr="00884D10">
        <w:tab/>
        <w:t>(2)</w:t>
      </w:r>
      <w:r w:rsidRPr="00884D10">
        <w:tab/>
        <w:t>Annual fire emissions must be calculated annually for each greenhouse gas (CH</w:t>
      </w:r>
      <w:r w:rsidRPr="00884D10">
        <w:rPr>
          <w:vertAlign w:val="subscript"/>
        </w:rPr>
        <w:t>4</w:t>
      </w:r>
      <w:r w:rsidRPr="00884D10">
        <w:t xml:space="preserve"> and N</w:t>
      </w:r>
      <w:r w:rsidRPr="00884D10">
        <w:rPr>
          <w:vertAlign w:val="subscript"/>
        </w:rPr>
        <w:t>2</w:t>
      </w:r>
      <w:r w:rsidRPr="00884D10">
        <w:t>O) according to each vegetation class and fire season in accordance with section 4.19.</w:t>
      </w:r>
    </w:p>
    <w:p w:rsidR="00F768B0" w:rsidRPr="00884D10" w:rsidRDefault="00F768B0" w:rsidP="00F768B0">
      <w:pPr>
        <w:pStyle w:val="notePara"/>
      </w:pPr>
      <w:bookmarkStart w:id="46" w:name="_Ref317843121"/>
      <w:r w:rsidRPr="00884D10">
        <w:tab/>
      </w:r>
      <w:r w:rsidRPr="00884D10">
        <w:rPr>
          <w:b/>
          <w:i/>
        </w:rPr>
        <w:t>Note</w:t>
      </w:r>
      <w:r w:rsidRPr="00884D10">
        <w:tab/>
      </w:r>
      <w:r w:rsidRPr="00884D10">
        <w:rPr>
          <w:iCs/>
        </w:rPr>
        <w:t xml:space="preserve">As set out in </w:t>
      </w:r>
      <w:r w:rsidRPr="00884D10">
        <w:t>section 4.19, the calculation specified in subsection 4.7(2) is undertaken by multiplying</w:t>
      </w:r>
      <w:r w:rsidRPr="00884D10">
        <w:rPr>
          <w:iCs/>
        </w:rPr>
        <w:t xml:space="preserve"> the values in Table 11 with the corresponding values in Table 21, and the </w:t>
      </w:r>
      <w:r w:rsidRPr="00884D10">
        <w:t>results of the calculation are to be recorded in Table 22 of both Form 1 and Form 2 of Schedule 2.</w:t>
      </w:r>
      <w:bookmarkEnd w:id="46"/>
    </w:p>
    <w:p w:rsidR="00F768B0" w:rsidRPr="00884D10" w:rsidRDefault="00F768B0" w:rsidP="00F768B0">
      <w:pPr>
        <w:pStyle w:val="h5Section"/>
      </w:pPr>
      <w:bookmarkStart w:id="47" w:name="_Ref317839219"/>
      <w:bookmarkStart w:id="48" w:name="_Toc357780184"/>
      <w:r>
        <w:t>4.8</w:t>
      </w:r>
      <w:r w:rsidRPr="00884D10">
        <w:tab/>
        <w:t>Calculating the area burnt</w:t>
      </w:r>
      <w:bookmarkEnd w:id="47"/>
      <w:r w:rsidRPr="00884D10">
        <w:t xml:space="preserve"> (</w:t>
      </w:r>
      <w:proofErr w:type="spellStart"/>
      <w:r w:rsidRPr="00884D10">
        <w:t>Ab</w:t>
      </w:r>
      <w:proofErr w:type="spellEnd"/>
      <w:r w:rsidRPr="00884D10">
        <w:t>)</w:t>
      </w:r>
      <w:bookmarkEnd w:id="48"/>
      <w:r w:rsidRPr="00884D10">
        <w:t xml:space="preserve"> </w:t>
      </w:r>
    </w:p>
    <w:p w:rsidR="00F768B0" w:rsidRPr="00884D10" w:rsidRDefault="00F768B0" w:rsidP="00F768B0">
      <w:pPr>
        <w:pStyle w:val="tMain"/>
        <w:rPr>
          <w:color w:val="808080" w:themeColor="background1" w:themeShade="80"/>
        </w:rPr>
      </w:pPr>
      <w:r w:rsidRPr="00884D10">
        <w:tab/>
        <w:t>(1)</w:t>
      </w:r>
      <w:r w:rsidRPr="00884D10">
        <w:tab/>
        <w:t>The area burnt for the purposes of Equation 1 is the amount calculated using the following formula</w:t>
      </w:r>
      <w:r w:rsidRPr="00884D10">
        <w:rPr>
          <w:color w:val="808080" w:themeColor="background1" w:themeShade="80"/>
        </w:rPr>
        <w:t>:</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3"/>
        <w:gridCol w:w="2268"/>
      </w:tblGrid>
      <w:tr w:rsidR="00F768B0" w:rsidRPr="00884D10" w:rsidTr="00C83E03">
        <w:tc>
          <w:tcPr>
            <w:tcW w:w="5103" w:type="dxa"/>
          </w:tcPr>
          <w:p w:rsidR="00F768B0" w:rsidRPr="00884D10" w:rsidRDefault="00F768B0" w:rsidP="00C83E03">
            <w:pPr>
              <w:spacing w:before="120" w:after="120"/>
              <w:ind w:right="237"/>
              <w:jc w:val="center"/>
              <w:rPr>
                <w:b/>
              </w:rPr>
            </w:pPr>
            <w:proofErr w:type="spellStart"/>
            <w:r w:rsidRPr="00884D10">
              <w:rPr>
                <w:b/>
              </w:rPr>
              <w:t>Ab</w:t>
            </w:r>
            <w:proofErr w:type="spellEnd"/>
            <w:r w:rsidRPr="00884D10">
              <w:rPr>
                <w:b/>
              </w:rPr>
              <w:t xml:space="preserve"> =</w:t>
            </w:r>
            <w:r w:rsidRPr="00884D10">
              <w:rPr>
                <w:b/>
                <w:vertAlign w:val="subscript"/>
              </w:rPr>
              <w:t xml:space="preserve"> </w:t>
            </w:r>
            <w:r w:rsidRPr="00884D10">
              <w:rPr>
                <w:b/>
              </w:rPr>
              <w:t>A x P</w:t>
            </w:r>
          </w:p>
        </w:tc>
        <w:tc>
          <w:tcPr>
            <w:tcW w:w="2268" w:type="dxa"/>
            <w:vAlign w:val="center"/>
          </w:tcPr>
          <w:p w:rsidR="00F768B0" w:rsidRPr="00884D10" w:rsidRDefault="00F768B0" w:rsidP="00C83E03">
            <w:pPr>
              <w:spacing w:before="120" w:after="120"/>
              <w:ind w:right="237"/>
              <w:rPr>
                <w:b/>
              </w:rPr>
            </w:pPr>
            <w:r w:rsidRPr="00884D10">
              <w:rPr>
                <w:b/>
              </w:rPr>
              <w:t>Equation 2</w:t>
            </w:r>
          </w:p>
        </w:tc>
      </w:tr>
    </w:tbl>
    <w:p w:rsidR="00F768B0" w:rsidRPr="00884D10" w:rsidRDefault="00F768B0" w:rsidP="00F768B0">
      <w:pPr>
        <w:pStyle w:val="tMain"/>
        <w:keepNext/>
      </w:pPr>
      <w:r w:rsidRPr="00884D10">
        <w:tab/>
      </w:r>
      <w:r w:rsidRPr="00884D10">
        <w:tab/>
        <w:t>Where:</w:t>
      </w:r>
    </w:p>
    <w:p w:rsidR="00F768B0" w:rsidRPr="00884D10" w:rsidRDefault="00F768B0" w:rsidP="00F768B0">
      <w:pPr>
        <w:pStyle w:val="R2"/>
        <w:keepNext/>
        <w:tabs>
          <w:tab w:val="clear" w:pos="794"/>
        </w:tabs>
        <w:spacing w:before="120" w:line="240" w:lineRule="auto"/>
        <w:ind w:left="2154" w:hanging="1161"/>
      </w:pPr>
      <w:proofErr w:type="spellStart"/>
      <w:r w:rsidRPr="00884D10">
        <w:rPr>
          <w:b/>
        </w:rPr>
        <w:t>Ab</w:t>
      </w:r>
      <w:proofErr w:type="spellEnd"/>
      <w:r w:rsidRPr="00884D10">
        <w:rPr>
          <w:b/>
        </w:rPr>
        <w:t xml:space="preserve"> </w:t>
      </w:r>
      <w:r w:rsidRPr="00884D10">
        <w:t xml:space="preserve">= </w:t>
      </w:r>
      <w:r w:rsidRPr="00884D10">
        <w:tab/>
        <w:t>area burnt, the fire affected area in hectares, taking patchiness into account.</w:t>
      </w:r>
    </w:p>
    <w:p w:rsidR="00F768B0" w:rsidRPr="00884D10" w:rsidRDefault="00F768B0" w:rsidP="00F768B0">
      <w:pPr>
        <w:pStyle w:val="R2"/>
        <w:tabs>
          <w:tab w:val="clear" w:pos="794"/>
        </w:tabs>
        <w:spacing w:before="120" w:line="240" w:lineRule="auto"/>
        <w:ind w:left="2154" w:hanging="1161"/>
      </w:pPr>
      <w:r w:rsidRPr="00884D10">
        <w:rPr>
          <w:b/>
        </w:rPr>
        <w:t xml:space="preserve">A </w:t>
      </w:r>
      <w:r w:rsidRPr="00884D10">
        <w:t xml:space="preserve">= </w:t>
      </w:r>
      <w:r w:rsidRPr="00884D10">
        <w:tab/>
        <w:t>fire scar area within the project area in each fire season for each vegetation class, measured in hectares calculated using section 4.6 and recorded in Table 10 of Form 1 of Schedule 2.</w:t>
      </w:r>
    </w:p>
    <w:p w:rsidR="00F768B0" w:rsidRPr="00884D10" w:rsidRDefault="00F768B0" w:rsidP="004331D3">
      <w:pPr>
        <w:pStyle w:val="R2"/>
        <w:keepNext/>
        <w:tabs>
          <w:tab w:val="clear" w:pos="794"/>
        </w:tabs>
        <w:spacing w:before="120" w:line="240" w:lineRule="auto"/>
        <w:ind w:left="2154" w:hanging="1161"/>
      </w:pPr>
      <w:r w:rsidRPr="00884D10">
        <w:rPr>
          <w:b/>
        </w:rPr>
        <w:lastRenderedPageBreak/>
        <w:t>P</w:t>
      </w:r>
      <w:r w:rsidRPr="00884D10">
        <w:t xml:space="preserve"> = </w:t>
      </w:r>
      <w:r w:rsidRPr="00884D10">
        <w:tab/>
        <w:t>patchiness, the fraction of the fire scar area that is presumed to be burnt when fire occurs—for the early dry season, patchiness is taken to be 0.709 and for the late dry season, patchiness is taken to be 0.889.</w:t>
      </w:r>
    </w:p>
    <w:p w:rsidR="00F768B0" w:rsidRPr="00884D10" w:rsidRDefault="00F768B0" w:rsidP="004331D3">
      <w:pPr>
        <w:pStyle w:val="tMain"/>
        <w:keepNext/>
      </w:pPr>
      <w:r w:rsidRPr="00884D10">
        <w:tab/>
        <w:t>(2)</w:t>
      </w:r>
      <w:r w:rsidRPr="00884D10">
        <w:tab/>
        <w:t>The area burnt must be calculated annually for each combination of fire season and vegetation class.</w:t>
      </w:r>
    </w:p>
    <w:p w:rsidR="00F768B0" w:rsidRPr="00884D10" w:rsidRDefault="00F768B0" w:rsidP="004331D3">
      <w:pPr>
        <w:pStyle w:val="tMain"/>
        <w:keepNext/>
      </w:pPr>
      <w:bookmarkStart w:id="49" w:name="_Ref317843135"/>
      <w:r w:rsidRPr="00884D10">
        <w:tab/>
        <w:t>(3)</w:t>
      </w:r>
      <w:r w:rsidRPr="00884D10">
        <w:tab/>
        <w:t>The results of the calculation specified in this section must be recorded in Table 11 of both Form 1 and Form 2 of Schedule 2.</w:t>
      </w:r>
      <w:bookmarkEnd w:id="49"/>
    </w:p>
    <w:p w:rsidR="00F768B0" w:rsidRPr="00884D10" w:rsidRDefault="00F768B0" w:rsidP="00F768B0">
      <w:pPr>
        <w:pStyle w:val="h5Section"/>
      </w:pPr>
      <w:bookmarkStart w:id="50" w:name="_Ref317782750"/>
      <w:bookmarkStart w:id="51" w:name="_Toc357780185"/>
      <w:r>
        <w:t>4.9</w:t>
      </w:r>
      <w:r w:rsidRPr="00884D10">
        <w:tab/>
        <w:t>Calculating potential emissions (</w:t>
      </w:r>
      <w:proofErr w:type="spellStart"/>
      <w:r w:rsidRPr="00884D10">
        <w:t>Pe</w:t>
      </w:r>
      <w:proofErr w:type="spellEnd"/>
      <w:r w:rsidRPr="00884D10">
        <w:t>)</w:t>
      </w:r>
      <w:bookmarkEnd w:id="50"/>
      <w:bookmarkEnd w:id="51"/>
      <w:r w:rsidRPr="00884D10">
        <w:t xml:space="preserve"> </w:t>
      </w:r>
    </w:p>
    <w:p w:rsidR="00F768B0" w:rsidRPr="00884D10" w:rsidRDefault="00F768B0" w:rsidP="00F768B0">
      <w:pPr>
        <w:pStyle w:val="tMain"/>
      </w:pPr>
      <w:bookmarkStart w:id="52" w:name="_Ref317782834"/>
      <w:r w:rsidRPr="00884D10">
        <w:tab/>
        <w:t>(1)</w:t>
      </w:r>
      <w:r w:rsidRPr="00884D10">
        <w:tab/>
        <w:t>The potential emissions for the purposes of Equation 1 must be calculated for each combination of vegetation class, fuel size class and fire season using the following formulas:</w:t>
      </w:r>
      <w:bookmarkEnd w:id="52"/>
    </w:p>
    <w:p w:rsidR="00F768B0" w:rsidRPr="00884D10" w:rsidRDefault="00F768B0" w:rsidP="00F768B0">
      <w:pPr>
        <w:pStyle w:val="tPara"/>
      </w:pPr>
      <w:r w:rsidRPr="00884D10">
        <w:tab/>
        <w:t>(a)</w:t>
      </w:r>
      <w:r w:rsidRPr="00884D10">
        <w:tab/>
        <w:t>for CH</w:t>
      </w:r>
      <w:r w:rsidRPr="00884D10">
        <w:rPr>
          <w:vertAlign w:val="subscript"/>
        </w:rPr>
        <w:t>4</w:t>
      </w:r>
      <w:r w:rsidRPr="00884D10">
        <w:t xml:space="preserve"> using the following equation:</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1758"/>
      </w:tblGrid>
      <w:tr w:rsidR="00F768B0" w:rsidRPr="00884D10" w:rsidTr="00C83E03">
        <w:tc>
          <w:tcPr>
            <w:tcW w:w="5812" w:type="dxa"/>
          </w:tcPr>
          <w:p w:rsidR="00F768B0" w:rsidRPr="00884D10" w:rsidRDefault="00F768B0" w:rsidP="00C83E03">
            <w:pPr>
              <w:spacing w:before="120" w:after="120"/>
              <w:rPr>
                <w:b/>
              </w:rPr>
            </w:pPr>
            <w:r w:rsidRPr="00884D10">
              <w:rPr>
                <w:b/>
              </w:rPr>
              <w:t xml:space="preserve">       </w:t>
            </w:r>
            <m:oMath>
              <m:sSub>
                <m:sSubPr>
                  <m:ctrlPr>
                    <w:rPr>
                      <w:rFonts w:ascii="Cambria Math" w:hAnsi="Cambria Math"/>
                      <w:b/>
                    </w:rPr>
                  </m:ctrlPr>
                </m:sSubPr>
                <m:e>
                  <m:r>
                    <m:rPr>
                      <m:sty m:val="b"/>
                    </m:rPr>
                    <w:rPr>
                      <w:rFonts w:ascii="Cambria Math"/>
                    </w:rPr>
                    <m:t>Pe</m:t>
                  </m:r>
                </m:e>
                <m:sub>
                  <m:sSub>
                    <m:sSubPr>
                      <m:ctrlPr>
                        <w:rPr>
                          <w:rFonts w:ascii="Cambria Math" w:hAnsi="Cambria Math"/>
                          <w:b/>
                        </w:rPr>
                      </m:ctrlPr>
                    </m:sSubPr>
                    <m:e>
                      <m:r>
                        <m:rPr>
                          <m:sty m:val="b"/>
                        </m:rPr>
                        <w:rPr>
                          <w:rFonts w:ascii="Cambria Math"/>
                        </w:rPr>
                        <m:t>CH</m:t>
                      </m:r>
                    </m:e>
                    <m:sub>
                      <m:r>
                        <m:rPr>
                          <m:sty m:val="b"/>
                        </m:rPr>
                        <w:rPr>
                          <w:rFonts w:ascii="Cambria Math"/>
                        </w:rPr>
                        <m:t>4</m:t>
                      </m:r>
                    </m:sub>
                  </m:sSub>
                </m:sub>
              </m:sSub>
            </m:oMath>
            <w:r w:rsidRPr="00884D10">
              <w:rPr>
                <w:b/>
              </w:rPr>
              <w:t xml:space="preserve"> = BEF x FL x </w:t>
            </w:r>
            <m:oMath>
              <m:sSub>
                <m:sSubPr>
                  <m:ctrlPr>
                    <w:rPr>
                      <w:rFonts w:ascii="Cambria Math" w:hAnsi="Cambria Math"/>
                      <w:b/>
                    </w:rPr>
                  </m:ctrlPr>
                </m:sSubPr>
                <m:e>
                  <m:r>
                    <m:rPr>
                      <m:sty m:val="b"/>
                    </m:rPr>
                    <w:rPr>
                      <w:rFonts w:ascii="Cambria Math"/>
                    </w:rPr>
                    <m:t>EF</m:t>
                  </m:r>
                </m:e>
                <m:sub>
                  <m:sSub>
                    <m:sSubPr>
                      <m:ctrlPr>
                        <w:rPr>
                          <w:rFonts w:ascii="Cambria Math" w:hAnsi="Cambria Math"/>
                          <w:b/>
                        </w:rPr>
                      </m:ctrlPr>
                    </m:sSubPr>
                    <m:e>
                      <m:r>
                        <m:rPr>
                          <m:sty m:val="b"/>
                        </m:rPr>
                        <w:rPr>
                          <w:rFonts w:ascii="Cambria Math"/>
                        </w:rPr>
                        <m:t>CH</m:t>
                      </m:r>
                    </m:e>
                    <m:sub>
                      <m:r>
                        <m:rPr>
                          <m:sty m:val="b"/>
                        </m:rPr>
                        <w:rPr>
                          <w:rFonts w:ascii="Cambria Math"/>
                        </w:rPr>
                        <m:t>4</m:t>
                      </m:r>
                    </m:sub>
                  </m:sSub>
                </m:sub>
              </m:sSub>
            </m:oMath>
            <w:r w:rsidRPr="00884D10">
              <w:rPr>
                <w:b/>
              </w:rPr>
              <w:t xml:space="preserve"> x CC x </w:t>
            </w:r>
            <m:oMath>
              <m:sSub>
                <m:sSubPr>
                  <m:ctrlPr>
                    <w:rPr>
                      <w:rFonts w:ascii="Cambria Math" w:hAnsi="Cambria Math"/>
                      <w:b/>
                    </w:rPr>
                  </m:ctrlPr>
                </m:sSubPr>
                <m:e>
                  <m:r>
                    <m:rPr>
                      <m:sty m:val="b"/>
                    </m:rPr>
                    <w:rPr>
                      <w:rFonts w:ascii="Cambria Math"/>
                    </w:rPr>
                    <m:t>M</m:t>
                  </m:r>
                </m:e>
                <m:sub>
                  <m:sSub>
                    <m:sSubPr>
                      <m:ctrlPr>
                        <w:rPr>
                          <w:rFonts w:ascii="Cambria Math" w:hAnsi="Cambria Math"/>
                          <w:b/>
                        </w:rPr>
                      </m:ctrlPr>
                    </m:sSubPr>
                    <m:e>
                      <m:r>
                        <m:rPr>
                          <m:sty m:val="b"/>
                        </m:rPr>
                        <w:rPr>
                          <w:rFonts w:ascii="Cambria Math"/>
                        </w:rPr>
                        <m:t>CH</m:t>
                      </m:r>
                    </m:e>
                    <m:sub>
                      <m:r>
                        <m:rPr>
                          <m:sty m:val="b"/>
                        </m:rPr>
                        <w:rPr>
                          <w:rFonts w:ascii="Cambria Math"/>
                        </w:rPr>
                        <m:t>4</m:t>
                      </m:r>
                    </m:sub>
                  </m:sSub>
                </m:sub>
              </m:sSub>
            </m:oMath>
          </w:p>
        </w:tc>
        <w:tc>
          <w:tcPr>
            <w:tcW w:w="1758" w:type="dxa"/>
          </w:tcPr>
          <w:p w:rsidR="00F768B0" w:rsidRPr="00884D10" w:rsidRDefault="00F768B0" w:rsidP="00C83E03">
            <w:pPr>
              <w:spacing w:before="120"/>
              <w:jc w:val="center"/>
              <w:rPr>
                <w:b/>
              </w:rPr>
            </w:pPr>
            <w:r w:rsidRPr="00884D10">
              <w:rPr>
                <w:b/>
              </w:rPr>
              <w:t>Equation 3</w:t>
            </w:r>
          </w:p>
        </w:tc>
      </w:tr>
    </w:tbl>
    <w:p w:rsidR="00F768B0" w:rsidRPr="00884D10" w:rsidRDefault="00F768B0" w:rsidP="00F768B0">
      <w:pPr>
        <w:pStyle w:val="tPara"/>
      </w:pPr>
    </w:p>
    <w:p w:rsidR="00F768B0" w:rsidRPr="00884D10" w:rsidRDefault="00F768B0" w:rsidP="00F768B0">
      <w:pPr>
        <w:pStyle w:val="tPara"/>
      </w:pPr>
      <w:bookmarkStart w:id="53" w:name="_Ref317782852"/>
      <w:r w:rsidRPr="00884D10">
        <w:tab/>
        <w:t>(b)</w:t>
      </w:r>
      <w:r w:rsidRPr="00884D10">
        <w:tab/>
        <w:t>for N</w:t>
      </w:r>
      <w:r w:rsidRPr="00884D10">
        <w:rPr>
          <w:vertAlign w:val="subscript"/>
        </w:rPr>
        <w:t>2</w:t>
      </w:r>
      <w:r w:rsidRPr="00884D10">
        <w:t>O using the following equation:</w:t>
      </w:r>
      <w:bookmarkEnd w:id="53"/>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1758"/>
      </w:tblGrid>
      <w:tr w:rsidR="00F768B0" w:rsidRPr="00884D10" w:rsidTr="00C83E03">
        <w:tc>
          <w:tcPr>
            <w:tcW w:w="5812" w:type="dxa"/>
          </w:tcPr>
          <w:p w:rsidR="00F768B0" w:rsidRPr="00884D10" w:rsidRDefault="00F768B0" w:rsidP="00C83E03">
            <w:pPr>
              <w:spacing w:before="120" w:after="120"/>
              <w:rPr>
                <w:b/>
              </w:rPr>
            </w:pPr>
            <w:r w:rsidRPr="00884D10">
              <w:rPr>
                <w:b/>
              </w:rPr>
              <w:t xml:space="preserve">         </w:t>
            </w:r>
            <m:oMath>
              <m:sSub>
                <m:sSubPr>
                  <m:ctrlPr>
                    <w:rPr>
                      <w:rFonts w:ascii="Cambria Math" w:hAnsi="Cambria Math"/>
                      <w:b/>
                    </w:rPr>
                  </m:ctrlPr>
                </m:sSubPr>
                <m:e>
                  <m:r>
                    <m:rPr>
                      <m:sty m:val="b"/>
                    </m:rPr>
                    <w:rPr>
                      <w:rFonts w:ascii="Cambria Math"/>
                    </w:rPr>
                    <m:t>Pe</m:t>
                  </m:r>
                </m:e>
                <m:sub>
                  <m:sSub>
                    <m:sSubPr>
                      <m:ctrlPr>
                        <w:rPr>
                          <w:rFonts w:ascii="Cambria Math" w:hAnsi="Cambria Math"/>
                          <w:b/>
                        </w:rPr>
                      </m:ctrlPr>
                    </m:sSubPr>
                    <m:e>
                      <m:r>
                        <m:rPr>
                          <m:sty m:val="b"/>
                        </m:rPr>
                        <w:rPr>
                          <w:rFonts w:ascii="Cambria Math"/>
                        </w:rPr>
                        <m:t>N</m:t>
                      </m:r>
                    </m:e>
                    <m:sub>
                      <m:r>
                        <m:rPr>
                          <m:sty m:val="b"/>
                        </m:rPr>
                        <w:rPr>
                          <w:rFonts w:ascii="Cambria Math"/>
                        </w:rPr>
                        <m:t>2</m:t>
                      </m:r>
                    </m:sub>
                  </m:sSub>
                  <m:r>
                    <m:rPr>
                      <m:sty m:val="b"/>
                    </m:rPr>
                    <w:rPr>
                      <w:rFonts w:ascii="Cambria Math"/>
                    </w:rPr>
                    <m:t>0</m:t>
                  </m:r>
                </m:sub>
              </m:sSub>
            </m:oMath>
            <w:r w:rsidRPr="00884D10">
              <w:rPr>
                <w:b/>
              </w:rPr>
              <w:t xml:space="preserve"> = BEF x FL x </w:t>
            </w:r>
            <m:oMath>
              <m:sSub>
                <m:sSubPr>
                  <m:ctrlPr>
                    <w:rPr>
                      <w:rFonts w:ascii="Cambria Math" w:hAnsi="Cambria Math"/>
                      <w:b/>
                    </w:rPr>
                  </m:ctrlPr>
                </m:sSubPr>
                <m:e>
                  <m:r>
                    <m:rPr>
                      <m:sty m:val="b"/>
                    </m:rPr>
                    <w:rPr>
                      <w:rFonts w:ascii="Cambria Math"/>
                    </w:rPr>
                    <m:t>EF</m:t>
                  </m:r>
                </m:e>
                <m:sub>
                  <m:sSub>
                    <m:sSubPr>
                      <m:ctrlPr>
                        <w:rPr>
                          <w:rFonts w:ascii="Cambria Math" w:hAnsi="Cambria Math"/>
                          <w:b/>
                        </w:rPr>
                      </m:ctrlPr>
                    </m:sSubPr>
                    <m:e>
                      <m:r>
                        <m:rPr>
                          <m:sty m:val="b"/>
                        </m:rPr>
                        <w:rPr>
                          <w:rFonts w:ascii="Cambria Math"/>
                        </w:rPr>
                        <m:t>N</m:t>
                      </m:r>
                    </m:e>
                    <m:sub>
                      <m:r>
                        <m:rPr>
                          <m:sty m:val="b"/>
                        </m:rPr>
                        <w:rPr>
                          <w:rFonts w:ascii="Cambria Math"/>
                        </w:rPr>
                        <m:t>2</m:t>
                      </m:r>
                    </m:sub>
                  </m:sSub>
                  <m:r>
                    <m:rPr>
                      <m:sty m:val="b"/>
                    </m:rPr>
                    <w:rPr>
                      <w:rFonts w:ascii="Cambria Math"/>
                    </w:rPr>
                    <m:t>0</m:t>
                  </m:r>
                </m:sub>
              </m:sSub>
            </m:oMath>
            <w:r w:rsidRPr="00884D10">
              <w:rPr>
                <w:b/>
              </w:rPr>
              <w:t xml:space="preserve"> x CC x NC x </w:t>
            </w:r>
            <m:oMath>
              <m:sSub>
                <m:sSubPr>
                  <m:ctrlPr>
                    <w:rPr>
                      <w:rFonts w:ascii="Cambria Math" w:hAnsi="Cambria Math"/>
                      <w:b/>
                    </w:rPr>
                  </m:ctrlPr>
                </m:sSubPr>
                <m:e>
                  <m:r>
                    <m:rPr>
                      <m:sty m:val="b"/>
                    </m:rPr>
                    <w:rPr>
                      <w:rFonts w:ascii="Cambria Math"/>
                    </w:rPr>
                    <m:t>M</m:t>
                  </m:r>
                </m:e>
                <m:sub>
                  <m:sSub>
                    <m:sSubPr>
                      <m:ctrlPr>
                        <w:rPr>
                          <w:rFonts w:ascii="Cambria Math" w:hAnsi="Cambria Math"/>
                          <w:b/>
                        </w:rPr>
                      </m:ctrlPr>
                    </m:sSubPr>
                    <m:e>
                      <m:r>
                        <m:rPr>
                          <m:sty m:val="b"/>
                        </m:rPr>
                        <w:rPr>
                          <w:rFonts w:ascii="Cambria Math"/>
                        </w:rPr>
                        <m:t>N</m:t>
                      </m:r>
                    </m:e>
                    <m:sub>
                      <m:r>
                        <m:rPr>
                          <m:sty m:val="b"/>
                        </m:rPr>
                        <w:rPr>
                          <w:rFonts w:ascii="Cambria Math"/>
                        </w:rPr>
                        <m:t>2</m:t>
                      </m:r>
                    </m:sub>
                  </m:sSub>
                  <m:r>
                    <m:rPr>
                      <m:sty m:val="b"/>
                    </m:rPr>
                    <w:rPr>
                      <w:rFonts w:ascii="Cambria Math"/>
                    </w:rPr>
                    <m:t>0</m:t>
                  </m:r>
                </m:sub>
              </m:sSub>
            </m:oMath>
          </w:p>
        </w:tc>
        <w:tc>
          <w:tcPr>
            <w:tcW w:w="1758" w:type="dxa"/>
          </w:tcPr>
          <w:p w:rsidR="00F768B0" w:rsidRPr="00884D10" w:rsidRDefault="00F768B0" w:rsidP="00C83E03">
            <w:pPr>
              <w:spacing w:before="120"/>
              <w:jc w:val="center"/>
              <w:rPr>
                <w:b/>
              </w:rPr>
            </w:pPr>
            <w:r w:rsidRPr="00884D10">
              <w:rPr>
                <w:b/>
              </w:rPr>
              <w:t>Equation 4</w:t>
            </w:r>
          </w:p>
        </w:tc>
      </w:tr>
    </w:tbl>
    <w:p w:rsidR="00F768B0" w:rsidRPr="00884D10" w:rsidRDefault="00F768B0" w:rsidP="00F768B0">
      <w:pPr>
        <w:pStyle w:val="tPara"/>
      </w:pPr>
    </w:p>
    <w:p w:rsidR="00F768B0" w:rsidRPr="00884D10" w:rsidRDefault="00F768B0" w:rsidP="00F768B0">
      <w:pPr>
        <w:pStyle w:val="tMain"/>
      </w:pPr>
      <w:r w:rsidRPr="00884D10">
        <w:tab/>
      </w:r>
      <w:r w:rsidRPr="00884D10">
        <w:tab/>
        <w:t>Where:</w:t>
      </w:r>
    </w:p>
    <w:p w:rsidR="00F768B0" w:rsidRPr="00884D10" w:rsidRDefault="00D70AFE" w:rsidP="00F768B0">
      <w:pPr>
        <w:spacing w:before="120"/>
        <w:ind w:left="2160" w:hanging="1167"/>
        <w:jc w:val="both"/>
      </w:pPr>
      <m:oMath>
        <m:sSub>
          <m:sSubPr>
            <m:ctrlPr>
              <w:rPr>
                <w:rFonts w:ascii="Cambria Math" w:hAnsi="Cambria Math"/>
                <w:b/>
              </w:rPr>
            </m:ctrlPr>
          </m:sSubPr>
          <m:e>
            <m:r>
              <m:rPr>
                <m:sty m:val="b"/>
              </m:rPr>
              <w:rPr>
                <w:rFonts w:ascii="Cambria Math"/>
              </w:rPr>
              <m:t>Pe</m:t>
            </m:r>
          </m:e>
          <m:sub>
            <m:sSub>
              <m:sSubPr>
                <m:ctrlPr>
                  <w:rPr>
                    <w:rFonts w:ascii="Cambria Math" w:hAnsi="Cambria Math"/>
                    <w:b/>
                  </w:rPr>
                </m:ctrlPr>
              </m:sSubPr>
              <m:e>
                <m:r>
                  <m:rPr>
                    <m:sty m:val="b"/>
                  </m:rPr>
                  <w:rPr>
                    <w:rFonts w:ascii="Cambria Math"/>
                  </w:rPr>
                  <m:t>CH</m:t>
                </m:r>
              </m:e>
              <m:sub>
                <m:r>
                  <m:rPr>
                    <m:sty m:val="b"/>
                  </m:rPr>
                  <w:rPr>
                    <w:rFonts w:ascii="Cambria Math"/>
                  </w:rPr>
                  <m:t>4</m:t>
                </m:r>
              </m:sub>
            </m:sSub>
          </m:sub>
        </m:sSub>
      </m:oMath>
      <w:r w:rsidR="00F768B0" w:rsidRPr="00884D10">
        <w:rPr>
          <w:b/>
          <w:vertAlign w:val="subscript"/>
        </w:rPr>
        <w:t xml:space="preserve"> </w:t>
      </w:r>
      <w:r w:rsidR="00F768B0" w:rsidRPr="00884D10">
        <w:t xml:space="preserve">= </w:t>
      </w:r>
      <w:r w:rsidR="00F768B0" w:rsidRPr="00884D10">
        <w:tab/>
        <w:t>potential emissions of CH</w:t>
      </w:r>
      <w:r w:rsidR="00F768B0" w:rsidRPr="00884D10">
        <w:rPr>
          <w:vertAlign w:val="subscript"/>
        </w:rPr>
        <w:t>4</w:t>
      </w:r>
      <w:r w:rsidR="00F768B0" w:rsidRPr="00884D10">
        <w:t xml:space="preserve"> (in tonnes per hectare) for a given vegetation class, fuel size class and fire season.</w:t>
      </w:r>
    </w:p>
    <w:p w:rsidR="00F768B0" w:rsidRPr="00884D10" w:rsidRDefault="00D70AFE" w:rsidP="00F768B0">
      <w:pPr>
        <w:spacing w:before="120"/>
        <w:ind w:left="2160" w:hanging="1167"/>
        <w:jc w:val="both"/>
        <w:rPr>
          <w:b/>
        </w:rPr>
      </w:pPr>
      <m:oMath>
        <m:sSub>
          <m:sSubPr>
            <m:ctrlPr>
              <w:rPr>
                <w:rFonts w:ascii="Cambria Math" w:hAnsi="Cambria Math"/>
                <w:b/>
              </w:rPr>
            </m:ctrlPr>
          </m:sSubPr>
          <m:e>
            <m:r>
              <m:rPr>
                <m:sty m:val="b"/>
              </m:rPr>
              <w:rPr>
                <w:rFonts w:ascii="Cambria Math"/>
              </w:rPr>
              <m:t>Pe</m:t>
            </m:r>
          </m:e>
          <m:sub>
            <m:sSub>
              <m:sSubPr>
                <m:ctrlPr>
                  <w:rPr>
                    <w:rFonts w:ascii="Cambria Math" w:hAnsi="Cambria Math"/>
                    <w:b/>
                  </w:rPr>
                </m:ctrlPr>
              </m:sSubPr>
              <m:e>
                <m:r>
                  <m:rPr>
                    <m:sty m:val="b"/>
                  </m:rPr>
                  <w:rPr>
                    <w:rFonts w:ascii="Cambria Math"/>
                  </w:rPr>
                  <m:t>N</m:t>
                </m:r>
              </m:e>
              <m:sub>
                <m:r>
                  <m:rPr>
                    <m:sty m:val="b"/>
                  </m:rPr>
                  <w:rPr>
                    <w:rFonts w:ascii="Cambria Math"/>
                  </w:rPr>
                  <m:t>2</m:t>
                </m:r>
              </m:sub>
            </m:sSub>
            <m:r>
              <m:rPr>
                <m:sty m:val="b"/>
              </m:rPr>
              <w:rPr>
                <w:rFonts w:ascii="Cambria Math"/>
              </w:rPr>
              <m:t>0</m:t>
            </m:r>
          </m:sub>
        </m:sSub>
      </m:oMath>
      <w:r w:rsidR="00F768B0" w:rsidRPr="00884D10">
        <w:rPr>
          <w:vertAlign w:val="subscript"/>
        </w:rPr>
        <w:t xml:space="preserve"> </w:t>
      </w:r>
      <w:r w:rsidR="00F768B0" w:rsidRPr="00884D10">
        <w:t xml:space="preserve">= </w:t>
      </w:r>
      <w:r w:rsidR="00F768B0" w:rsidRPr="00884D10">
        <w:tab/>
        <w:t>potential emissions of N</w:t>
      </w:r>
      <w:r w:rsidR="00F768B0" w:rsidRPr="00884D10">
        <w:rPr>
          <w:vertAlign w:val="subscript"/>
        </w:rPr>
        <w:t>2</w:t>
      </w:r>
      <w:r w:rsidR="00F768B0" w:rsidRPr="00884D10">
        <w:t xml:space="preserve">O (in tonnes per hectare) for a given vegetation class, fuel size class and fire season. </w:t>
      </w:r>
    </w:p>
    <w:p w:rsidR="00F768B0" w:rsidRPr="00884D10" w:rsidRDefault="00F768B0" w:rsidP="00F768B0">
      <w:pPr>
        <w:spacing w:before="120"/>
        <w:ind w:left="2160" w:hanging="1167"/>
        <w:jc w:val="both"/>
      </w:pPr>
      <w:r w:rsidRPr="00884D10">
        <w:rPr>
          <w:b/>
        </w:rPr>
        <w:t>BEF</w:t>
      </w:r>
      <w:r w:rsidRPr="00884D10">
        <w:t xml:space="preserve"> = </w:t>
      </w:r>
      <w:r w:rsidRPr="00884D10">
        <w:tab/>
        <w:t>burning efficiency, being the mass proportion of the mass of combusted fuel that is volatilised in a fire, taken from Table 1 in section 4.10.</w:t>
      </w:r>
    </w:p>
    <w:p w:rsidR="00F768B0" w:rsidRPr="00884D10" w:rsidRDefault="00F768B0" w:rsidP="00F768B0">
      <w:pPr>
        <w:spacing w:before="120"/>
        <w:ind w:left="2184" w:hanging="1191"/>
        <w:jc w:val="both"/>
      </w:pPr>
      <w:r w:rsidRPr="00884D10">
        <w:rPr>
          <w:b/>
        </w:rPr>
        <w:t>FL</w:t>
      </w:r>
      <w:r w:rsidRPr="00884D10">
        <w:t xml:space="preserve"> = </w:t>
      </w:r>
      <w:r w:rsidRPr="00884D10">
        <w:tab/>
        <w:t>fuel load (t ha</w:t>
      </w:r>
      <w:r w:rsidRPr="00884D10">
        <w:rPr>
          <w:vertAlign w:val="superscript"/>
        </w:rPr>
        <w:t>-1</w:t>
      </w:r>
      <w:r w:rsidRPr="00884D10">
        <w:t>) taken from Table 2 in section 4.11.</w:t>
      </w:r>
    </w:p>
    <w:p w:rsidR="00F768B0" w:rsidRPr="00884D10" w:rsidRDefault="00D70AFE" w:rsidP="00F768B0">
      <w:pPr>
        <w:spacing w:before="120"/>
        <w:ind w:left="2160" w:hanging="1167"/>
        <w:jc w:val="both"/>
      </w:pPr>
      <m:oMath>
        <m:sSub>
          <m:sSubPr>
            <m:ctrlPr>
              <w:rPr>
                <w:rFonts w:ascii="Cambria Math" w:hAnsi="Cambria Math"/>
                <w:b/>
              </w:rPr>
            </m:ctrlPr>
          </m:sSubPr>
          <m:e>
            <m:r>
              <m:rPr>
                <m:sty m:val="b"/>
              </m:rPr>
              <w:rPr>
                <w:rFonts w:ascii="Cambria Math"/>
              </w:rPr>
              <m:t>EF</m:t>
            </m:r>
          </m:e>
          <m:sub>
            <m:sSub>
              <m:sSubPr>
                <m:ctrlPr>
                  <w:rPr>
                    <w:rFonts w:ascii="Cambria Math" w:hAnsi="Cambria Math"/>
                    <w:b/>
                  </w:rPr>
                </m:ctrlPr>
              </m:sSubPr>
              <m:e>
                <m:r>
                  <m:rPr>
                    <m:sty m:val="b"/>
                  </m:rPr>
                  <w:rPr>
                    <w:rFonts w:ascii="Cambria Math"/>
                  </w:rPr>
                  <m:t>CH</m:t>
                </m:r>
              </m:e>
              <m:sub>
                <m:r>
                  <m:rPr>
                    <m:sty m:val="b"/>
                  </m:rPr>
                  <w:rPr>
                    <w:rFonts w:ascii="Cambria Math"/>
                  </w:rPr>
                  <m:t>4</m:t>
                </m:r>
              </m:sub>
            </m:sSub>
          </m:sub>
        </m:sSub>
      </m:oMath>
      <w:r w:rsidR="00F768B0" w:rsidRPr="00884D10">
        <w:t xml:space="preserve"> = </w:t>
      </w:r>
      <w:r w:rsidR="00F768B0" w:rsidRPr="00884D10">
        <w:tab/>
        <w:t>emission factor for CH</w:t>
      </w:r>
      <w:r w:rsidR="00F768B0" w:rsidRPr="00884D10">
        <w:rPr>
          <w:vertAlign w:val="subscript"/>
        </w:rPr>
        <w:t>4</w:t>
      </w:r>
      <w:r w:rsidR="00F768B0" w:rsidRPr="00884D10">
        <w:t xml:space="preserve"> for the specified vegetation class and fuel size class taken from Table 4 in section 4.15.</w:t>
      </w:r>
    </w:p>
    <w:p w:rsidR="00F768B0" w:rsidRPr="00884D10" w:rsidRDefault="00D70AFE" w:rsidP="00F768B0">
      <w:pPr>
        <w:spacing w:before="120"/>
        <w:ind w:left="2160" w:hanging="1167"/>
        <w:jc w:val="both"/>
      </w:pPr>
      <m:oMath>
        <m:sSub>
          <m:sSubPr>
            <m:ctrlPr>
              <w:rPr>
                <w:rFonts w:ascii="Cambria Math" w:hAnsi="Cambria Math"/>
                <w:b/>
              </w:rPr>
            </m:ctrlPr>
          </m:sSubPr>
          <m:e>
            <m:r>
              <m:rPr>
                <m:sty m:val="b"/>
              </m:rPr>
              <w:rPr>
                <w:rFonts w:ascii="Cambria Math"/>
              </w:rPr>
              <m:t>EF</m:t>
            </m:r>
          </m:e>
          <m:sub>
            <m:sSub>
              <m:sSubPr>
                <m:ctrlPr>
                  <w:rPr>
                    <w:rFonts w:ascii="Cambria Math" w:hAnsi="Cambria Math"/>
                    <w:b/>
                  </w:rPr>
                </m:ctrlPr>
              </m:sSubPr>
              <m:e>
                <m:r>
                  <m:rPr>
                    <m:sty m:val="b"/>
                  </m:rPr>
                  <w:rPr>
                    <w:rFonts w:ascii="Cambria Math"/>
                  </w:rPr>
                  <m:t>N</m:t>
                </m:r>
              </m:e>
              <m:sub>
                <m:r>
                  <m:rPr>
                    <m:sty m:val="b"/>
                  </m:rPr>
                  <w:rPr>
                    <w:rFonts w:ascii="Cambria Math"/>
                  </w:rPr>
                  <m:t>2</m:t>
                </m:r>
              </m:sub>
            </m:sSub>
            <m:r>
              <m:rPr>
                <m:sty m:val="b"/>
              </m:rPr>
              <w:rPr>
                <w:rFonts w:ascii="Cambria Math"/>
              </w:rPr>
              <m:t xml:space="preserve">0 </m:t>
            </m:r>
          </m:sub>
        </m:sSub>
      </m:oMath>
      <w:r w:rsidR="00F768B0" w:rsidRPr="00884D10">
        <w:t xml:space="preserve">= </w:t>
      </w:r>
      <w:r w:rsidR="00F768B0" w:rsidRPr="00884D10">
        <w:tab/>
        <w:t xml:space="preserve">emission factor for </w:t>
      </w:r>
      <w:r w:rsidR="00F768B0" w:rsidRPr="00884D10">
        <w:rPr>
          <w:sz w:val="22"/>
        </w:rPr>
        <w:t>N</w:t>
      </w:r>
      <w:r w:rsidR="00F768B0" w:rsidRPr="00884D10">
        <w:rPr>
          <w:sz w:val="22"/>
          <w:vertAlign w:val="subscript"/>
        </w:rPr>
        <w:t>2</w:t>
      </w:r>
      <w:r w:rsidR="00F768B0" w:rsidRPr="00884D10">
        <w:rPr>
          <w:sz w:val="22"/>
        </w:rPr>
        <w:t>O</w:t>
      </w:r>
      <w:r w:rsidR="00F768B0" w:rsidRPr="00884D10">
        <w:t xml:space="preserve"> for the specified vegetation class and fuel size class taken from Table 5 in section 4.15.</w:t>
      </w:r>
    </w:p>
    <w:p w:rsidR="00F768B0" w:rsidRPr="00884D10" w:rsidRDefault="00F768B0" w:rsidP="00F768B0">
      <w:pPr>
        <w:spacing w:before="120"/>
        <w:ind w:left="2156" w:hanging="1167"/>
        <w:jc w:val="both"/>
      </w:pPr>
      <w:r w:rsidRPr="00884D10">
        <w:rPr>
          <w:b/>
        </w:rPr>
        <w:t>CC</w:t>
      </w:r>
      <w:r w:rsidRPr="00884D10">
        <w:t xml:space="preserve"> = </w:t>
      </w:r>
      <w:r w:rsidRPr="00884D10">
        <w:tab/>
        <w:t>carbon content of fuel for the specified fuel size class taken from Table 6 in section 4.16.</w:t>
      </w:r>
    </w:p>
    <w:p w:rsidR="00F768B0" w:rsidRPr="00884D10" w:rsidRDefault="00F768B0" w:rsidP="004331D3">
      <w:pPr>
        <w:keepNext/>
        <w:spacing w:before="120"/>
        <w:ind w:left="2154" w:hanging="1162"/>
        <w:jc w:val="both"/>
      </w:pPr>
      <w:r w:rsidRPr="00884D10">
        <w:rPr>
          <w:b/>
        </w:rPr>
        <w:lastRenderedPageBreak/>
        <w:t>NC</w:t>
      </w:r>
      <w:r w:rsidRPr="00884D10">
        <w:t xml:space="preserve"> = </w:t>
      </w:r>
      <w:r w:rsidRPr="00884D10">
        <w:tab/>
        <w:t>elemental nitrogen to carbon ratio for the specified fuel size class taken from Table 7 in section 4.17.</w:t>
      </w:r>
    </w:p>
    <w:p w:rsidR="00F768B0" w:rsidRPr="00884D10" w:rsidRDefault="00F768B0" w:rsidP="004331D3">
      <w:pPr>
        <w:keepNext/>
        <w:spacing w:before="120"/>
        <w:ind w:left="2154" w:hanging="1162"/>
        <w:jc w:val="both"/>
      </w:pPr>
      <w:r w:rsidRPr="00884D10">
        <w:rPr>
          <w:b/>
        </w:rPr>
        <w:t>M</w:t>
      </w:r>
      <w:r w:rsidRPr="00884D10">
        <w:t xml:space="preserve"> = </w:t>
      </w:r>
      <w:r w:rsidRPr="00884D10">
        <w:tab/>
        <w:t xml:space="preserve">ratio of molecular mass to the elemental mass for </w:t>
      </w:r>
      <w:r w:rsidRPr="00884D10">
        <w:rPr>
          <w:sz w:val="22"/>
        </w:rPr>
        <w:t>CH</w:t>
      </w:r>
      <w:r w:rsidRPr="00884D10">
        <w:rPr>
          <w:sz w:val="22"/>
          <w:vertAlign w:val="subscript"/>
        </w:rPr>
        <w:t>4</w:t>
      </w:r>
      <w:r w:rsidRPr="00884D10">
        <w:rPr>
          <w:sz w:val="22"/>
        </w:rPr>
        <w:t xml:space="preserve"> </w:t>
      </w:r>
      <w:r w:rsidRPr="00884D10">
        <w:t xml:space="preserve">or </w:t>
      </w:r>
      <w:r w:rsidRPr="00884D10">
        <w:rPr>
          <w:sz w:val="22"/>
        </w:rPr>
        <w:t>N</w:t>
      </w:r>
      <w:r w:rsidRPr="00884D10">
        <w:rPr>
          <w:sz w:val="22"/>
          <w:vertAlign w:val="subscript"/>
        </w:rPr>
        <w:t>2</w:t>
      </w:r>
      <w:r w:rsidRPr="00884D10">
        <w:rPr>
          <w:sz w:val="22"/>
        </w:rPr>
        <w:t>O</w:t>
      </w:r>
      <w:r w:rsidRPr="00884D10">
        <w:t xml:space="preserve"> taken (as applicable) from Table 8 in section 4.18.</w:t>
      </w:r>
    </w:p>
    <w:p w:rsidR="00F768B0" w:rsidRPr="00884D10" w:rsidRDefault="00F768B0" w:rsidP="00F768B0">
      <w:pPr>
        <w:pStyle w:val="tMain"/>
      </w:pPr>
      <w:r w:rsidRPr="00884D10">
        <w:tab/>
        <w:t>(2)</w:t>
      </w:r>
      <w:r w:rsidRPr="00884D10">
        <w:tab/>
        <w:t>The potential emissions for CH</w:t>
      </w:r>
      <w:r w:rsidRPr="00884D10">
        <w:rPr>
          <w:vertAlign w:val="subscript"/>
        </w:rPr>
        <w:t>4</w:t>
      </w:r>
      <w:r w:rsidRPr="00884D10">
        <w:t xml:space="preserve"> in the early dry season for each combination of vegetation class and fuel size class must be recorded in Table 17 of Form 1 of Schedule 2.</w:t>
      </w:r>
    </w:p>
    <w:p w:rsidR="00F768B0" w:rsidRPr="00884D10" w:rsidRDefault="00F768B0" w:rsidP="00F768B0">
      <w:pPr>
        <w:pStyle w:val="tMain"/>
      </w:pPr>
      <w:r w:rsidRPr="00884D10">
        <w:tab/>
        <w:t>(3)</w:t>
      </w:r>
      <w:r w:rsidRPr="00884D10">
        <w:tab/>
        <w:t>The potential emissions for CH</w:t>
      </w:r>
      <w:r w:rsidRPr="00884D10">
        <w:rPr>
          <w:vertAlign w:val="subscript"/>
        </w:rPr>
        <w:t>4</w:t>
      </w:r>
      <w:r w:rsidRPr="00884D10">
        <w:t xml:space="preserve"> in the late dry season for each combination of vegetation class and fuel size class must be recorded in Table 18 of Form 1 of Schedule 2.</w:t>
      </w:r>
    </w:p>
    <w:p w:rsidR="00F768B0" w:rsidRPr="00884D10" w:rsidRDefault="00F768B0" w:rsidP="00F768B0">
      <w:pPr>
        <w:pStyle w:val="tMain"/>
      </w:pPr>
      <w:r w:rsidRPr="00884D10">
        <w:tab/>
        <w:t>(4)</w:t>
      </w:r>
      <w:r w:rsidRPr="00884D10">
        <w:tab/>
        <w:t>The potential emissions for N</w:t>
      </w:r>
      <w:r w:rsidRPr="00884D10">
        <w:rPr>
          <w:vertAlign w:val="subscript"/>
        </w:rPr>
        <w:t>2</w:t>
      </w:r>
      <w:r w:rsidRPr="00884D10">
        <w:t>O in the early dry season for each combination of vegetation class and fuel size class must be recorded in Table 19 of Form 1 of Schedule 2.</w:t>
      </w:r>
    </w:p>
    <w:p w:rsidR="00F768B0" w:rsidRPr="00884D10" w:rsidRDefault="00F768B0" w:rsidP="00F768B0">
      <w:pPr>
        <w:pStyle w:val="tMain"/>
      </w:pPr>
      <w:r w:rsidRPr="00884D10">
        <w:tab/>
        <w:t>(5)</w:t>
      </w:r>
      <w:r w:rsidRPr="00884D10">
        <w:tab/>
        <w:t>The potential emissions for N</w:t>
      </w:r>
      <w:r w:rsidRPr="00884D10">
        <w:rPr>
          <w:vertAlign w:val="subscript"/>
        </w:rPr>
        <w:t>2</w:t>
      </w:r>
      <w:r w:rsidRPr="00884D10">
        <w:t>O in the late dry season for each combination of vegetation class and fuel size class must be recorded in Table 20 of Form 1 of Schedule 2.</w:t>
      </w:r>
    </w:p>
    <w:p w:rsidR="00F768B0" w:rsidRPr="00884D10" w:rsidRDefault="00F768B0" w:rsidP="00F768B0">
      <w:pPr>
        <w:pStyle w:val="tMain"/>
      </w:pPr>
      <w:r w:rsidRPr="00884D10">
        <w:tab/>
        <w:t>(6)</w:t>
      </w:r>
      <w:r w:rsidRPr="00884D10">
        <w:tab/>
        <w:t>The total potential emissions for each greenhouse gas in each fire season for each vegetation class must be recorded in Table 21 of Form 1 of Schedule 2.</w:t>
      </w:r>
    </w:p>
    <w:p w:rsidR="00F768B0" w:rsidRPr="00884D10" w:rsidRDefault="00F768B0" w:rsidP="00F768B0">
      <w:pPr>
        <w:pStyle w:val="notePara"/>
      </w:pPr>
      <w:r w:rsidRPr="00884D10">
        <w:tab/>
      </w:r>
      <w:r w:rsidRPr="00884D10">
        <w:rPr>
          <w:b/>
          <w:i/>
        </w:rPr>
        <w:t>Note</w:t>
      </w:r>
      <w:r w:rsidRPr="00884D10">
        <w:tab/>
        <w:t xml:space="preserve">Data used in the calculations specified in subsection (1) are taken from the following tables:  </w:t>
      </w:r>
    </w:p>
    <w:p w:rsidR="00F768B0" w:rsidRPr="00884D10" w:rsidRDefault="00F768B0" w:rsidP="00F768B0">
      <w:pPr>
        <w:pStyle w:val="notePara"/>
        <w:ind w:left="3402"/>
      </w:pPr>
      <w:r w:rsidRPr="00884D10">
        <w:t>For potential emissions of methane:</w:t>
      </w:r>
    </w:p>
    <w:p w:rsidR="00F768B0" w:rsidRPr="00884D10" w:rsidRDefault="00D70AFE" w:rsidP="00F768B0">
      <w:pPr>
        <w:pStyle w:val="notePara"/>
        <w:ind w:left="3861"/>
      </w:pPr>
      <m:oMath>
        <m:sSub>
          <m:sSubPr>
            <m:ctrlPr>
              <w:rPr>
                <w:rFonts w:ascii="Cambria Math" w:hAnsi="Cambria Math"/>
              </w:rPr>
            </m:ctrlPr>
          </m:sSubPr>
          <m:e>
            <m:r>
              <m:rPr>
                <m:sty m:val="p"/>
              </m:rPr>
              <w:rPr>
                <w:rFonts w:ascii="Cambria Math"/>
              </w:rPr>
              <m:t>Pe</m:t>
            </m:r>
          </m:e>
          <m:sub>
            <m:sSub>
              <m:sSubPr>
                <m:ctrlPr>
                  <w:rPr>
                    <w:rFonts w:ascii="Cambria Math" w:hAnsi="Cambria Math"/>
                  </w:rPr>
                </m:ctrlPr>
              </m:sSubPr>
              <m:e>
                <m:r>
                  <m:rPr>
                    <m:sty m:val="p"/>
                  </m:rPr>
                  <w:rPr>
                    <w:rFonts w:ascii="Cambria Math"/>
                  </w:rPr>
                  <m:t>CH</m:t>
                </m:r>
              </m:e>
              <m:sub>
                <m:r>
                  <m:rPr>
                    <m:sty m:val="p"/>
                  </m:rPr>
                  <w:rPr>
                    <w:rFonts w:ascii="Cambria Math"/>
                  </w:rPr>
                  <m:t>4</m:t>
                </m:r>
              </m:sub>
            </m:sSub>
          </m:sub>
        </m:sSub>
      </m:oMath>
      <w:r w:rsidR="00F768B0" w:rsidRPr="00884D10">
        <w:rPr>
          <w:szCs w:val="20"/>
        </w:rPr>
        <w:t xml:space="preserve"> = Table 1 x Table 13 x Table 4 x Table 6 x Table </w:t>
      </w:r>
      <m:oMath>
        <m:sSub>
          <m:sSubPr>
            <m:ctrlPr>
              <w:rPr>
                <w:rFonts w:ascii="Cambria Math" w:hAnsi="Cambria Math"/>
              </w:rPr>
            </m:ctrlPr>
          </m:sSubPr>
          <m:e>
            <m:r>
              <m:rPr>
                <m:sty m:val="p"/>
              </m:rPr>
              <w:rPr>
                <w:rFonts w:ascii="Cambria Math"/>
              </w:rPr>
              <m:t>8</m:t>
            </m:r>
          </m:e>
          <m:sub>
            <m:sSub>
              <m:sSubPr>
                <m:ctrlPr>
                  <w:rPr>
                    <w:rFonts w:ascii="Cambria Math" w:hAnsi="Cambria Math"/>
                  </w:rPr>
                </m:ctrlPr>
              </m:sSubPr>
              <m:e>
                <m:r>
                  <m:rPr>
                    <m:sty m:val="p"/>
                  </m:rPr>
                  <w:rPr>
                    <w:rFonts w:ascii="Cambria Math"/>
                  </w:rPr>
                  <m:t>CH</m:t>
                </m:r>
              </m:e>
              <m:sub>
                <m:r>
                  <m:rPr>
                    <m:sty m:val="p"/>
                  </m:rPr>
                  <w:rPr>
                    <w:rFonts w:ascii="Cambria Math"/>
                  </w:rPr>
                  <m:t>4</m:t>
                </m:r>
              </m:sub>
            </m:sSub>
          </m:sub>
        </m:sSub>
      </m:oMath>
    </w:p>
    <w:p w:rsidR="00F768B0" w:rsidRPr="00884D10" w:rsidRDefault="00F768B0" w:rsidP="00F768B0">
      <w:pPr>
        <w:pStyle w:val="notePara"/>
        <w:ind w:left="3402"/>
      </w:pPr>
      <w:r w:rsidRPr="00884D10">
        <w:t>For potential emissions of nitrous oxide:</w:t>
      </w:r>
    </w:p>
    <w:p w:rsidR="00F768B0" w:rsidRPr="00884D10" w:rsidRDefault="00D70AFE" w:rsidP="00F768B0">
      <w:pPr>
        <w:pStyle w:val="notePara"/>
        <w:ind w:left="3861"/>
      </w:pPr>
      <m:oMath>
        <m:sSub>
          <m:sSubPr>
            <m:ctrlPr>
              <w:rPr>
                <w:rFonts w:ascii="Cambria Math" w:hAnsi="Cambria Math"/>
              </w:rPr>
            </m:ctrlPr>
          </m:sSubPr>
          <m:e>
            <m:r>
              <m:rPr>
                <m:sty m:val="p"/>
              </m:rPr>
              <w:rPr>
                <w:rFonts w:ascii="Cambria Math"/>
              </w:rPr>
              <m:t>Pe</m:t>
            </m:r>
          </m:e>
          <m:sub>
            <m:sSub>
              <m:sSubPr>
                <m:ctrlPr>
                  <w:rPr>
                    <w:rFonts w:ascii="Cambria Math" w:hAnsi="Cambria Math"/>
                  </w:rPr>
                </m:ctrlPr>
              </m:sSubPr>
              <m:e>
                <m:r>
                  <m:rPr>
                    <m:sty m:val="p"/>
                  </m:rPr>
                  <w:rPr>
                    <w:rFonts w:ascii="Cambria Math"/>
                  </w:rPr>
                  <m:t>N</m:t>
                </m:r>
              </m:e>
              <m:sub>
                <m:r>
                  <m:rPr>
                    <m:sty m:val="p"/>
                  </m:rPr>
                  <w:rPr>
                    <w:rFonts w:ascii="Cambria Math"/>
                  </w:rPr>
                  <m:t>2</m:t>
                </m:r>
              </m:sub>
            </m:sSub>
            <m:r>
              <m:rPr>
                <m:sty m:val="p"/>
              </m:rPr>
              <w:rPr>
                <w:rFonts w:ascii="Cambria Math"/>
              </w:rPr>
              <m:t>0</m:t>
            </m:r>
          </m:sub>
        </m:sSub>
      </m:oMath>
      <w:r w:rsidR="00F768B0" w:rsidRPr="00884D10">
        <w:rPr>
          <w:szCs w:val="20"/>
        </w:rPr>
        <w:t xml:space="preserve"> = Table 1 x Table 13 x Table 5 x Table 6 x Table 7 x Table </w:t>
      </w:r>
      <m:oMath>
        <m:sSub>
          <m:sSubPr>
            <m:ctrlPr>
              <w:rPr>
                <w:rFonts w:ascii="Cambria Math" w:hAnsi="Cambria Math"/>
              </w:rPr>
            </m:ctrlPr>
          </m:sSubPr>
          <m:e>
            <m:r>
              <m:rPr>
                <m:sty m:val="p"/>
              </m:rPr>
              <w:rPr>
                <w:rFonts w:ascii="Cambria Math"/>
              </w:rPr>
              <m:t>8</m:t>
            </m:r>
          </m:e>
          <m:sub>
            <m:sSub>
              <m:sSubPr>
                <m:ctrlPr>
                  <w:rPr>
                    <w:rFonts w:ascii="Cambria Math" w:hAnsi="Cambria Math"/>
                  </w:rPr>
                </m:ctrlPr>
              </m:sSubPr>
              <m:e>
                <m:r>
                  <m:rPr>
                    <m:sty m:val="p"/>
                  </m:rPr>
                  <w:rPr>
                    <w:rFonts w:ascii="Cambria Math"/>
                  </w:rPr>
                  <m:t>N</m:t>
                </m:r>
              </m:e>
              <m:sub>
                <m:r>
                  <m:rPr>
                    <m:sty m:val="p"/>
                  </m:rPr>
                  <w:rPr>
                    <w:rFonts w:ascii="Cambria Math"/>
                  </w:rPr>
                  <m:t>2</m:t>
                </m:r>
              </m:sub>
            </m:sSub>
            <m:r>
              <m:rPr>
                <m:sty m:val="p"/>
              </m:rPr>
              <w:rPr>
                <w:rFonts w:ascii="Cambria Math"/>
              </w:rPr>
              <m:t>0</m:t>
            </m:r>
          </m:sub>
        </m:sSub>
      </m:oMath>
    </w:p>
    <w:p w:rsidR="00130233" w:rsidRDefault="00130233">
      <w:pPr>
        <w:rPr>
          <w:rFonts w:ascii="Arial" w:hAnsi="Arial"/>
          <w:b/>
          <w:bCs/>
          <w:iCs/>
          <w:szCs w:val="26"/>
        </w:rPr>
      </w:pPr>
      <w:bookmarkStart w:id="54" w:name="_Toc357780186"/>
      <w:r>
        <w:br w:type="page"/>
      </w:r>
    </w:p>
    <w:p w:rsidR="00F768B0" w:rsidRPr="00884D10" w:rsidRDefault="00F768B0" w:rsidP="00F768B0">
      <w:pPr>
        <w:pStyle w:val="h5Section"/>
      </w:pPr>
      <w:r>
        <w:lastRenderedPageBreak/>
        <w:t>4.10</w:t>
      </w:r>
      <w:r w:rsidRPr="00884D10">
        <w:tab/>
        <w:t>Burning efficiency (BEF)</w:t>
      </w:r>
      <w:bookmarkEnd w:id="54"/>
      <w:r w:rsidRPr="00884D10">
        <w:t xml:space="preserve"> </w:t>
      </w:r>
    </w:p>
    <w:p w:rsidR="00F768B0" w:rsidRPr="00884D10" w:rsidRDefault="00F768B0" w:rsidP="00F768B0">
      <w:pPr>
        <w:pStyle w:val="tMain"/>
        <w:keepNext/>
      </w:pPr>
      <w:r w:rsidRPr="00884D10">
        <w:tab/>
      </w:r>
      <w:r w:rsidRPr="00884D10">
        <w:tab/>
        <w:t>For the purposes of Equations 3 and 4, the burning efficiency (BEF) for fine, coarse, heavy and shrub fuel size classes for the early and late dry season is taken to be the amount set out in the following table:</w:t>
      </w:r>
    </w:p>
    <w:p w:rsidR="00F768B0" w:rsidRPr="00884D10" w:rsidRDefault="00F768B0" w:rsidP="00F768B0">
      <w:pPr>
        <w:pStyle w:val="R2"/>
        <w:keepNext/>
        <w:tabs>
          <w:tab w:val="clear" w:pos="794"/>
          <w:tab w:val="left" w:pos="4632"/>
        </w:tabs>
        <w:jc w:val="center"/>
        <w:rPr>
          <w:b/>
        </w:rPr>
      </w:pPr>
      <w:r w:rsidRPr="00884D10">
        <w:rPr>
          <w:b/>
        </w:rPr>
        <w:t>Table 1: Burning efficiency</w:t>
      </w:r>
    </w:p>
    <w:tbl>
      <w:tblPr>
        <w:tblW w:w="5750" w:type="dxa"/>
        <w:jc w:val="center"/>
        <w:tblLook w:val="04A0" w:firstRow="1" w:lastRow="0" w:firstColumn="1" w:lastColumn="0" w:noHBand="0" w:noVBand="1"/>
      </w:tblPr>
      <w:tblGrid>
        <w:gridCol w:w="1764"/>
        <w:gridCol w:w="2028"/>
        <w:gridCol w:w="1958"/>
      </w:tblGrid>
      <w:tr w:rsidR="00F768B0" w:rsidRPr="00884D10" w:rsidTr="00C83E03">
        <w:trPr>
          <w:trHeight w:val="329"/>
          <w:jc w:val="center"/>
        </w:trPr>
        <w:tc>
          <w:tcPr>
            <w:tcW w:w="1764" w:type="dxa"/>
            <w:tcBorders>
              <w:top w:val="single" w:sz="4" w:space="0" w:color="auto"/>
              <w:left w:val="single" w:sz="4" w:space="0" w:color="auto"/>
              <w:bottom w:val="single" w:sz="4" w:space="0" w:color="auto"/>
              <w:right w:val="single" w:sz="4" w:space="0" w:color="auto"/>
            </w:tcBorders>
            <w:shd w:val="clear" w:color="auto" w:fill="FFFFFF"/>
            <w:vAlign w:val="center"/>
          </w:tcPr>
          <w:p w:rsidR="00F768B0" w:rsidRPr="00884D10" w:rsidRDefault="00F768B0" w:rsidP="00C83E03">
            <w:pPr>
              <w:keepNext/>
              <w:jc w:val="center"/>
              <w:rPr>
                <w:b/>
                <w:bCs/>
                <w:color w:val="000000"/>
                <w:szCs w:val="20"/>
              </w:rPr>
            </w:pPr>
            <w:r w:rsidRPr="00884D10">
              <w:rPr>
                <w:b/>
                <w:bCs/>
                <w:color w:val="000000"/>
                <w:szCs w:val="20"/>
              </w:rPr>
              <w:t>Fuel size class</w:t>
            </w:r>
          </w:p>
        </w:tc>
        <w:tc>
          <w:tcPr>
            <w:tcW w:w="2028" w:type="dxa"/>
            <w:tcBorders>
              <w:top w:val="single" w:sz="4" w:space="0" w:color="auto"/>
              <w:left w:val="nil"/>
              <w:bottom w:val="single" w:sz="4" w:space="0" w:color="auto"/>
              <w:right w:val="single" w:sz="4" w:space="0" w:color="auto"/>
            </w:tcBorders>
            <w:shd w:val="clear" w:color="auto" w:fill="FFFFFF"/>
            <w:vAlign w:val="center"/>
          </w:tcPr>
          <w:p w:rsidR="00F768B0" w:rsidRPr="00884D10" w:rsidRDefault="00F768B0" w:rsidP="00C83E03">
            <w:pPr>
              <w:keepNext/>
              <w:jc w:val="center"/>
              <w:rPr>
                <w:b/>
                <w:bCs/>
                <w:color w:val="000000"/>
                <w:szCs w:val="20"/>
              </w:rPr>
            </w:pPr>
            <w:r w:rsidRPr="00884D10">
              <w:rPr>
                <w:b/>
                <w:bCs/>
                <w:color w:val="000000"/>
                <w:szCs w:val="20"/>
              </w:rPr>
              <w:t>Early Dry Season</w:t>
            </w:r>
          </w:p>
        </w:tc>
        <w:tc>
          <w:tcPr>
            <w:tcW w:w="1958" w:type="dxa"/>
            <w:tcBorders>
              <w:top w:val="single" w:sz="4" w:space="0" w:color="auto"/>
              <w:left w:val="nil"/>
              <w:bottom w:val="single" w:sz="4" w:space="0" w:color="auto"/>
              <w:right w:val="single" w:sz="4" w:space="0" w:color="auto"/>
            </w:tcBorders>
            <w:shd w:val="clear" w:color="auto" w:fill="FFFFFF"/>
            <w:vAlign w:val="center"/>
          </w:tcPr>
          <w:p w:rsidR="00F768B0" w:rsidRPr="00884D10" w:rsidRDefault="00F768B0" w:rsidP="00C83E03">
            <w:pPr>
              <w:keepNext/>
              <w:jc w:val="center"/>
              <w:rPr>
                <w:b/>
                <w:bCs/>
                <w:color w:val="000000"/>
                <w:szCs w:val="20"/>
              </w:rPr>
            </w:pPr>
            <w:r w:rsidRPr="00884D10">
              <w:rPr>
                <w:b/>
                <w:bCs/>
                <w:color w:val="000000"/>
                <w:szCs w:val="20"/>
              </w:rPr>
              <w:t>Late Dry Season</w:t>
            </w:r>
          </w:p>
        </w:tc>
      </w:tr>
      <w:tr w:rsidR="00F768B0" w:rsidRPr="00884D10" w:rsidTr="00C83E03">
        <w:trPr>
          <w:trHeight w:val="329"/>
          <w:jc w:val="center"/>
        </w:trPr>
        <w:tc>
          <w:tcPr>
            <w:tcW w:w="1764" w:type="dxa"/>
            <w:tcBorders>
              <w:top w:val="single" w:sz="4" w:space="0" w:color="auto"/>
              <w:left w:val="single" w:sz="4" w:space="0" w:color="auto"/>
              <w:bottom w:val="single" w:sz="4" w:space="0" w:color="auto"/>
              <w:right w:val="single" w:sz="4" w:space="0" w:color="auto"/>
            </w:tcBorders>
            <w:shd w:val="clear" w:color="auto" w:fill="FFFFFF"/>
            <w:vAlign w:val="center"/>
          </w:tcPr>
          <w:p w:rsidR="00F768B0" w:rsidRPr="00884D10" w:rsidRDefault="00F768B0" w:rsidP="00C83E03">
            <w:pPr>
              <w:keepNext/>
              <w:jc w:val="center"/>
              <w:rPr>
                <w:b/>
                <w:bCs/>
                <w:color w:val="000000"/>
                <w:szCs w:val="20"/>
              </w:rPr>
            </w:pPr>
            <w:r w:rsidRPr="00884D10">
              <w:rPr>
                <w:b/>
                <w:bCs/>
                <w:color w:val="000000"/>
                <w:szCs w:val="20"/>
              </w:rPr>
              <w:t>Fine</w:t>
            </w:r>
          </w:p>
        </w:tc>
        <w:tc>
          <w:tcPr>
            <w:tcW w:w="2028" w:type="dxa"/>
            <w:tcBorders>
              <w:top w:val="single" w:sz="4" w:space="0" w:color="auto"/>
              <w:left w:val="nil"/>
              <w:bottom w:val="single" w:sz="4" w:space="0" w:color="auto"/>
              <w:right w:val="single" w:sz="4" w:space="0" w:color="auto"/>
            </w:tcBorders>
            <w:shd w:val="clear" w:color="auto" w:fill="auto"/>
            <w:vAlign w:val="center"/>
          </w:tcPr>
          <w:p w:rsidR="00F768B0" w:rsidRPr="00884D10" w:rsidRDefault="00F768B0" w:rsidP="00C83E03">
            <w:pPr>
              <w:keepNext/>
              <w:jc w:val="center"/>
              <w:rPr>
                <w:color w:val="000000"/>
              </w:rPr>
            </w:pPr>
            <w:r w:rsidRPr="00884D10">
              <w:rPr>
                <w:color w:val="000000"/>
              </w:rPr>
              <w:t>0.7444</w:t>
            </w:r>
          </w:p>
        </w:tc>
        <w:tc>
          <w:tcPr>
            <w:tcW w:w="1958" w:type="dxa"/>
            <w:tcBorders>
              <w:top w:val="single" w:sz="4" w:space="0" w:color="auto"/>
              <w:left w:val="nil"/>
              <w:bottom w:val="single" w:sz="4" w:space="0" w:color="auto"/>
              <w:right w:val="single" w:sz="4" w:space="0" w:color="auto"/>
            </w:tcBorders>
            <w:shd w:val="clear" w:color="auto" w:fill="auto"/>
            <w:vAlign w:val="center"/>
          </w:tcPr>
          <w:p w:rsidR="00F768B0" w:rsidRPr="00884D10" w:rsidRDefault="00F768B0" w:rsidP="00C83E03">
            <w:pPr>
              <w:keepNext/>
              <w:jc w:val="center"/>
              <w:rPr>
                <w:color w:val="000000"/>
              </w:rPr>
            </w:pPr>
            <w:r w:rsidRPr="00884D10">
              <w:rPr>
                <w:color w:val="000000"/>
              </w:rPr>
              <w:t>0.8604</w:t>
            </w:r>
          </w:p>
        </w:tc>
      </w:tr>
      <w:tr w:rsidR="00F768B0" w:rsidRPr="00884D10" w:rsidTr="00C83E03">
        <w:trPr>
          <w:trHeight w:val="329"/>
          <w:jc w:val="center"/>
        </w:trPr>
        <w:tc>
          <w:tcPr>
            <w:tcW w:w="1764" w:type="dxa"/>
            <w:tcBorders>
              <w:top w:val="nil"/>
              <w:left w:val="single" w:sz="4" w:space="0" w:color="auto"/>
              <w:bottom w:val="single" w:sz="4" w:space="0" w:color="auto"/>
              <w:right w:val="single" w:sz="4" w:space="0" w:color="auto"/>
            </w:tcBorders>
            <w:shd w:val="clear" w:color="auto" w:fill="FFFFFF"/>
            <w:vAlign w:val="center"/>
          </w:tcPr>
          <w:p w:rsidR="00F768B0" w:rsidRPr="00884D10" w:rsidRDefault="00F768B0" w:rsidP="00C83E03">
            <w:pPr>
              <w:keepNext/>
              <w:jc w:val="center"/>
              <w:rPr>
                <w:b/>
                <w:bCs/>
                <w:color w:val="000000"/>
                <w:szCs w:val="20"/>
              </w:rPr>
            </w:pPr>
            <w:r w:rsidRPr="00884D10">
              <w:rPr>
                <w:b/>
                <w:bCs/>
                <w:color w:val="000000"/>
                <w:szCs w:val="20"/>
              </w:rPr>
              <w:t>Coarse</w:t>
            </w:r>
          </w:p>
        </w:tc>
        <w:tc>
          <w:tcPr>
            <w:tcW w:w="2028" w:type="dxa"/>
            <w:tcBorders>
              <w:top w:val="single" w:sz="4" w:space="0" w:color="auto"/>
              <w:left w:val="nil"/>
              <w:bottom w:val="single" w:sz="4" w:space="0" w:color="auto"/>
              <w:right w:val="single" w:sz="4" w:space="0" w:color="auto"/>
            </w:tcBorders>
            <w:shd w:val="clear" w:color="auto" w:fill="auto"/>
            <w:vAlign w:val="center"/>
          </w:tcPr>
          <w:p w:rsidR="00F768B0" w:rsidRPr="00884D10" w:rsidRDefault="00F768B0" w:rsidP="00C83E03">
            <w:pPr>
              <w:keepNext/>
              <w:jc w:val="center"/>
              <w:rPr>
                <w:color w:val="000000"/>
              </w:rPr>
            </w:pPr>
            <w:r w:rsidRPr="00884D10">
              <w:rPr>
                <w:color w:val="000000"/>
              </w:rPr>
              <w:t>0.1464</w:t>
            </w:r>
          </w:p>
        </w:tc>
        <w:tc>
          <w:tcPr>
            <w:tcW w:w="1958" w:type="dxa"/>
            <w:tcBorders>
              <w:top w:val="single" w:sz="4" w:space="0" w:color="auto"/>
              <w:left w:val="nil"/>
              <w:bottom w:val="single" w:sz="4" w:space="0" w:color="auto"/>
              <w:right w:val="single" w:sz="4" w:space="0" w:color="auto"/>
            </w:tcBorders>
            <w:shd w:val="clear" w:color="auto" w:fill="auto"/>
            <w:vAlign w:val="center"/>
          </w:tcPr>
          <w:p w:rsidR="00F768B0" w:rsidRPr="00884D10" w:rsidRDefault="00F768B0" w:rsidP="00C83E03">
            <w:pPr>
              <w:keepNext/>
              <w:jc w:val="center"/>
              <w:rPr>
                <w:color w:val="000000"/>
              </w:rPr>
            </w:pPr>
            <w:r w:rsidRPr="00884D10">
              <w:rPr>
                <w:color w:val="000000"/>
              </w:rPr>
              <w:t>0.3571</w:t>
            </w:r>
          </w:p>
        </w:tc>
      </w:tr>
      <w:tr w:rsidR="00F768B0" w:rsidRPr="00884D10" w:rsidTr="00C83E03">
        <w:trPr>
          <w:trHeight w:val="329"/>
          <w:jc w:val="center"/>
        </w:trPr>
        <w:tc>
          <w:tcPr>
            <w:tcW w:w="1764" w:type="dxa"/>
            <w:tcBorders>
              <w:top w:val="nil"/>
              <w:left w:val="single" w:sz="4" w:space="0" w:color="auto"/>
              <w:bottom w:val="single" w:sz="4" w:space="0" w:color="auto"/>
              <w:right w:val="single" w:sz="4" w:space="0" w:color="auto"/>
            </w:tcBorders>
            <w:shd w:val="clear" w:color="auto" w:fill="FFFFFF"/>
            <w:vAlign w:val="center"/>
          </w:tcPr>
          <w:p w:rsidR="00F768B0" w:rsidRPr="00884D10" w:rsidRDefault="00F768B0" w:rsidP="00C83E03">
            <w:pPr>
              <w:keepNext/>
              <w:jc w:val="center"/>
              <w:rPr>
                <w:b/>
                <w:bCs/>
                <w:color w:val="000000"/>
                <w:szCs w:val="20"/>
              </w:rPr>
            </w:pPr>
            <w:r w:rsidRPr="00884D10">
              <w:rPr>
                <w:b/>
                <w:bCs/>
                <w:color w:val="000000"/>
                <w:szCs w:val="20"/>
              </w:rPr>
              <w:t>Heavy</w:t>
            </w:r>
          </w:p>
        </w:tc>
        <w:tc>
          <w:tcPr>
            <w:tcW w:w="2028" w:type="dxa"/>
            <w:tcBorders>
              <w:top w:val="single" w:sz="4" w:space="0" w:color="auto"/>
              <w:left w:val="nil"/>
              <w:bottom w:val="single" w:sz="4" w:space="0" w:color="auto"/>
              <w:right w:val="single" w:sz="4" w:space="0" w:color="auto"/>
            </w:tcBorders>
            <w:shd w:val="clear" w:color="auto" w:fill="auto"/>
            <w:vAlign w:val="center"/>
          </w:tcPr>
          <w:p w:rsidR="00F768B0" w:rsidRPr="00884D10" w:rsidRDefault="00F768B0" w:rsidP="00C83E03">
            <w:pPr>
              <w:keepNext/>
              <w:jc w:val="center"/>
              <w:rPr>
                <w:color w:val="000000"/>
              </w:rPr>
            </w:pPr>
            <w:r w:rsidRPr="00884D10">
              <w:rPr>
                <w:color w:val="000000"/>
              </w:rPr>
              <w:t>0.1708</w:t>
            </w:r>
          </w:p>
        </w:tc>
        <w:tc>
          <w:tcPr>
            <w:tcW w:w="1958" w:type="dxa"/>
            <w:tcBorders>
              <w:top w:val="single" w:sz="4" w:space="0" w:color="auto"/>
              <w:left w:val="nil"/>
              <w:bottom w:val="single" w:sz="4" w:space="0" w:color="auto"/>
              <w:right w:val="single" w:sz="4" w:space="0" w:color="auto"/>
            </w:tcBorders>
            <w:shd w:val="clear" w:color="auto" w:fill="auto"/>
            <w:vAlign w:val="center"/>
          </w:tcPr>
          <w:p w:rsidR="00F768B0" w:rsidRPr="00884D10" w:rsidRDefault="00F768B0" w:rsidP="00C83E03">
            <w:pPr>
              <w:keepNext/>
              <w:jc w:val="center"/>
              <w:rPr>
                <w:color w:val="000000"/>
              </w:rPr>
            </w:pPr>
            <w:r w:rsidRPr="00884D10">
              <w:rPr>
                <w:color w:val="000000"/>
              </w:rPr>
              <w:t>0.3093</w:t>
            </w:r>
          </w:p>
        </w:tc>
      </w:tr>
      <w:tr w:rsidR="00F768B0" w:rsidRPr="00884D10" w:rsidTr="00C83E03">
        <w:trPr>
          <w:trHeight w:val="329"/>
          <w:jc w:val="center"/>
        </w:trPr>
        <w:tc>
          <w:tcPr>
            <w:tcW w:w="1764" w:type="dxa"/>
            <w:tcBorders>
              <w:top w:val="nil"/>
              <w:left w:val="single" w:sz="4" w:space="0" w:color="auto"/>
              <w:bottom w:val="single" w:sz="4" w:space="0" w:color="auto"/>
              <w:right w:val="single" w:sz="4" w:space="0" w:color="auto"/>
            </w:tcBorders>
            <w:shd w:val="clear" w:color="auto" w:fill="FFFFFF"/>
            <w:vAlign w:val="center"/>
          </w:tcPr>
          <w:p w:rsidR="00F768B0" w:rsidRPr="00884D10" w:rsidRDefault="00F768B0" w:rsidP="00C83E03">
            <w:pPr>
              <w:keepNext/>
              <w:jc w:val="center"/>
              <w:rPr>
                <w:b/>
                <w:bCs/>
                <w:color w:val="000000"/>
                <w:szCs w:val="20"/>
              </w:rPr>
            </w:pPr>
            <w:r w:rsidRPr="00884D10">
              <w:rPr>
                <w:b/>
                <w:bCs/>
                <w:color w:val="000000"/>
                <w:szCs w:val="20"/>
              </w:rPr>
              <w:t>Shrub</w:t>
            </w:r>
          </w:p>
        </w:tc>
        <w:tc>
          <w:tcPr>
            <w:tcW w:w="2028" w:type="dxa"/>
            <w:tcBorders>
              <w:top w:val="single" w:sz="4" w:space="0" w:color="auto"/>
              <w:left w:val="nil"/>
              <w:bottom w:val="single" w:sz="4" w:space="0" w:color="auto"/>
              <w:right w:val="single" w:sz="4" w:space="0" w:color="auto"/>
            </w:tcBorders>
            <w:shd w:val="clear" w:color="auto" w:fill="auto"/>
            <w:vAlign w:val="center"/>
          </w:tcPr>
          <w:p w:rsidR="00F768B0" w:rsidRPr="00884D10" w:rsidRDefault="00F768B0" w:rsidP="00C83E03">
            <w:pPr>
              <w:keepNext/>
              <w:jc w:val="center"/>
              <w:rPr>
                <w:color w:val="000000"/>
              </w:rPr>
            </w:pPr>
            <w:r w:rsidRPr="00884D10">
              <w:rPr>
                <w:color w:val="000000"/>
              </w:rPr>
              <w:t>0.2896</w:t>
            </w:r>
          </w:p>
        </w:tc>
        <w:tc>
          <w:tcPr>
            <w:tcW w:w="1958" w:type="dxa"/>
            <w:tcBorders>
              <w:top w:val="single" w:sz="4" w:space="0" w:color="auto"/>
              <w:left w:val="nil"/>
              <w:bottom w:val="single" w:sz="4" w:space="0" w:color="auto"/>
              <w:right w:val="single" w:sz="4" w:space="0" w:color="auto"/>
            </w:tcBorders>
            <w:shd w:val="clear" w:color="auto" w:fill="auto"/>
            <w:vAlign w:val="center"/>
          </w:tcPr>
          <w:p w:rsidR="00F768B0" w:rsidRPr="00884D10" w:rsidRDefault="00F768B0" w:rsidP="00C83E03">
            <w:pPr>
              <w:keepNext/>
              <w:jc w:val="center"/>
              <w:rPr>
                <w:color w:val="000000"/>
              </w:rPr>
            </w:pPr>
            <w:r w:rsidRPr="00884D10">
              <w:rPr>
                <w:color w:val="000000"/>
              </w:rPr>
              <w:t>0.3934</w:t>
            </w:r>
          </w:p>
        </w:tc>
      </w:tr>
    </w:tbl>
    <w:p w:rsidR="00F768B0" w:rsidRPr="00884D10" w:rsidRDefault="00F768B0" w:rsidP="00F768B0">
      <w:pPr>
        <w:pStyle w:val="h5Section"/>
      </w:pPr>
      <w:bookmarkStart w:id="55" w:name="_Ref317782234"/>
      <w:bookmarkStart w:id="56" w:name="_Toc357780187"/>
      <w:r>
        <w:t>4.11</w:t>
      </w:r>
      <w:r w:rsidRPr="00884D10">
        <w:tab/>
        <w:t>Fuel load (FL)</w:t>
      </w:r>
      <w:bookmarkEnd w:id="55"/>
      <w:bookmarkEnd w:id="56"/>
      <w:r w:rsidRPr="00884D10">
        <w:t xml:space="preserve"> </w:t>
      </w:r>
    </w:p>
    <w:p w:rsidR="00F768B0" w:rsidRPr="00884D10" w:rsidRDefault="00F768B0" w:rsidP="00F768B0">
      <w:pPr>
        <w:pStyle w:val="tMain"/>
      </w:pPr>
      <w:bookmarkStart w:id="57" w:name="_Ref317782297"/>
      <w:r w:rsidRPr="00884D10">
        <w:tab/>
        <w:t>(1)</w:t>
      </w:r>
      <w:r w:rsidRPr="00884D10">
        <w:tab/>
        <w:t>For the purposes of Equations 3 and 4, the fuel load (FL) for coarse, heavy and shrub fuel size classes for a vegetation class, is taken to be the amount set out in the following table:</w:t>
      </w:r>
      <w:bookmarkEnd w:id="57"/>
    </w:p>
    <w:p w:rsidR="00F768B0" w:rsidRPr="00884D10" w:rsidRDefault="00F768B0" w:rsidP="00F768B0">
      <w:pPr>
        <w:pStyle w:val="R2"/>
        <w:tabs>
          <w:tab w:val="clear" w:pos="794"/>
          <w:tab w:val="left" w:pos="4632"/>
        </w:tabs>
        <w:jc w:val="center"/>
        <w:rPr>
          <w:b/>
        </w:rPr>
      </w:pPr>
      <w:r w:rsidRPr="00884D10">
        <w:rPr>
          <w:b/>
        </w:rPr>
        <w:t>Table 2: Fuel loads for coarse, heavy and shrub fuel size classes</w:t>
      </w:r>
    </w:p>
    <w:tbl>
      <w:tblPr>
        <w:tblW w:w="5811" w:type="dxa"/>
        <w:jc w:val="center"/>
        <w:tblLook w:val="0000" w:firstRow="0" w:lastRow="0" w:firstColumn="0" w:lastColumn="0" w:noHBand="0" w:noVBand="0"/>
      </w:tblPr>
      <w:tblGrid>
        <w:gridCol w:w="1700"/>
        <w:gridCol w:w="1276"/>
        <w:gridCol w:w="1417"/>
        <w:gridCol w:w="1418"/>
      </w:tblGrid>
      <w:tr w:rsidR="00F768B0" w:rsidRPr="00884D10" w:rsidTr="00C83E03">
        <w:trPr>
          <w:trHeight w:val="322"/>
          <w:jc w:val="center"/>
        </w:trPr>
        <w:tc>
          <w:tcPr>
            <w:tcW w:w="1700" w:type="dxa"/>
            <w:tcBorders>
              <w:top w:val="single" w:sz="4" w:space="0" w:color="auto"/>
              <w:left w:val="single" w:sz="4" w:space="0" w:color="auto"/>
              <w:right w:val="single" w:sz="8" w:space="0" w:color="auto"/>
            </w:tcBorders>
            <w:shd w:val="clear" w:color="auto" w:fill="auto"/>
            <w:noWrap/>
            <w:vAlign w:val="center"/>
          </w:tcPr>
          <w:p w:rsidR="00F768B0" w:rsidRPr="00884D10" w:rsidRDefault="00F768B0" w:rsidP="00C83E03">
            <w:pPr>
              <w:jc w:val="center"/>
              <w:rPr>
                <w:b/>
                <w:szCs w:val="20"/>
              </w:rPr>
            </w:pPr>
            <w:r w:rsidRPr="00884D10">
              <w:rPr>
                <w:b/>
                <w:szCs w:val="20"/>
              </w:rPr>
              <w:t>Vegetation class</w:t>
            </w:r>
          </w:p>
        </w:tc>
        <w:tc>
          <w:tcPr>
            <w:tcW w:w="4111" w:type="dxa"/>
            <w:gridSpan w:val="3"/>
            <w:tcBorders>
              <w:top w:val="single" w:sz="4" w:space="0" w:color="auto"/>
              <w:left w:val="single" w:sz="8" w:space="0" w:color="auto"/>
              <w:bottom w:val="single" w:sz="4" w:space="0" w:color="auto"/>
              <w:right w:val="single" w:sz="4" w:space="0" w:color="auto"/>
            </w:tcBorders>
            <w:shd w:val="clear" w:color="auto" w:fill="auto"/>
            <w:noWrap/>
            <w:vAlign w:val="center"/>
          </w:tcPr>
          <w:p w:rsidR="00F768B0" w:rsidRPr="00884D10" w:rsidRDefault="00F768B0" w:rsidP="00C83E03">
            <w:pPr>
              <w:jc w:val="center"/>
              <w:rPr>
                <w:b/>
                <w:szCs w:val="20"/>
              </w:rPr>
            </w:pPr>
            <w:r w:rsidRPr="00884D10">
              <w:rPr>
                <w:b/>
                <w:szCs w:val="20"/>
              </w:rPr>
              <w:t>Fuel size class</w:t>
            </w:r>
          </w:p>
        </w:tc>
      </w:tr>
      <w:tr w:rsidR="00F768B0" w:rsidRPr="00884D10" w:rsidTr="00C83E03">
        <w:trPr>
          <w:trHeight w:val="255"/>
          <w:jc w:val="center"/>
        </w:trPr>
        <w:tc>
          <w:tcPr>
            <w:tcW w:w="1700" w:type="dxa"/>
            <w:tcBorders>
              <w:left w:val="single" w:sz="4" w:space="0" w:color="auto"/>
              <w:bottom w:val="single" w:sz="4" w:space="0" w:color="auto"/>
              <w:right w:val="single" w:sz="4" w:space="0" w:color="auto"/>
            </w:tcBorders>
            <w:shd w:val="clear" w:color="auto" w:fill="auto"/>
            <w:noWrap/>
            <w:vAlign w:val="center"/>
          </w:tcPr>
          <w:p w:rsidR="00F768B0" w:rsidRPr="00884D10" w:rsidRDefault="00F768B0" w:rsidP="00C83E03">
            <w:pPr>
              <w:jc w:val="center"/>
              <w:rPr>
                <w:b/>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68B0" w:rsidRPr="00884D10" w:rsidRDefault="00F768B0" w:rsidP="00C83E03">
            <w:pPr>
              <w:jc w:val="center"/>
              <w:rPr>
                <w:b/>
                <w:szCs w:val="20"/>
              </w:rPr>
            </w:pPr>
            <w:r w:rsidRPr="00884D10">
              <w:rPr>
                <w:b/>
                <w:szCs w:val="20"/>
              </w:rPr>
              <w:t>Coarse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68B0" w:rsidRPr="00884D10" w:rsidRDefault="00F768B0" w:rsidP="00C83E03">
            <w:pPr>
              <w:jc w:val="center"/>
              <w:rPr>
                <w:b/>
                <w:szCs w:val="20"/>
              </w:rPr>
            </w:pPr>
            <w:r w:rsidRPr="00884D10">
              <w:rPr>
                <w:b/>
                <w:szCs w:val="20"/>
              </w:rPr>
              <w:t>Heavy</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68B0" w:rsidRPr="00884D10" w:rsidRDefault="00F768B0" w:rsidP="00C83E03">
            <w:pPr>
              <w:jc w:val="center"/>
              <w:rPr>
                <w:b/>
                <w:szCs w:val="20"/>
              </w:rPr>
            </w:pPr>
            <w:r w:rsidRPr="00884D10">
              <w:rPr>
                <w:b/>
                <w:szCs w:val="20"/>
              </w:rPr>
              <w:t>Shrub</w:t>
            </w:r>
          </w:p>
        </w:tc>
      </w:tr>
      <w:tr w:rsidR="00F768B0" w:rsidRPr="00884D10" w:rsidTr="00C83E03">
        <w:trPr>
          <w:trHeight w:val="315"/>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68B0" w:rsidRPr="00884D10" w:rsidRDefault="00F768B0" w:rsidP="00C83E03">
            <w:pPr>
              <w:jc w:val="center"/>
              <w:rPr>
                <w:b/>
                <w:szCs w:val="20"/>
              </w:rPr>
            </w:pPr>
            <w:r w:rsidRPr="00884D10">
              <w:rPr>
                <w:b/>
                <w:szCs w:val="20"/>
              </w:rPr>
              <w:t>EOF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68B0" w:rsidRPr="00884D10" w:rsidRDefault="00F768B0" w:rsidP="00C83E03">
            <w:pPr>
              <w:jc w:val="center"/>
              <w:rPr>
                <w:color w:val="000000"/>
              </w:rPr>
            </w:pPr>
            <w:r w:rsidRPr="00884D10">
              <w:rPr>
                <w:color w:val="000000"/>
              </w:rPr>
              <w:t>1.4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68B0" w:rsidRPr="00884D10" w:rsidRDefault="00F768B0" w:rsidP="00C83E03">
            <w:pPr>
              <w:jc w:val="center"/>
              <w:rPr>
                <w:color w:val="000000"/>
              </w:rPr>
            </w:pPr>
            <w:r w:rsidRPr="00884D10">
              <w:rPr>
                <w:color w:val="000000"/>
              </w:rPr>
              <w:t>4.8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68B0" w:rsidRPr="00884D10" w:rsidRDefault="00F768B0" w:rsidP="00C83E03">
            <w:pPr>
              <w:jc w:val="center"/>
              <w:rPr>
                <w:color w:val="000000"/>
              </w:rPr>
            </w:pPr>
            <w:r w:rsidRPr="00884D10">
              <w:rPr>
                <w:color w:val="000000"/>
              </w:rPr>
              <w:t>1.5</w:t>
            </w:r>
          </w:p>
        </w:tc>
      </w:tr>
      <w:tr w:rsidR="00F768B0" w:rsidRPr="00884D10" w:rsidTr="00C83E03">
        <w:trPr>
          <w:trHeight w:val="315"/>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68B0" w:rsidRPr="00884D10" w:rsidRDefault="00F768B0" w:rsidP="00C83E03">
            <w:pPr>
              <w:jc w:val="center"/>
              <w:rPr>
                <w:b/>
                <w:szCs w:val="20"/>
              </w:rPr>
            </w:pPr>
            <w:r w:rsidRPr="00884D10">
              <w:rPr>
                <w:b/>
                <w:szCs w:val="20"/>
              </w:rPr>
              <w:t>EW</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68B0" w:rsidRPr="00884D10" w:rsidRDefault="00F768B0" w:rsidP="00C83E03">
            <w:pPr>
              <w:jc w:val="center"/>
              <w:rPr>
                <w:color w:val="000000"/>
              </w:rPr>
            </w:pPr>
            <w:r w:rsidRPr="00884D10">
              <w:rPr>
                <w:color w:val="000000"/>
              </w:rPr>
              <w:t>0.90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68B0" w:rsidRPr="00884D10" w:rsidRDefault="00F768B0" w:rsidP="00C83E03">
            <w:pPr>
              <w:jc w:val="center"/>
              <w:rPr>
                <w:color w:val="000000"/>
              </w:rPr>
            </w:pPr>
            <w:r w:rsidRPr="00884D10">
              <w:rPr>
                <w:color w:val="000000"/>
              </w:rPr>
              <w:t>2.2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68B0" w:rsidRPr="00884D10" w:rsidRDefault="00F768B0" w:rsidP="00C83E03">
            <w:pPr>
              <w:jc w:val="center"/>
              <w:rPr>
                <w:color w:val="000000"/>
              </w:rPr>
            </w:pPr>
            <w:r w:rsidRPr="00884D10">
              <w:rPr>
                <w:color w:val="000000"/>
              </w:rPr>
              <w:t>0.5</w:t>
            </w:r>
          </w:p>
        </w:tc>
      </w:tr>
      <w:tr w:rsidR="00F768B0" w:rsidRPr="00884D10" w:rsidTr="00C83E03">
        <w:trPr>
          <w:trHeight w:val="315"/>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68B0" w:rsidRPr="00884D10" w:rsidRDefault="00F768B0" w:rsidP="00C83E03">
            <w:pPr>
              <w:jc w:val="center"/>
              <w:rPr>
                <w:b/>
                <w:szCs w:val="20"/>
              </w:rPr>
            </w:pPr>
            <w:r w:rsidRPr="00884D10">
              <w:rPr>
                <w:b/>
                <w:szCs w:val="20"/>
              </w:rPr>
              <w:t>SW</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68B0" w:rsidRPr="00884D10" w:rsidRDefault="00F768B0" w:rsidP="00C83E03">
            <w:pPr>
              <w:jc w:val="center"/>
              <w:rPr>
                <w:color w:val="000000"/>
              </w:rPr>
            </w:pPr>
            <w:r w:rsidRPr="00884D10">
              <w:rPr>
                <w:color w:val="000000"/>
              </w:rPr>
              <w:t>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68B0" w:rsidRPr="00884D10" w:rsidRDefault="00F768B0" w:rsidP="00C83E03">
            <w:pPr>
              <w:jc w:val="center"/>
              <w:rPr>
                <w:color w:val="000000"/>
              </w:rPr>
            </w:pPr>
            <w:r w:rsidRPr="00884D10">
              <w:rPr>
                <w:color w:val="000000"/>
              </w:rPr>
              <w:t>3.4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68B0" w:rsidRPr="00884D10" w:rsidRDefault="00F768B0" w:rsidP="00C83E03">
            <w:pPr>
              <w:jc w:val="center"/>
              <w:rPr>
                <w:color w:val="000000"/>
              </w:rPr>
            </w:pPr>
            <w:r w:rsidRPr="00884D10">
              <w:rPr>
                <w:color w:val="000000"/>
              </w:rPr>
              <w:t>1.7</w:t>
            </w:r>
          </w:p>
        </w:tc>
      </w:tr>
      <w:tr w:rsidR="00F768B0" w:rsidRPr="00884D10" w:rsidTr="00C83E03">
        <w:trPr>
          <w:trHeight w:val="315"/>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68B0" w:rsidRPr="00884D10" w:rsidRDefault="00F768B0" w:rsidP="00C83E03">
            <w:pPr>
              <w:jc w:val="center"/>
              <w:rPr>
                <w:b/>
                <w:szCs w:val="20"/>
              </w:rPr>
            </w:pPr>
            <w:r w:rsidRPr="00884D10">
              <w:rPr>
                <w:b/>
                <w:szCs w:val="20"/>
              </w:rPr>
              <w:t>SH</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68B0" w:rsidRPr="00884D10" w:rsidRDefault="00F768B0" w:rsidP="00C83E03">
            <w:pPr>
              <w:jc w:val="center"/>
              <w:rPr>
                <w:color w:val="000000"/>
              </w:rPr>
            </w:pPr>
            <w:r w:rsidRPr="00884D10">
              <w:rPr>
                <w:color w:val="000000"/>
              </w:rPr>
              <w:t>0.6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68B0" w:rsidRPr="00884D10" w:rsidRDefault="00F768B0" w:rsidP="00C83E03">
            <w:pPr>
              <w:jc w:val="center"/>
              <w:rPr>
                <w:color w:val="000000"/>
              </w:rPr>
            </w:pPr>
            <w:r w:rsidRPr="00884D10">
              <w:rPr>
                <w:color w:val="000000"/>
              </w:rPr>
              <w:t>1.7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68B0" w:rsidRPr="00884D10" w:rsidRDefault="00F768B0" w:rsidP="00C83E03">
            <w:pPr>
              <w:jc w:val="center"/>
              <w:rPr>
                <w:color w:val="000000"/>
              </w:rPr>
            </w:pPr>
            <w:r w:rsidRPr="00884D10">
              <w:rPr>
                <w:color w:val="000000"/>
              </w:rPr>
              <w:t>1.8</w:t>
            </w:r>
          </w:p>
        </w:tc>
      </w:tr>
    </w:tbl>
    <w:p w:rsidR="00F768B0" w:rsidRPr="00884D10" w:rsidRDefault="00F768B0" w:rsidP="00F768B0">
      <w:pPr>
        <w:pStyle w:val="tMain"/>
      </w:pPr>
      <w:r w:rsidRPr="00884D10">
        <w:tab/>
        <w:t>(2)</w:t>
      </w:r>
      <w:r w:rsidRPr="00884D10">
        <w:tab/>
        <w:t>For the purposes of Equations 3 and 4, the fuel load (FL) for the fine fuel size class must be calculated according to sections 4.12, 4.13 and 4.14.</w:t>
      </w:r>
    </w:p>
    <w:p w:rsidR="00F768B0" w:rsidRPr="00884D10" w:rsidRDefault="00F768B0" w:rsidP="00F768B0">
      <w:pPr>
        <w:pStyle w:val="h5Section"/>
      </w:pPr>
      <w:bookmarkStart w:id="58" w:name="_Toc357780188"/>
      <w:r>
        <w:t>4.12</w:t>
      </w:r>
      <w:r w:rsidRPr="00884D10">
        <w:tab/>
        <w:t>Calculating years since last burnt (YSLB) for a pixel</w:t>
      </w:r>
      <w:bookmarkEnd w:id="58"/>
      <w:r w:rsidRPr="00884D10">
        <w:t xml:space="preserve"> </w:t>
      </w:r>
    </w:p>
    <w:p w:rsidR="00F768B0" w:rsidRPr="00884D10" w:rsidRDefault="00F768B0" w:rsidP="00F768B0">
      <w:pPr>
        <w:pStyle w:val="tMain"/>
      </w:pPr>
      <w:r w:rsidRPr="00884D10">
        <w:tab/>
        <w:t>(1)</w:t>
      </w:r>
      <w:r w:rsidRPr="00884D10">
        <w:tab/>
        <w:t xml:space="preserve">Years since last burnt (YSLB) must be calculated using GIS software for each year in the baseline period and the reporting period. </w:t>
      </w:r>
    </w:p>
    <w:p w:rsidR="00F768B0" w:rsidRPr="00884D10" w:rsidRDefault="00F768B0" w:rsidP="00F768B0">
      <w:pPr>
        <w:pStyle w:val="tMain"/>
      </w:pPr>
      <w:r w:rsidRPr="00884D10">
        <w:tab/>
        <w:t>(2)</w:t>
      </w:r>
      <w:r w:rsidRPr="00884D10">
        <w:tab/>
        <w:t>Calculation of YSLB for each year of the baseline period and the reporting period must involve the analysis of fire maps for a given calendar year (the analysis year) and for the previous 5 years.</w:t>
      </w:r>
    </w:p>
    <w:p w:rsidR="00F768B0" w:rsidRPr="00884D10" w:rsidRDefault="00F768B0" w:rsidP="00F768B0">
      <w:pPr>
        <w:pStyle w:val="tMain"/>
      </w:pPr>
      <w:r w:rsidRPr="00884D10">
        <w:tab/>
        <w:t>(3)</w:t>
      </w:r>
      <w:r w:rsidRPr="00884D10">
        <w:tab/>
        <w:t>When the earliest 5 years of the baseline period are analysed, the fire maps developed in the fuel load estimation period must be used to provide maps for the 5 years preceding the analysis year.</w:t>
      </w:r>
    </w:p>
    <w:p w:rsidR="00F768B0" w:rsidRPr="00884D10" w:rsidRDefault="00F768B0" w:rsidP="00F768B0">
      <w:pPr>
        <w:pStyle w:val="tMain"/>
        <w:keepNext/>
      </w:pPr>
      <w:r w:rsidRPr="00884D10">
        <w:lastRenderedPageBreak/>
        <w:tab/>
        <w:t>(4)</w:t>
      </w:r>
      <w:r w:rsidRPr="00884D10">
        <w:tab/>
        <w:t>YSLB must be calculated using the following process:</w:t>
      </w:r>
    </w:p>
    <w:p w:rsidR="00F768B0" w:rsidRPr="00884D10" w:rsidRDefault="00F768B0" w:rsidP="00F768B0">
      <w:pPr>
        <w:pStyle w:val="tPara"/>
      </w:pPr>
      <w:r w:rsidRPr="00884D10">
        <w:tab/>
        <w:t>(a)</w:t>
      </w:r>
      <w:r w:rsidRPr="00884D10">
        <w:tab/>
        <w:t>the monthly fire maps described in section 4.5 must be aggregated into calendar year fire maps for the analysis year and for each of the 5 years preceding it, with each pixel showing whether the area represented by the pixel was burnt or unburnt (described as ‘</w:t>
      </w:r>
      <w:r w:rsidRPr="00884D10">
        <w:rPr>
          <w:b/>
          <w:i/>
        </w:rPr>
        <w:t>burnt pixels</w:t>
      </w:r>
      <w:r w:rsidRPr="00884D10">
        <w:t>’ and ‘</w:t>
      </w:r>
      <w:r w:rsidRPr="00884D10">
        <w:rPr>
          <w:b/>
          <w:i/>
        </w:rPr>
        <w:t>unburnt pixels</w:t>
      </w:r>
      <w:r w:rsidRPr="00884D10">
        <w:t>’ respectively in this Determination);</w:t>
      </w:r>
    </w:p>
    <w:p w:rsidR="00F768B0" w:rsidRPr="00884D10" w:rsidRDefault="00F768B0" w:rsidP="00F768B0">
      <w:pPr>
        <w:pStyle w:val="tPara"/>
      </w:pPr>
      <w:r w:rsidRPr="00884D10">
        <w:tab/>
        <w:t>(b)</w:t>
      </w:r>
      <w:r w:rsidRPr="00884D10">
        <w:tab/>
        <w:t>the relevant Gregorian calendar year must be assigned (as a value) to all burnt pixels in each fire year;</w:t>
      </w:r>
    </w:p>
    <w:p w:rsidR="00F768B0" w:rsidRPr="00884D10" w:rsidRDefault="00F768B0" w:rsidP="00F768B0">
      <w:pPr>
        <w:pStyle w:val="tPara"/>
      </w:pPr>
      <w:r w:rsidRPr="00884D10">
        <w:tab/>
        <w:t>(c)</w:t>
      </w:r>
      <w:r w:rsidRPr="00884D10">
        <w:tab/>
        <w:t>a zero value must be assigned to all unburnt pixels;</w:t>
      </w:r>
    </w:p>
    <w:p w:rsidR="00F768B0" w:rsidRPr="00884D10" w:rsidRDefault="00F768B0" w:rsidP="00F768B0">
      <w:pPr>
        <w:pStyle w:val="tPara"/>
      </w:pPr>
      <w:r w:rsidRPr="00884D10">
        <w:tab/>
        <w:t>(d)</w:t>
      </w:r>
      <w:r w:rsidRPr="00884D10">
        <w:tab/>
        <w:t>a name must be assigned to each of the 6 maps using the following convention:</w:t>
      </w:r>
    </w:p>
    <w:p w:rsidR="00F768B0" w:rsidRPr="00884D10" w:rsidRDefault="00F768B0" w:rsidP="00F768B0">
      <w:pPr>
        <w:pStyle w:val="tSubpara"/>
      </w:pPr>
      <w:r w:rsidRPr="00884D10">
        <w:tab/>
        <w:t>(</w:t>
      </w:r>
      <w:proofErr w:type="spellStart"/>
      <w:r w:rsidRPr="00884D10">
        <w:t>i</w:t>
      </w:r>
      <w:proofErr w:type="spellEnd"/>
      <w:r w:rsidRPr="00884D10">
        <w:t>)</w:t>
      </w:r>
      <w:r w:rsidRPr="00884D10">
        <w:tab/>
        <w:t xml:space="preserve">the analysis year must be named </w:t>
      </w:r>
      <w:proofErr w:type="spellStart"/>
      <w:r w:rsidRPr="00884D10">
        <w:t>Gy</w:t>
      </w:r>
      <w:proofErr w:type="spellEnd"/>
      <w:r w:rsidRPr="00884D10">
        <w:t>; and</w:t>
      </w:r>
    </w:p>
    <w:p w:rsidR="00F768B0" w:rsidRPr="00884D10" w:rsidRDefault="00F768B0" w:rsidP="00F768B0">
      <w:pPr>
        <w:pStyle w:val="tSubpara"/>
      </w:pPr>
      <w:r w:rsidRPr="00884D10">
        <w:tab/>
        <w:t>(ii)</w:t>
      </w:r>
      <w:r w:rsidRPr="00884D10">
        <w:tab/>
        <w:t>the 5 maps preceding the analysis year must be named Gy-1 to Gy-5 in sequence, with Gy-1 being the year immediately preceding the analysis year;</w:t>
      </w:r>
    </w:p>
    <w:p w:rsidR="00F768B0" w:rsidRPr="00884D10" w:rsidRDefault="00F768B0" w:rsidP="00F768B0">
      <w:pPr>
        <w:pStyle w:val="tPara"/>
      </w:pPr>
      <w:r w:rsidRPr="00884D10">
        <w:tab/>
        <w:t>(e)</w:t>
      </w:r>
      <w:r w:rsidRPr="00884D10">
        <w:tab/>
        <w:t>five maps must be generated that show the difference in values between the analysis year and each of the other 5 years by undertaking a standard grid operation in GIS software that takes the values assigned to each pixel from the analysis year map and subtracts the corresponding values in each of the 5 other maps in turn;</w:t>
      </w:r>
    </w:p>
    <w:p w:rsidR="00F768B0" w:rsidRPr="00884D10" w:rsidRDefault="00F768B0" w:rsidP="00F768B0">
      <w:pPr>
        <w:pStyle w:val="tPara"/>
      </w:pPr>
      <w:r w:rsidRPr="00884D10">
        <w:tab/>
        <w:t>(f)</w:t>
      </w:r>
      <w:r w:rsidRPr="00884D10">
        <w:tab/>
        <w:t>this analysis produces 5 maps that must be named Dy-1 to Dy-5;</w:t>
      </w:r>
    </w:p>
    <w:p w:rsidR="00F768B0" w:rsidRPr="00884D10" w:rsidRDefault="00F768B0" w:rsidP="00F768B0">
      <w:pPr>
        <w:pStyle w:val="noteSubpara"/>
      </w:pPr>
      <w:r w:rsidRPr="00884D10">
        <w:tab/>
      </w:r>
      <w:r w:rsidRPr="00884D10">
        <w:rPr>
          <w:b/>
          <w:i/>
        </w:rPr>
        <w:t>Note</w:t>
      </w:r>
      <w:r w:rsidRPr="00884D10">
        <w:tab/>
        <w:t xml:space="preserve">Dy-1 represents the values allocated to each pixel in </w:t>
      </w:r>
      <w:proofErr w:type="spellStart"/>
      <w:r w:rsidRPr="00884D10">
        <w:t>Gy</w:t>
      </w:r>
      <w:proofErr w:type="spellEnd"/>
      <w:r w:rsidRPr="00884D10">
        <w:t xml:space="preserve"> minus the values allocated to each pixel in Gy-1. Dy-2 represents the values allocated to each pixel in </w:t>
      </w:r>
      <w:proofErr w:type="spellStart"/>
      <w:r w:rsidRPr="00884D10">
        <w:t>Gy</w:t>
      </w:r>
      <w:proofErr w:type="spellEnd"/>
      <w:r w:rsidRPr="00884D10">
        <w:t xml:space="preserve"> minus the values allocated to each pixel in Gy-2 and so on. The 5 maps that are the product of this analysis will be:</w:t>
      </w:r>
    </w:p>
    <w:p w:rsidR="00F768B0" w:rsidRPr="00884D10" w:rsidRDefault="00F768B0" w:rsidP="00F768B0">
      <w:pPr>
        <w:pStyle w:val="R1"/>
        <w:ind w:left="3124" w:hanging="714"/>
        <w:rPr>
          <w:sz w:val="20"/>
          <w:szCs w:val="20"/>
        </w:rPr>
      </w:pPr>
      <w:r w:rsidRPr="00884D10">
        <w:rPr>
          <w:sz w:val="20"/>
          <w:szCs w:val="20"/>
        </w:rPr>
        <w:t>1.</w:t>
      </w:r>
      <w:r w:rsidRPr="00884D10">
        <w:rPr>
          <w:sz w:val="20"/>
          <w:szCs w:val="20"/>
        </w:rPr>
        <w:tab/>
        <w:t xml:space="preserve">Dy-1 = </w:t>
      </w:r>
      <w:proofErr w:type="spellStart"/>
      <w:r w:rsidRPr="00884D10">
        <w:rPr>
          <w:sz w:val="20"/>
          <w:szCs w:val="20"/>
        </w:rPr>
        <w:t>Gy</w:t>
      </w:r>
      <w:proofErr w:type="spellEnd"/>
      <w:r w:rsidRPr="00884D10">
        <w:rPr>
          <w:sz w:val="20"/>
          <w:szCs w:val="20"/>
        </w:rPr>
        <w:t xml:space="preserve"> – Gy-1;</w:t>
      </w:r>
    </w:p>
    <w:p w:rsidR="00F768B0" w:rsidRPr="00884D10" w:rsidRDefault="00F768B0" w:rsidP="00F768B0">
      <w:pPr>
        <w:pStyle w:val="R1"/>
        <w:ind w:left="3124" w:hanging="714"/>
        <w:rPr>
          <w:sz w:val="20"/>
          <w:szCs w:val="20"/>
        </w:rPr>
      </w:pPr>
      <w:r w:rsidRPr="00884D10">
        <w:rPr>
          <w:sz w:val="20"/>
          <w:szCs w:val="20"/>
        </w:rPr>
        <w:t>2.</w:t>
      </w:r>
      <w:r w:rsidRPr="00884D10">
        <w:rPr>
          <w:sz w:val="20"/>
          <w:szCs w:val="20"/>
        </w:rPr>
        <w:tab/>
        <w:t xml:space="preserve">Dy-2 = </w:t>
      </w:r>
      <w:proofErr w:type="spellStart"/>
      <w:r w:rsidRPr="00884D10">
        <w:rPr>
          <w:sz w:val="20"/>
          <w:szCs w:val="20"/>
        </w:rPr>
        <w:t>Gy</w:t>
      </w:r>
      <w:proofErr w:type="spellEnd"/>
      <w:r w:rsidRPr="00884D10">
        <w:rPr>
          <w:sz w:val="20"/>
          <w:szCs w:val="20"/>
        </w:rPr>
        <w:t xml:space="preserve"> – Gy-2;</w:t>
      </w:r>
    </w:p>
    <w:p w:rsidR="00F768B0" w:rsidRPr="00884D10" w:rsidRDefault="00F768B0" w:rsidP="00F768B0">
      <w:pPr>
        <w:pStyle w:val="R1"/>
        <w:ind w:left="3124" w:hanging="714"/>
        <w:rPr>
          <w:sz w:val="20"/>
          <w:szCs w:val="20"/>
        </w:rPr>
      </w:pPr>
      <w:r w:rsidRPr="00884D10">
        <w:rPr>
          <w:sz w:val="20"/>
          <w:szCs w:val="20"/>
        </w:rPr>
        <w:t>3.</w:t>
      </w:r>
      <w:r w:rsidRPr="00884D10">
        <w:rPr>
          <w:sz w:val="20"/>
          <w:szCs w:val="20"/>
        </w:rPr>
        <w:tab/>
        <w:t xml:space="preserve">Dy-3 = </w:t>
      </w:r>
      <w:proofErr w:type="spellStart"/>
      <w:r w:rsidRPr="00884D10">
        <w:rPr>
          <w:sz w:val="20"/>
          <w:szCs w:val="20"/>
        </w:rPr>
        <w:t>Gy</w:t>
      </w:r>
      <w:proofErr w:type="spellEnd"/>
      <w:r w:rsidRPr="00884D10">
        <w:rPr>
          <w:sz w:val="20"/>
          <w:szCs w:val="20"/>
        </w:rPr>
        <w:t xml:space="preserve"> – Gy-3;</w:t>
      </w:r>
    </w:p>
    <w:p w:rsidR="00F768B0" w:rsidRPr="00884D10" w:rsidRDefault="00F768B0" w:rsidP="00F768B0">
      <w:pPr>
        <w:pStyle w:val="R1"/>
        <w:ind w:left="3124" w:hanging="714"/>
        <w:rPr>
          <w:sz w:val="20"/>
          <w:szCs w:val="20"/>
        </w:rPr>
      </w:pPr>
      <w:r w:rsidRPr="00884D10">
        <w:rPr>
          <w:sz w:val="20"/>
          <w:szCs w:val="20"/>
        </w:rPr>
        <w:t>4.</w:t>
      </w:r>
      <w:r w:rsidRPr="00884D10">
        <w:rPr>
          <w:sz w:val="20"/>
          <w:szCs w:val="20"/>
        </w:rPr>
        <w:tab/>
        <w:t xml:space="preserve">Dy-4 = </w:t>
      </w:r>
      <w:proofErr w:type="spellStart"/>
      <w:r w:rsidRPr="00884D10">
        <w:rPr>
          <w:sz w:val="20"/>
          <w:szCs w:val="20"/>
        </w:rPr>
        <w:t>Gy</w:t>
      </w:r>
      <w:proofErr w:type="spellEnd"/>
      <w:r w:rsidRPr="00884D10">
        <w:rPr>
          <w:sz w:val="20"/>
          <w:szCs w:val="20"/>
        </w:rPr>
        <w:t xml:space="preserve"> – Gy-4; and</w:t>
      </w:r>
    </w:p>
    <w:p w:rsidR="00F768B0" w:rsidRPr="00884D10" w:rsidRDefault="00F768B0" w:rsidP="00F768B0">
      <w:pPr>
        <w:pStyle w:val="R1"/>
        <w:spacing w:after="120"/>
        <w:ind w:left="3124" w:hanging="714"/>
        <w:jc w:val="left"/>
        <w:rPr>
          <w:sz w:val="20"/>
          <w:szCs w:val="20"/>
        </w:rPr>
      </w:pPr>
      <w:r w:rsidRPr="00884D10">
        <w:rPr>
          <w:sz w:val="20"/>
          <w:szCs w:val="20"/>
        </w:rPr>
        <w:t>5.</w:t>
      </w:r>
      <w:r w:rsidRPr="00884D10">
        <w:rPr>
          <w:sz w:val="20"/>
          <w:szCs w:val="20"/>
        </w:rPr>
        <w:tab/>
        <w:t xml:space="preserve">Dy-5 = </w:t>
      </w:r>
      <w:proofErr w:type="spellStart"/>
      <w:r w:rsidRPr="00884D10">
        <w:rPr>
          <w:sz w:val="20"/>
          <w:szCs w:val="20"/>
        </w:rPr>
        <w:t>Gy</w:t>
      </w:r>
      <w:proofErr w:type="spellEnd"/>
      <w:r w:rsidRPr="00884D10">
        <w:rPr>
          <w:sz w:val="20"/>
          <w:szCs w:val="20"/>
        </w:rPr>
        <w:t xml:space="preserve"> – Gy-5;</w:t>
      </w:r>
    </w:p>
    <w:p w:rsidR="00F768B0" w:rsidRPr="00884D10" w:rsidRDefault="00F768B0" w:rsidP="00F768B0">
      <w:pPr>
        <w:pStyle w:val="tPara"/>
      </w:pPr>
      <w:r w:rsidRPr="00884D10">
        <w:tab/>
        <w:t>(g)</w:t>
      </w:r>
      <w:r w:rsidRPr="00884D10">
        <w:tab/>
        <w:t>the minimum value allocated to each corresponding pixel in each map must be calculated using a standard grid operation in GIS software and presented in a single map, which will have one of the following values for each pixel:</w:t>
      </w:r>
    </w:p>
    <w:p w:rsidR="00F768B0" w:rsidRPr="00884D10" w:rsidRDefault="00F768B0" w:rsidP="00F768B0">
      <w:pPr>
        <w:pStyle w:val="tSubpara"/>
      </w:pPr>
      <w:r w:rsidRPr="00884D10">
        <w:tab/>
        <w:t>(</w:t>
      </w:r>
      <w:proofErr w:type="spellStart"/>
      <w:r w:rsidRPr="00884D10">
        <w:t>i</w:t>
      </w:r>
      <w:proofErr w:type="spellEnd"/>
      <w:r w:rsidRPr="00884D10">
        <w:t>)</w:t>
      </w:r>
      <w:r w:rsidRPr="00884D10">
        <w:tab/>
        <w:t xml:space="preserve">a pixel value of zero, which means no fire in that pixel in any year; </w:t>
      </w:r>
    </w:p>
    <w:p w:rsidR="00F768B0" w:rsidRPr="00884D10" w:rsidRDefault="00F768B0" w:rsidP="00F768B0">
      <w:pPr>
        <w:pStyle w:val="tSubpara"/>
      </w:pPr>
      <w:r w:rsidRPr="00884D10">
        <w:tab/>
        <w:t>(ii)</w:t>
      </w:r>
      <w:r w:rsidRPr="00884D10">
        <w:tab/>
        <w:t>a pixel value of a large negative number (e.g. -2006), which means not burnt in the analysis year but burnt in one or more of the other years;</w:t>
      </w:r>
    </w:p>
    <w:p w:rsidR="00F768B0" w:rsidRPr="00884D10" w:rsidRDefault="00F768B0" w:rsidP="00F768B0">
      <w:pPr>
        <w:pStyle w:val="tSubpara"/>
      </w:pPr>
      <w:r w:rsidRPr="00884D10">
        <w:tab/>
        <w:t>(iii)</w:t>
      </w:r>
      <w:r w:rsidRPr="00884D10">
        <w:tab/>
        <w:t xml:space="preserve">a pixel value of 1 to 5, which means burnt in the analysis year and also burnt in another year; or </w:t>
      </w:r>
    </w:p>
    <w:p w:rsidR="00F768B0" w:rsidRPr="00884D10" w:rsidRDefault="00F768B0" w:rsidP="00F768B0">
      <w:pPr>
        <w:pStyle w:val="tSubpara"/>
      </w:pPr>
      <w:r w:rsidRPr="00884D10">
        <w:lastRenderedPageBreak/>
        <w:tab/>
        <w:t>(iv)</w:t>
      </w:r>
      <w:r w:rsidRPr="00884D10">
        <w:tab/>
        <w:t>a pixel value equal to the value of the analysis year, which means burnt in the analysis year and in no other year;</w:t>
      </w:r>
    </w:p>
    <w:p w:rsidR="00F768B0" w:rsidRPr="00884D10" w:rsidRDefault="00F768B0" w:rsidP="00F768B0">
      <w:pPr>
        <w:pStyle w:val="tPara"/>
      </w:pPr>
      <w:r w:rsidRPr="00884D10">
        <w:tab/>
        <w:t>(h)</w:t>
      </w:r>
      <w:r w:rsidRPr="00884D10">
        <w:tab/>
        <w:t>the values assigned to each pixel in this map must be modified using the following formula:</w:t>
      </w:r>
    </w:p>
    <w:p w:rsidR="00F768B0" w:rsidRPr="00884D10" w:rsidRDefault="00F768B0" w:rsidP="00F768B0">
      <w:pPr>
        <w:pStyle w:val="tSubpara"/>
      </w:pPr>
      <w:r w:rsidRPr="00884D10">
        <w:tab/>
        <w:t>(</w:t>
      </w:r>
      <w:proofErr w:type="spellStart"/>
      <w:r w:rsidRPr="00884D10">
        <w:t>i</w:t>
      </w:r>
      <w:proofErr w:type="spellEnd"/>
      <w:r w:rsidRPr="00884D10">
        <w:t>)</w:t>
      </w:r>
      <w:r w:rsidRPr="00884D10">
        <w:tab/>
        <w:t>if the value in a pixel is a negative value, the pixel must be modified to show zero;</w:t>
      </w:r>
    </w:p>
    <w:p w:rsidR="00F768B0" w:rsidRPr="00884D10" w:rsidRDefault="00F768B0" w:rsidP="00F768B0">
      <w:pPr>
        <w:pStyle w:val="tSubpara"/>
      </w:pPr>
      <w:r w:rsidRPr="00884D10">
        <w:tab/>
        <w:t>(ii)</w:t>
      </w:r>
      <w:r w:rsidRPr="00884D10">
        <w:tab/>
        <w:t xml:space="preserve">if the value in a pixel is more than 5, the pixel must be modified to show 6; and </w:t>
      </w:r>
    </w:p>
    <w:p w:rsidR="00F768B0" w:rsidRPr="00884D10" w:rsidRDefault="00F768B0" w:rsidP="00F768B0">
      <w:pPr>
        <w:pStyle w:val="tSubpara"/>
      </w:pPr>
      <w:r w:rsidRPr="00884D10">
        <w:tab/>
        <w:t>(iii)</w:t>
      </w:r>
      <w:r w:rsidRPr="00884D10">
        <w:tab/>
        <w:t>if the value is in the range from zero to 5, no change must be made to the value shown in the pixel;</w:t>
      </w:r>
    </w:p>
    <w:p w:rsidR="00F768B0" w:rsidRPr="00884D10" w:rsidRDefault="00F768B0" w:rsidP="00F768B0">
      <w:pPr>
        <w:pStyle w:val="tPara"/>
      </w:pPr>
      <w:r w:rsidRPr="00884D10">
        <w:tab/>
        <w:t>(</w:t>
      </w:r>
      <w:proofErr w:type="spellStart"/>
      <w:r w:rsidRPr="00884D10">
        <w:t>i</w:t>
      </w:r>
      <w:proofErr w:type="spellEnd"/>
      <w:r w:rsidRPr="00884D10">
        <w:t>)</w:t>
      </w:r>
      <w:r w:rsidRPr="00884D10">
        <w:tab/>
        <w:t>the output of this process is a single map (</w:t>
      </w:r>
      <w:r w:rsidRPr="00884D10">
        <w:rPr>
          <w:b/>
          <w:i/>
        </w:rPr>
        <w:t>the YSLB map</w:t>
      </w:r>
      <w:r w:rsidRPr="00884D10">
        <w:t xml:space="preserve">) with YSLB values that show the YSLB; </w:t>
      </w:r>
    </w:p>
    <w:p w:rsidR="00F768B0" w:rsidRPr="00884D10" w:rsidRDefault="00F768B0" w:rsidP="00F768B0">
      <w:pPr>
        <w:pStyle w:val="tPara"/>
      </w:pPr>
      <w:r w:rsidRPr="00884D10">
        <w:tab/>
        <w:t>(j)</w:t>
      </w:r>
      <w:r w:rsidRPr="00884D10">
        <w:tab/>
        <w:t>the values specified in paragraph (</w:t>
      </w:r>
      <w:proofErr w:type="spellStart"/>
      <w:r w:rsidRPr="00884D10">
        <w:t>i</w:t>
      </w:r>
      <w:proofErr w:type="spellEnd"/>
      <w:r w:rsidRPr="00884D10">
        <w:t>) are in the range zero to 6 where:</w:t>
      </w:r>
    </w:p>
    <w:p w:rsidR="00F768B0" w:rsidRPr="00884D10" w:rsidRDefault="00F768B0" w:rsidP="00F768B0">
      <w:pPr>
        <w:pStyle w:val="tSubpara"/>
      </w:pPr>
      <w:r w:rsidRPr="00884D10">
        <w:tab/>
        <w:t>(</w:t>
      </w:r>
      <w:proofErr w:type="spellStart"/>
      <w:r w:rsidRPr="00884D10">
        <w:t>i</w:t>
      </w:r>
      <w:proofErr w:type="spellEnd"/>
      <w:r w:rsidRPr="00884D10">
        <w:t>)</w:t>
      </w:r>
      <w:r w:rsidRPr="00884D10">
        <w:tab/>
        <w:t>values 1 to 5 represent the number of years since the previous fire in that pixel;</w:t>
      </w:r>
    </w:p>
    <w:p w:rsidR="00F768B0" w:rsidRPr="00884D10" w:rsidRDefault="00F768B0" w:rsidP="00F768B0">
      <w:pPr>
        <w:pStyle w:val="tSubpara"/>
      </w:pPr>
      <w:r w:rsidRPr="00884D10">
        <w:tab/>
        <w:t>(ii)</w:t>
      </w:r>
      <w:r w:rsidRPr="00884D10">
        <w:tab/>
        <w:t>a value of 6 means that pixel was burnt more than 5 years previously (or never burnt); and</w:t>
      </w:r>
    </w:p>
    <w:p w:rsidR="00F768B0" w:rsidRPr="00884D10" w:rsidRDefault="00F768B0" w:rsidP="00F768B0">
      <w:pPr>
        <w:pStyle w:val="tSubpara"/>
      </w:pPr>
      <w:r w:rsidRPr="00884D10">
        <w:tab/>
        <w:t>(iii)</w:t>
      </w:r>
      <w:r w:rsidRPr="00884D10">
        <w:tab/>
        <w:t>a value of zero means that the pixel was not burnt in the analysis year.</w:t>
      </w:r>
    </w:p>
    <w:p w:rsidR="00F768B0" w:rsidRPr="00884D10" w:rsidRDefault="00F768B0" w:rsidP="00F768B0">
      <w:pPr>
        <w:pStyle w:val="h5Section"/>
      </w:pPr>
      <w:bookmarkStart w:id="59" w:name="_Toc357780189"/>
      <w:r>
        <w:t>4.13</w:t>
      </w:r>
      <w:r w:rsidRPr="00884D10">
        <w:tab/>
        <w:t>Calculating the relative frequency distribution of fire history</w:t>
      </w:r>
      <w:bookmarkEnd w:id="59"/>
      <w:r w:rsidRPr="00884D10">
        <w:t xml:space="preserve"> </w:t>
      </w:r>
    </w:p>
    <w:p w:rsidR="00F768B0" w:rsidRPr="00884D10" w:rsidRDefault="00F768B0" w:rsidP="00F768B0">
      <w:pPr>
        <w:pStyle w:val="tMain"/>
      </w:pPr>
      <w:r w:rsidRPr="00884D10">
        <w:tab/>
        <w:t>(1)</w:t>
      </w:r>
      <w:r w:rsidRPr="00884D10">
        <w:tab/>
        <w:t>The YSLB map developed in accordance with section 4.12 must be overlaid with the vegetation map developed in accordance with subsection 4.5(1) and the number of pixels burnt (</w:t>
      </w:r>
      <w:proofErr w:type="spellStart"/>
      <w:r w:rsidRPr="00884D10">
        <w:t>N</w:t>
      </w:r>
      <w:r w:rsidRPr="00884D10">
        <w:rPr>
          <w:vertAlign w:val="subscript"/>
        </w:rPr>
        <w:t>b</w:t>
      </w:r>
      <w:proofErr w:type="spellEnd"/>
      <w:r w:rsidRPr="00884D10">
        <w:t xml:space="preserve">) in each vegetation class for each YSLB value determined. </w:t>
      </w:r>
    </w:p>
    <w:p w:rsidR="00F768B0" w:rsidRPr="00884D10" w:rsidRDefault="00F768B0" w:rsidP="00F768B0">
      <w:pPr>
        <w:pStyle w:val="tMain"/>
      </w:pPr>
      <w:r w:rsidRPr="00884D10">
        <w:tab/>
        <w:t>(2)</w:t>
      </w:r>
      <w:r w:rsidRPr="00884D10">
        <w:tab/>
        <w:t>These values (</w:t>
      </w:r>
      <w:proofErr w:type="spellStart"/>
      <w:r w:rsidRPr="00884D10">
        <w:t>N</w:t>
      </w:r>
      <w:r w:rsidRPr="00884D10">
        <w:rPr>
          <w:vertAlign w:val="subscript"/>
        </w:rPr>
        <w:t>b</w:t>
      </w:r>
      <w:proofErr w:type="spellEnd"/>
      <w:r w:rsidRPr="00884D10">
        <w:t xml:space="preserve">) must be recorded in the appropriate cell in Table 14 of Form 1 of Schedule 2 and summed across the rows to calculate </w:t>
      </w:r>
      <w:proofErr w:type="spellStart"/>
      <w:r w:rsidRPr="00884D10">
        <w:t>N</w:t>
      </w:r>
      <w:r w:rsidRPr="00884D10">
        <w:rPr>
          <w:vertAlign w:val="subscript"/>
        </w:rPr>
        <w:t>total</w:t>
      </w:r>
      <w:proofErr w:type="spellEnd"/>
      <w:r w:rsidRPr="00884D10">
        <w:t>, the total number of burnt pixels by vegetation class.</w:t>
      </w:r>
    </w:p>
    <w:p w:rsidR="00F768B0" w:rsidRPr="00884D10" w:rsidRDefault="00F768B0" w:rsidP="00F768B0">
      <w:pPr>
        <w:pStyle w:val="tMain"/>
      </w:pPr>
      <w:r w:rsidRPr="00884D10">
        <w:tab/>
        <w:t>(3)</w:t>
      </w:r>
      <w:r w:rsidRPr="00884D10">
        <w:tab/>
        <w:t xml:space="preserve">A relative frequency distribution of each YSLB value for each vegetation class must be produced using the values for </w:t>
      </w:r>
      <w:proofErr w:type="spellStart"/>
      <w:r w:rsidRPr="00884D10">
        <w:t>N</w:t>
      </w:r>
      <w:r w:rsidRPr="00884D10">
        <w:rPr>
          <w:vertAlign w:val="subscript"/>
        </w:rPr>
        <w:t>b</w:t>
      </w:r>
      <w:proofErr w:type="spellEnd"/>
      <w:r w:rsidRPr="00884D10">
        <w:t xml:space="preserve"> and </w:t>
      </w:r>
      <w:proofErr w:type="spellStart"/>
      <w:r w:rsidRPr="00884D10">
        <w:t>N</w:t>
      </w:r>
      <w:r w:rsidRPr="00884D10">
        <w:rPr>
          <w:vertAlign w:val="subscript"/>
        </w:rPr>
        <w:t>total</w:t>
      </w:r>
      <w:proofErr w:type="spellEnd"/>
      <w:r w:rsidRPr="00884D10">
        <w:t xml:space="preserve"> in Table 14 of Form 1 of Schedule 2 and the following formula: </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5"/>
        <w:gridCol w:w="1927"/>
      </w:tblGrid>
      <w:tr w:rsidR="00F768B0" w:rsidRPr="00884D10" w:rsidTr="00C83E03">
        <w:tc>
          <w:tcPr>
            <w:tcW w:w="6095" w:type="dxa"/>
          </w:tcPr>
          <w:p w:rsidR="00F768B0" w:rsidRPr="00884D10" w:rsidRDefault="00F768B0" w:rsidP="00C83E03">
            <w:pPr>
              <w:spacing w:before="120" w:after="120"/>
              <w:jc w:val="center"/>
              <w:rPr>
                <w:b/>
                <w:sz w:val="22"/>
              </w:rPr>
            </w:pPr>
            <w:r w:rsidRPr="00884D10">
              <w:rPr>
                <w:b/>
                <w:position w:val="-30"/>
                <w:sz w:val="22"/>
              </w:rPr>
              <w:t xml:space="preserve">Relative frequency distribution of YSLB values = </w:t>
            </w:r>
            <w:proofErr w:type="spellStart"/>
            <w:r w:rsidRPr="00884D10">
              <w:rPr>
                <w:b/>
                <w:position w:val="-30"/>
                <w:sz w:val="22"/>
              </w:rPr>
              <w:t>N</w:t>
            </w:r>
            <w:r w:rsidRPr="00884D10">
              <w:rPr>
                <w:b/>
                <w:position w:val="-30"/>
                <w:sz w:val="22"/>
                <w:vertAlign w:val="subscript"/>
              </w:rPr>
              <w:t>b</w:t>
            </w:r>
            <w:proofErr w:type="spellEnd"/>
            <w:r w:rsidRPr="00884D10">
              <w:rPr>
                <w:b/>
                <w:position w:val="-30"/>
                <w:sz w:val="22"/>
                <w:vertAlign w:val="subscript"/>
              </w:rPr>
              <w:t xml:space="preserve"> </w:t>
            </w:r>
            <w:r w:rsidRPr="00884D10">
              <w:rPr>
                <w:b/>
                <w:position w:val="-30"/>
                <w:sz w:val="22"/>
              </w:rPr>
              <w:t xml:space="preserve">/ </w:t>
            </w:r>
            <w:proofErr w:type="spellStart"/>
            <w:r w:rsidRPr="00884D10">
              <w:rPr>
                <w:b/>
                <w:position w:val="-30"/>
                <w:sz w:val="22"/>
              </w:rPr>
              <w:t>N</w:t>
            </w:r>
            <w:r w:rsidRPr="00884D10">
              <w:rPr>
                <w:b/>
                <w:position w:val="-30"/>
                <w:sz w:val="22"/>
                <w:vertAlign w:val="subscript"/>
              </w:rPr>
              <w:t>total</w:t>
            </w:r>
            <w:proofErr w:type="spellEnd"/>
          </w:p>
        </w:tc>
        <w:tc>
          <w:tcPr>
            <w:tcW w:w="1927" w:type="dxa"/>
          </w:tcPr>
          <w:p w:rsidR="00F768B0" w:rsidRPr="00884D10" w:rsidRDefault="00F768B0" w:rsidP="00C83E03">
            <w:pPr>
              <w:spacing w:before="120" w:after="120"/>
              <w:jc w:val="center"/>
              <w:rPr>
                <w:rFonts w:ascii="Arial" w:hAnsi="Arial"/>
                <w:b/>
              </w:rPr>
            </w:pPr>
            <w:r w:rsidRPr="00884D10">
              <w:rPr>
                <w:b/>
              </w:rPr>
              <w:t>Equation 5</w:t>
            </w:r>
          </w:p>
        </w:tc>
      </w:tr>
    </w:tbl>
    <w:p w:rsidR="00F768B0" w:rsidRPr="00884D10" w:rsidRDefault="00F768B0" w:rsidP="00F768B0">
      <w:pPr>
        <w:pStyle w:val="R1"/>
        <w:tabs>
          <w:tab w:val="clear" w:pos="794"/>
        </w:tabs>
        <w:ind w:left="993" w:firstLine="0"/>
        <w:jc w:val="left"/>
      </w:pPr>
      <w:r w:rsidRPr="00884D10">
        <w:t>Where:</w:t>
      </w:r>
    </w:p>
    <w:p w:rsidR="00F768B0" w:rsidRPr="00884D10" w:rsidRDefault="00F768B0" w:rsidP="00F768B0">
      <w:pPr>
        <w:spacing w:before="120" w:line="260" w:lineRule="exact"/>
        <w:ind w:left="993"/>
        <w:rPr>
          <w:rFonts w:eastAsia="Calibri"/>
          <w:b/>
        </w:rPr>
      </w:pPr>
      <w:r w:rsidRPr="00884D10">
        <w:rPr>
          <w:rFonts w:eastAsia="Calibri"/>
          <w:b/>
        </w:rPr>
        <w:t xml:space="preserve">Relative frequency distribution of YSLB values </w:t>
      </w:r>
      <w:r w:rsidRPr="00884D10">
        <w:rPr>
          <w:rFonts w:eastAsia="Calibri"/>
        </w:rPr>
        <w:t>= the number of pixels burnt in each vegetation class for each YSLB value.</w:t>
      </w:r>
    </w:p>
    <w:p w:rsidR="00F768B0" w:rsidRPr="00884D10" w:rsidRDefault="00F768B0" w:rsidP="00F768B0">
      <w:pPr>
        <w:spacing w:before="120" w:line="260" w:lineRule="exact"/>
        <w:ind w:left="993"/>
      </w:pPr>
      <w:proofErr w:type="spellStart"/>
      <w:r w:rsidRPr="00884D10">
        <w:rPr>
          <w:rFonts w:eastAsia="Calibri"/>
          <w:b/>
        </w:rPr>
        <w:t>N</w:t>
      </w:r>
      <w:r w:rsidRPr="00884D10">
        <w:rPr>
          <w:rFonts w:eastAsia="Calibri"/>
          <w:b/>
          <w:vertAlign w:val="subscript"/>
        </w:rPr>
        <w:t>b</w:t>
      </w:r>
      <w:proofErr w:type="spellEnd"/>
      <w:r w:rsidRPr="00884D10">
        <w:rPr>
          <w:rFonts w:eastAsia="Calibri"/>
          <w:b/>
          <w:vertAlign w:val="subscript"/>
        </w:rPr>
        <w:t xml:space="preserve"> </w:t>
      </w:r>
      <w:r w:rsidRPr="00884D10">
        <w:rPr>
          <w:rFonts w:eastAsia="Calibri"/>
        </w:rPr>
        <w:t>=</w:t>
      </w:r>
      <w:r w:rsidRPr="00884D10">
        <w:rPr>
          <w:rFonts w:eastAsia="Calibri"/>
          <w:sz w:val="22"/>
          <w:szCs w:val="22"/>
        </w:rPr>
        <w:t xml:space="preserve"> </w:t>
      </w:r>
      <w:r w:rsidRPr="00884D10">
        <w:rPr>
          <w:rFonts w:eastAsia="Calibri"/>
          <w:sz w:val="22"/>
          <w:szCs w:val="22"/>
        </w:rPr>
        <w:tab/>
      </w:r>
      <w:r w:rsidRPr="00884D10">
        <w:t>the number of burnt pixels for each vegetation class by YSLB.</w:t>
      </w:r>
    </w:p>
    <w:p w:rsidR="00F768B0" w:rsidRPr="00884D10" w:rsidRDefault="00F768B0" w:rsidP="00F768B0">
      <w:pPr>
        <w:spacing w:before="120" w:line="260" w:lineRule="exact"/>
        <w:ind w:left="993"/>
      </w:pPr>
      <w:proofErr w:type="spellStart"/>
      <w:r w:rsidRPr="00884D10">
        <w:rPr>
          <w:rFonts w:eastAsia="Calibri"/>
          <w:b/>
        </w:rPr>
        <w:t>N</w:t>
      </w:r>
      <w:r w:rsidRPr="00884D10">
        <w:rPr>
          <w:rFonts w:eastAsia="Calibri"/>
          <w:b/>
          <w:vertAlign w:val="subscript"/>
        </w:rPr>
        <w:t>total</w:t>
      </w:r>
      <w:proofErr w:type="spellEnd"/>
      <w:r w:rsidRPr="00884D10">
        <w:rPr>
          <w:rFonts w:eastAsia="Calibri"/>
        </w:rPr>
        <w:t xml:space="preserve"> =</w:t>
      </w:r>
      <w:r w:rsidRPr="00884D10">
        <w:rPr>
          <w:rFonts w:eastAsia="Calibri"/>
          <w:sz w:val="22"/>
          <w:szCs w:val="22"/>
        </w:rPr>
        <w:t xml:space="preserve"> </w:t>
      </w:r>
      <w:r w:rsidRPr="00884D10">
        <w:rPr>
          <w:rFonts w:eastAsia="Calibri"/>
          <w:sz w:val="22"/>
          <w:szCs w:val="22"/>
        </w:rPr>
        <w:tab/>
      </w:r>
      <w:r w:rsidRPr="00884D10">
        <w:t xml:space="preserve">the sum of </w:t>
      </w:r>
      <w:proofErr w:type="spellStart"/>
      <w:r w:rsidRPr="00884D10">
        <w:t>N</w:t>
      </w:r>
      <w:r w:rsidRPr="00884D10">
        <w:rPr>
          <w:vertAlign w:val="subscript"/>
        </w:rPr>
        <w:t>b</w:t>
      </w:r>
      <w:proofErr w:type="spellEnd"/>
      <w:r w:rsidRPr="00884D10">
        <w:t xml:space="preserve"> values for each vegetation class.</w:t>
      </w:r>
    </w:p>
    <w:p w:rsidR="00130233" w:rsidRDefault="00130233" w:rsidP="00F768B0">
      <w:pPr>
        <w:pStyle w:val="tMain"/>
        <w:spacing w:before="120"/>
      </w:pPr>
    </w:p>
    <w:p w:rsidR="00130233" w:rsidRDefault="00130233" w:rsidP="00F768B0">
      <w:pPr>
        <w:pStyle w:val="tMain"/>
        <w:spacing w:before="120"/>
      </w:pPr>
    </w:p>
    <w:p w:rsidR="00130233" w:rsidRDefault="00130233" w:rsidP="00F768B0">
      <w:pPr>
        <w:pStyle w:val="tMain"/>
        <w:spacing w:before="120"/>
      </w:pPr>
    </w:p>
    <w:p w:rsidR="00F768B0" w:rsidRPr="00884D10" w:rsidRDefault="00F768B0" w:rsidP="00F768B0">
      <w:pPr>
        <w:pStyle w:val="tMain"/>
        <w:spacing w:before="120"/>
      </w:pPr>
      <w:r w:rsidRPr="00884D10">
        <w:tab/>
        <w:t>(4)</w:t>
      </w:r>
      <w:r w:rsidRPr="00884D10">
        <w:tab/>
        <w:t>The relative frequency distribution of YSLB values must be calculated for each vegetation class and recorded in Table 15 of Form 1 of Schedule 2.</w:t>
      </w:r>
    </w:p>
    <w:p w:rsidR="00F768B0" w:rsidRPr="00884D10" w:rsidRDefault="00F768B0" w:rsidP="00F768B0">
      <w:pPr>
        <w:pStyle w:val="h5Section"/>
      </w:pPr>
      <w:bookmarkStart w:id="60" w:name="_Toc357780190"/>
      <w:r>
        <w:t>4.14</w:t>
      </w:r>
      <w:r w:rsidRPr="00884D10">
        <w:tab/>
        <w:t>Calculating the fuel load for fine fuels</w:t>
      </w:r>
      <w:bookmarkEnd w:id="60"/>
      <w:r w:rsidRPr="00884D10">
        <w:t xml:space="preserve"> </w:t>
      </w:r>
    </w:p>
    <w:p w:rsidR="00F768B0" w:rsidRPr="00884D10" w:rsidRDefault="00F768B0" w:rsidP="00F768B0">
      <w:pPr>
        <w:pStyle w:val="tMain"/>
        <w:keepNext/>
      </w:pPr>
      <w:r w:rsidRPr="00884D10">
        <w:tab/>
        <w:t>(1)</w:t>
      </w:r>
      <w:r w:rsidRPr="00884D10">
        <w:tab/>
        <w:t>The fuel accumulation values (in tonnes per hectare) for fine fuels based on YSLB are taken to be the amount set out in the following table:</w:t>
      </w:r>
    </w:p>
    <w:p w:rsidR="00F768B0" w:rsidRPr="00884D10" w:rsidRDefault="00F768B0" w:rsidP="00F768B0">
      <w:pPr>
        <w:pStyle w:val="R2"/>
        <w:keepNext/>
        <w:tabs>
          <w:tab w:val="clear" w:pos="794"/>
          <w:tab w:val="left" w:pos="6670"/>
        </w:tabs>
        <w:ind w:left="786" w:firstLine="0"/>
        <w:jc w:val="center"/>
        <w:rPr>
          <w:b/>
        </w:rPr>
      </w:pPr>
      <w:r w:rsidRPr="00884D10">
        <w:rPr>
          <w:b/>
        </w:rPr>
        <w:t>Table 3: Fuel accumulation values for fine fuels (t ha</w:t>
      </w:r>
      <w:r w:rsidRPr="00884D10">
        <w:rPr>
          <w:b/>
          <w:vertAlign w:val="superscript"/>
        </w:rPr>
        <w:t>-1</w:t>
      </w:r>
      <w:r w:rsidRPr="00884D10">
        <w:rPr>
          <w:b/>
        </w:rPr>
        <w:t>)</w:t>
      </w:r>
    </w:p>
    <w:tbl>
      <w:tblPr>
        <w:tblW w:w="8086" w:type="dxa"/>
        <w:jc w:val="center"/>
        <w:shd w:val="clear" w:color="auto" w:fill="FFFFFF" w:themeFill="background1"/>
        <w:tblLook w:val="04A0" w:firstRow="1" w:lastRow="0" w:firstColumn="1" w:lastColumn="0" w:noHBand="0" w:noVBand="1"/>
      </w:tblPr>
      <w:tblGrid>
        <w:gridCol w:w="1324"/>
        <w:gridCol w:w="1242"/>
        <w:gridCol w:w="1177"/>
        <w:gridCol w:w="1085"/>
        <w:gridCol w:w="1085"/>
        <w:gridCol w:w="1085"/>
        <w:gridCol w:w="1088"/>
      </w:tblGrid>
      <w:tr w:rsidR="00F768B0" w:rsidRPr="00884D10" w:rsidTr="00C83E03">
        <w:trPr>
          <w:trHeight w:val="600"/>
          <w:jc w:val="center"/>
        </w:trPr>
        <w:tc>
          <w:tcPr>
            <w:tcW w:w="1324" w:type="dxa"/>
            <w:vMerge w:val="restart"/>
            <w:tcBorders>
              <w:top w:val="single" w:sz="4" w:space="0" w:color="auto"/>
              <w:left w:val="single" w:sz="4" w:space="0" w:color="auto"/>
              <w:right w:val="single" w:sz="4" w:space="0" w:color="auto"/>
            </w:tcBorders>
            <w:shd w:val="clear" w:color="auto" w:fill="FFFFFF" w:themeFill="background1"/>
          </w:tcPr>
          <w:p w:rsidR="00F768B0" w:rsidRPr="00884D10" w:rsidRDefault="00F768B0" w:rsidP="00C83E03">
            <w:pPr>
              <w:keepNext/>
              <w:rPr>
                <w:b/>
                <w:bCs/>
                <w:color w:val="000000"/>
              </w:rPr>
            </w:pPr>
            <w:r w:rsidRPr="00884D10">
              <w:rPr>
                <w:b/>
                <w:bCs/>
                <w:color w:val="000000"/>
              </w:rPr>
              <w:t xml:space="preserve">Vegetation class </w:t>
            </w:r>
          </w:p>
        </w:tc>
        <w:tc>
          <w:tcPr>
            <w:tcW w:w="6762"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768B0" w:rsidRPr="00884D10" w:rsidRDefault="00F768B0" w:rsidP="00C83E03">
            <w:pPr>
              <w:keepNext/>
              <w:jc w:val="center"/>
              <w:rPr>
                <w:b/>
                <w:bCs/>
                <w:color w:val="000000"/>
              </w:rPr>
            </w:pPr>
            <w:r w:rsidRPr="00884D10">
              <w:rPr>
                <w:b/>
                <w:bCs/>
                <w:color w:val="000000"/>
              </w:rPr>
              <w:t>YSLB (n)</w:t>
            </w:r>
          </w:p>
        </w:tc>
      </w:tr>
      <w:tr w:rsidR="00F768B0" w:rsidRPr="00884D10" w:rsidTr="00C83E03">
        <w:trPr>
          <w:trHeight w:val="300"/>
          <w:jc w:val="center"/>
        </w:trPr>
        <w:tc>
          <w:tcPr>
            <w:tcW w:w="1324" w:type="dxa"/>
            <w:vMerge/>
            <w:tcBorders>
              <w:left w:val="single" w:sz="4" w:space="0" w:color="auto"/>
              <w:bottom w:val="single" w:sz="4" w:space="0" w:color="auto"/>
              <w:right w:val="single" w:sz="4" w:space="0" w:color="auto"/>
            </w:tcBorders>
            <w:shd w:val="clear" w:color="auto" w:fill="FFFFFF" w:themeFill="background1"/>
          </w:tcPr>
          <w:p w:rsidR="00F768B0" w:rsidRPr="00884D10" w:rsidRDefault="00F768B0" w:rsidP="00C83E03">
            <w:pPr>
              <w:keepNext/>
              <w:rPr>
                <w:b/>
                <w:bCs/>
                <w:color w:val="000000"/>
              </w:rPr>
            </w:pPr>
          </w:p>
        </w:tc>
        <w:tc>
          <w:tcPr>
            <w:tcW w:w="1242" w:type="dxa"/>
            <w:tcBorders>
              <w:top w:val="nil"/>
              <w:left w:val="single" w:sz="4" w:space="0" w:color="auto"/>
              <w:bottom w:val="single" w:sz="4" w:space="0" w:color="auto"/>
              <w:right w:val="single" w:sz="4" w:space="0" w:color="auto"/>
            </w:tcBorders>
            <w:shd w:val="clear" w:color="auto" w:fill="FFFFFF" w:themeFill="background1"/>
            <w:vAlign w:val="bottom"/>
          </w:tcPr>
          <w:p w:rsidR="00F768B0" w:rsidRPr="00884D10" w:rsidRDefault="00F768B0" w:rsidP="00C83E03">
            <w:pPr>
              <w:keepNext/>
              <w:jc w:val="center"/>
              <w:rPr>
                <w:b/>
                <w:bCs/>
                <w:color w:val="000000"/>
              </w:rPr>
            </w:pPr>
            <w:r w:rsidRPr="00884D10">
              <w:rPr>
                <w:b/>
                <w:bCs/>
                <w:color w:val="000000"/>
              </w:rPr>
              <w:t>1</w:t>
            </w:r>
          </w:p>
        </w:tc>
        <w:tc>
          <w:tcPr>
            <w:tcW w:w="1177" w:type="dxa"/>
            <w:tcBorders>
              <w:top w:val="nil"/>
              <w:left w:val="nil"/>
              <w:bottom w:val="single" w:sz="4" w:space="0" w:color="auto"/>
              <w:right w:val="single" w:sz="4" w:space="0" w:color="auto"/>
            </w:tcBorders>
            <w:shd w:val="clear" w:color="auto" w:fill="FFFFFF" w:themeFill="background1"/>
            <w:vAlign w:val="bottom"/>
          </w:tcPr>
          <w:p w:rsidR="00F768B0" w:rsidRPr="00884D10" w:rsidRDefault="00F768B0" w:rsidP="00C83E03">
            <w:pPr>
              <w:keepNext/>
              <w:jc w:val="center"/>
              <w:rPr>
                <w:b/>
                <w:bCs/>
                <w:color w:val="000000"/>
              </w:rPr>
            </w:pPr>
            <w:r w:rsidRPr="00884D10">
              <w:rPr>
                <w:b/>
                <w:bCs/>
                <w:color w:val="000000"/>
              </w:rPr>
              <w:t>2</w:t>
            </w:r>
          </w:p>
        </w:tc>
        <w:tc>
          <w:tcPr>
            <w:tcW w:w="1085" w:type="dxa"/>
            <w:tcBorders>
              <w:top w:val="nil"/>
              <w:left w:val="nil"/>
              <w:bottom w:val="single" w:sz="4" w:space="0" w:color="auto"/>
              <w:right w:val="single" w:sz="4" w:space="0" w:color="auto"/>
            </w:tcBorders>
            <w:shd w:val="clear" w:color="auto" w:fill="FFFFFF" w:themeFill="background1"/>
          </w:tcPr>
          <w:p w:rsidR="00F768B0" w:rsidRPr="00884D10" w:rsidRDefault="00F768B0" w:rsidP="00C83E03">
            <w:pPr>
              <w:keepNext/>
              <w:jc w:val="center"/>
              <w:rPr>
                <w:b/>
                <w:bCs/>
                <w:color w:val="000000"/>
              </w:rPr>
            </w:pPr>
            <w:r w:rsidRPr="00884D10">
              <w:rPr>
                <w:b/>
                <w:bCs/>
                <w:color w:val="000000"/>
              </w:rPr>
              <w:t>3</w:t>
            </w:r>
          </w:p>
        </w:tc>
        <w:tc>
          <w:tcPr>
            <w:tcW w:w="1085" w:type="dxa"/>
            <w:tcBorders>
              <w:top w:val="nil"/>
              <w:left w:val="nil"/>
              <w:bottom w:val="single" w:sz="4" w:space="0" w:color="auto"/>
              <w:right w:val="single" w:sz="4" w:space="0" w:color="auto"/>
            </w:tcBorders>
            <w:shd w:val="clear" w:color="auto" w:fill="FFFFFF" w:themeFill="background1"/>
          </w:tcPr>
          <w:p w:rsidR="00F768B0" w:rsidRPr="00884D10" w:rsidRDefault="00F768B0" w:rsidP="00C83E03">
            <w:pPr>
              <w:keepNext/>
              <w:jc w:val="center"/>
              <w:rPr>
                <w:b/>
                <w:bCs/>
                <w:color w:val="000000"/>
              </w:rPr>
            </w:pPr>
            <w:r w:rsidRPr="00884D10">
              <w:rPr>
                <w:b/>
                <w:bCs/>
                <w:color w:val="000000"/>
              </w:rPr>
              <w:t>4</w:t>
            </w:r>
          </w:p>
        </w:tc>
        <w:tc>
          <w:tcPr>
            <w:tcW w:w="1085" w:type="dxa"/>
            <w:tcBorders>
              <w:top w:val="nil"/>
              <w:left w:val="nil"/>
              <w:bottom w:val="single" w:sz="4" w:space="0" w:color="auto"/>
              <w:right w:val="single" w:sz="4" w:space="0" w:color="auto"/>
            </w:tcBorders>
            <w:shd w:val="clear" w:color="auto" w:fill="FFFFFF" w:themeFill="background1"/>
          </w:tcPr>
          <w:p w:rsidR="00F768B0" w:rsidRPr="00884D10" w:rsidRDefault="00F768B0" w:rsidP="00C83E03">
            <w:pPr>
              <w:keepNext/>
              <w:jc w:val="center"/>
              <w:rPr>
                <w:b/>
                <w:bCs/>
                <w:color w:val="000000"/>
              </w:rPr>
            </w:pPr>
            <w:r w:rsidRPr="00884D10">
              <w:rPr>
                <w:b/>
                <w:bCs/>
                <w:color w:val="000000"/>
              </w:rPr>
              <w:t>5</w:t>
            </w:r>
          </w:p>
        </w:tc>
        <w:tc>
          <w:tcPr>
            <w:tcW w:w="1088" w:type="dxa"/>
            <w:tcBorders>
              <w:top w:val="nil"/>
              <w:left w:val="nil"/>
              <w:bottom w:val="single" w:sz="4" w:space="0" w:color="auto"/>
              <w:right w:val="single" w:sz="4" w:space="0" w:color="auto"/>
            </w:tcBorders>
            <w:shd w:val="clear" w:color="auto" w:fill="FFFFFF" w:themeFill="background1"/>
          </w:tcPr>
          <w:p w:rsidR="00F768B0" w:rsidRPr="00884D10" w:rsidRDefault="00F768B0" w:rsidP="00C83E03">
            <w:pPr>
              <w:keepNext/>
              <w:jc w:val="center"/>
              <w:rPr>
                <w:b/>
                <w:bCs/>
                <w:color w:val="000000"/>
              </w:rPr>
            </w:pPr>
            <w:r w:rsidRPr="00884D10">
              <w:rPr>
                <w:b/>
                <w:bCs/>
                <w:color w:val="000000"/>
              </w:rPr>
              <w:t>&gt;5</w:t>
            </w:r>
          </w:p>
        </w:tc>
      </w:tr>
      <w:tr w:rsidR="00F768B0" w:rsidRPr="00884D10" w:rsidTr="00C83E03">
        <w:trPr>
          <w:trHeight w:val="300"/>
          <w:jc w:val="center"/>
        </w:trPr>
        <w:tc>
          <w:tcPr>
            <w:tcW w:w="1324" w:type="dxa"/>
            <w:tcBorders>
              <w:top w:val="nil"/>
              <w:left w:val="single" w:sz="4" w:space="0" w:color="auto"/>
              <w:bottom w:val="single" w:sz="4" w:space="0" w:color="auto"/>
              <w:right w:val="single" w:sz="4" w:space="0" w:color="auto"/>
            </w:tcBorders>
            <w:shd w:val="clear" w:color="auto" w:fill="FFFFFF" w:themeFill="background1"/>
          </w:tcPr>
          <w:p w:rsidR="00F768B0" w:rsidRPr="00884D10" w:rsidRDefault="00F768B0" w:rsidP="00C83E03">
            <w:pPr>
              <w:keepNext/>
              <w:rPr>
                <w:b/>
                <w:bCs/>
                <w:color w:val="000000"/>
              </w:rPr>
            </w:pPr>
            <w:r w:rsidRPr="00884D10">
              <w:rPr>
                <w:b/>
                <w:bCs/>
                <w:color w:val="000000"/>
              </w:rPr>
              <w:t>EOF</w:t>
            </w:r>
          </w:p>
        </w:tc>
        <w:tc>
          <w:tcPr>
            <w:tcW w:w="1242" w:type="dxa"/>
            <w:tcBorders>
              <w:top w:val="nil"/>
              <w:left w:val="single" w:sz="4" w:space="0" w:color="auto"/>
              <w:bottom w:val="single" w:sz="4" w:space="0" w:color="auto"/>
              <w:right w:val="single" w:sz="4" w:space="0" w:color="auto"/>
            </w:tcBorders>
            <w:shd w:val="clear" w:color="auto" w:fill="FFFFFF" w:themeFill="background1"/>
            <w:vAlign w:val="center"/>
          </w:tcPr>
          <w:p w:rsidR="00F768B0" w:rsidRPr="00884D10" w:rsidRDefault="00F768B0" w:rsidP="00C83E03">
            <w:pPr>
              <w:keepNext/>
              <w:jc w:val="center"/>
              <w:rPr>
                <w:color w:val="000000"/>
              </w:rPr>
            </w:pPr>
            <w:r w:rsidRPr="00884D10">
              <w:rPr>
                <w:color w:val="000000"/>
              </w:rPr>
              <w:t>2.74</w:t>
            </w:r>
          </w:p>
        </w:tc>
        <w:tc>
          <w:tcPr>
            <w:tcW w:w="1177" w:type="dxa"/>
            <w:tcBorders>
              <w:top w:val="nil"/>
              <w:left w:val="nil"/>
              <w:bottom w:val="single" w:sz="4" w:space="0" w:color="auto"/>
              <w:right w:val="single" w:sz="4" w:space="0" w:color="auto"/>
            </w:tcBorders>
            <w:shd w:val="clear" w:color="auto" w:fill="FFFFFF" w:themeFill="background1"/>
            <w:vAlign w:val="center"/>
          </w:tcPr>
          <w:p w:rsidR="00F768B0" w:rsidRPr="00884D10" w:rsidRDefault="00F768B0" w:rsidP="00C83E03">
            <w:pPr>
              <w:keepNext/>
              <w:jc w:val="center"/>
              <w:rPr>
                <w:color w:val="000000"/>
              </w:rPr>
            </w:pPr>
            <w:r w:rsidRPr="00884D10">
              <w:rPr>
                <w:color w:val="000000"/>
              </w:rPr>
              <w:t>4.25</w:t>
            </w:r>
          </w:p>
        </w:tc>
        <w:tc>
          <w:tcPr>
            <w:tcW w:w="1085" w:type="dxa"/>
            <w:tcBorders>
              <w:top w:val="nil"/>
              <w:left w:val="nil"/>
              <w:bottom w:val="single" w:sz="4" w:space="0" w:color="auto"/>
              <w:right w:val="single" w:sz="4" w:space="0" w:color="auto"/>
            </w:tcBorders>
            <w:shd w:val="clear" w:color="auto" w:fill="FFFFFF" w:themeFill="background1"/>
            <w:vAlign w:val="center"/>
          </w:tcPr>
          <w:p w:rsidR="00F768B0" w:rsidRPr="00884D10" w:rsidRDefault="00F768B0" w:rsidP="00C83E03">
            <w:pPr>
              <w:keepNext/>
              <w:jc w:val="center"/>
              <w:rPr>
                <w:color w:val="000000"/>
              </w:rPr>
            </w:pPr>
            <w:r w:rsidRPr="00884D10">
              <w:rPr>
                <w:color w:val="000000"/>
              </w:rPr>
              <w:t>5.07</w:t>
            </w:r>
          </w:p>
        </w:tc>
        <w:tc>
          <w:tcPr>
            <w:tcW w:w="1085" w:type="dxa"/>
            <w:tcBorders>
              <w:top w:val="nil"/>
              <w:left w:val="nil"/>
              <w:bottom w:val="single" w:sz="4" w:space="0" w:color="auto"/>
              <w:right w:val="single" w:sz="4" w:space="0" w:color="auto"/>
            </w:tcBorders>
            <w:shd w:val="clear" w:color="auto" w:fill="FFFFFF" w:themeFill="background1"/>
            <w:vAlign w:val="center"/>
          </w:tcPr>
          <w:p w:rsidR="00F768B0" w:rsidRPr="00884D10" w:rsidRDefault="00F768B0" w:rsidP="00C83E03">
            <w:pPr>
              <w:keepNext/>
              <w:jc w:val="center"/>
              <w:rPr>
                <w:color w:val="000000"/>
              </w:rPr>
            </w:pPr>
            <w:r w:rsidRPr="00884D10">
              <w:rPr>
                <w:color w:val="000000"/>
              </w:rPr>
              <w:t>5.53</w:t>
            </w:r>
          </w:p>
        </w:tc>
        <w:tc>
          <w:tcPr>
            <w:tcW w:w="1085" w:type="dxa"/>
            <w:tcBorders>
              <w:top w:val="nil"/>
              <w:left w:val="nil"/>
              <w:bottom w:val="single" w:sz="4" w:space="0" w:color="auto"/>
              <w:right w:val="single" w:sz="4" w:space="0" w:color="auto"/>
            </w:tcBorders>
            <w:shd w:val="clear" w:color="auto" w:fill="FFFFFF" w:themeFill="background1"/>
            <w:vAlign w:val="center"/>
          </w:tcPr>
          <w:p w:rsidR="00F768B0" w:rsidRPr="00884D10" w:rsidRDefault="00F768B0" w:rsidP="00C83E03">
            <w:pPr>
              <w:keepNext/>
              <w:jc w:val="center"/>
              <w:rPr>
                <w:color w:val="000000"/>
              </w:rPr>
            </w:pPr>
            <w:r w:rsidRPr="00884D10">
              <w:rPr>
                <w:color w:val="000000"/>
              </w:rPr>
              <w:t>5.78</w:t>
            </w:r>
          </w:p>
        </w:tc>
        <w:tc>
          <w:tcPr>
            <w:tcW w:w="1088" w:type="dxa"/>
            <w:tcBorders>
              <w:top w:val="nil"/>
              <w:left w:val="nil"/>
              <w:bottom w:val="single" w:sz="4" w:space="0" w:color="auto"/>
              <w:right w:val="single" w:sz="4" w:space="0" w:color="auto"/>
            </w:tcBorders>
            <w:shd w:val="clear" w:color="auto" w:fill="FFFFFF" w:themeFill="background1"/>
            <w:vAlign w:val="center"/>
          </w:tcPr>
          <w:p w:rsidR="00F768B0" w:rsidRPr="00884D10" w:rsidRDefault="00F768B0" w:rsidP="00C83E03">
            <w:pPr>
              <w:keepNext/>
              <w:jc w:val="center"/>
              <w:rPr>
                <w:color w:val="000000"/>
              </w:rPr>
            </w:pPr>
            <w:r w:rsidRPr="00884D10">
              <w:rPr>
                <w:color w:val="000000"/>
              </w:rPr>
              <w:t>6.06</w:t>
            </w:r>
          </w:p>
        </w:tc>
      </w:tr>
      <w:tr w:rsidR="00F768B0" w:rsidRPr="00884D10" w:rsidTr="00C83E03">
        <w:trPr>
          <w:trHeight w:val="300"/>
          <w:jc w:val="center"/>
        </w:trPr>
        <w:tc>
          <w:tcPr>
            <w:tcW w:w="1324" w:type="dxa"/>
            <w:tcBorders>
              <w:top w:val="nil"/>
              <w:left w:val="single" w:sz="4" w:space="0" w:color="auto"/>
              <w:bottom w:val="single" w:sz="4" w:space="0" w:color="auto"/>
              <w:right w:val="single" w:sz="4" w:space="0" w:color="auto"/>
            </w:tcBorders>
            <w:shd w:val="clear" w:color="auto" w:fill="FFFFFF" w:themeFill="background1"/>
          </w:tcPr>
          <w:p w:rsidR="00F768B0" w:rsidRPr="00884D10" w:rsidRDefault="00F768B0" w:rsidP="00C83E03">
            <w:pPr>
              <w:keepNext/>
              <w:rPr>
                <w:b/>
                <w:bCs/>
                <w:color w:val="000000"/>
              </w:rPr>
            </w:pPr>
            <w:r w:rsidRPr="00884D10">
              <w:rPr>
                <w:b/>
                <w:bCs/>
                <w:color w:val="000000"/>
              </w:rPr>
              <w:t>EW</w:t>
            </w:r>
          </w:p>
        </w:tc>
        <w:tc>
          <w:tcPr>
            <w:tcW w:w="1242" w:type="dxa"/>
            <w:tcBorders>
              <w:top w:val="nil"/>
              <w:left w:val="single" w:sz="4" w:space="0" w:color="auto"/>
              <w:bottom w:val="single" w:sz="4" w:space="0" w:color="auto"/>
              <w:right w:val="single" w:sz="4" w:space="0" w:color="auto"/>
            </w:tcBorders>
            <w:shd w:val="clear" w:color="auto" w:fill="FFFFFF" w:themeFill="background1"/>
            <w:vAlign w:val="center"/>
          </w:tcPr>
          <w:p w:rsidR="00F768B0" w:rsidRPr="00884D10" w:rsidRDefault="00F768B0" w:rsidP="00C83E03">
            <w:pPr>
              <w:keepNext/>
              <w:jc w:val="center"/>
              <w:rPr>
                <w:color w:val="000000"/>
              </w:rPr>
            </w:pPr>
            <w:r w:rsidRPr="00884D10">
              <w:rPr>
                <w:color w:val="000000"/>
              </w:rPr>
              <w:t>3.80</w:t>
            </w:r>
          </w:p>
        </w:tc>
        <w:tc>
          <w:tcPr>
            <w:tcW w:w="1177" w:type="dxa"/>
            <w:tcBorders>
              <w:top w:val="nil"/>
              <w:left w:val="nil"/>
              <w:bottom w:val="single" w:sz="4" w:space="0" w:color="auto"/>
              <w:right w:val="single" w:sz="4" w:space="0" w:color="auto"/>
            </w:tcBorders>
            <w:shd w:val="clear" w:color="auto" w:fill="FFFFFF" w:themeFill="background1"/>
            <w:vAlign w:val="center"/>
          </w:tcPr>
          <w:p w:rsidR="00F768B0" w:rsidRPr="00884D10" w:rsidRDefault="00F768B0" w:rsidP="00C83E03">
            <w:pPr>
              <w:keepNext/>
              <w:jc w:val="center"/>
              <w:rPr>
                <w:color w:val="000000"/>
              </w:rPr>
            </w:pPr>
            <w:r w:rsidRPr="00884D10">
              <w:rPr>
                <w:color w:val="000000"/>
              </w:rPr>
              <w:t>4.41</w:t>
            </w:r>
          </w:p>
        </w:tc>
        <w:tc>
          <w:tcPr>
            <w:tcW w:w="1085" w:type="dxa"/>
            <w:tcBorders>
              <w:top w:val="nil"/>
              <w:left w:val="nil"/>
              <w:bottom w:val="single" w:sz="4" w:space="0" w:color="auto"/>
              <w:right w:val="single" w:sz="4" w:space="0" w:color="auto"/>
            </w:tcBorders>
            <w:shd w:val="clear" w:color="auto" w:fill="FFFFFF" w:themeFill="background1"/>
            <w:vAlign w:val="center"/>
          </w:tcPr>
          <w:p w:rsidR="00F768B0" w:rsidRPr="00884D10" w:rsidRDefault="00F768B0" w:rsidP="00C83E03">
            <w:pPr>
              <w:keepNext/>
              <w:jc w:val="center"/>
              <w:rPr>
                <w:color w:val="000000"/>
              </w:rPr>
            </w:pPr>
            <w:r w:rsidRPr="00884D10">
              <w:rPr>
                <w:color w:val="000000"/>
              </w:rPr>
              <w:t>4.51</w:t>
            </w:r>
          </w:p>
        </w:tc>
        <w:tc>
          <w:tcPr>
            <w:tcW w:w="1085" w:type="dxa"/>
            <w:tcBorders>
              <w:top w:val="nil"/>
              <w:left w:val="nil"/>
              <w:bottom w:val="single" w:sz="4" w:space="0" w:color="auto"/>
              <w:right w:val="single" w:sz="4" w:space="0" w:color="auto"/>
            </w:tcBorders>
            <w:shd w:val="clear" w:color="auto" w:fill="FFFFFF" w:themeFill="background1"/>
            <w:vAlign w:val="center"/>
          </w:tcPr>
          <w:p w:rsidR="00F768B0" w:rsidRPr="00884D10" w:rsidRDefault="00F768B0" w:rsidP="00C83E03">
            <w:pPr>
              <w:keepNext/>
              <w:jc w:val="center"/>
              <w:rPr>
                <w:color w:val="000000"/>
              </w:rPr>
            </w:pPr>
            <w:r w:rsidRPr="00884D10">
              <w:rPr>
                <w:color w:val="000000"/>
              </w:rPr>
              <w:t>4.53</w:t>
            </w:r>
          </w:p>
        </w:tc>
        <w:tc>
          <w:tcPr>
            <w:tcW w:w="1085" w:type="dxa"/>
            <w:tcBorders>
              <w:top w:val="nil"/>
              <w:left w:val="nil"/>
              <w:bottom w:val="single" w:sz="4" w:space="0" w:color="auto"/>
              <w:right w:val="single" w:sz="4" w:space="0" w:color="auto"/>
            </w:tcBorders>
            <w:shd w:val="clear" w:color="auto" w:fill="FFFFFF" w:themeFill="background1"/>
            <w:vAlign w:val="center"/>
          </w:tcPr>
          <w:p w:rsidR="00F768B0" w:rsidRPr="00884D10" w:rsidRDefault="00F768B0" w:rsidP="00C83E03">
            <w:pPr>
              <w:keepNext/>
              <w:jc w:val="center"/>
              <w:rPr>
                <w:color w:val="000000"/>
              </w:rPr>
            </w:pPr>
            <w:r w:rsidRPr="00884D10">
              <w:rPr>
                <w:color w:val="000000"/>
              </w:rPr>
              <w:t>4.53</w:t>
            </w:r>
          </w:p>
        </w:tc>
        <w:tc>
          <w:tcPr>
            <w:tcW w:w="1088" w:type="dxa"/>
            <w:tcBorders>
              <w:top w:val="nil"/>
              <w:left w:val="nil"/>
              <w:bottom w:val="single" w:sz="4" w:space="0" w:color="auto"/>
              <w:right w:val="single" w:sz="4" w:space="0" w:color="auto"/>
            </w:tcBorders>
            <w:shd w:val="clear" w:color="auto" w:fill="FFFFFF" w:themeFill="background1"/>
            <w:vAlign w:val="center"/>
          </w:tcPr>
          <w:p w:rsidR="00F768B0" w:rsidRPr="00884D10" w:rsidRDefault="00F768B0" w:rsidP="00C83E03">
            <w:pPr>
              <w:keepNext/>
              <w:jc w:val="center"/>
              <w:rPr>
                <w:color w:val="000000"/>
              </w:rPr>
            </w:pPr>
            <w:r w:rsidRPr="00884D10">
              <w:rPr>
                <w:color w:val="000000"/>
              </w:rPr>
              <w:t>4.53</w:t>
            </w:r>
          </w:p>
        </w:tc>
      </w:tr>
      <w:tr w:rsidR="00F768B0" w:rsidRPr="00884D10" w:rsidTr="00C83E03">
        <w:trPr>
          <w:trHeight w:val="300"/>
          <w:jc w:val="center"/>
        </w:trPr>
        <w:tc>
          <w:tcPr>
            <w:tcW w:w="1324" w:type="dxa"/>
            <w:tcBorders>
              <w:top w:val="nil"/>
              <w:left w:val="single" w:sz="4" w:space="0" w:color="auto"/>
              <w:bottom w:val="single" w:sz="4" w:space="0" w:color="auto"/>
              <w:right w:val="single" w:sz="4" w:space="0" w:color="auto"/>
            </w:tcBorders>
            <w:shd w:val="clear" w:color="auto" w:fill="FFFFFF" w:themeFill="background1"/>
          </w:tcPr>
          <w:p w:rsidR="00F768B0" w:rsidRPr="00884D10" w:rsidRDefault="00F768B0" w:rsidP="00C83E03">
            <w:pPr>
              <w:keepNext/>
              <w:rPr>
                <w:b/>
                <w:bCs/>
                <w:color w:val="000000"/>
              </w:rPr>
            </w:pPr>
            <w:r w:rsidRPr="00884D10">
              <w:rPr>
                <w:b/>
                <w:bCs/>
                <w:color w:val="000000"/>
              </w:rPr>
              <w:t>SW</w:t>
            </w:r>
          </w:p>
        </w:tc>
        <w:tc>
          <w:tcPr>
            <w:tcW w:w="1242" w:type="dxa"/>
            <w:tcBorders>
              <w:top w:val="nil"/>
              <w:left w:val="single" w:sz="4" w:space="0" w:color="auto"/>
              <w:bottom w:val="single" w:sz="4" w:space="0" w:color="auto"/>
              <w:right w:val="single" w:sz="4" w:space="0" w:color="auto"/>
            </w:tcBorders>
            <w:shd w:val="clear" w:color="auto" w:fill="FFFFFF" w:themeFill="background1"/>
            <w:vAlign w:val="center"/>
          </w:tcPr>
          <w:p w:rsidR="00F768B0" w:rsidRPr="00884D10" w:rsidRDefault="00F768B0" w:rsidP="00C83E03">
            <w:pPr>
              <w:keepNext/>
              <w:jc w:val="center"/>
              <w:rPr>
                <w:color w:val="000000"/>
              </w:rPr>
            </w:pPr>
            <w:r w:rsidRPr="00884D10">
              <w:rPr>
                <w:color w:val="000000"/>
              </w:rPr>
              <w:t>2.08</w:t>
            </w:r>
          </w:p>
        </w:tc>
        <w:tc>
          <w:tcPr>
            <w:tcW w:w="1177" w:type="dxa"/>
            <w:tcBorders>
              <w:top w:val="nil"/>
              <w:left w:val="nil"/>
              <w:bottom w:val="single" w:sz="4" w:space="0" w:color="auto"/>
              <w:right w:val="single" w:sz="4" w:space="0" w:color="auto"/>
            </w:tcBorders>
            <w:shd w:val="clear" w:color="auto" w:fill="FFFFFF" w:themeFill="background1"/>
            <w:vAlign w:val="center"/>
          </w:tcPr>
          <w:p w:rsidR="00F768B0" w:rsidRPr="00884D10" w:rsidRDefault="00F768B0" w:rsidP="00C83E03">
            <w:pPr>
              <w:keepNext/>
              <w:jc w:val="center"/>
              <w:rPr>
                <w:color w:val="000000"/>
              </w:rPr>
            </w:pPr>
            <w:r w:rsidRPr="00884D10">
              <w:rPr>
                <w:color w:val="000000"/>
              </w:rPr>
              <w:t>3.41</w:t>
            </w:r>
          </w:p>
        </w:tc>
        <w:tc>
          <w:tcPr>
            <w:tcW w:w="1085" w:type="dxa"/>
            <w:tcBorders>
              <w:top w:val="nil"/>
              <w:left w:val="nil"/>
              <w:bottom w:val="single" w:sz="4" w:space="0" w:color="auto"/>
              <w:right w:val="single" w:sz="4" w:space="0" w:color="auto"/>
            </w:tcBorders>
            <w:shd w:val="clear" w:color="auto" w:fill="FFFFFF" w:themeFill="background1"/>
            <w:vAlign w:val="center"/>
          </w:tcPr>
          <w:p w:rsidR="00F768B0" w:rsidRPr="00884D10" w:rsidRDefault="00F768B0" w:rsidP="00C83E03">
            <w:pPr>
              <w:keepNext/>
              <w:jc w:val="center"/>
              <w:rPr>
                <w:color w:val="000000"/>
              </w:rPr>
            </w:pPr>
            <w:r w:rsidRPr="00884D10">
              <w:rPr>
                <w:color w:val="000000"/>
              </w:rPr>
              <w:t>4.25</w:t>
            </w:r>
          </w:p>
        </w:tc>
        <w:tc>
          <w:tcPr>
            <w:tcW w:w="1085" w:type="dxa"/>
            <w:tcBorders>
              <w:top w:val="nil"/>
              <w:left w:val="nil"/>
              <w:bottom w:val="single" w:sz="4" w:space="0" w:color="auto"/>
              <w:right w:val="single" w:sz="4" w:space="0" w:color="auto"/>
            </w:tcBorders>
            <w:shd w:val="clear" w:color="auto" w:fill="FFFFFF" w:themeFill="background1"/>
            <w:vAlign w:val="center"/>
          </w:tcPr>
          <w:p w:rsidR="00F768B0" w:rsidRPr="00884D10" w:rsidRDefault="00F768B0" w:rsidP="00C83E03">
            <w:pPr>
              <w:keepNext/>
              <w:jc w:val="center"/>
              <w:rPr>
                <w:color w:val="000000"/>
              </w:rPr>
            </w:pPr>
            <w:r w:rsidRPr="00884D10">
              <w:rPr>
                <w:color w:val="000000"/>
              </w:rPr>
              <w:t>4.79</w:t>
            </w:r>
          </w:p>
        </w:tc>
        <w:tc>
          <w:tcPr>
            <w:tcW w:w="1085" w:type="dxa"/>
            <w:tcBorders>
              <w:top w:val="nil"/>
              <w:left w:val="nil"/>
              <w:bottom w:val="single" w:sz="4" w:space="0" w:color="auto"/>
              <w:right w:val="single" w:sz="4" w:space="0" w:color="auto"/>
            </w:tcBorders>
            <w:shd w:val="clear" w:color="auto" w:fill="FFFFFF" w:themeFill="background1"/>
            <w:vAlign w:val="center"/>
          </w:tcPr>
          <w:p w:rsidR="00F768B0" w:rsidRPr="00884D10" w:rsidRDefault="00F768B0" w:rsidP="00C83E03">
            <w:pPr>
              <w:keepNext/>
              <w:jc w:val="center"/>
              <w:rPr>
                <w:color w:val="000000"/>
              </w:rPr>
            </w:pPr>
            <w:r w:rsidRPr="00884D10">
              <w:rPr>
                <w:color w:val="000000"/>
              </w:rPr>
              <w:t>5.14</w:t>
            </w:r>
          </w:p>
        </w:tc>
        <w:tc>
          <w:tcPr>
            <w:tcW w:w="1088" w:type="dxa"/>
            <w:tcBorders>
              <w:top w:val="nil"/>
              <w:left w:val="nil"/>
              <w:bottom w:val="single" w:sz="4" w:space="0" w:color="auto"/>
              <w:right w:val="single" w:sz="4" w:space="0" w:color="auto"/>
            </w:tcBorders>
            <w:shd w:val="clear" w:color="auto" w:fill="FFFFFF" w:themeFill="background1"/>
            <w:vAlign w:val="center"/>
          </w:tcPr>
          <w:p w:rsidR="00F768B0" w:rsidRPr="00884D10" w:rsidRDefault="00F768B0" w:rsidP="00C83E03">
            <w:pPr>
              <w:keepNext/>
              <w:jc w:val="center"/>
              <w:rPr>
                <w:color w:val="000000"/>
              </w:rPr>
            </w:pPr>
            <w:r w:rsidRPr="00884D10">
              <w:rPr>
                <w:color w:val="000000"/>
              </w:rPr>
              <w:t>5.68</w:t>
            </w:r>
          </w:p>
        </w:tc>
      </w:tr>
      <w:tr w:rsidR="00F768B0" w:rsidRPr="00884D10" w:rsidTr="00C83E03">
        <w:trPr>
          <w:trHeight w:val="300"/>
          <w:jc w:val="center"/>
        </w:trPr>
        <w:tc>
          <w:tcPr>
            <w:tcW w:w="1324" w:type="dxa"/>
            <w:tcBorders>
              <w:top w:val="nil"/>
              <w:left w:val="single" w:sz="4" w:space="0" w:color="auto"/>
              <w:bottom w:val="single" w:sz="4" w:space="0" w:color="auto"/>
              <w:right w:val="single" w:sz="4" w:space="0" w:color="auto"/>
            </w:tcBorders>
            <w:shd w:val="clear" w:color="auto" w:fill="FFFFFF" w:themeFill="background1"/>
          </w:tcPr>
          <w:p w:rsidR="00F768B0" w:rsidRPr="00884D10" w:rsidRDefault="00F768B0" w:rsidP="00C83E03">
            <w:pPr>
              <w:keepNext/>
              <w:rPr>
                <w:b/>
                <w:bCs/>
                <w:color w:val="000000"/>
              </w:rPr>
            </w:pPr>
            <w:r w:rsidRPr="00884D10">
              <w:rPr>
                <w:b/>
                <w:bCs/>
                <w:color w:val="000000"/>
              </w:rPr>
              <w:t>SH</w:t>
            </w:r>
          </w:p>
        </w:tc>
        <w:tc>
          <w:tcPr>
            <w:tcW w:w="1242" w:type="dxa"/>
            <w:tcBorders>
              <w:top w:val="nil"/>
              <w:left w:val="single" w:sz="4" w:space="0" w:color="auto"/>
              <w:bottom w:val="single" w:sz="4" w:space="0" w:color="auto"/>
              <w:right w:val="single" w:sz="4" w:space="0" w:color="auto"/>
            </w:tcBorders>
            <w:shd w:val="clear" w:color="auto" w:fill="FFFFFF" w:themeFill="background1"/>
            <w:vAlign w:val="center"/>
          </w:tcPr>
          <w:p w:rsidR="00F768B0" w:rsidRPr="00884D10" w:rsidRDefault="00F768B0" w:rsidP="00C83E03">
            <w:pPr>
              <w:keepNext/>
              <w:jc w:val="center"/>
              <w:rPr>
                <w:color w:val="000000"/>
              </w:rPr>
            </w:pPr>
            <w:r w:rsidRPr="00884D10">
              <w:rPr>
                <w:color w:val="000000"/>
              </w:rPr>
              <w:t>1.88</w:t>
            </w:r>
          </w:p>
        </w:tc>
        <w:tc>
          <w:tcPr>
            <w:tcW w:w="1177" w:type="dxa"/>
            <w:tcBorders>
              <w:top w:val="nil"/>
              <w:left w:val="nil"/>
              <w:bottom w:val="single" w:sz="4" w:space="0" w:color="auto"/>
              <w:right w:val="single" w:sz="4" w:space="0" w:color="auto"/>
            </w:tcBorders>
            <w:shd w:val="clear" w:color="auto" w:fill="FFFFFF" w:themeFill="background1"/>
            <w:vAlign w:val="center"/>
          </w:tcPr>
          <w:p w:rsidR="00F768B0" w:rsidRPr="00884D10" w:rsidRDefault="00F768B0" w:rsidP="00C83E03">
            <w:pPr>
              <w:keepNext/>
              <w:jc w:val="center"/>
              <w:rPr>
                <w:color w:val="000000"/>
              </w:rPr>
            </w:pPr>
            <w:r w:rsidRPr="00884D10">
              <w:rPr>
                <w:color w:val="000000"/>
              </w:rPr>
              <w:t>3.55</w:t>
            </w:r>
          </w:p>
        </w:tc>
        <w:tc>
          <w:tcPr>
            <w:tcW w:w="1085" w:type="dxa"/>
            <w:tcBorders>
              <w:top w:val="nil"/>
              <w:left w:val="nil"/>
              <w:bottom w:val="single" w:sz="4" w:space="0" w:color="auto"/>
              <w:right w:val="single" w:sz="4" w:space="0" w:color="auto"/>
            </w:tcBorders>
            <w:shd w:val="clear" w:color="auto" w:fill="FFFFFF" w:themeFill="background1"/>
            <w:vAlign w:val="center"/>
          </w:tcPr>
          <w:p w:rsidR="00F768B0" w:rsidRPr="00884D10" w:rsidRDefault="00F768B0" w:rsidP="00C83E03">
            <w:pPr>
              <w:keepNext/>
              <w:jc w:val="center"/>
              <w:rPr>
                <w:color w:val="000000"/>
              </w:rPr>
            </w:pPr>
            <w:r w:rsidRPr="00884D10">
              <w:rPr>
                <w:color w:val="000000"/>
              </w:rPr>
              <w:t>5.03</w:t>
            </w:r>
          </w:p>
        </w:tc>
        <w:tc>
          <w:tcPr>
            <w:tcW w:w="1085" w:type="dxa"/>
            <w:tcBorders>
              <w:top w:val="nil"/>
              <w:left w:val="nil"/>
              <w:bottom w:val="single" w:sz="4" w:space="0" w:color="auto"/>
              <w:right w:val="single" w:sz="4" w:space="0" w:color="auto"/>
            </w:tcBorders>
            <w:shd w:val="clear" w:color="auto" w:fill="FFFFFF" w:themeFill="background1"/>
            <w:vAlign w:val="center"/>
          </w:tcPr>
          <w:p w:rsidR="00F768B0" w:rsidRPr="00884D10" w:rsidRDefault="00F768B0" w:rsidP="00C83E03">
            <w:pPr>
              <w:keepNext/>
              <w:jc w:val="center"/>
              <w:rPr>
                <w:color w:val="000000"/>
              </w:rPr>
            </w:pPr>
            <w:r w:rsidRPr="00884D10">
              <w:rPr>
                <w:color w:val="000000"/>
              </w:rPr>
              <w:t>6.35</w:t>
            </w:r>
          </w:p>
        </w:tc>
        <w:tc>
          <w:tcPr>
            <w:tcW w:w="1085" w:type="dxa"/>
            <w:tcBorders>
              <w:top w:val="nil"/>
              <w:left w:val="nil"/>
              <w:bottom w:val="single" w:sz="4" w:space="0" w:color="auto"/>
              <w:right w:val="single" w:sz="4" w:space="0" w:color="auto"/>
            </w:tcBorders>
            <w:shd w:val="clear" w:color="auto" w:fill="FFFFFF" w:themeFill="background1"/>
            <w:vAlign w:val="center"/>
          </w:tcPr>
          <w:p w:rsidR="00F768B0" w:rsidRPr="00884D10" w:rsidRDefault="00F768B0" w:rsidP="00C83E03">
            <w:pPr>
              <w:keepNext/>
              <w:jc w:val="center"/>
              <w:rPr>
                <w:color w:val="000000"/>
              </w:rPr>
            </w:pPr>
            <w:r w:rsidRPr="00884D10">
              <w:rPr>
                <w:color w:val="000000"/>
              </w:rPr>
              <w:t>7.51</w:t>
            </w:r>
          </w:p>
        </w:tc>
        <w:tc>
          <w:tcPr>
            <w:tcW w:w="1088" w:type="dxa"/>
            <w:tcBorders>
              <w:top w:val="nil"/>
              <w:left w:val="nil"/>
              <w:bottom w:val="single" w:sz="4" w:space="0" w:color="auto"/>
              <w:right w:val="single" w:sz="4" w:space="0" w:color="auto"/>
            </w:tcBorders>
            <w:shd w:val="clear" w:color="auto" w:fill="FFFFFF" w:themeFill="background1"/>
            <w:vAlign w:val="center"/>
          </w:tcPr>
          <w:p w:rsidR="00F768B0" w:rsidRPr="00884D10" w:rsidRDefault="00F768B0" w:rsidP="00C83E03">
            <w:pPr>
              <w:keepNext/>
              <w:jc w:val="center"/>
              <w:rPr>
                <w:color w:val="000000"/>
              </w:rPr>
            </w:pPr>
            <w:r w:rsidRPr="00884D10">
              <w:rPr>
                <w:color w:val="000000"/>
              </w:rPr>
              <w:t>11.64</w:t>
            </w:r>
          </w:p>
        </w:tc>
      </w:tr>
    </w:tbl>
    <w:p w:rsidR="00F768B0" w:rsidRPr="00884D10" w:rsidRDefault="00F768B0" w:rsidP="00F768B0">
      <w:pPr>
        <w:pStyle w:val="tMain"/>
        <w:spacing w:before="120"/>
      </w:pPr>
      <w:r w:rsidRPr="00884D10">
        <w:tab/>
        <w:t>(2)</w:t>
      </w:r>
      <w:r w:rsidRPr="00884D10">
        <w:tab/>
        <w:t>The fine fuel load values must be calculated by multiplying the frequency distribution of YSLB values recorded in Table 15 of Form 1 of Schedule 2 by the corresponding fuel accumulation value for fine fuels given in Table 3 above and the results recorded in Table 16 of Form 1 of Schedule 2.</w:t>
      </w:r>
    </w:p>
    <w:p w:rsidR="00F768B0" w:rsidRPr="00884D10" w:rsidRDefault="00F768B0" w:rsidP="00F768B0">
      <w:pPr>
        <w:pStyle w:val="tMain"/>
      </w:pPr>
      <w:r w:rsidRPr="00884D10">
        <w:tab/>
        <w:t>(3)</w:t>
      </w:r>
      <w:r w:rsidRPr="00884D10">
        <w:tab/>
        <w:t>The total fine fuel load values for each vegetation class obtained by totalling the value of each row of Table 16 of Form 1 of Schedule 2 must be recorded in Table 13 of Form 1 of Schedule 2.</w:t>
      </w:r>
    </w:p>
    <w:p w:rsidR="00F768B0" w:rsidRPr="00884D10" w:rsidRDefault="00F768B0" w:rsidP="00F768B0">
      <w:pPr>
        <w:pStyle w:val="h5Section"/>
      </w:pPr>
      <w:bookmarkStart w:id="61" w:name="_Toc357780191"/>
      <w:r>
        <w:t>4.15</w:t>
      </w:r>
      <w:r w:rsidRPr="00884D10">
        <w:tab/>
        <w:t>Emission factors (EF)</w:t>
      </w:r>
      <w:bookmarkEnd w:id="61"/>
      <w:r w:rsidRPr="00884D10">
        <w:t xml:space="preserve"> </w:t>
      </w:r>
    </w:p>
    <w:p w:rsidR="00F768B0" w:rsidRPr="00884D10" w:rsidRDefault="00F768B0" w:rsidP="00F768B0">
      <w:pPr>
        <w:pStyle w:val="tMain"/>
      </w:pPr>
      <w:r w:rsidRPr="00884D10">
        <w:tab/>
        <w:t>(1)</w:t>
      </w:r>
      <w:r w:rsidRPr="00884D10">
        <w:tab/>
        <w:t>For the purposes of subsection</w:t>
      </w:r>
      <w:r w:rsidRPr="00884D10" w:rsidDel="008C4511">
        <w:t xml:space="preserve"> </w:t>
      </w:r>
      <w:r w:rsidRPr="00884D10">
        <w:t>4.9(1), the emission factor for CH</w:t>
      </w:r>
      <w:r w:rsidRPr="00884D10">
        <w:rPr>
          <w:vertAlign w:val="subscript"/>
        </w:rPr>
        <w:t>4</w:t>
      </w:r>
      <w:r w:rsidRPr="00884D10">
        <w:t xml:space="preserve"> for each vegetation class and fuel size class is taken to be the amount set out in the following table:</w:t>
      </w:r>
    </w:p>
    <w:p w:rsidR="00F768B0" w:rsidRPr="00884D10" w:rsidRDefault="00F768B0" w:rsidP="00F768B0">
      <w:pPr>
        <w:pStyle w:val="R2"/>
        <w:jc w:val="center"/>
        <w:rPr>
          <w:b/>
        </w:rPr>
      </w:pPr>
      <w:r w:rsidRPr="00884D10">
        <w:rPr>
          <w:b/>
        </w:rPr>
        <w:t>Table 4: Emissions factors for methane</w:t>
      </w:r>
    </w:p>
    <w:tbl>
      <w:tblPr>
        <w:tblW w:w="7767" w:type="dxa"/>
        <w:jc w:val="center"/>
        <w:shd w:val="clear" w:color="auto" w:fill="FFFFFF" w:themeFill="background1"/>
        <w:tblLook w:val="0000" w:firstRow="0" w:lastRow="0" w:firstColumn="0" w:lastColumn="0" w:noHBand="0" w:noVBand="0"/>
      </w:tblPr>
      <w:tblGrid>
        <w:gridCol w:w="1700"/>
        <w:gridCol w:w="2021"/>
        <w:gridCol w:w="1276"/>
        <w:gridCol w:w="1417"/>
        <w:gridCol w:w="1353"/>
      </w:tblGrid>
      <w:tr w:rsidR="00F768B0" w:rsidRPr="00884D10" w:rsidTr="00C83E03">
        <w:trPr>
          <w:trHeight w:val="255"/>
          <w:jc w:val="center"/>
        </w:trPr>
        <w:tc>
          <w:tcPr>
            <w:tcW w:w="1700" w:type="dxa"/>
            <w:vMerge w:val="restart"/>
            <w:tcBorders>
              <w:top w:val="single" w:sz="4" w:space="0" w:color="auto"/>
              <w:left w:val="single" w:sz="4" w:space="0" w:color="auto"/>
              <w:right w:val="single" w:sz="4" w:space="0" w:color="auto"/>
            </w:tcBorders>
            <w:shd w:val="clear" w:color="auto" w:fill="FFFFFF" w:themeFill="background1"/>
            <w:noWrap/>
            <w:vAlign w:val="bottom"/>
          </w:tcPr>
          <w:p w:rsidR="00F768B0" w:rsidRPr="00884D10" w:rsidRDefault="00F768B0" w:rsidP="00C83E03">
            <w:pPr>
              <w:rPr>
                <w:b/>
              </w:rPr>
            </w:pPr>
            <w:r w:rsidRPr="00884D10">
              <w:rPr>
                <w:b/>
              </w:rPr>
              <w:t>Vegetation class</w:t>
            </w:r>
          </w:p>
        </w:tc>
        <w:tc>
          <w:tcPr>
            <w:tcW w:w="6067"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F768B0" w:rsidRPr="00884D10" w:rsidRDefault="00F768B0" w:rsidP="00C83E03">
            <w:pPr>
              <w:jc w:val="center"/>
              <w:rPr>
                <w:b/>
              </w:rPr>
            </w:pPr>
            <w:r w:rsidRPr="00884D10">
              <w:rPr>
                <w:b/>
              </w:rPr>
              <w:t>Fuel size class</w:t>
            </w:r>
          </w:p>
        </w:tc>
      </w:tr>
      <w:tr w:rsidR="00F768B0" w:rsidRPr="00884D10" w:rsidTr="00C83E03">
        <w:trPr>
          <w:trHeight w:val="373"/>
          <w:jc w:val="center"/>
        </w:trPr>
        <w:tc>
          <w:tcPr>
            <w:tcW w:w="1700" w:type="dxa"/>
            <w:vMerge/>
            <w:tcBorders>
              <w:left w:val="single" w:sz="4" w:space="0" w:color="auto"/>
              <w:bottom w:val="single" w:sz="4" w:space="0" w:color="auto"/>
              <w:right w:val="single" w:sz="4" w:space="0" w:color="auto"/>
            </w:tcBorders>
            <w:shd w:val="clear" w:color="auto" w:fill="FFFFFF" w:themeFill="background1"/>
            <w:noWrap/>
            <w:vAlign w:val="bottom"/>
          </w:tcPr>
          <w:p w:rsidR="00F768B0" w:rsidRPr="00884D10" w:rsidRDefault="00F768B0" w:rsidP="00C83E03">
            <w:pPr>
              <w:rPr>
                <w:b/>
              </w:rPr>
            </w:pPr>
          </w:p>
        </w:tc>
        <w:tc>
          <w:tcPr>
            <w:tcW w:w="2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F768B0" w:rsidRPr="00884D10" w:rsidRDefault="00F768B0" w:rsidP="00C83E03">
            <w:pPr>
              <w:jc w:val="center"/>
              <w:rPr>
                <w:b/>
              </w:rPr>
            </w:pPr>
            <w:r w:rsidRPr="00884D10">
              <w:rPr>
                <w:b/>
              </w:rPr>
              <w:t xml:space="preserve">Fine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F768B0" w:rsidRPr="00884D10" w:rsidRDefault="00F768B0" w:rsidP="00C83E03">
            <w:pPr>
              <w:jc w:val="center"/>
              <w:rPr>
                <w:b/>
              </w:rPr>
            </w:pPr>
            <w:r w:rsidRPr="00884D10">
              <w:rPr>
                <w:b/>
              </w:rPr>
              <w:t>Coarse</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F768B0" w:rsidRPr="00884D10" w:rsidRDefault="00F768B0" w:rsidP="00C83E03">
            <w:pPr>
              <w:jc w:val="center"/>
              <w:rPr>
                <w:b/>
              </w:rPr>
            </w:pPr>
            <w:r w:rsidRPr="00884D10">
              <w:rPr>
                <w:b/>
              </w:rPr>
              <w:t xml:space="preserve">Heavy </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F768B0" w:rsidRPr="00884D10" w:rsidRDefault="00F768B0" w:rsidP="00C83E03">
            <w:pPr>
              <w:jc w:val="center"/>
              <w:rPr>
                <w:b/>
              </w:rPr>
            </w:pPr>
            <w:r w:rsidRPr="00884D10">
              <w:rPr>
                <w:b/>
              </w:rPr>
              <w:t>Shrub</w:t>
            </w:r>
          </w:p>
        </w:tc>
      </w:tr>
      <w:tr w:rsidR="00F768B0" w:rsidRPr="00884D10" w:rsidTr="00C83E03">
        <w:trPr>
          <w:trHeight w:val="315"/>
          <w:jc w:val="center"/>
        </w:trPr>
        <w:tc>
          <w:tcPr>
            <w:tcW w:w="17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F768B0" w:rsidRPr="00884D10" w:rsidRDefault="00F768B0" w:rsidP="00C83E03">
            <w:pPr>
              <w:rPr>
                <w:b/>
                <w:sz w:val="20"/>
                <w:szCs w:val="20"/>
              </w:rPr>
            </w:pPr>
            <w:r w:rsidRPr="00884D10">
              <w:rPr>
                <w:b/>
                <w:sz w:val="20"/>
                <w:szCs w:val="20"/>
              </w:rPr>
              <w:t>EOF</w:t>
            </w:r>
          </w:p>
        </w:tc>
        <w:tc>
          <w:tcPr>
            <w:tcW w:w="2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768B0" w:rsidRPr="00884D10" w:rsidRDefault="00F768B0" w:rsidP="00C83E03">
            <w:pPr>
              <w:jc w:val="center"/>
            </w:pPr>
            <w:r w:rsidRPr="00884D10">
              <w:rPr>
                <w:color w:val="000000"/>
              </w:rPr>
              <w:t>0.0031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F768B0" w:rsidRPr="00884D10" w:rsidRDefault="00F768B0" w:rsidP="00C83E03">
            <w:pPr>
              <w:jc w:val="center"/>
            </w:pPr>
            <w:r w:rsidRPr="00884D10">
              <w:rPr>
                <w:color w:val="000000"/>
              </w:rPr>
              <w:t>0.0031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F768B0" w:rsidRPr="00884D10" w:rsidRDefault="00F768B0" w:rsidP="00C83E03">
            <w:pPr>
              <w:jc w:val="center"/>
              <w:rPr>
                <w:color w:val="000000"/>
              </w:rPr>
            </w:pPr>
            <w:r w:rsidRPr="00884D10">
              <w:rPr>
                <w:color w:val="000000"/>
              </w:rPr>
              <w:t>0.01</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F768B0" w:rsidRPr="00884D10" w:rsidRDefault="00F768B0" w:rsidP="00C83E03">
            <w:pPr>
              <w:tabs>
                <w:tab w:val="left" w:pos="384"/>
                <w:tab w:val="center" w:pos="601"/>
              </w:tabs>
              <w:jc w:val="center"/>
            </w:pPr>
            <w:r w:rsidRPr="00884D10">
              <w:rPr>
                <w:color w:val="000000"/>
              </w:rPr>
              <w:t>0.0031</w:t>
            </w:r>
          </w:p>
        </w:tc>
      </w:tr>
      <w:tr w:rsidR="00F768B0" w:rsidRPr="00884D10" w:rsidTr="00C83E03">
        <w:trPr>
          <w:trHeight w:val="315"/>
          <w:jc w:val="center"/>
        </w:trPr>
        <w:tc>
          <w:tcPr>
            <w:tcW w:w="17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F768B0" w:rsidRPr="00884D10" w:rsidRDefault="00F768B0" w:rsidP="00C83E03">
            <w:pPr>
              <w:rPr>
                <w:b/>
                <w:sz w:val="20"/>
                <w:szCs w:val="20"/>
              </w:rPr>
            </w:pPr>
            <w:r w:rsidRPr="00884D10">
              <w:rPr>
                <w:b/>
                <w:sz w:val="20"/>
                <w:szCs w:val="20"/>
              </w:rPr>
              <w:t>EW</w:t>
            </w:r>
          </w:p>
        </w:tc>
        <w:tc>
          <w:tcPr>
            <w:tcW w:w="2021"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F768B0" w:rsidRPr="00884D10" w:rsidRDefault="00F768B0" w:rsidP="00C83E03">
            <w:pPr>
              <w:jc w:val="center"/>
            </w:pPr>
            <w:r w:rsidRPr="00884D10">
              <w:rPr>
                <w:color w:val="000000"/>
              </w:rPr>
              <w:t>0.0031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F768B0" w:rsidRPr="00884D10" w:rsidRDefault="00F768B0" w:rsidP="00C83E03">
            <w:pPr>
              <w:jc w:val="center"/>
            </w:pPr>
            <w:r w:rsidRPr="00884D10">
              <w:rPr>
                <w:color w:val="000000"/>
              </w:rPr>
              <w:t>0.0031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F768B0" w:rsidRPr="00884D10" w:rsidRDefault="00F768B0" w:rsidP="00C83E03">
            <w:pPr>
              <w:jc w:val="center"/>
              <w:rPr>
                <w:color w:val="000000"/>
              </w:rPr>
            </w:pPr>
            <w:r w:rsidRPr="00884D10">
              <w:rPr>
                <w:color w:val="000000"/>
              </w:rPr>
              <w:t>0.01</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F768B0" w:rsidRPr="00884D10" w:rsidRDefault="00F768B0" w:rsidP="00C83E03">
            <w:pPr>
              <w:jc w:val="center"/>
            </w:pPr>
            <w:r w:rsidRPr="00884D10">
              <w:rPr>
                <w:color w:val="000000"/>
              </w:rPr>
              <w:t>0.0031</w:t>
            </w:r>
          </w:p>
        </w:tc>
      </w:tr>
      <w:tr w:rsidR="00F768B0" w:rsidRPr="00884D10" w:rsidTr="00C83E03">
        <w:trPr>
          <w:trHeight w:val="315"/>
          <w:jc w:val="center"/>
        </w:trPr>
        <w:tc>
          <w:tcPr>
            <w:tcW w:w="17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F768B0" w:rsidRPr="00884D10" w:rsidRDefault="00F768B0" w:rsidP="00C83E03">
            <w:pPr>
              <w:rPr>
                <w:b/>
                <w:sz w:val="20"/>
                <w:szCs w:val="20"/>
              </w:rPr>
            </w:pPr>
            <w:r w:rsidRPr="00884D10">
              <w:rPr>
                <w:b/>
                <w:sz w:val="20"/>
                <w:szCs w:val="20"/>
              </w:rPr>
              <w:t>SW</w:t>
            </w:r>
          </w:p>
        </w:tc>
        <w:tc>
          <w:tcPr>
            <w:tcW w:w="2021"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F768B0" w:rsidRPr="00884D10" w:rsidRDefault="00F768B0" w:rsidP="00C83E03">
            <w:pPr>
              <w:jc w:val="center"/>
            </w:pPr>
            <w:r w:rsidRPr="00884D10">
              <w:rPr>
                <w:color w:val="000000"/>
              </w:rPr>
              <w:t>0.0031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F768B0" w:rsidRPr="00884D10" w:rsidRDefault="00F768B0" w:rsidP="00C83E03">
            <w:pPr>
              <w:jc w:val="center"/>
            </w:pPr>
            <w:r w:rsidRPr="00884D10">
              <w:rPr>
                <w:color w:val="000000"/>
              </w:rPr>
              <w:t>0.0031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F768B0" w:rsidRPr="00884D10" w:rsidRDefault="00F768B0" w:rsidP="00C83E03">
            <w:pPr>
              <w:jc w:val="center"/>
              <w:rPr>
                <w:color w:val="000000"/>
              </w:rPr>
            </w:pPr>
            <w:r w:rsidRPr="00884D10">
              <w:rPr>
                <w:color w:val="000000"/>
              </w:rPr>
              <w:t>0.01</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F768B0" w:rsidRPr="00884D10" w:rsidRDefault="00F768B0" w:rsidP="00C83E03">
            <w:pPr>
              <w:jc w:val="center"/>
            </w:pPr>
            <w:r w:rsidRPr="00884D10">
              <w:rPr>
                <w:color w:val="000000"/>
              </w:rPr>
              <w:t>0.0031</w:t>
            </w:r>
          </w:p>
        </w:tc>
      </w:tr>
      <w:tr w:rsidR="00F768B0" w:rsidRPr="00884D10" w:rsidTr="00C83E03">
        <w:trPr>
          <w:trHeight w:val="315"/>
          <w:jc w:val="center"/>
        </w:trPr>
        <w:tc>
          <w:tcPr>
            <w:tcW w:w="17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F768B0" w:rsidRPr="00884D10" w:rsidRDefault="00F768B0" w:rsidP="00C83E03">
            <w:pPr>
              <w:rPr>
                <w:b/>
                <w:sz w:val="20"/>
                <w:szCs w:val="20"/>
              </w:rPr>
            </w:pPr>
            <w:r w:rsidRPr="00884D10">
              <w:rPr>
                <w:b/>
                <w:sz w:val="20"/>
                <w:szCs w:val="20"/>
              </w:rPr>
              <w:t>SH</w:t>
            </w:r>
          </w:p>
        </w:tc>
        <w:tc>
          <w:tcPr>
            <w:tcW w:w="2021"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F768B0" w:rsidRPr="00884D10" w:rsidRDefault="00F768B0" w:rsidP="00C83E03">
            <w:pPr>
              <w:jc w:val="center"/>
            </w:pPr>
            <w:r w:rsidRPr="00884D10">
              <w:rPr>
                <w:color w:val="000000"/>
              </w:rPr>
              <w:t>0.0015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F768B0" w:rsidRPr="00884D10" w:rsidRDefault="00F768B0" w:rsidP="00C83E03">
            <w:pPr>
              <w:jc w:val="center"/>
            </w:pPr>
            <w:r w:rsidRPr="00884D10">
              <w:rPr>
                <w:color w:val="000000"/>
              </w:rPr>
              <w:t>0.0015</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F768B0" w:rsidRPr="00884D10" w:rsidRDefault="00F768B0" w:rsidP="00C83E03">
            <w:pPr>
              <w:jc w:val="center"/>
              <w:rPr>
                <w:color w:val="000000"/>
              </w:rPr>
            </w:pPr>
            <w:r w:rsidRPr="00884D10">
              <w:rPr>
                <w:color w:val="000000"/>
              </w:rPr>
              <w:t>0.01</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F768B0" w:rsidRPr="00884D10" w:rsidRDefault="00F768B0" w:rsidP="00C83E03">
            <w:pPr>
              <w:jc w:val="center"/>
            </w:pPr>
            <w:r w:rsidRPr="00884D10">
              <w:rPr>
                <w:color w:val="000000"/>
              </w:rPr>
              <w:t>0.0015</w:t>
            </w:r>
          </w:p>
        </w:tc>
      </w:tr>
    </w:tbl>
    <w:p w:rsidR="00F768B0" w:rsidRPr="00884D10" w:rsidRDefault="00F768B0" w:rsidP="00F768B0">
      <w:pPr>
        <w:pStyle w:val="R2"/>
      </w:pPr>
    </w:p>
    <w:p w:rsidR="00F768B0" w:rsidRPr="00884D10" w:rsidRDefault="00F768B0" w:rsidP="00F768B0">
      <w:pPr>
        <w:pStyle w:val="tMain"/>
        <w:keepNext/>
      </w:pPr>
      <w:r w:rsidRPr="00884D10">
        <w:lastRenderedPageBreak/>
        <w:tab/>
        <w:t>(2)</w:t>
      </w:r>
      <w:r w:rsidRPr="00884D10">
        <w:tab/>
        <w:t>For the purposes of paragraph 4.9(1)(b), the emission factor for N</w:t>
      </w:r>
      <w:r w:rsidRPr="00884D10">
        <w:rPr>
          <w:vertAlign w:val="subscript"/>
        </w:rPr>
        <w:t>2</w:t>
      </w:r>
      <w:r w:rsidRPr="00884D10">
        <w:t>O for each vegetation class and fuel size class is taken to be the amount set out in the following table:</w:t>
      </w:r>
    </w:p>
    <w:p w:rsidR="00F768B0" w:rsidRPr="00884D10" w:rsidRDefault="00F768B0" w:rsidP="00F768B0">
      <w:pPr>
        <w:pStyle w:val="R2"/>
        <w:keepNext/>
        <w:jc w:val="center"/>
        <w:rPr>
          <w:b/>
        </w:rPr>
      </w:pPr>
      <w:r w:rsidRPr="00884D10">
        <w:rPr>
          <w:b/>
        </w:rPr>
        <w:t>Table 5: Emissions factors for nitrous oxide</w:t>
      </w:r>
    </w:p>
    <w:tbl>
      <w:tblPr>
        <w:tblW w:w="7832" w:type="dxa"/>
        <w:jc w:val="center"/>
        <w:shd w:val="clear" w:color="auto" w:fill="FFFFFF" w:themeFill="background1"/>
        <w:tblLook w:val="0000" w:firstRow="0" w:lastRow="0" w:firstColumn="0" w:lastColumn="0" w:noHBand="0" w:noVBand="0"/>
      </w:tblPr>
      <w:tblGrid>
        <w:gridCol w:w="1700"/>
        <w:gridCol w:w="2021"/>
        <w:gridCol w:w="1276"/>
        <w:gridCol w:w="1417"/>
        <w:gridCol w:w="1418"/>
      </w:tblGrid>
      <w:tr w:rsidR="00F768B0" w:rsidRPr="00884D10" w:rsidTr="00C83E03">
        <w:trPr>
          <w:trHeight w:val="255"/>
          <w:jc w:val="center"/>
        </w:trPr>
        <w:tc>
          <w:tcPr>
            <w:tcW w:w="1700" w:type="dxa"/>
            <w:vMerge w:val="restart"/>
            <w:tcBorders>
              <w:top w:val="single" w:sz="4" w:space="0" w:color="auto"/>
              <w:left w:val="single" w:sz="4" w:space="0" w:color="auto"/>
              <w:right w:val="single" w:sz="4" w:space="0" w:color="auto"/>
            </w:tcBorders>
            <w:shd w:val="clear" w:color="auto" w:fill="FFFFFF" w:themeFill="background1"/>
            <w:noWrap/>
            <w:vAlign w:val="bottom"/>
          </w:tcPr>
          <w:p w:rsidR="00F768B0" w:rsidRPr="00884D10" w:rsidRDefault="00F768B0" w:rsidP="00C83E03">
            <w:pPr>
              <w:keepNext/>
              <w:rPr>
                <w:b/>
              </w:rPr>
            </w:pPr>
            <w:r w:rsidRPr="00884D10">
              <w:rPr>
                <w:b/>
              </w:rPr>
              <w:t>Vegetation class</w:t>
            </w:r>
          </w:p>
        </w:tc>
        <w:tc>
          <w:tcPr>
            <w:tcW w:w="6132"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F768B0" w:rsidRPr="00884D10" w:rsidRDefault="00F768B0" w:rsidP="00C83E03">
            <w:pPr>
              <w:keepNext/>
              <w:jc w:val="center"/>
              <w:rPr>
                <w:b/>
              </w:rPr>
            </w:pPr>
            <w:r w:rsidRPr="00884D10">
              <w:rPr>
                <w:b/>
              </w:rPr>
              <w:t>Fuel size class</w:t>
            </w:r>
          </w:p>
        </w:tc>
      </w:tr>
      <w:tr w:rsidR="00F768B0" w:rsidRPr="00884D10" w:rsidTr="00C83E03">
        <w:trPr>
          <w:trHeight w:val="162"/>
          <w:jc w:val="center"/>
        </w:trPr>
        <w:tc>
          <w:tcPr>
            <w:tcW w:w="1700" w:type="dxa"/>
            <w:vMerge/>
            <w:tcBorders>
              <w:left w:val="single" w:sz="4" w:space="0" w:color="auto"/>
              <w:bottom w:val="single" w:sz="4" w:space="0" w:color="auto"/>
              <w:right w:val="single" w:sz="4" w:space="0" w:color="auto"/>
            </w:tcBorders>
            <w:shd w:val="clear" w:color="auto" w:fill="FFFFFF" w:themeFill="background1"/>
            <w:noWrap/>
            <w:vAlign w:val="bottom"/>
          </w:tcPr>
          <w:p w:rsidR="00F768B0" w:rsidRPr="00884D10" w:rsidRDefault="00F768B0" w:rsidP="00C83E03">
            <w:pPr>
              <w:keepNext/>
              <w:rPr>
                <w:b/>
              </w:rPr>
            </w:pPr>
          </w:p>
        </w:tc>
        <w:tc>
          <w:tcPr>
            <w:tcW w:w="2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F768B0" w:rsidRPr="00884D10" w:rsidRDefault="00F768B0" w:rsidP="00C83E03">
            <w:pPr>
              <w:keepNext/>
              <w:jc w:val="center"/>
              <w:rPr>
                <w:b/>
              </w:rPr>
            </w:pPr>
            <w:r w:rsidRPr="00884D10">
              <w:rPr>
                <w:b/>
              </w:rPr>
              <w:t xml:space="preserve">Fine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F768B0" w:rsidRPr="00884D10" w:rsidRDefault="00F768B0" w:rsidP="00C83E03">
            <w:pPr>
              <w:keepNext/>
              <w:jc w:val="center"/>
              <w:rPr>
                <w:b/>
              </w:rPr>
            </w:pPr>
            <w:r w:rsidRPr="00884D10">
              <w:rPr>
                <w:b/>
              </w:rPr>
              <w:t>Coarse</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F768B0" w:rsidRPr="00884D10" w:rsidRDefault="00F768B0" w:rsidP="00C83E03">
            <w:pPr>
              <w:keepNext/>
              <w:jc w:val="center"/>
              <w:rPr>
                <w:b/>
              </w:rPr>
            </w:pPr>
            <w:r w:rsidRPr="00884D10">
              <w:rPr>
                <w:b/>
              </w:rPr>
              <w:t xml:space="preserve">Heavy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F768B0" w:rsidRPr="00884D10" w:rsidRDefault="00F768B0" w:rsidP="00C83E03">
            <w:pPr>
              <w:keepNext/>
              <w:jc w:val="center"/>
              <w:rPr>
                <w:b/>
              </w:rPr>
            </w:pPr>
            <w:r w:rsidRPr="00884D10">
              <w:rPr>
                <w:b/>
              </w:rPr>
              <w:t>Shrub</w:t>
            </w:r>
          </w:p>
        </w:tc>
      </w:tr>
      <w:tr w:rsidR="00F768B0" w:rsidRPr="00884D10" w:rsidTr="00C83E03">
        <w:trPr>
          <w:trHeight w:val="315"/>
          <w:jc w:val="center"/>
        </w:trPr>
        <w:tc>
          <w:tcPr>
            <w:tcW w:w="17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F768B0" w:rsidRPr="00884D10" w:rsidRDefault="00F768B0" w:rsidP="00C83E03">
            <w:pPr>
              <w:keepNext/>
              <w:rPr>
                <w:b/>
                <w:sz w:val="20"/>
                <w:szCs w:val="20"/>
              </w:rPr>
            </w:pPr>
            <w:r w:rsidRPr="00884D10">
              <w:rPr>
                <w:b/>
                <w:sz w:val="20"/>
                <w:szCs w:val="20"/>
              </w:rPr>
              <w:t>EOF</w:t>
            </w:r>
          </w:p>
        </w:tc>
        <w:tc>
          <w:tcPr>
            <w:tcW w:w="2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768B0" w:rsidRPr="00884D10" w:rsidRDefault="00F768B0" w:rsidP="00C83E03">
            <w:pPr>
              <w:keepNext/>
              <w:jc w:val="center"/>
            </w:pPr>
            <w:r w:rsidRPr="00884D10">
              <w:t>0.0075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F768B0" w:rsidRPr="00884D10" w:rsidRDefault="00F768B0" w:rsidP="00C83E03">
            <w:pPr>
              <w:keepNext/>
              <w:jc w:val="center"/>
            </w:pPr>
            <w:r w:rsidRPr="00884D10">
              <w:t>0.0075</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F768B0" w:rsidRPr="00884D10" w:rsidRDefault="00F768B0" w:rsidP="00C83E03">
            <w:pPr>
              <w:keepNext/>
              <w:jc w:val="center"/>
            </w:pPr>
            <w:r w:rsidRPr="00884D10">
              <w:t>0.0036</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F768B0" w:rsidRPr="00884D10" w:rsidRDefault="00F768B0" w:rsidP="00C83E03">
            <w:pPr>
              <w:keepNext/>
              <w:jc w:val="center"/>
            </w:pPr>
            <w:r w:rsidRPr="00884D10">
              <w:t>0.0075</w:t>
            </w:r>
          </w:p>
        </w:tc>
      </w:tr>
      <w:tr w:rsidR="00F768B0" w:rsidRPr="00884D10" w:rsidTr="00C83E03">
        <w:trPr>
          <w:trHeight w:val="315"/>
          <w:jc w:val="center"/>
        </w:trPr>
        <w:tc>
          <w:tcPr>
            <w:tcW w:w="17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F768B0" w:rsidRPr="00884D10" w:rsidRDefault="00F768B0" w:rsidP="00C83E03">
            <w:pPr>
              <w:keepNext/>
              <w:rPr>
                <w:b/>
                <w:sz w:val="20"/>
                <w:szCs w:val="20"/>
              </w:rPr>
            </w:pPr>
            <w:r w:rsidRPr="00884D10">
              <w:rPr>
                <w:b/>
                <w:sz w:val="20"/>
                <w:szCs w:val="20"/>
              </w:rPr>
              <w:t>EW</w:t>
            </w:r>
          </w:p>
        </w:tc>
        <w:tc>
          <w:tcPr>
            <w:tcW w:w="2021"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F768B0" w:rsidRPr="00884D10" w:rsidRDefault="00F768B0" w:rsidP="00C83E03">
            <w:pPr>
              <w:keepNext/>
              <w:jc w:val="center"/>
            </w:pPr>
            <w:r w:rsidRPr="00884D10">
              <w:t>0.0075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F768B0" w:rsidRPr="00884D10" w:rsidRDefault="00F768B0" w:rsidP="00C83E03">
            <w:pPr>
              <w:keepNext/>
              <w:jc w:val="center"/>
            </w:pPr>
            <w:r w:rsidRPr="00884D10">
              <w:t>0.0075</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F768B0" w:rsidRPr="00884D10" w:rsidRDefault="00F768B0" w:rsidP="00C83E03">
            <w:pPr>
              <w:keepNext/>
              <w:jc w:val="center"/>
            </w:pPr>
            <w:r w:rsidRPr="00884D10">
              <w:t>0.0036</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F768B0" w:rsidRPr="00884D10" w:rsidRDefault="00F768B0" w:rsidP="00C83E03">
            <w:pPr>
              <w:keepNext/>
              <w:jc w:val="center"/>
            </w:pPr>
            <w:r w:rsidRPr="00884D10">
              <w:t>0.0075</w:t>
            </w:r>
          </w:p>
        </w:tc>
      </w:tr>
      <w:tr w:rsidR="00F768B0" w:rsidRPr="00884D10" w:rsidTr="00C83E03">
        <w:trPr>
          <w:trHeight w:val="315"/>
          <w:jc w:val="center"/>
        </w:trPr>
        <w:tc>
          <w:tcPr>
            <w:tcW w:w="17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F768B0" w:rsidRPr="00884D10" w:rsidRDefault="00F768B0" w:rsidP="00C83E03">
            <w:pPr>
              <w:keepNext/>
              <w:rPr>
                <w:b/>
                <w:sz w:val="20"/>
                <w:szCs w:val="20"/>
              </w:rPr>
            </w:pPr>
            <w:r w:rsidRPr="00884D10">
              <w:rPr>
                <w:b/>
                <w:sz w:val="20"/>
                <w:szCs w:val="20"/>
              </w:rPr>
              <w:t>SW</w:t>
            </w:r>
          </w:p>
        </w:tc>
        <w:tc>
          <w:tcPr>
            <w:tcW w:w="2021"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F768B0" w:rsidRPr="00884D10" w:rsidRDefault="00F768B0" w:rsidP="00C83E03">
            <w:pPr>
              <w:keepNext/>
              <w:jc w:val="center"/>
            </w:pPr>
            <w:r w:rsidRPr="00884D10">
              <w:t>0.0075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F768B0" w:rsidRPr="00884D10" w:rsidRDefault="00F768B0" w:rsidP="00C83E03">
            <w:pPr>
              <w:keepNext/>
              <w:jc w:val="center"/>
            </w:pPr>
            <w:r w:rsidRPr="00884D10">
              <w:t>0.0075</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F768B0" w:rsidRPr="00884D10" w:rsidRDefault="00F768B0" w:rsidP="00C83E03">
            <w:pPr>
              <w:keepNext/>
              <w:jc w:val="center"/>
            </w:pPr>
            <w:r w:rsidRPr="00884D10">
              <w:t>0.0036</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F768B0" w:rsidRPr="00884D10" w:rsidRDefault="00F768B0" w:rsidP="00C83E03">
            <w:pPr>
              <w:keepNext/>
              <w:jc w:val="center"/>
            </w:pPr>
            <w:r w:rsidRPr="00884D10">
              <w:t>0.0075</w:t>
            </w:r>
          </w:p>
        </w:tc>
      </w:tr>
      <w:tr w:rsidR="00F768B0" w:rsidRPr="00884D10" w:rsidTr="00C83E03">
        <w:trPr>
          <w:trHeight w:val="315"/>
          <w:jc w:val="center"/>
        </w:trPr>
        <w:tc>
          <w:tcPr>
            <w:tcW w:w="17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F768B0" w:rsidRPr="00884D10" w:rsidRDefault="00F768B0" w:rsidP="00C83E03">
            <w:pPr>
              <w:keepNext/>
              <w:rPr>
                <w:b/>
                <w:sz w:val="20"/>
                <w:szCs w:val="20"/>
              </w:rPr>
            </w:pPr>
            <w:r w:rsidRPr="00884D10">
              <w:rPr>
                <w:b/>
                <w:sz w:val="20"/>
                <w:szCs w:val="20"/>
              </w:rPr>
              <w:t>SH</w:t>
            </w:r>
          </w:p>
        </w:tc>
        <w:tc>
          <w:tcPr>
            <w:tcW w:w="2021"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F768B0" w:rsidRPr="00884D10" w:rsidRDefault="00F768B0" w:rsidP="00C83E03">
            <w:pPr>
              <w:keepNext/>
              <w:jc w:val="center"/>
            </w:pPr>
            <w:r w:rsidRPr="00884D10">
              <w:t>0.0066</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F768B0" w:rsidRPr="00884D10" w:rsidRDefault="00F768B0" w:rsidP="00C83E03">
            <w:pPr>
              <w:keepNext/>
              <w:jc w:val="center"/>
            </w:pPr>
            <w:r w:rsidRPr="00884D10">
              <w:t>0.0066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F768B0" w:rsidRPr="00884D10" w:rsidRDefault="00F768B0" w:rsidP="00C83E03">
            <w:pPr>
              <w:keepNext/>
              <w:jc w:val="center"/>
            </w:pPr>
            <w:r w:rsidRPr="00884D10">
              <w:t>0.0036</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F768B0" w:rsidRPr="00884D10" w:rsidRDefault="00F768B0" w:rsidP="00C83E03">
            <w:pPr>
              <w:keepNext/>
              <w:jc w:val="center"/>
            </w:pPr>
            <w:r w:rsidRPr="00884D10">
              <w:t>0.0066</w:t>
            </w:r>
          </w:p>
        </w:tc>
      </w:tr>
    </w:tbl>
    <w:p w:rsidR="00F768B0" w:rsidRPr="00884D10" w:rsidRDefault="00F768B0" w:rsidP="00F768B0">
      <w:pPr>
        <w:pStyle w:val="h5Section"/>
      </w:pPr>
      <w:bookmarkStart w:id="62" w:name="_Toc357780192"/>
      <w:r>
        <w:t>4.16</w:t>
      </w:r>
      <w:r w:rsidRPr="00884D10">
        <w:tab/>
        <w:t>Carbon content (CC)</w:t>
      </w:r>
      <w:bookmarkEnd w:id="62"/>
      <w:r w:rsidRPr="00884D10">
        <w:t xml:space="preserve"> </w:t>
      </w:r>
    </w:p>
    <w:p w:rsidR="00F768B0" w:rsidRPr="00884D10" w:rsidRDefault="00F768B0" w:rsidP="00F768B0">
      <w:pPr>
        <w:pStyle w:val="tMain"/>
      </w:pPr>
      <w:r w:rsidRPr="00884D10">
        <w:tab/>
      </w:r>
      <w:r w:rsidRPr="00884D10">
        <w:tab/>
        <w:t>For the purposes of subsection 4.9(1), the carbon content for each fuel size class is taken to be the amount set out in the following table:</w:t>
      </w:r>
    </w:p>
    <w:p w:rsidR="00F768B0" w:rsidRPr="00884D10" w:rsidRDefault="00F768B0" w:rsidP="00F768B0">
      <w:pPr>
        <w:pStyle w:val="R2"/>
        <w:ind w:left="426" w:firstLine="0"/>
        <w:jc w:val="center"/>
        <w:rPr>
          <w:b/>
        </w:rPr>
      </w:pPr>
      <w:r w:rsidRPr="00884D10">
        <w:rPr>
          <w:b/>
        </w:rPr>
        <w:t>Table 6: Carbon content</w:t>
      </w:r>
    </w:p>
    <w:tbl>
      <w:tblPr>
        <w:tblW w:w="6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800"/>
        <w:gridCol w:w="1240"/>
        <w:gridCol w:w="980"/>
        <w:gridCol w:w="1240"/>
        <w:gridCol w:w="1280"/>
      </w:tblGrid>
      <w:tr w:rsidR="00F768B0" w:rsidRPr="00884D10" w:rsidTr="00C83E03">
        <w:trPr>
          <w:trHeight w:val="330"/>
          <w:jc w:val="center"/>
        </w:trPr>
        <w:tc>
          <w:tcPr>
            <w:tcW w:w="1800" w:type="dxa"/>
            <w:shd w:val="clear" w:color="auto" w:fill="FFFFFF" w:themeFill="background1"/>
            <w:vAlign w:val="bottom"/>
          </w:tcPr>
          <w:p w:rsidR="00F768B0" w:rsidRPr="00884D10" w:rsidRDefault="00F768B0" w:rsidP="00C83E03">
            <w:pPr>
              <w:rPr>
                <w:b/>
                <w:color w:val="000000"/>
              </w:rPr>
            </w:pPr>
            <w:r w:rsidRPr="00884D10">
              <w:rPr>
                <w:b/>
                <w:color w:val="000000"/>
              </w:rPr>
              <w:t> </w:t>
            </w:r>
          </w:p>
        </w:tc>
        <w:tc>
          <w:tcPr>
            <w:tcW w:w="4740" w:type="dxa"/>
            <w:gridSpan w:val="4"/>
            <w:shd w:val="clear" w:color="auto" w:fill="FFFFFF" w:themeFill="background1"/>
            <w:noWrap/>
            <w:vAlign w:val="bottom"/>
          </w:tcPr>
          <w:p w:rsidR="00F768B0" w:rsidRPr="00884D10" w:rsidRDefault="00F768B0" w:rsidP="00C83E03">
            <w:pPr>
              <w:jc w:val="center"/>
              <w:rPr>
                <w:b/>
                <w:color w:val="000000"/>
              </w:rPr>
            </w:pPr>
            <w:r w:rsidRPr="00884D10">
              <w:rPr>
                <w:b/>
                <w:color w:val="000000"/>
              </w:rPr>
              <w:t>Fuel size class</w:t>
            </w:r>
          </w:p>
        </w:tc>
      </w:tr>
      <w:tr w:rsidR="00F768B0" w:rsidRPr="00884D10" w:rsidTr="00C83E03">
        <w:trPr>
          <w:trHeight w:val="615"/>
          <w:jc w:val="center"/>
        </w:trPr>
        <w:tc>
          <w:tcPr>
            <w:tcW w:w="1800" w:type="dxa"/>
            <w:shd w:val="clear" w:color="auto" w:fill="FFFFFF" w:themeFill="background1"/>
            <w:vAlign w:val="bottom"/>
          </w:tcPr>
          <w:p w:rsidR="00F768B0" w:rsidRPr="00884D10" w:rsidRDefault="00F768B0" w:rsidP="00C83E03">
            <w:pPr>
              <w:rPr>
                <w:b/>
                <w:color w:val="000000"/>
              </w:rPr>
            </w:pPr>
            <w:r w:rsidRPr="00884D10">
              <w:rPr>
                <w:b/>
                <w:color w:val="000000"/>
              </w:rPr>
              <w:t>Elemental content</w:t>
            </w:r>
          </w:p>
        </w:tc>
        <w:tc>
          <w:tcPr>
            <w:tcW w:w="1240" w:type="dxa"/>
            <w:shd w:val="clear" w:color="auto" w:fill="FFFFFF" w:themeFill="background1"/>
            <w:noWrap/>
            <w:vAlign w:val="bottom"/>
          </w:tcPr>
          <w:p w:rsidR="00F768B0" w:rsidRPr="00884D10" w:rsidRDefault="00F768B0" w:rsidP="00C83E03">
            <w:pPr>
              <w:jc w:val="center"/>
              <w:rPr>
                <w:b/>
                <w:color w:val="000000"/>
              </w:rPr>
            </w:pPr>
            <w:r w:rsidRPr="00884D10">
              <w:rPr>
                <w:b/>
                <w:color w:val="000000"/>
              </w:rPr>
              <w:t>Fine</w:t>
            </w:r>
          </w:p>
        </w:tc>
        <w:tc>
          <w:tcPr>
            <w:tcW w:w="980" w:type="dxa"/>
            <w:shd w:val="clear" w:color="auto" w:fill="FFFFFF" w:themeFill="background1"/>
            <w:noWrap/>
            <w:vAlign w:val="bottom"/>
          </w:tcPr>
          <w:p w:rsidR="00F768B0" w:rsidRPr="00884D10" w:rsidRDefault="00F768B0" w:rsidP="00C83E03">
            <w:pPr>
              <w:jc w:val="center"/>
              <w:rPr>
                <w:b/>
                <w:color w:val="000000"/>
              </w:rPr>
            </w:pPr>
            <w:r w:rsidRPr="00884D10">
              <w:rPr>
                <w:b/>
                <w:color w:val="000000"/>
              </w:rPr>
              <w:t>Coarse</w:t>
            </w:r>
          </w:p>
        </w:tc>
        <w:tc>
          <w:tcPr>
            <w:tcW w:w="1240" w:type="dxa"/>
            <w:shd w:val="clear" w:color="auto" w:fill="FFFFFF" w:themeFill="background1"/>
            <w:noWrap/>
            <w:vAlign w:val="bottom"/>
          </w:tcPr>
          <w:p w:rsidR="00F768B0" w:rsidRPr="00884D10" w:rsidRDefault="00F768B0" w:rsidP="00C83E03">
            <w:pPr>
              <w:jc w:val="center"/>
              <w:rPr>
                <w:b/>
                <w:color w:val="000000"/>
              </w:rPr>
            </w:pPr>
            <w:r w:rsidRPr="00884D10">
              <w:rPr>
                <w:b/>
                <w:color w:val="000000"/>
              </w:rPr>
              <w:t>Heavy</w:t>
            </w:r>
          </w:p>
        </w:tc>
        <w:tc>
          <w:tcPr>
            <w:tcW w:w="1280" w:type="dxa"/>
            <w:shd w:val="clear" w:color="auto" w:fill="FFFFFF" w:themeFill="background1"/>
            <w:noWrap/>
            <w:vAlign w:val="bottom"/>
          </w:tcPr>
          <w:p w:rsidR="00F768B0" w:rsidRPr="00884D10" w:rsidRDefault="00F768B0" w:rsidP="00C83E03">
            <w:pPr>
              <w:jc w:val="center"/>
              <w:rPr>
                <w:b/>
                <w:color w:val="000000"/>
              </w:rPr>
            </w:pPr>
            <w:r w:rsidRPr="00884D10">
              <w:rPr>
                <w:b/>
                <w:color w:val="000000"/>
              </w:rPr>
              <w:t>Shrub</w:t>
            </w:r>
          </w:p>
        </w:tc>
      </w:tr>
      <w:tr w:rsidR="00F768B0" w:rsidRPr="00884D10" w:rsidTr="00C83E03">
        <w:trPr>
          <w:trHeight w:val="612"/>
          <w:jc w:val="center"/>
        </w:trPr>
        <w:tc>
          <w:tcPr>
            <w:tcW w:w="1800" w:type="dxa"/>
            <w:shd w:val="clear" w:color="auto" w:fill="FFFFFF" w:themeFill="background1"/>
            <w:vAlign w:val="center"/>
          </w:tcPr>
          <w:p w:rsidR="00F768B0" w:rsidRPr="00884D10" w:rsidRDefault="00F768B0" w:rsidP="00C83E03">
            <w:pPr>
              <w:rPr>
                <w:b/>
                <w:color w:val="000000"/>
              </w:rPr>
            </w:pPr>
            <w:r w:rsidRPr="00884D10">
              <w:rPr>
                <w:b/>
                <w:color w:val="000000"/>
              </w:rPr>
              <w:t xml:space="preserve">Carbon </w:t>
            </w:r>
          </w:p>
        </w:tc>
        <w:tc>
          <w:tcPr>
            <w:tcW w:w="1240" w:type="dxa"/>
            <w:shd w:val="clear" w:color="auto" w:fill="FFFFFF" w:themeFill="background1"/>
            <w:noWrap/>
            <w:vAlign w:val="center"/>
          </w:tcPr>
          <w:p w:rsidR="00F768B0" w:rsidRPr="00884D10" w:rsidRDefault="00F768B0" w:rsidP="00C83E03">
            <w:pPr>
              <w:jc w:val="center"/>
              <w:rPr>
                <w:color w:val="000000"/>
              </w:rPr>
            </w:pPr>
            <w:r w:rsidRPr="00884D10">
              <w:rPr>
                <w:color w:val="000000"/>
              </w:rPr>
              <w:t>0.46</w:t>
            </w:r>
          </w:p>
        </w:tc>
        <w:tc>
          <w:tcPr>
            <w:tcW w:w="980" w:type="dxa"/>
            <w:shd w:val="clear" w:color="auto" w:fill="FFFFFF" w:themeFill="background1"/>
            <w:noWrap/>
            <w:vAlign w:val="center"/>
          </w:tcPr>
          <w:p w:rsidR="00F768B0" w:rsidRPr="00884D10" w:rsidRDefault="00F768B0" w:rsidP="00C83E03">
            <w:pPr>
              <w:jc w:val="center"/>
              <w:rPr>
                <w:color w:val="000000"/>
              </w:rPr>
            </w:pPr>
            <w:r w:rsidRPr="00884D10">
              <w:rPr>
                <w:color w:val="000000"/>
              </w:rPr>
              <w:t>0.46</w:t>
            </w:r>
          </w:p>
        </w:tc>
        <w:tc>
          <w:tcPr>
            <w:tcW w:w="1240" w:type="dxa"/>
            <w:shd w:val="clear" w:color="auto" w:fill="FFFFFF" w:themeFill="background1"/>
            <w:noWrap/>
            <w:vAlign w:val="center"/>
          </w:tcPr>
          <w:p w:rsidR="00F768B0" w:rsidRPr="00884D10" w:rsidRDefault="00F768B0" w:rsidP="00C83E03">
            <w:pPr>
              <w:jc w:val="center"/>
              <w:rPr>
                <w:color w:val="000000"/>
              </w:rPr>
            </w:pPr>
            <w:r w:rsidRPr="00884D10">
              <w:rPr>
                <w:color w:val="000000"/>
              </w:rPr>
              <w:t>0.46</w:t>
            </w:r>
          </w:p>
        </w:tc>
        <w:tc>
          <w:tcPr>
            <w:tcW w:w="1280" w:type="dxa"/>
            <w:shd w:val="clear" w:color="auto" w:fill="FFFFFF" w:themeFill="background1"/>
            <w:noWrap/>
            <w:vAlign w:val="center"/>
          </w:tcPr>
          <w:p w:rsidR="00F768B0" w:rsidRPr="00884D10" w:rsidRDefault="00F768B0" w:rsidP="00C83E03">
            <w:pPr>
              <w:jc w:val="center"/>
              <w:rPr>
                <w:color w:val="000000"/>
              </w:rPr>
            </w:pPr>
            <w:r w:rsidRPr="00884D10">
              <w:rPr>
                <w:color w:val="000000"/>
              </w:rPr>
              <w:t>0.46</w:t>
            </w:r>
          </w:p>
        </w:tc>
      </w:tr>
    </w:tbl>
    <w:p w:rsidR="00F768B0" w:rsidRPr="00884D10" w:rsidRDefault="00F768B0" w:rsidP="00F768B0">
      <w:pPr>
        <w:pStyle w:val="h5Section"/>
      </w:pPr>
      <w:bookmarkStart w:id="63" w:name="_Toc357780193"/>
      <w:r>
        <w:t>4.17</w:t>
      </w:r>
      <w:r w:rsidRPr="00884D10">
        <w:tab/>
        <w:t>Nitrogen to carbon ratio (NC)</w:t>
      </w:r>
      <w:bookmarkEnd w:id="63"/>
      <w:r w:rsidRPr="00884D10">
        <w:t xml:space="preserve"> </w:t>
      </w:r>
    </w:p>
    <w:p w:rsidR="00F768B0" w:rsidRPr="00884D10" w:rsidRDefault="00F768B0" w:rsidP="00F768B0">
      <w:pPr>
        <w:pStyle w:val="tMain"/>
      </w:pPr>
      <w:r w:rsidRPr="00884D10">
        <w:tab/>
      </w:r>
      <w:r w:rsidRPr="00884D10">
        <w:tab/>
        <w:t>For the purposes of paragraph 4.9(1)(b), the nitrogen to carbon ratio for each fuel size class is taken to be the amount set out in the following table:</w:t>
      </w:r>
    </w:p>
    <w:p w:rsidR="00F768B0" w:rsidRPr="00884D10" w:rsidRDefault="00F768B0" w:rsidP="00F768B0">
      <w:pPr>
        <w:pStyle w:val="R2"/>
        <w:ind w:left="426" w:firstLine="0"/>
        <w:jc w:val="center"/>
        <w:rPr>
          <w:b/>
        </w:rPr>
      </w:pPr>
      <w:r w:rsidRPr="00884D10">
        <w:rPr>
          <w:iCs/>
          <w:color w:val="808080" w:themeColor="background1" w:themeShade="80"/>
        </w:rPr>
        <w:t xml:space="preserve"> </w:t>
      </w:r>
      <w:r w:rsidRPr="00884D10">
        <w:rPr>
          <w:b/>
        </w:rPr>
        <w:t>Table 7: Nitrogen to carbon ratio</w:t>
      </w:r>
    </w:p>
    <w:tbl>
      <w:tblPr>
        <w:tblW w:w="6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1240"/>
        <w:gridCol w:w="980"/>
        <w:gridCol w:w="1240"/>
        <w:gridCol w:w="1280"/>
      </w:tblGrid>
      <w:tr w:rsidR="00F768B0" w:rsidRPr="00884D10" w:rsidTr="00C83E03">
        <w:trPr>
          <w:trHeight w:val="330"/>
          <w:jc w:val="center"/>
        </w:trPr>
        <w:tc>
          <w:tcPr>
            <w:tcW w:w="1800" w:type="dxa"/>
            <w:shd w:val="clear" w:color="auto" w:fill="auto"/>
            <w:vAlign w:val="bottom"/>
          </w:tcPr>
          <w:p w:rsidR="00F768B0" w:rsidRPr="00884D10" w:rsidRDefault="00F768B0" w:rsidP="00C83E03">
            <w:pPr>
              <w:rPr>
                <w:color w:val="000000"/>
              </w:rPr>
            </w:pPr>
            <w:r w:rsidRPr="00884D10">
              <w:rPr>
                <w:color w:val="000000"/>
              </w:rPr>
              <w:t> </w:t>
            </w:r>
          </w:p>
        </w:tc>
        <w:tc>
          <w:tcPr>
            <w:tcW w:w="4740" w:type="dxa"/>
            <w:gridSpan w:val="4"/>
            <w:shd w:val="clear" w:color="auto" w:fill="auto"/>
            <w:noWrap/>
            <w:vAlign w:val="bottom"/>
          </w:tcPr>
          <w:p w:rsidR="00F768B0" w:rsidRPr="00884D10" w:rsidRDefault="00F768B0" w:rsidP="00C83E03">
            <w:pPr>
              <w:jc w:val="center"/>
              <w:rPr>
                <w:b/>
                <w:color w:val="000000"/>
              </w:rPr>
            </w:pPr>
            <w:r w:rsidRPr="00884D10">
              <w:rPr>
                <w:b/>
                <w:color w:val="000000"/>
              </w:rPr>
              <w:t>Fuel size class</w:t>
            </w:r>
          </w:p>
        </w:tc>
      </w:tr>
      <w:tr w:rsidR="00F768B0" w:rsidRPr="00884D10" w:rsidTr="00C83E03">
        <w:trPr>
          <w:trHeight w:val="615"/>
          <w:jc w:val="center"/>
        </w:trPr>
        <w:tc>
          <w:tcPr>
            <w:tcW w:w="1800" w:type="dxa"/>
            <w:shd w:val="clear" w:color="auto" w:fill="auto"/>
            <w:vAlign w:val="bottom"/>
          </w:tcPr>
          <w:p w:rsidR="00F768B0" w:rsidRPr="00884D10" w:rsidRDefault="00F768B0" w:rsidP="00C83E03">
            <w:pPr>
              <w:rPr>
                <w:b/>
                <w:color w:val="000000"/>
              </w:rPr>
            </w:pPr>
            <w:r w:rsidRPr="00884D10">
              <w:rPr>
                <w:b/>
                <w:color w:val="000000"/>
              </w:rPr>
              <w:t>Elemental content</w:t>
            </w:r>
          </w:p>
        </w:tc>
        <w:tc>
          <w:tcPr>
            <w:tcW w:w="1240" w:type="dxa"/>
            <w:shd w:val="clear" w:color="auto" w:fill="auto"/>
            <w:noWrap/>
            <w:vAlign w:val="bottom"/>
          </w:tcPr>
          <w:p w:rsidR="00F768B0" w:rsidRPr="00884D10" w:rsidRDefault="00F768B0" w:rsidP="00C83E03">
            <w:pPr>
              <w:jc w:val="center"/>
              <w:rPr>
                <w:b/>
                <w:color w:val="000000"/>
              </w:rPr>
            </w:pPr>
            <w:r w:rsidRPr="00884D10">
              <w:rPr>
                <w:b/>
                <w:color w:val="000000"/>
              </w:rPr>
              <w:t>Fine</w:t>
            </w:r>
          </w:p>
        </w:tc>
        <w:tc>
          <w:tcPr>
            <w:tcW w:w="980" w:type="dxa"/>
            <w:shd w:val="clear" w:color="auto" w:fill="auto"/>
            <w:noWrap/>
            <w:vAlign w:val="bottom"/>
          </w:tcPr>
          <w:p w:rsidR="00F768B0" w:rsidRPr="00884D10" w:rsidRDefault="00F768B0" w:rsidP="00C83E03">
            <w:pPr>
              <w:jc w:val="center"/>
              <w:rPr>
                <w:b/>
                <w:color w:val="000000"/>
              </w:rPr>
            </w:pPr>
            <w:r w:rsidRPr="00884D10">
              <w:rPr>
                <w:b/>
                <w:color w:val="000000"/>
              </w:rPr>
              <w:t>Coarse</w:t>
            </w:r>
          </w:p>
        </w:tc>
        <w:tc>
          <w:tcPr>
            <w:tcW w:w="1240" w:type="dxa"/>
            <w:shd w:val="clear" w:color="auto" w:fill="auto"/>
            <w:noWrap/>
            <w:vAlign w:val="bottom"/>
          </w:tcPr>
          <w:p w:rsidR="00F768B0" w:rsidRPr="00884D10" w:rsidRDefault="00F768B0" w:rsidP="00C83E03">
            <w:pPr>
              <w:jc w:val="center"/>
              <w:rPr>
                <w:b/>
                <w:color w:val="000000"/>
              </w:rPr>
            </w:pPr>
            <w:r w:rsidRPr="00884D10">
              <w:rPr>
                <w:b/>
                <w:color w:val="000000"/>
              </w:rPr>
              <w:t>Heavy</w:t>
            </w:r>
          </w:p>
        </w:tc>
        <w:tc>
          <w:tcPr>
            <w:tcW w:w="1280" w:type="dxa"/>
            <w:shd w:val="clear" w:color="auto" w:fill="auto"/>
            <w:noWrap/>
            <w:vAlign w:val="bottom"/>
          </w:tcPr>
          <w:p w:rsidR="00F768B0" w:rsidRPr="00884D10" w:rsidRDefault="00F768B0" w:rsidP="00C83E03">
            <w:pPr>
              <w:jc w:val="center"/>
              <w:rPr>
                <w:b/>
                <w:color w:val="000000"/>
              </w:rPr>
            </w:pPr>
            <w:r w:rsidRPr="00884D10">
              <w:rPr>
                <w:b/>
                <w:color w:val="000000"/>
              </w:rPr>
              <w:t>Shrub</w:t>
            </w:r>
          </w:p>
        </w:tc>
      </w:tr>
      <w:tr w:rsidR="00F768B0" w:rsidRPr="00884D10" w:rsidTr="00C83E03">
        <w:trPr>
          <w:trHeight w:val="300"/>
          <w:jc w:val="center"/>
        </w:trPr>
        <w:tc>
          <w:tcPr>
            <w:tcW w:w="1800" w:type="dxa"/>
            <w:shd w:val="clear" w:color="auto" w:fill="auto"/>
            <w:vAlign w:val="bottom"/>
          </w:tcPr>
          <w:p w:rsidR="00F768B0" w:rsidRPr="00884D10" w:rsidRDefault="00F768B0" w:rsidP="00C83E03">
            <w:pPr>
              <w:rPr>
                <w:b/>
                <w:color w:val="000000"/>
              </w:rPr>
            </w:pPr>
            <w:r w:rsidRPr="00884D10">
              <w:rPr>
                <w:b/>
                <w:color w:val="000000"/>
              </w:rPr>
              <w:t>Nitrogen to carbon ratio</w:t>
            </w:r>
          </w:p>
        </w:tc>
        <w:tc>
          <w:tcPr>
            <w:tcW w:w="1240" w:type="dxa"/>
            <w:shd w:val="clear" w:color="auto" w:fill="auto"/>
            <w:noWrap/>
            <w:vAlign w:val="bottom"/>
          </w:tcPr>
          <w:p w:rsidR="00F768B0" w:rsidRPr="00884D10" w:rsidRDefault="00F768B0" w:rsidP="00C83E03">
            <w:pPr>
              <w:jc w:val="center"/>
              <w:rPr>
                <w:color w:val="000000"/>
              </w:rPr>
            </w:pPr>
            <w:r w:rsidRPr="00884D10">
              <w:rPr>
                <w:color w:val="000000"/>
              </w:rPr>
              <w:t>0.0096</w:t>
            </w:r>
          </w:p>
        </w:tc>
        <w:tc>
          <w:tcPr>
            <w:tcW w:w="980" w:type="dxa"/>
            <w:shd w:val="clear" w:color="auto" w:fill="auto"/>
            <w:noWrap/>
            <w:vAlign w:val="bottom"/>
          </w:tcPr>
          <w:p w:rsidR="00F768B0" w:rsidRPr="00884D10" w:rsidRDefault="00F768B0" w:rsidP="00C83E03">
            <w:pPr>
              <w:jc w:val="center"/>
              <w:rPr>
                <w:color w:val="000000"/>
              </w:rPr>
            </w:pPr>
            <w:r w:rsidRPr="00884D10">
              <w:rPr>
                <w:color w:val="000000"/>
              </w:rPr>
              <w:t>0.0081</w:t>
            </w:r>
          </w:p>
        </w:tc>
        <w:tc>
          <w:tcPr>
            <w:tcW w:w="1240" w:type="dxa"/>
            <w:shd w:val="clear" w:color="auto" w:fill="auto"/>
            <w:noWrap/>
            <w:vAlign w:val="bottom"/>
          </w:tcPr>
          <w:p w:rsidR="00F768B0" w:rsidRPr="00884D10" w:rsidRDefault="00F768B0" w:rsidP="00C83E03">
            <w:pPr>
              <w:jc w:val="center"/>
              <w:rPr>
                <w:color w:val="000000"/>
              </w:rPr>
            </w:pPr>
            <w:r w:rsidRPr="00884D10">
              <w:rPr>
                <w:color w:val="000000"/>
              </w:rPr>
              <w:t>0.0081</w:t>
            </w:r>
          </w:p>
        </w:tc>
        <w:tc>
          <w:tcPr>
            <w:tcW w:w="1280" w:type="dxa"/>
            <w:shd w:val="clear" w:color="auto" w:fill="auto"/>
            <w:noWrap/>
            <w:vAlign w:val="bottom"/>
          </w:tcPr>
          <w:p w:rsidR="00F768B0" w:rsidRPr="00884D10" w:rsidRDefault="00F768B0" w:rsidP="00C83E03">
            <w:pPr>
              <w:jc w:val="center"/>
              <w:rPr>
                <w:color w:val="000000"/>
              </w:rPr>
            </w:pPr>
            <w:r w:rsidRPr="00884D10">
              <w:rPr>
                <w:color w:val="000000"/>
              </w:rPr>
              <w:t>0.0093</w:t>
            </w:r>
          </w:p>
        </w:tc>
      </w:tr>
    </w:tbl>
    <w:p w:rsidR="00F768B0" w:rsidRPr="00884D10" w:rsidRDefault="00F768B0" w:rsidP="00F768B0">
      <w:pPr>
        <w:pStyle w:val="h5Section"/>
      </w:pPr>
      <w:bookmarkStart w:id="64" w:name="_Toc357780194"/>
      <w:r>
        <w:t>4.18</w:t>
      </w:r>
      <w:r w:rsidRPr="00884D10">
        <w:tab/>
        <w:t>Converting the molecular mass to elemental mass (M)</w:t>
      </w:r>
      <w:bookmarkEnd w:id="64"/>
      <w:r w:rsidRPr="00884D10">
        <w:t xml:space="preserve"> </w:t>
      </w:r>
    </w:p>
    <w:p w:rsidR="00F768B0" w:rsidRPr="00884D10" w:rsidRDefault="00F768B0" w:rsidP="00F768B0">
      <w:pPr>
        <w:pStyle w:val="tMain"/>
      </w:pPr>
      <w:r w:rsidRPr="00884D10">
        <w:tab/>
      </w:r>
      <w:r w:rsidRPr="00884D10">
        <w:tab/>
        <w:t>For the purposes of subsection 4.9(1):</w:t>
      </w:r>
    </w:p>
    <w:p w:rsidR="00F768B0" w:rsidRPr="00884D10" w:rsidRDefault="00F768B0" w:rsidP="00F768B0">
      <w:pPr>
        <w:pStyle w:val="tPara"/>
      </w:pPr>
      <w:r w:rsidRPr="00884D10">
        <w:tab/>
        <w:t>(a)</w:t>
      </w:r>
      <w:r w:rsidRPr="00884D10">
        <w:tab/>
        <w:t>the value of emissions of CH</w:t>
      </w:r>
      <w:r w:rsidRPr="00884D10">
        <w:rPr>
          <w:vertAlign w:val="subscript"/>
        </w:rPr>
        <w:t>4</w:t>
      </w:r>
      <w:r w:rsidRPr="00884D10">
        <w:t xml:space="preserve"> and N</w:t>
      </w:r>
      <w:r w:rsidRPr="00884D10">
        <w:rPr>
          <w:vertAlign w:val="subscript"/>
        </w:rPr>
        <w:t>2</w:t>
      </w:r>
      <w:r w:rsidRPr="00884D10">
        <w:t>O must be converted from the molecular mass to the elemental mass; and</w:t>
      </w:r>
    </w:p>
    <w:p w:rsidR="00130233" w:rsidRDefault="00130233" w:rsidP="00F768B0">
      <w:pPr>
        <w:pStyle w:val="tPara"/>
      </w:pPr>
    </w:p>
    <w:p w:rsidR="00130233" w:rsidRDefault="00130233" w:rsidP="00F768B0">
      <w:pPr>
        <w:pStyle w:val="tPara"/>
      </w:pPr>
    </w:p>
    <w:p w:rsidR="00F768B0" w:rsidRPr="00884D10" w:rsidRDefault="00F768B0" w:rsidP="00F768B0">
      <w:pPr>
        <w:pStyle w:val="tPara"/>
      </w:pPr>
      <w:r w:rsidRPr="00884D10">
        <w:lastRenderedPageBreak/>
        <w:tab/>
        <w:t>(b)</w:t>
      </w:r>
      <w:r w:rsidRPr="00884D10">
        <w:tab/>
        <w:t>the conversion factor is the ratio of molecular mass to elemental mass for each of CH</w:t>
      </w:r>
      <w:r w:rsidRPr="00884D10">
        <w:rPr>
          <w:vertAlign w:val="subscript"/>
        </w:rPr>
        <w:t>4</w:t>
      </w:r>
      <w:r w:rsidRPr="00884D10">
        <w:t xml:space="preserve"> and N</w:t>
      </w:r>
      <w:r w:rsidRPr="00884D10">
        <w:rPr>
          <w:vertAlign w:val="subscript"/>
        </w:rPr>
        <w:t>2</w:t>
      </w:r>
      <w:r w:rsidRPr="00884D10">
        <w:t>O and is taken to be the amount set out in the following table:</w:t>
      </w:r>
    </w:p>
    <w:p w:rsidR="00F768B0" w:rsidRPr="00884D10" w:rsidRDefault="00F768B0" w:rsidP="00F768B0">
      <w:pPr>
        <w:pStyle w:val="R2"/>
        <w:ind w:left="426" w:firstLine="0"/>
        <w:jc w:val="center"/>
        <w:rPr>
          <w:b/>
        </w:rPr>
      </w:pPr>
      <w:r w:rsidRPr="00884D10">
        <w:rPr>
          <w:b/>
        </w:rPr>
        <w:t>Table 8: Molecular mass to elemental mass</w:t>
      </w:r>
    </w:p>
    <w:tbl>
      <w:tblPr>
        <w:tblW w:w="5184" w:type="dxa"/>
        <w:jc w:val="center"/>
        <w:tblLook w:val="04A0" w:firstRow="1" w:lastRow="0" w:firstColumn="1" w:lastColumn="0" w:noHBand="0" w:noVBand="1"/>
      </w:tblPr>
      <w:tblGrid>
        <w:gridCol w:w="2238"/>
        <w:gridCol w:w="2946"/>
      </w:tblGrid>
      <w:tr w:rsidR="00F768B0" w:rsidRPr="00884D10" w:rsidTr="00C83E03">
        <w:trPr>
          <w:trHeight w:val="593"/>
          <w:jc w:val="center"/>
        </w:trPr>
        <w:tc>
          <w:tcPr>
            <w:tcW w:w="2238" w:type="dxa"/>
            <w:tcBorders>
              <w:top w:val="single" w:sz="4" w:space="0" w:color="auto"/>
              <w:left w:val="single" w:sz="4" w:space="0" w:color="auto"/>
              <w:bottom w:val="single" w:sz="4" w:space="0" w:color="auto"/>
              <w:right w:val="single" w:sz="4" w:space="0" w:color="auto"/>
            </w:tcBorders>
            <w:shd w:val="clear" w:color="auto" w:fill="auto"/>
            <w:vAlign w:val="bottom"/>
          </w:tcPr>
          <w:p w:rsidR="00F768B0" w:rsidRPr="00884D10" w:rsidRDefault="00F768B0" w:rsidP="00C83E03">
            <w:pPr>
              <w:jc w:val="center"/>
              <w:rPr>
                <w:b/>
                <w:bCs/>
                <w:color w:val="000000"/>
              </w:rPr>
            </w:pPr>
            <w:r w:rsidRPr="00884D10">
              <w:rPr>
                <w:b/>
                <w:bCs/>
                <w:color w:val="000000"/>
              </w:rPr>
              <w:t>Gas</w:t>
            </w:r>
          </w:p>
        </w:tc>
        <w:tc>
          <w:tcPr>
            <w:tcW w:w="2946" w:type="dxa"/>
            <w:tcBorders>
              <w:top w:val="single" w:sz="4" w:space="0" w:color="auto"/>
              <w:left w:val="nil"/>
              <w:bottom w:val="single" w:sz="4" w:space="0" w:color="auto"/>
              <w:right w:val="single" w:sz="4" w:space="0" w:color="auto"/>
            </w:tcBorders>
            <w:shd w:val="clear" w:color="auto" w:fill="auto"/>
            <w:vAlign w:val="bottom"/>
          </w:tcPr>
          <w:p w:rsidR="00F768B0" w:rsidRPr="00884D10" w:rsidRDefault="00F768B0" w:rsidP="00C83E03">
            <w:pPr>
              <w:jc w:val="center"/>
              <w:rPr>
                <w:b/>
                <w:bCs/>
                <w:color w:val="000000"/>
              </w:rPr>
            </w:pPr>
            <w:r w:rsidRPr="00884D10">
              <w:rPr>
                <w:b/>
                <w:bCs/>
                <w:color w:val="000000"/>
              </w:rPr>
              <w:t>Conversion factor (M)</w:t>
            </w:r>
          </w:p>
        </w:tc>
      </w:tr>
      <w:tr w:rsidR="00F768B0" w:rsidRPr="00884D10" w:rsidTr="00C83E03">
        <w:trPr>
          <w:trHeight w:val="475"/>
          <w:jc w:val="center"/>
        </w:trPr>
        <w:tc>
          <w:tcPr>
            <w:tcW w:w="2238" w:type="dxa"/>
            <w:tcBorders>
              <w:top w:val="nil"/>
              <w:left w:val="single" w:sz="4" w:space="0" w:color="auto"/>
              <w:bottom w:val="single" w:sz="4" w:space="0" w:color="auto"/>
              <w:right w:val="single" w:sz="4" w:space="0" w:color="auto"/>
            </w:tcBorders>
            <w:shd w:val="clear" w:color="auto" w:fill="auto"/>
            <w:vAlign w:val="center"/>
          </w:tcPr>
          <w:p w:rsidR="00F768B0" w:rsidRPr="00884D10" w:rsidRDefault="00F768B0" w:rsidP="00C83E03">
            <w:pPr>
              <w:jc w:val="center"/>
              <w:rPr>
                <w:b/>
                <w:bCs/>
                <w:color w:val="000000"/>
              </w:rPr>
            </w:pPr>
            <w:r w:rsidRPr="00884D10">
              <w:t>CH</w:t>
            </w:r>
            <w:r w:rsidRPr="00884D10">
              <w:rPr>
                <w:vertAlign w:val="subscript"/>
              </w:rPr>
              <w:t>4</w:t>
            </w:r>
          </w:p>
        </w:tc>
        <w:tc>
          <w:tcPr>
            <w:tcW w:w="2946" w:type="dxa"/>
            <w:tcBorders>
              <w:top w:val="single" w:sz="4" w:space="0" w:color="auto"/>
              <w:left w:val="nil"/>
              <w:bottom w:val="single" w:sz="4" w:space="0" w:color="auto"/>
              <w:right w:val="single" w:sz="4" w:space="0" w:color="auto"/>
            </w:tcBorders>
            <w:shd w:val="clear" w:color="auto" w:fill="auto"/>
            <w:vAlign w:val="bottom"/>
          </w:tcPr>
          <w:p w:rsidR="00F768B0" w:rsidRPr="00884D10" w:rsidRDefault="00F768B0" w:rsidP="00C83E03">
            <w:pPr>
              <w:jc w:val="center"/>
              <w:rPr>
                <w:color w:val="000000"/>
              </w:rPr>
            </w:pPr>
            <w:r w:rsidRPr="00884D10">
              <w:rPr>
                <w:color w:val="000000"/>
              </w:rPr>
              <w:t>1.3333</w:t>
            </w:r>
          </w:p>
        </w:tc>
      </w:tr>
      <w:tr w:rsidR="00F768B0" w:rsidRPr="00884D10" w:rsidTr="00C83E03">
        <w:trPr>
          <w:trHeight w:val="437"/>
          <w:jc w:val="center"/>
        </w:trPr>
        <w:tc>
          <w:tcPr>
            <w:tcW w:w="2238" w:type="dxa"/>
            <w:tcBorders>
              <w:top w:val="nil"/>
              <w:left w:val="single" w:sz="4" w:space="0" w:color="auto"/>
              <w:bottom w:val="single" w:sz="4" w:space="0" w:color="auto"/>
              <w:right w:val="single" w:sz="4" w:space="0" w:color="auto"/>
            </w:tcBorders>
            <w:shd w:val="clear" w:color="auto" w:fill="auto"/>
            <w:vAlign w:val="center"/>
          </w:tcPr>
          <w:p w:rsidR="00F768B0" w:rsidRPr="00884D10" w:rsidRDefault="00F768B0" w:rsidP="00C83E03">
            <w:pPr>
              <w:jc w:val="center"/>
              <w:rPr>
                <w:b/>
                <w:bCs/>
                <w:color w:val="000000"/>
              </w:rPr>
            </w:pPr>
            <w:r w:rsidRPr="00884D10">
              <w:t>N</w:t>
            </w:r>
            <w:r w:rsidRPr="00884D10">
              <w:rPr>
                <w:vertAlign w:val="subscript"/>
              </w:rPr>
              <w:t>2</w:t>
            </w:r>
            <w:r w:rsidRPr="00884D10">
              <w:t>O</w:t>
            </w:r>
          </w:p>
        </w:tc>
        <w:tc>
          <w:tcPr>
            <w:tcW w:w="2946" w:type="dxa"/>
            <w:tcBorders>
              <w:top w:val="single" w:sz="4" w:space="0" w:color="auto"/>
              <w:left w:val="nil"/>
              <w:bottom w:val="single" w:sz="4" w:space="0" w:color="auto"/>
              <w:right w:val="single" w:sz="4" w:space="0" w:color="auto"/>
            </w:tcBorders>
            <w:shd w:val="clear" w:color="auto" w:fill="auto"/>
            <w:vAlign w:val="bottom"/>
          </w:tcPr>
          <w:p w:rsidR="00F768B0" w:rsidRPr="00884D10" w:rsidRDefault="00F768B0" w:rsidP="00C83E03">
            <w:pPr>
              <w:jc w:val="center"/>
              <w:rPr>
                <w:color w:val="000000"/>
              </w:rPr>
            </w:pPr>
            <w:r w:rsidRPr="00884D10">
              <w:rPr>
                <w:color w:val="000000"/>
              </w:rPr>
              <w:t>1.5714</w:t>
            </w:r>
          </w:p>
        </w:tc>
      </w:tr>
    </w:tbl>
    <w:p w:rsidR="00F768B0" w:rsidRPr="00884D10" w:rsidRDefault="00F768B0" w:rsidP="00F768B0">
      <w:pPr>
        <w:pStyle w:val="h5Section"/>
      </w:pPr>
      <w:bookmarkStart w:id="65" w:name="_Toc357780195"/>
      <w:r>
        <w:t>4.19</w:t>
      </w:r>
      <w:r w:rsidRPr="00884D10">
        <w:tab/>
        <w:t>Calculating the annual fire emissions in tonnes CO</w:t>
      </w:r>
      <w:r w:rsidRPr="00884D10">
        <w:rPr>
          <w:vertAlign w:val="subscript"/>
        </w:rPr>
        <w:t>2</w:t>
      </w:r>
      <w:r w:rsidRPr="00884D10">
        <w:t>-e</w:t>
      </w:r>
      <w:bookmarkEnd w:id="65"/>
      <w:r w:rsidRPr="00884D10">
        <w:t xml:space="preserve"> </w:t>
      </w:r>
    </w:p>
    <w:p w:rsidR="00F768B0" w:rsidRPr="00884D10" w:rsidRDefault="00F768B0" w:rsidP="00F768B0">
      <w:pPr>
        <w:pStyle w:val="tMain"/>
      </w:pPr>
      <w:r w:rsidRPr="00884D10">
        <w:tab/>
        <w:t>(1)</w:t>
      </w:r>
      <w:r w:rsidRPr="00884D10">
        <w:tab/>
        <w:t>The annual fire emissions of each greenhouse gas (in tonnes of greenhouse gas emitted) in each fire season for each vegetation class must be calculated and the results must be recorded in Table 22 of both Form 1 and Form 2 of Schedule 2.</w:t>
      </w:r>
    </w:p>
    <w:p w:rsidR="00F768B0" w:rsidRPr="00884D10" w:rsidRDefault="00F768B0" w:rsidP="00F768B0">
      <w:pPr>
        <w:pStyle w:val="tMain"/>
      </w:pPr>
      <w:r w:rsidRPr="00884D10">
        <w:tab/>
        <w:t>(2)</w:t>
      </w:r>
      <w:r w:rsidRPr="00884D10">
        <w:tab/>
        <w:t>This calculation is done by multiplying the values in Table 11 with the corresponding values in Table 21.</w:t>
      </w:r>
    </w:p>
    <w:p w:rsidR="00F768B0" w:rsidRPr="00884D10" w:rsidRDefault="00F768B0" w:rsidP="00F768B0">
      <w:pPr>
        <w:pStyle w:val="notePara"/>
      </w:pPr>
      <w:r w:rsidRPr="00884D10">
        <w:tab/>
      </w:r>
      <w:r w:rsidRPr="00884D10">
        <w:rPr>
          <w:b/>
          <w:i/>
        </w:rPr>
        <w:t>Note</w:t>
      </w:r>
      <w:r w:rsidRPr="00884D10">
        <w:tab/>
        <w:t>For example, the value in the first column and the first row of Table 11 must be multiplied by the value in the first row and the first column of Table 21 and the result recorded in the first row of the first column of Table 22. The value in the first column and the first row of Table 11 must also be multiplied by the value in the first row and the third column of Table 21 and the result recorded in the first row of the third column of Table 22. This calculation must be repeated for each value in Table 21 with the appropriate value in Table 11 to populate the first 4 rows and the 4 columns of Table 22.</w:t>
      </w:r>
    </w:p>
    <w:p w:rsidR="00F768B0" w:rsidRPr="00884D10" w:rsidRDefault="00F768B0" w:rsidP="00F768B0">
      <w:pPr>
        <w:pStyle w:val="tMain"/>
      </w:pPr>
      <w:r w:rsidRPr="00884D10">
        <w:tab/>
        <w:t>(3)</w:t>
      </w:r>
      <w:r w:rsidRPr="00884D10">
        <w:tab/>
        <w:t>The annual fire emissions of each greenhouse gas (in tonnes of CO</w:t>
      </w:r>
      <w:r w:rsidRPr="00884D10">
        <w:rPr>
          <w:vertAlign w:val="subscript"/>
        </w:rPr>
        <w:t>2</w:t>
      </w:r>
      <w:r w:rsidRPr="00884D10">
        <w:t xml:space="preserve">-e) must be calculated and the results must be recorded in Table 23 of Form 1 of Schedule 2. </w:t>
      </w:r>
    </w:p>
    <w:p w:rsidR="00F768B0" w:rsidRPr="00884D10" w:rsidRDefault="00F768B0" w:rsidP="00F768B0">
      <w:pPr>
        <w:pStyle w:val="tMain"/>
        <w:rPr>
          <w:iCs/>
        </w:rPr>
      </w:pPr>
      <w:r w:rsidRPr="00884D10">
        <w:tab/>
        <w:t>(4)</w:t>
      </w:r>
      <w:r w:rsidRPr="00884D10">
        <w:tab/>
        <w:t xml:space="preserve">The calculation specified in subsection (3) must be done by multiplying the total annual emissions of each greenhouse gas by the GWP as specified in regulation 2.02 of the </w:t>
      </w:r>
      <w:r w:rsidRPr="00884D10">
        <w:rPr>
          <w:iCs/>
        </w:rPr>
        <w:t xml:space="preserve">NGER Regulations. </w:t>
      </w:r>
    </w:p>
    <w:p w:rsidR="00F768B0" w:rsidRPr="00884D10" w:rsidRDefault="00F768B0" w:rsidP="00F768B0">
      <w:pPr>
        <w:pStyle w:val="tMain"/>
      </w:pPr>
      <w:r w:rsidRPr="00884D10">
        <w:tab/>
        <w:t>(5)</w:t>
      </w:r>
      <w:r w:rsidRPr="00884D10">
        <w:tab/>
        <w:t>The annual fire emissions (E</w:t>
      </w:r>
      <w:r w:rsidRPr="00884D10">
        <w:rPr>
          <w:vertAlign w:val="subscript"/>
        </w:rPr>
        <w:t>fire</w:t>
      </w:r>
      <w:r w:rsidRPr="00884D10">
        <w:t>CO</w:t>
      </w:r>
      <w:r w:rsidRPr="00884D10">
        <w:rPr>
          <w:vertAlign w:val="subscript"/>
        </w:rPr>
        <w:t>2</w:t>
      </w:r>
      <w:r w:rsidRPr="00884D10">
        <w:t>-e (in tonnes of CO</w:t>
      </w:r>
      <w:r w:rsidRPr="00884D10">
        <w:rPr>
          <w:vertAlign w:val="subscript"/>
        </w:rPr>
        <w:t>2</w:t>
      </w:r>
      <w:r w:rsidRPr="00884D10">
        <w:t xml:space="preserve">-e)) for each year in the reporting period must be calculated and the results must be recorded in Table 25 of both Form 1 and Form 2 of Schedule 2. </w:t>
      </w:r>
    </w:p>
    <w:p w:rsidR="00F768B0" w:rsidRPr="00884D10" w:rsidRDefault="00F768B0" w:rsidP="00F768B0">
      <w:pPr>
        <w:pStyle w:val="tMain"/>
      </w:pPr>
      <w:r w:rsidRPr="00884D10">
        <w:tab/>
        <w:t>(6)</w:t>
      </w:r>
      <w:r w:rsidRPr="00884D10">
        <w:tab/>
        <w:t>The calculation specified in subsection (5) must be done by adding the total annual CO</w:t>
      </w:r>
      <w:r w:rsidRPr="00884D10">
        <w:rPr>
          <w:vertAlign w:val="subscript"/>
        </w:rPr>
        <w:t>2</w:t>
      </w:r>
      <w:r w:rsidRPr="00884D10">
        <w:t xml:space="preserve"> equivalent emissions of each greenhouse gas (CH</w:t>
      </w:r>
      <w:r w:rsidRPr="00884D10">
        <w:rPr>
          <w:vertAlign w:val="subscript"/>
        </w:rPr>
        <w:t>4</w:t>
      </w:r>
      <w:r w:rsidRPr="00884D10">
        <w:t xml:space="preserve"> and N</w:t>
      </w:r>
      <w:r w:rsidRPr="00884D10">
        <w:rPr>
          <w:vertAlign w:val="subscript"/>
        </w:rPr>
        <w:t>2</w:t>
      </w:r>
      <w:r w:rsidRPr="00884D10">
        <w:t>O) from Table 23 of Form 1 of Schedule 2.</w:t>
      </w:r>
    </w:p>
    <w:p w:rsidR="00F768B0" w:rsidRPr="00884D10" w:rsidRDefault="00F768B0" w:rsidP="00F768B0">
      <w:pPr>
        <w:pStyle w:val="h5Section"/>
      </w:pPr>
      <w:bookmarkStart w:id="66" w:name="_Ref317781195"/>
      <w:bookmarkStart w:id="67" w:name="_Ref317839311"/>
      <w:bookmarkStart w:id="68" w:name="_Toc357780196"/>
      <w:r>
        <w:t>4.20</w:t>
      </w:r>
      <w:r w:rsidRPr="00884D10">
        <w:tab/>
        <w:t>Calculating average baseline emissions</w:t>
      </w:r>
      <w:bookmarkEnd w:id="66"/>
      <w:bookmarkEnd w:id="67"/>
      <w:bookmarkEnd w:id="68"/>
      <w:r w:rsidRPr="00884D10">
        <w:t xml:space="preserve"> </w:t>
      </w:r>
    </w:p>
    <w:p w:rsidR="00F768B0" w:rsidRPr="00884D10" w:rsidRDefault="00F768B0" w:rsidP="00F768B0">
      <w:pPr>
        <w:pStyle w:val="tMain"/>
      </w:pPr>
      <w:r w:rsidRPr="00884D10">
        <w:tab/>
        <w:t>(1)</w:t>
      </w:r>
      <w:r w:rsidRPr="00884D10">
        <w:tab/>
        <w:t>For paragraph 106(4)(f) of the Act, and subject to subsection (2) of this section, the baseline for a project is the annual emissions of CH</w:t>
      </w:r>
      <w:r w:rsidRPr="00884D10">
        <w:rPr>
          <w:vertAlign w:val="subscript"/>
        </w:rPr>
        <w:t>4</w:t>
      </w:r>
      <w:r w:rsidRPr="00884D10">
        <w:t xml:space="preserve"> and N</w:t>
      </w:r>
      <w:r w:rsidRPr="00884D10">
        <w:rPr>
          <w:vertAlign w:val="subscript"/>
        </w:rPr>
        <w:t>2</w:t>
      </w:r>
      <w:r w:rsidRPr="00884D10">
        <w:t>O in tonnes of CO</w:t>
      </w:r>
      <w:r w:rsidRPr="00884D10">
        <w:rPr>
          <w:vertAlign w:val="subscript"/>
        </w:rPr>
        <w:t>2</w:t>
      </w:r>
      <w:r w:rsidRPr="00884D10">
        <w:t xml:space="preserve">-e for the project area as determined in accordance with this Subdivision, and averaged over the 10 years immediately preceding project commencement. </w:t>
      </w:r>
    </w:p>
    <w:p w:rsidR="00F768B0" w:rsidRPr="00884D10" w:rsidRDefault="00F768B0" w:rsidP="00F768B0">
      <w:pPr>
        <w:pStyle w:val="tMain"/>
      </w:pPr>
      <w:bookmarkStart w:id="69" w:name="_Ref317781188"/>
      <w:r w:rsidRPr="00884D10">
        <w:lastRenderedPageBreak/>
        <w:tab/>
        <w:t>(2)</w:t>
      </w:r>
      <w:r w:rsidRPr="00884D10">
        <w:tab/>
        <w:t>Where strategic early dry season fire management has been conducted in the project area for at least 1 year but no more than 6 consecutive years immediately preceding project commencement, the project proponent may adopt as the baseline the annual emissions of CH</w:t>
      </w:r>
      <w:r w:rsidRPr="00884D10">
        <w:rPr>
          <w:vertAlign w:val="subscript"/>
        </w:rPr>
        <w:t>4</w:t>
      </w:r>
      <w:r w:rsidRPr="00884D10">
        <w:t xml:space="preserve"> and N</w:t>
      </w:r>
      <w:r w:rsidRPr="00884D10">
        <w:rPr>
          <w:vertAlign w:val="subscript"/>
        </w:rPr>
        <w:t>2</w:t>
      </w:r>
      <w:r w:rsidRPr="00884D10">
        <w:t>O from the project area, determined in accordance with this Subdivision, averaged over the 10 years immediately preceding the commencement of that early dry season burning.</w:t>
      </w:r>
      <w:bookmarkEnd w:id="69"/>
    </w:p>
    <w:p w:rsidR="00F768B0" w:rsidRPr="00884D10" w:rsidRDefault="00F768B0" w:rsidP="00F768B0">
      <w:pPr>
        <w:pStyle w:val="notePara"/>
      </w:pPr>
      <w:r w:rsidRPr="00884D10">
        <w:tab/>
      </w:r>
      <w:r w:rsidRPr="00884D10">
        <w:rPr>
          <w:b/>
          <w:i/>
        </w:rPr>
        <w:t>Note</w:t>
      </w:r>
      <w:r w:rsidRPr="00884D10">
        <w:tab/>
        <w:t>Even if early dry season burning occurred in the project area for more than 6 years immediately preceding project commencement, the reference period for calculating the baseline under subsection (2) is the 10 years immediately preceding the period up to 6 years during which early dry season burning occurred prior to project commencement.</w:t>
      </w:r>
    </w:p>
    <w:p w:rsidR="00F768B0" w:rsidRPr="00884D10" w:rsidRDefault="00F768B0" w:rsidP="00F768B0">
      <w:pPr>
        <w:pStyle w:val="tMain"/>
      </w:pPr>
      <w:r w:rsidRPr="00884D10">
        <w:tab/>
        <w:t>(3)</w:t>
      </w:r>
      <w:r w:rsidRPr="00884D10">
        <w:tab/>
        <w:t>The annual emissions in tonnes of CO</w:t>
      </w:r>
      <w:r w:rsidRPr="00884D10">
        <w:rPr>
          <w:vertAlign w:val="subscript"/>
        </w:rPr>
        <w:t>2</w:t>
      </w:r>
      <w:r w:rsidRPr="00884D10">
        <w:t>-e for each year that is included in the calculation of the project baseline emissions, and the sum of the annual emissions to determine the total emissions over the baseline period, must be recorded in Table 24 of both Form 1 and Form 2 of Schedule 2.</w:t>
      </w:r>
    </w:p>
    <w:p w:rsidR="00F768B0" w:rsidRPr="00884D10" w:rsidRDefault="00F768B0" w:rsidP="00F768B0">
      <w:pPr>
        <w:pStyle w:val="tMain"/>
      </w:pPr>
      <w:r w:rsidRPr="00884D10">
        <w:tab/>
        <w:t>(4)</w:t>
      </w:r>
      <w:r w:rsidRPr="00884D10">
        <w:tab/>
        <w:t>The average annual emissions for the baseline period must be calculated and recorded in Table 24 of both Form 1 and Form 2 of Schedule 2.</w:t>
      </w:r>
    </w:p>
    <w:p w:rsidR="00F768B0" w:rsidRPr="00884D10" w:rsidRDefault="00F768B0" w:rsidP="00F768B0"/>
    <w:p w:rsidR="00F768B0" w:rsidRPr="00884D10" w:rsidRDefault="00F768B0" w:rsidP="00F768B0">
      <w:pPr>
        <w:pStyle w:val="h4Subdiv"/>
      </w:pPr>
      <w:bookmarkStart w:id="70" w:name="_Toc357780197"/>
      <w:r w:rsidRPr="00884D10">
        <w:t xml:space="preserve">Subdivision </w:t>
      </w:r>
      <w:r>
        <w:t>4.3.3</w:t>
      </w:r>
      <w:r w:rsidRPr="00884D10">
        <w:tab/>
        <w:t>Calculating total annual project emissions</w:t>
      </w:r>
      <w:bookmarkEnd w:id="70"/>
      <w:r w:rsidRPr="00884D10">
        <w:t xml:space="preserve"> </w:t>
      </w:r>
    </w:p>
    <w:p w:rsidR="00F768B0" w:rsidRPr="00884D10" w:rsidRDefault="00F768B0" w:rsidP="00F768B0">
      <w:pPr>
        <w:pStyle w:val="h5Section"/>
      </w:pPr>
      <w:bookmarkStart w:id="71" w:name="_Toc357780198"/>
      <w:r>
        <w:t>4.21</w:t>
      </w:r>
      <w:r w:rsidRPr="00884D10">
        <w:tab/>
        <w:t>Calculating the emissions from fuel used to establish and manage a project</w:t>
      </w:r>
      <w:bookmarkEnd w:id="71"/>
      <w:r w:rsidRPr="00884D10">
        <w:t xml:space="preserve"> </w:t>
      </w:r>
    </w:p>
    <w:p w:rsidR="00F768B0" w:rsidRPr="00884D10" w:rsidRDefault="00F768B0" w:rsidP="00F768B0">
      <w:pPr>
        <w:pStyle w:val="tMain"/>
      </w:pPr>
      <w:r w:rsidRPr="00884D10">
        <w:tab/>
        <w:t>(1)</w:t>
      </w:r>
      <w:r w:rsidRPr="00884D10">
        <w:tab/>
        <w:t>The total emissions of greenhouse gases from fuel used to establish and manage a project to which this Determination applies must be calculated for each fuel type and each greenhouse gas for each year in the reporting period.</w:t>
      </w:r>
    </w:p>
    <w:p w:rsidR="00F768B0" w:rsidRPr="00884D10" w:rsidRDefault="00F768B0" w:rsidP="00F768B0">
      <w:pPr>
        <w:pStyle w:val="tMain"/>
      </w:pPr>
      <w:r w:rsidRPr="00884D10">
        <w:tab/>
        <w:t>(2)</w:t>
      </w:r>
      <w:r w:rsidRPr="00884D10">
        <w:tab/>
        <w:t>Greenhouse gas emissions from fuel use must be estimated using the energy content factors and emission factors specified in Schedule 1 of the NGER Measurement Determination in force at the time the offsets report is submitted or was required to be submitted, whichever is earlier.</w:t>
      </w:r>
    </w:p>
    <w:p w:rsidR="00F768B0" w:rsidRPr="00884D10" w:rsidRDefault="00F768B0" w:rsidP="00F768B0">
      <w:pPr>
        <w:pStyle w:val="tMain"/>
      </w:pPr>
      <w:r w:rsidRPr="00884D10">
        <w:tab/>
        <w:t>(3)</w:t>
      </w:r>
      <w:r w:rsidRPr="00884D10">
        <w:tab/>
        <w:t>The total emissions of greenhouse gases from fuel used to establish and manage an offset project for each fuel type and each greenhouse gas is to be calculated using the following formula:</w:t>
      </w:r>
      <w:r w:rsidRPr="00884D10">
        <w:tab/>
      </w:r>
    </w:p>
    <w:tbl>
      <w:tblPr>
        <w:tblW w:w="0" w:type="auto"/>
        <w:tblInd w:w="1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76"/>
        <w:gridCol w:w="1865"/>
      </w:tblGrid>
      <w:tr w:rsidR="00F768B0" w:rsidRPr="00884D10" w:rsidTr="00C83E03">
        <w:trPr>
          <w:trHeight w:val="676"/>
        </w:trPr>
        <w:tc>
          <w:tcPr>
            <w:tcW w:w="5576" w:type="dxa"/>
          </w:tcPr>
          <w:p w:rsidR="00F768B0" w:rsidRPr="00884D10" w:rsidRDefault="00D70AFE" w:rsidP="00C83E03">
            <w:pPr>
              <w:spacing w:before="120" w:after="120"/>
              <w:ind w:left="1440"/>
              <w:rPr>
                <w:b/>
              </w:rPr>
            </w:pPr>
            <m:oMathPara>
              <m:oMathParaPr>
                <m:jc m:val="center"/>
              </m:oMathParaPr>
              <m:oMath>
                <m:sSub>
                  <m:sSubPr>
                    <m:ctrlPr>
                      <w:rPr>
                        <w:rFonts w:ascii="Cambria Math" w:hAnsi="Cambria Math"/>
                        <w:b/>
                        <w:iCs/>
                      </w:rPr>
                    </m:ctrlPr>
                  </m:sSubPr>
                  <m:e>
                    <m:r>
                      <m:rPr>
                        <m:sty m:val="b"/>
                      </m:rPr>
                      <w:rPr>
                        <w:rFonts w:ascii="Cambria Math" w:hAnsi="Cambria Math"/>
                      </w:rPr>
                      <m:t>E</m:t>
                    </m:r>
                  </m:e>
                  <m:sub>
                    <m:r>
                      <m:rPr>
                        <m:sty m:val="b"/>
                      </m:rPr>
                      <w:rPr>
                        <w:rFonts w:ascii="Cambria Math" w:hAnsi="Cambria Math"/>
                      </w:rPr>
                      <m:t>ij</m:t>
                    </m:r>
                  </m:sub>
                </m:sSub>
                <m:r>
                  <m:rPr>
                    <m:sty m:val="b"/>
                  </m:rPr>
                  <w:rPr>
                    <w:rFonts w:ascii="Cambria Math" w:hAnsi="Cambria Math"/>
                  </w:rPr>
                  <m:t xml:space="preserve">=  </m:t>
                </m:r>
                <m:f>
                  <m:fPr>
                    <m:ctrlPr>
                      <w:rPr>
                        <w:rFonts w:ascii="Cambria Math" w:hAnsi="Cambria Math"/>
                        <w:b/>
                        <w:iCs/>
                      </w:rPr>
                    </m:ctrlPr>
                  </m:fPr>
                  <m:num>
                    <m:sSub>
                      <m:sSubPr>
                        <m:ctrlPr>
                          <w:rPr>
                            <w:rFonts w:ascii="Cambria Math" w:hAnsi="Cambria Math"/>
                            <w:b/>
                            <w:iCs/>
                          </w:rPr>
                        </m:ctrlPr>
                      </m:sSubPr>
                      <m:e>
                        <m:r>
                          <m:rPr>
                            <m:sty m:val="b"/>
                          </m:rPr>
                          <w:rPr>
                            <w:rFonts w:ascii="Cambria Math" w:hAnsi="Cambria Math"/>
                          </w:rPr>
                          <m:t>Q</m:t>
                        </m:r>
                      </m:e>
                      <m:sub>
                        <m:r>
                          <m:rPr>
                            <m:sty m:val="b"/>
                          </m:rPr>
                          <w:rPr>
                            <w:rFonts w:ascii="Cambria Math" w:hAnsi="Cambria Math"/>
                          </w:rPr>
                          <m:t xml:space="preserve">i </m:t>
                        </m:r>
                      </m:sub>
                    </m:sSub>
                    <m:sSub>
                      <m:sSubPr>
                        <m:ctrlPr>
                          <w:rPr>
                            <w:rFonts w:ascii="Cambria Math" w:hAnsi="Cambria Math"/>
                            <w:b/>
                            <w:iCs/>
                          </w:rPr>
                        </m:ctrlPr>
                      </m:sSubPr>
                      <m:e>
                        <m:r>
                          <m:rPr>
                            <m:sty m:val="b"/>
                          </m:rPr>
                          <w:rPr>
                            <w:rFonts w:ascii="Cambria Math" w:hAnsi="Cambria Math"/>
                          </w:rPr>
                          <m:t xml:space="preserve">  EC</m:t>
                        </m:r>
                      </m:e>
                      <m:sub>
                        <m:r>
                          <m:rPr>
                            <m:sty m:val="b"/>
                          </m:rPr>
                          <w:rPr>
                            <w:rFonts w:ascii="Cambria Math" w:hAnsi="Cambria Math"/>
                          </w:rPr>
                          <m:t xml:space="preserve">i </m:t>
                        </m:r>
                      </m:sub>
                    </m:sSub>
                    <m:sSub>
                      <m:sSubPr>
                        <m:ctrlPr>
                          <w:rPr>
                            <w:rFonts w:ascii="Cambria Math" w:hAnsi="Cambria Math"/>
                            <w:b/>
                            <w:iCs/>
                          </w:rPr>
                        </m:ctrlPr>
                      </m:sSubPr>
                      <m:e>
                        <m:r>
                          <m:rPr>
                            <m:sty m:val="b"/>
                          </m:rPr>
                          <w:rPr>
                            <w:rFonts w:ascii="Cambria Math" w:hAnsi="Cambria Math"/>
                          </w:rPr>
                          <m:t>× EF</m:t>
                        </m:r>
                      </m:e>
                      <m:sub>
                        <m:r>
                          <m:rPr>
                            <m:sty m:val="b"/>
                          </m:rPr>
                          <w:rPr>
                            <w:rFonts w:ascii="Cambria Math" w:hAnsi="Cambria Math"/>
                          </w:rPr>
                          <m:t xml:space="preserve">ijoxec </m:t>
                        </m:r>
                      </m:sub>
                    </m:sSub>
                  </m:num>
                  <m:den>
                    <m:r>
                      <m:rPr>
                        <m:sty m:val="b"/>
                      </m:rPr>
                      <w:rPr>
                        <w:rFonts w:ascii="Cambria Math" w:hAnsi="Cambria Math"/>
                      </w:rPr>
                      <m:t>1000</m:t>
                    </m:r>
                  </m:den>
                </m:f>
              </m:oMath>
            </m:oMathPara>
          </w:p>
        </w:tc>
        <w:tc>
          <w:tcPr>
            <w:tcW w:w="1865" w:type="dxa"/>
          </w:tcPr>
          <w:p w:rsidR="00F768B0" w:rsidRPr="00884D10" w:rsidRDefault="00F768B0" w:rsidP="00C83E03">
            <w:pPr>
              <w:spacing w:before="120" w:after="120"/>
              <w:jc w:val="center"/>
              <w:rPr>
                <w:b/>
              </w:rPr>
            </w:pPr>
            <w:r w:rsidRPr="00884D10">
              <w:rPr>
                <w:b/>
              </w:rPr>
              <w:t>Equation 6</w:t>
            </w:r>
          </w:p>
        </w:tc>
      </w:tr>
    </w:tbl>
    <w:p w:rsidR="00F768B0" w:rsidRPr="00884D10" w:rsidRDefault="00F768B0" w:rsidP="00F768B0">
      <w:pPr>
        <w:pStyle w:val="ListParagraph"/>
        <w:spacing w:before="180" w:after="120"/>
        <w:ind w:left="993"/>
        <w:rPr>
          <w:iCs/>
        </w:rPr>
      </w:pPr>
      <w:r w:rsidRPr="00884D10">
        <w:rPr>
          <w:iCs/>
        </w:rPr>
        <w:t>Where:</w:t>
      </w:r>
    </w:p>
    <w:p w:rsidR="00F768B0" w:rsidRPr="00884D10" w:rsidRDefault="00F768B0" w:rsidP="00F768B0">
      <w:pPr>
        <w:spacing w:before="180" w:line="260" w:lineRule="exact"/>
        <w:ind w:left="2126" w:hanging="1133"/>
        <w:jc w:val="both"/>
      </w:pPr>
      <w:proofErr w:type="spellStart"/>
      <w:r w:rsidRPr="00884D10">
        <w:rPr>
          <w:b/>
        </w:rPr>
        <w:t>E</w:t>
      </w:r>
      <w:r w:rsidRPr="00884D10">
        <w:rPr>
          <w:b/>
          <w:vertAlign w:val="subscript"/>
        </w:rPr>
        <w:t>ij</w:t>
      </w:r>
      <w:proofErr w:type="spellEnd"/>
      <w:r w:rsidRPr="00884D10">
        <w:t xml:space="preserve"> = </w:t>
      </w:r>
      <w:r w:rsidRPr="00884D10">
        <w:tab/>
        <w:t xml:space="preserve">emissions from fuel for each fuel type and each greenhouse gas, in tonnes </w:t>
      </w:r>
      <w:r w:rsidRPr="00884D10">
        <w:rPr>
          <w:iCs/>
        </w:rPr>
        <w:t>CO</w:t>
      </w:r>
      <w:r w:rsidRPr="00884D10">
        <w:rPr>
          <w:iCs/>
          <w:vertAlign w:val="subscript"/>
        </w:rPr>
        <w:t>2</w:t>
      </w:r>
      <w:r w:rsidRPr="00884D10">
        <w:rPr>
          <w:iCs/>
        </w:rPr>
        <w:t>-e</w:t>
      </w:r>
      <w:r w:rsidRPr="00884D10">
        <w:t>.</w:t>
      </w:r>
    </w:p>
    <w:p w:rsidR="00F768B0" w:rsidRPr="00884D10" w:rsidRDefault="00F768B0" w:rsidP="00F768B0">
      <w:pPr>
        <w:spacing w:before="180" w:line="260" w:lineRule="exact"/>
        <w:ind w:left="2126" w:hanging="1133"/>
        <w:jc w:val="both"/>
        <w:rPr>
          <w:iCs/>
        </w:rPr>
      </w:pPr>
      <w:proofErr w:type="spellStart"/>
      <w:r w:rsidRPr="00884D10">
        <w:rPr>
          <w:b/>
        </w:rPr>
        <w:t>i</w:t>
      </w:r>
      <w:proofErr w:type="spellEnd"/>
      <w:r w:rsidRPr="00884D10">
        <w:t xml:space="preserve"> = </w:t>
      </w:r>
      <w:r w:rsidRPr="00884D10">
        <w:tab/>
        <w:t xml:space="preserve">fuel </w:t>
      </w:r>
      <w:r w:rsidRPr="00884D10">
        <w:rPr>
          <w:iCs/>
        </w:rPr>
        <w:t>type.</w:t>
      </w:r>
    </w:p>
    <w:p w:rsidR="00130233" w:rsidRDefault="00130233" w:rsidP="00F768B0">
      <w:pPr>
        <w:spacing w:before="180" w:line="260" w:lineRule="exact"/>
        <w:ind w:left="2126" w:hanging="1133"/>
        <w:jc w:val="both"/>
        <w:rPr>
          <w:b/>
        </w:rPr>
      </w:pPr>
    </w:p>
    <w:p w:rsidR="00130233" w:rsidRDefault="00130233" w:rsidP="00F768B0">
      <w:pPr>
        <w:spacing w:before="180" w:line="260" w:lineRule="exact"/>
        <w:ind w:left="2126" w:hanging="1133"/>
        <w:jc w:val="both"/>
        <w:rPr>
          <w:b/>
        </w:rPr>
      </w:pPr>
    </w:p>
    <w:p w:rsidR="00F768B0" w:rsidRPr="00884D10" w:rsidRDefault="00F768B0" w:rsidP="00F768B0">
      <w:pPr>
        <w:spacing w:before="180" w:line="260" w:lineRule="exact"/>
        <w:ind w:left="2126" w:hanging="1133"/>
        <w:jc w:val="both"/>
      </w:pPr>
      <w:r w:rsidRPr="00884D10">
        <w:rPr>
          <w:b/>
        </w:rPr>
        <w:t>j</w:t>
      </w:r>
      <w:r w:rsidRPr="00884D10">
        <w:t xml:space="preserve"> = </w:t>
      </w:r>
      <w:r w:rsidRPr="00884D10">
        <w:tab/>
        <w:t>greenhouse gas type (CO</w:t>
      </w:r>
      <w:r w:rsidRPr="00884D10">
        <w:rPr>
          <w:vertAlign w:val="subscript"/>
        </w:rPr>
        <w:t>2</w:t>
      </w:r>
      <w:r w:rsidRPr="00884D10">
        <w:t>, N</w:t>
      </w:r>
      <w:r w:rsidRPr="00884D10">
        <w:rPr>
          <w:vertAlign w:val="subscript"/>
        </w:rPr>
        <w:t>2</w:t>
      </w:r>
      <w:r w:rsidRPr="00884D10">
        <w:t>O, CH</w:t>
      </w:r>
      <w:r w:rsidRPr="00884D10">
        <w:rPr>
          <w:vertAlign w:val="subscript"/>
        </w:rPr>
        <w:t>4</w:t>
      </w:r>
      <w:r w:rsidRPr="00884D10">
        <w:t>).</w:t>
      </w:r>
    </w:p>
    <w:p w:rsidR="00F768B0" w:rsidRPr="00884D10" w:rsidRDefault="00F768B0" w:rsidP="00F768B0">
      <w:pPr>
        <w:spacing w:before="180" w:line="260" w:lineRule="exact"/>
        <w:ind w:left="2126" w:hanging="1133"/>
        <w:jc w:val="both"/>
      </w:pPr>
      <w:r w:rsidRPr="00884D10">
        <w:rPr>
          <w:b/>
        </w:rPr>
        <w:t>Q</w:t>
      </w:r>
      <w:r w:rsidRPr="00884D10">
        <w:rPr>
          <w:b/>
          <w:vertAlign w:val="subscript"/>
        </w:rPr>
        <w:t>i</w:t>
      </w:r>
      <w:r w:rsidRPr="00884D10">
        <w:t xml:space="preserve"> </w:t>
      </w:r>
      <w:r w:rsidRPr="00884D10">
        <w:rPr>
          <w:iCs/>
        </w:rPr>
        <w:t xml:space="preserve">= </w:t>
      </w:r>
      <w:r w:rsidRPr="00884D10">
        <w:rPr>
          <w:iCs/>
        </w:rPr>
        <w:tab/>
      </w:r>
      <w:r w:rsidRPr="00884D10">
        <w:t>quantity of the specified fuel type, measured in cubic metres or gigajoules.</w:t>
      </w:r>
    </w:p>
    <w:p w:rsidR="00F768B0" w:rsidRPr="00884D10" w:rsidRDefault="00F768B0" w:rsidP="00F768B0">
      <w:pPr>
        <w:spacing w:before="180" w:line="260" w:lineRule="exact"/>
        <w:ind w:left="2126" w:hanging="1133"/>
        <w:jc w:val="both"/>
      </w:pPr>
      <w:proofErr w:type="spellStart"/>
      <w:r w:rsidRPr="00884D10">
        <w:rPr>
          <w:b/>
          <w:iCs/>
        </w:rPr>
        <w:t>EC</w:t>
      </w:r>
      <w:r w:rsidRPr="00884D10">
        <w:rPr>
          <w:b/>
          <w:iCs/>
          <w:vertAlign w:val="subscript"/>
        </w:rPr>
        <w:t>i</w:t>
      </w:r>
      <w:proofErr w:type="spellEnd"/>
      <w:r w:rsidRPr="00884D10">
        <w:rPr>
          <w:iCs/>
        </w:rPr>
        <w:t xml:space="preserve"> = </w:t>
      </w:r>
      <w:r w:rsidRPr="00884D10">
        <w:rPr>
          <w:iCs/>
        </w:rPr>
        <w:tab/>
        <w:t>energy</w:t>
      </w:r>
      <w:r w:rsidRPr="00884D10">
        <w:t xml:space="preserve"> content factor of fuel type (</w:t>
      </w:r>
      <w:proofErr w:type="spellStart"/>
      <w:r w:rsidRPr="00884D10">
        <w:t>i</w:t>
      </w:r>
      <w:proofErr w:type="spellEnd"/>
      <w:r w:rsidRPr="00884D10">
        <w:t>) (gigajoules per kilolitre); (if Q</w:t>
      </w:r>
      <w:r w:rsidRPr="00884D10">
        <w:rPr>
          <w:vertAlign w:val="subscript"/>
        </w:rPr>
        <w:t>i</w:t>
      </w:r>
      <w:r w:rsidRPr="00884D10">
        <w:t xml:space="preserve"> is measured in gigajoules, then </w:t>
      </w:r>
      <w:proofErr w:type="spellStart"/>
      <w:r w:rsidRPr="00884D10">
        <w:t>EC</w:t>
      </w:r>
      <w:r w:rsidRPr="00884D10">
        <w:rPr>
          <w:vertAlign w:val="subscript"/>
        </w:rPr>
        <w:t>i</w:t>
      </w:r>
      <w:proofErr w:type="spellEnd"/>
      <w:r w:rsidRPr="00884D10">
        <w:t xml:space="preserve"> is 1).</w:t>
      </w:r>
    </w:p>
    <w:p w:rsidR="00F768B0" w:rsidRPr="00884D10" w:rsidRDefault="00F768B0" w:rsidP="00F768B0">
      <w:pPr>
        <w:spacing w:before="180" w:line="260" w:lineRule="exact"/>
        <w:ind w:left="2126" w:hanging="1133"/>
        <w:jc w:val="both"/>
      </w:pPr>
      <w:proofErr w:type="spellStart"/>
      <w:r w:rsidRPr="00884D10">
        <w:rPr>
          <w:b/>
          <w:iCs/>
        </w:rPr>
        <w:t>EF</w:t>
      </w:r>
      <w:r w:rsidRPr="00884D10">
        <w:rPr>
          <w:b/>
          <w:iCs/>
          <w:vertAlign w:val="subscript"/>
        </w:rPr>
        <w:t>ijoxec</w:t>
      </w:r>
      <w:proofErr w:type="spellEnd"/>
      <w:r w:rsidRPr="00884D10">
        <w:rPr>
          <w:iCs/>
        </w:rPr>
        <w:t xml:space="preserve"> = </w:t>
      </w:r>
      <w:r w:rsidRPr="00884D10">
        <w:rPr>
          <w:iCs/>
        </w:rPr>
        <w:tab/>
      </w:r>
      <w:r w:rsidRPr="00884D10">
        <w:t xml:space="preserve">emission factor for each gas type (j) (which includes the effect of an oxidation factor) </w:t>
      </w:r>
      <w:r w:rsidRPr="00884D10">
        <w:rPr>
          <w:iCs/>
        </w:rPr>
        <w:t>for</w:t>
      </w:r>
      <w:r w:rsidRPr="00884D10">
        <w:t xml:space="preserve"> fuel type (</w:t>
      </w:r>
      <w:proofErr w:type="spellStart"/>
      <w:r w:rsidRPr="00884D10">
        <w:t>i</w:t>
      </w:r>
      <w:proofErr w:type="spellEnd"/>
      <w:r w:rsidRPr="00884D10">
        <w:t>) (kilograms CO</w:t>
      </w:r>
      <w:r w:rsidRPr="00884D10">
        <w:rPr>
          <w:vertAlign w:val="subscript"/>
        </w:rPr>
        <w:t>2</w:t>
      </w:r>
      <w:r w:rsidRPr="00884D10">
        <w:t>-e per gigajoule).</w:t>
      </w:r>
    </w:p>
    <w:p w:rsidR="00F768B0" w:rsidRPr="00884D10" w:rsidRDefault="00F768B0" w:rsidP="00F768B0">
      <w:pPr>
        <w:pStyle w:val="tMain"/>
        <w:spacing w:before="120" w:after="120" w:line="276" w:lineRule="auto"/>
      </w:pPr>
      <w:r w:rsidRPr="00884D10">
        <w:tab/>
        <w:t>(4)</w:t>
      </w:r>
      <w:r w:rsidRPr="00884D10">
        <w:tab/>
        <w:t>The total emissions of greenhouse gases from fuel used to establish and manage an offset project are to be calculated using the following formula:</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55"/>
        <w:gridCol w:w="1873"/>
      </w:tblGrid>
      <w:tr w:rsidR="00F768B0" w:rsidRPr="00884D10" w:rsidTr="00C83E03">
        <w:tc>
          <w:tcPr>
            <w:tcW w:w="5555" w:type="dxa"/>
            <w:vAlign w:val="center"/>
          </w:tcPr>
          <w:p w:rsidR="00F768B0" w:rsidRPr="00884D10" w:rsidRDefault="00D70AFE" w:rsidP="00C83E03">
            <w:pPr>
              <w:spacing w:before="120" w:after="120" w:line="276" w:lineRule="auto"/>
              <w:ind w:left="2160"/>
              <w:jc w:val="center"/>
              <w:rPr>
                <w:b/>
              </w:rPr>
            </w:pPr>
            <m:oMathPara>
              <m:oMathParaPr>
                <m:jc m:val="center"/>
              </m:oMathParaPr>
              <m:oMath>
                <m:sSub>
                  <m:sSubPr>
                    <m:ctrlPr>
                      <w:rPr>
                        <w:rFonts w:ascii="Cambria Math" w:hAnsi="Cambria Math"/>
                        <w:b/>
                        <w:iCs/>
                      </w:rPr>
                    </m:ctrlPr>
                  </m:sSubPr>
                  <m:e>
                    <m:r>
                      <m:rPr>
                        <m:sty m:val="b"/>
                      </m:rPr>
                      <w:rPr>
                        <w:rFonts w:ascii="Cambria Math" w:hAnsi="Cambria Math"/>
                      </w:rPr>
                      <m:t>E</m:t>
                    </m:r>
                  </m:e>
                  <m:sub>
                    <m:r>
                      <m:rPr>
                        <m:sty m:val="b"/>
                      </m:rPr>
                      <w:rPr>
                        <w:rFonts w:ascii="Cambria Math" w:hAnsi="Cambria Math"/>
                      </w:rPr>
                      <m:t>fuel</m:t>
                    </m:r>
                  </m:sub>
                </m:sSub>
                <m:r>
                  <m:rPr>
                    <m:sty m:val="b"/>
                  </m:rPr>
                  <w:rPr>
                    <w:rFonts w:ascii="Cambria Math" w:hAnsi="Cambria Math"/>
                  </w:rPr>
                  <m:t xml:space="preserve">=  </m:t>
                </m:r>
                <m:nary>
                  <m:naryPr>
                    <m:chr m:val="∑"/>
                    <m:limLoc m:val="undOvr"/>
                    <m:ctrlPr>
                      <w:rPr>
                        <w:rFonts w:ascii="Cambria Math" w:hAnsi="Cambria Math"/>
                        <w:b/>
                        <w:iCs/>
                      </w:rPr>
                    </m:ctrlPr>
                  </m:naryPr>
                  <m:sub>
                    <m:r>
                      <m:rPr>
                        <m:sty m:val="b"/>
                      </m:rPr>
                      <w:rPr>
                        <w:rFonts w:ascii="Cambria Math" w:hAnsi="Cambria Math"/>
                      </w:rPr>
                      <m:t>1</m:t>
                    </m:r>
                  </m:sub>
                  <m:sup>
                    <m:sSub>
                      <m:sSubPr>
                        <m:ctrlPr>
                          <w:rPr>
                            <w:rFonts w:ascii="Cambria Math" w:hAnsi="Cambria Math"/>
                            <w:b/>
                            <w:iCs/>
                          </w:rPr>
                        </m:ctrlPr>
                      </m:sSubPr>
                      <m:e>
                        <m:r>
                          <m:rPr>
                            <m:sty m:val="b"/>
                          </m:rPr>
                          <w:rPr>
                            <w:rFonts w:ascii="Cambria Math" w:hAnsi="Cambria Math"/>
                          </w:rPr>
                          <m:t>N</m:t>
                        </m:r>
                      </m:e>
                      <m:sub>
                        <m:r>
                          <m:rPr>
                            <m:sty m:val="b"/>
                          </m:rPr>
                          <w:rPr>
                            <w:rFonts w:ascii="Cambria Math" w:hAnsi="Cambria Math"/>
                          </w:rPr>
                          <m:t>i,j</m:t>
                        </m:r>
                      </m:sub>
                    </m:sSub>
                  </m:sup>
                  <m:e>
                    <m:sSub>
                      <m:sSubPr>
                        <m:ctrlPr>
                          <w:rPr>
                            <w:rFonts w:ascii="Cambria Math" w:hAnsi="Cambria Math"/>
                            <w:b/>
                            <w:iCs/>
                          </w:rPr>
                        </m:ctrlPr>
                      </m:sSubPr>
                      <m:e>
                        <m:r>
                          <m:rPr>
                            <m:sty m:val="b"/>
                          </m:rPr>
                          <w:rPr>
                            <w:rFonts w:ascii="Cambria Math" w:hAnsi="Cambria Math"/>
                          </w:rPr>
                          <m:t>E</m:t>
                        </m:r>
                      </m:e>
                      <m:sub>
                        <m:r>
                          <m:rPr>
                            <m:sty m:val="b"/>
                          </m:rPr>
                          <w:rPr>
                            <w:rFonts w:ascii="Cambria Math" w:hAnsi="Cambria Math"/>
                          </w:rPr>
                          <m:t>ij</m:t>
                        </m:r>
                      </m:sub>
                    </m:sSub>
                  </m:e>
                </m:nary>
              </m:oMath>
            </m:oMathPara>
          </w:p>
        </w:tc>
        <w:tc>
          <w:tcPr>
            <w:tcW w:w="1873" w:type="dxa"/>
          </w:tcPr>
          <w:p w:rsidR="00F768B0" w:rsidRPr="00884D10" w:rsidRDefault="00F768B0" w:rsidP="00C83E03">
            <w:pPr>
              <w:spacing w:before="120" w:after="120" w:line="276" w:lineRule="auto"/>
              <w:jc w:val="center"/>
              <w:rPr>
                <w:b/>
              </w:rPr>
            </w:pPr>
            <w:r w:rsidRPr="00884D10">
              <w:rPr>
                <w:b/>
              </w:rPr>
              <w:t>Equation 7</w:t>
            </w:r>
          </w:p>
        </w:tc>
      </w:tr>
    </w:tbl>
    <w:p w:rsidR="00F768B0" w:rsidRPr="00884D10" w:rsidRDefault="00F768B0" w:rsidP="00F768B0">
      <w:pPr>
        <w:pStyle w:val="ListParagraph"/>
        <w:spacing w:before="120" w:after="120"/>
        <w:ind w:left="993"/>
        <w:rPr>
          <w:iCs/>
        </w:rPr>
      </w:pPr>
      <w:r w:rsidRPr="00884D10">
        <w:rPr>
          <w:iCs/>
        </w:rPr>
        <w:t>Where:</w:t>
      </w:r>
    </w:p>
    <w:p w:rsidR="00F768B0" w:rsidRPr="00884D10" w:rsidRDefault="00F768B0" w:rsidP="00F768B0">
      <w:pPr>
        <w:spacing w:before="120" w:line="260" w:lineRule="exact"/>
        <w:ind w:left="993"/>
        <w:rPr>
          <w:iCs/>
        </w:rPr>
      </w:pPr>
      <w:proofErr w:type="spellStart"/>
      <w:r w:rsidRPr="00884D10">
        <w:rPr>
          <w:b/>
          <w:iCs/>
        </w:rPr>
        <w:t>E</w:t>
      </w:r>
      <w:r w:rsidRPr="00884D10">
        <w:rPr>
          <w:b/>
          <w:iCs/>
          <w:vertAlign w:val="subscript"/>
        </w:rPr>
        <w:t>fuel</w:t>
      </w:r>
      <w:proofErr w:type="spellEnd"/>
      <w:r w:rsidRPr="00884D10">
        <w:rPr>
          <w:iCs/>
        </w:rPr>
        <w:t xml:space="preserve"> = </w:t>
      </w:r>
      <w:r w:rsidRPr="00884D10">
        <w:rPr>
          <w:iCs/>
        </w:rPr>
        <w:tab/>
        <w:t>total emissions from fuel use, in tonnes CO</w:t>
      </w:r>
      <w:r w:rsidRPr="00884D10">
        <w:rPr>
          <w:iCs/>
          <w:vertAlign w:val="subscript"/>
        </w:rPr>
        <w:t>2</w:t>
      </w:r>
      <w:r w:rsidRPr="00884D10">
        <w:rPr>
          <w:iCs/>
        </w:rPr>
        <w:t>-e.</w:t>
      </w:r>
    </w:p>
    <w:p w:rsidR="00F768B0" w:rsidRPr="00884D10" w:rsidRDefault="00F768B0" w:rsidP="00F768B0">
      <w:pPr>
        <w:spacing w:before="120" w:line="260" w:lineRule="exact"/>
        <w:ind w:left="2170" w:hanging="1177"/>
      </w:pPr>
      <w:proofErr w:type="spellStart"/>
      <w:r w:rsidRPr="00884D10">
        <w:rPr>
          <w:b/>
        </w:rPr>
        <w:t>E</w:t>
      </w:r>
      <w:r w:rsidRPr="00884D10">
        <w:rPr>
          <w:b/>
          <w:vertAlign w:val="subscript"/>
        </w:rPr>
        <w:t>ij</w:t>
      </w:r>
      <w:proofErr w:type="spellEnd"/>
      <w:r w:rsidRPr="00884D10">
        <w:t xml:space="preserve"> = </w:t>
      </w:r>
      <w:r w:rsidRPr="00884D10">
        <w:tab/>
        <w:t xml:space="preserve">emissions from fuel for each fuel type and each greenhouse gas, in tonnes </w:t>
      </w:r>
      <w:r w:rsidRPr="00884D10">
        <w:rPr>
          <w:iCs/>
        </w:rPr>
        <w:t>CO</w:t>
      </w:r>
      <w:r w:rsidRPr="00884D10">
        <w:rPr>
          <w:iCs/>
          <w:vertAlign w:val="subscript"/>
        </w:rPr>
        <w:t>2</w:t>
      </w:r>
      <w:r w:rsidRPr="00884D10">
        <w:rPr>
          <w:iCs/>
        </w:rPr>
        <w:t>-e</w:t>
      </w:r>
      <w:r w:rsidRPr="00884D10">
        <w:t>.</w:t>
      </w:r>
    </w:p>
    <w:p w:rsidR="00F768B0" w:rsidRPr="00884D10" w:rsidRDefault="00F768B0" w:rsidP="00F768B0">
      <w:pPr>
        <w:spacing w:before="120" w:line="260" w:lineRule="exact"/>
        <w:ind w:left="993"/>
        <w:rPr>
          <w:iCs/>
        </w:rPr>
      </w:pPr>
      <w:proofErr w:type="spellStart"/>
      <w:r w:rsidRPr="00884D10">
        <w:rPr>
          <w:b/>
        </w:rPr>
        <w:t>i</w:t>
      </w:r>
      <w:proofErr w:type="spellEnd"/>
      <w:r w:rsidRPr="00884D10">
        <w:t xml:space="preserve"> = </w:t>
      </w:r>
      <w:r w:rsidRPr="00884D10">
        <w:tab/>
      </w:r>
      <w:r w:rsidRPr="00884D10">
        <w:tab/>
        <w:t xml:space="preserve">fuel </w:t>
      </w:r>
      <w:r w:rsidRPr="00884D10">
        <w:rPr>
          <w:iCs/>
        </w:rPr>
        <w:t>type.</w:t>
      </w:r>
    </w:p>
    <w:p w:rsidR="00F768B0" w:rsidRPr="00884D10" w:rsidRDefault="00F768B0" w:rsidP="00F768B0">
      <w:pPr>
        <w:spacing w:before="120" w:line="260" w:lineRule="exact"/>
        <w:ind w:left="993"/>
      </w:pPr>
      <w:r w:rsidRPr="00884D10">
        <w:rPr>
          <w:b/>
        </w:rPr>
        <w:t>j</w:t>
      </w:r>
      <w:r w:rsidRPr="00884D10">
        <w:t xml:space="preserve"> = </w:t>
      </w:r>
      <w:r w:rsidRPr="00884D10">
        <w:tab/>
      </w:r>
      <w:r w:rsidRPr="00884D10">
        <w:tab/>
        <w:t>greenhouse gas type (CO</w:t>
      </w:r>
      <w:r w:rsidRPr="00884D10">
        <w:rPr>
          <w:vertAlign w:val="subscript"/>
        </w:rPr>
        <w:t>2</w:t>
      </w:r>
      <w:r w:rsidRPr="00884D10">
        <w:t>, N</w:t>
      </w:r>
      <w:r w:rsidRPr="00884D10">
        <w:rPr>
          <w:vertAlign w:val="subscript"/>
        </w:rPr>
        <w:t>2</w:t>
      </w:r>
      <w:r w:rsidRPr="00884D10">
        <w:t>O, CH</w:t>
      </w:r>
      <w:r w:rsidRPr="00884D10">
        <w:rPr>
          <w:vertAlign w:val="subscript"/>
        </w:rPr>
        <w:t>4</w:t>
      </w:r>
      <w:r w:rsidRPr="00884D10">
        <w:t>).</w:t>
      </w:r>
    </w:p>
    <w:p w:rsidR="00F768B0" w:rsidRPr="00884D10" w:rsidRDefault="00F768B0" w:rsidP="00F768B0">
      <w:pPr>
        <w:ind w:left="426"/>
        <w:rPr>
          <w:iCs/>
        </w:rPr>
      </w:pPr>
    </w:p>
    <w:p w:rsidR="00F768B0" w:rsidRPr="00884D10" w:rsidRDefault="00F768B0" w:rsidP="00F768B0">
      <w:pPr>
        <w:pStyle w:val="tMain"/>
      </w:pPr>
      <w:r w:rsidRPr="00884D10">
        <w:tab/>
        <w:t>(5)</w:t>
      </w:r>
      <w:r w:rsidRPr="00884D10">
        <w:tab/>
        <w:t>The total emissions of greenhouse gases from fuel used to establish and manage an offset project (</w:t>
      </w:r>
      <w:proofErr w:type="spellStart"/>
      <w:r w:rsidRPr="00884D10">
        <w:t>E</w:t>
      </w:r>
      <w:r w:rsidRPr="00884D10">
        <w:rPr>
          <w:vertAlign w:val="subscript"/>
        </w:rPr>
        <w:t>fuel</w:t>
      </w:r>
      <w:proofErr w:type="spellEnd"/>
      <w:r w:rsidRPr="00884D10">
        <w:t xml:space="preserve">) must be recorded in Table 26 of Form 1 of Schedule 2. </w:t>
      </w:r>
    </w:p>
    <w:p w:rsidR="00F768B0" w:rsidRPr="00884D10" w:rsidRDefault="00F768B0" w:rsidP="00F768B0">
      <w:pPr>
        <w:pStyle w:val="h5Section"/>
      </w:pPr>
      <w:bookmarkStart w:id="72" w:name="_Toc357780199"/>
      <w:r>
        <w:t>4.22</w:t>
      </w:r>
      <w:r w:rsidRPr="00884D10">
        <w:tab/>
        <w:t>Calculating total project emissions</w:t>
      </w:r>
      <w:bookmarkEnd w:id="72"/>
      <w:r w:rsidRPr="00884D10">
        <w:t xml:space="preserve"> </w:t>
      </w:r>
    </w:p>
    <w:p w:rsidR="00F768B0" w:rsidRPr="00884D10" w:rsidRDefault="00F768B0" w:rsidP="00F768B0">
      <w:pPr>
        <w:pStyle w:val="tMain"/>
      </w:pPr>
      <w:bookmarkStart w:id="73" w:name="_Ref317843190"/>
      <w:r w:rsidRPr="00884D10">
        <w:tab/>
      </w:r>
      <w:r w:rsidRPr="00884D10">
        <w:tab/>
        <w:t>The total annual amount of emissions of carbon dioxide equivalents for an offsets project is to be calculated using the following formula and recorded in Table 27 of Form 1 of Schedule 2:</w:t>
      </w:r>
      <w:bookmarkEnd w:id="73"/>
    </w:p>
    <w:p w:rsidR="00F768B0" w:rsidRPr="00884D10" w:rsidRDefault="00F768B0" w:rsidP="00F768B0">
      <w:pPr>
        <w:pStyle w:val="R2"/>
        <w:spacing w:before="0"/>
      </w:pP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97"/>
        <w:gridCol w:w="1873"/>
      </w:tblGrid>
      <w:tr w:rsidR="00F768B0" w:rsidRPr="00884D10" w:rsidTr="00C83E03">
        <w:tc>
          <w:tcPr>
            <w:tcW w:w="5697" w:type="dxa"/>
          </w:tcPr>
          <w:p w:rsidR="00F768B0" w:rsidRPr="00884D10" w:rsidRDefault="00F768B0" w:rsidP="00C83E03">
            <w:pPr>
              <w:spacing w:before="120" w:after="120"/>
              <w:jc w:val="center"/>
              <w:rPr>
                <w:b/>
                <w:lang w:val="es-AR"/>
              </w:rPr>
            </w:pPr>
            <w:r w:rsidRPr="00884D10">
              <w:rPr>
                <w:b/>
                <w:lang w:val="es-AR"/>
              </w:rPr>
              <w:t>E</w:t>
            </w:r>
            <w:r w:rsidRPr="00884D10">
              <w:rPr>
                <w:b/>
                <w:vertAlign w:val="subscript"/>
                <w:lang w:val="es-AR"/>
              </w:rPr>
              <w:t>total</w:t>
            </w:r>
            <w:r w:rsidRPr="00884D10">
              <w:rPr>
                <w:b/>
                <w:lang w:val="es-AR"/>
              </w:rPr>
              <w:t>CO</w:t>
            </w:r>
            <w:r w:rsidRPr="00884D10">
              <w:rPr>
                <w:b/>
                <w:vertAlign w:val="subscript"/>
                <w:lang w:val="es-AR"/>
              </w:rPr>
              <w:t>2</w:t>
            </w:r>
            <w:r w:rsidRPr="00884D10">
              <w:rPr>
                <w:b/>
                <w:lang w:val="es-AR"/>
              </w:rPr>
              <w:t>-e = E</w:t>
            </w:r>
            <w:r w:rsidRPr="00884D10">
              <w:rPr>
                <w:b/>
                <w:vertAlign w:val="subscript"/>
                <w:lang w:val="es-AR"/>
              </w:rPr>
              <w:t>fire</w:t>
            </w:r>
            <w:r w:rsidRPr="00884D10">
              <w:rPr>
                <w:b/>
                <w:lang w:val="es-AR"/>
              </w:rPr>
              <w:t>CO</w:t>
            </w:r>
            <w:r w:rsidRPr="00884D10">
              <w:rPr>
                <w:b/>
                <w:vertAlign w:val="subscript"/>
                <w:lang w:val="es-AR"/>
              </w:rPr>
              <w:t>2</w:t>
            </w:r>
            <w:r w:rsidRPr="00884D10">
              <w:rPr>
                <w:b/>
                <w:lang w:val="es-AR"/>
              </w:rPr>
              <w:t xml:space="preserve">-e + </w:t>
            </w:r>
            <w:proofErr w:type="spellStart"/>
            <w:r w:rsidRPr="00884D10">
              <w:rPr>
                <w:b/>
                <w:lang w:val="es-AR"/>
              </w:rPr>
              <w:t>E</w:t>
            </w:r>
            <w:r w:rsidRPr="00884D10">
              <w:rPr>
                <w:b/>
                <w:vertAlign w:val="subscript"/>
                <w:lang w:val="es-AR"/>
              </w:rPr>
              <w:t>fuel</w:t>
            </w:r>
            <w:proofErr w:type="spellEnd"/>
          </w:p>
        </w:tc>
        <w:tc>
          <w:tcPr>
            <w:tcW w:w="1873" w:type="dxa"/>
          </w:tcPr>
          <w:p w:rsidR="00F768B0" w:rsidRPr="00884D10" w:rsidRDefault="00F768B0" w:rsidP="00C83E03">
            <w:pPr>
              <w:spacing w:before="120" w:after="120"/>
              <w:jc w:val="center"/>
              <w:rPr>
                <w:b/>
              </w:rPr>
            </w:pPr>
            <w:r w:rsidRPr="00884D10">
              <w:rPr>
                <w:b/>
              </w:rPr>
              <w:t>Equation 8</w:t>
            </w:r>
          </w:p>
        </w:tc>
      </w:tr>
    </w:tbl>
    <w:p w:rsidR="00F768B0" w:rsidRPr="00884D10" w:rsidRDefault="00F768B0" w:rsidP="00F768B0">
      <w:pPr>
        <w:pStyle w:val="Bullet"/>
        <w:tabs>
          <w:tab w:val="left" w:pos="7139"/>
        </w:tabs>
        <w:spacing w:before="180"/>
        <w:ind w:left="1240" w:hanging="389"/>
      </w:pPr>
      <w:r w:rsidRPr="00884D10">
        <w:t>Where:</w:t>
      </w:r>
      <w:r w:rsidRPr="00884D10">
        <w:tab/>
      </w:r>
    </w:p>
    <w:p w:rsidR="00F768B0" w:rsidRPr="00884D10" w:rsidRDefault="00F768B0" w:rsidP="00F768B0">
      <w:pPr>
        <w:spacing w:before="120" w:line="260" w:lineRule="exact"/>
        <w:ind w:left="2198" w:hanging="1347"/>
      </w:pPr>
      <w:r w:rsidRPr="00884D10">
        <w:rPr>
          <w:b/>
        </w:rPr>
        <w:t>E</w:t>
      </w:r>
      <w:r w:rsidRPr="00884D10">
        <w:rPr>
          <w:b/>
          <w:vertAlign w:val="subscript"/>
        </w:rPr>
        <w:t>total</w:t>
      </w:r>
      <w:r w:rsidRPr="00884D10">
        <w:rPr>
          <w:b/>
        </w:rPr>
        <w:t>CO</w:t>
      </w:r>
      <w:r w:rsidRPr="00884D10">
        <w:rPr>
          <w:b/>
          <w:vertAlign w:val="subscript"/>
        </w:rPr>
        <w:t>2</w:t>
      </w:r>
      <w:r w:rsidRPr="00884D10">
        <w:rPr>
          <w:b/>
        </w:rPr>
        <w:t>-e</w:t>
      </w:r>
      <w:r w:rsidRPr="00884D10">
        <w:t xml:space="preserve"> = the total annual project emissions from the project, in tonnes CO</w:t>
      </w:r>
      <w:r w:rsidRPr="00884D10">
        <w:rPr>
          <w:vertAlign w:val="subscript"/>
        </w:rPr>
        <w:t>2</w:t>
      </w:r>
      <w:r w:rsidRPr="00884D10">
        <w:t>-e.</w:t>
      </w:r>
    </w:p>
    <w:p w:rsidR="00F768B0" w:rsidRPr="00884D10" w:rsidRDefault="00F768B0" w:rsidP="00F768B0">
      <w:pPr>
        <w:spacing w:before="120" w:line="260" w:lineRule="exact"/>
        <w:ind w:left="2198" w:hanging="1347"/>
      </w:pPr>
      <w:r w:rsidRPr="00884D10">
        <w:rPr>
          <w:b/>
        </w:rPr>
        <w:t>E</w:t>
      </w:r>
      <w:r w:rsidRPr="00884D10">
        <w:rPr>
          <w:b/>
          <w:vertAlign w:val="subscript"/>
        </w:rPr>
        <w:t>fire</w:t>
      </w:r>
      <w:r w:rsidRPr="00884D10">
        <w:rPr>
          <w:b/>
        </w:rPr>
        <w:t>CO</w:t>
      </w:r>
      <w:r w:rsidRPr="00884D10">
        <w:rPr>
          <w:b/>
          <w:vertAlign w:val="subscript"/>
        </w:rPr>
        <w:t>2</w:t>
      </w:r>
      <w:r w:rsidRPr="00884D10">
        <w:rPr>
          <w:b/>
        </w:rPr>
        <w:t>-e</w:t>
      </w:r>
      <w:r w:rsidRPr="00884D10">
        <w:t xml:space="preserve"> = </w:t>
      </w:r>
      <w:r w:rsidRPr="00884D10">
        <w:tab/>
        <w:t>annual fire emissions resulting from section 4.7, in tonnes CO</w:t>
      </w:r>
      <w:r w:rsidRPr="00884D10">
        <w:rPr>
          <w:vertAlign w:val="subscript"/>
        </w:rPr>
        <w:t>2</w:t>
      </w:r>
      <w:r w:rsidRPr="00884D10">
        <w:t>-e.</w:t>
      </w:r>
    </w:p>
    <w:p w:rsidR="00F768B0" w:rsidRPr="00884D10" w:rsidRDefault="00F768B0" w:rsidP="00F768B0">
      <w:pPr>
        <w:spacing w:before="120" w:line="260" w:lineRule="exact"/>
        <w:ind w:left="2198" w:hanging="1347"/>
      </w:pPr>
      <w:proofErr w:type="spellStart"/>
      <w:r w:rsidRPr="00884D10">
        <w:rPr>
          <w:b/>
        </w:rPr>
        <w:t>E</w:t>
      </w:r>
      <w:r w:rsidRPr="00884D10">
        <w:rPr>
          <w:b/>
          <w:vertAlign w:val="subscript"/>
        </w:rPr>
        <w:t>fuel</w:t>
      </w:r>
      <w:proofErr w:type="spellEnd"/>
      <w:r w:rsidRPr="00884D10">
        <w:t xml:space="preserve"> = </w:t>
      </w:r>
      <w:r w:rsidRPr="00884D10">
        <w:tab/>
        <w:t>emissions from fuel resulting from section 4.21, in tonnes CO</w:t>
      </w:r>
      <w:r w:rsidRPr="00884D10">
        <w:rPr>
          <w:vertAlign w:val="subscript"/>
        </w:rPr>
        <w:t>2</w:t>
      </w:r>
      <w:r w:rsidRPr="00884D10">
        <w:t>-e.</w:t>
      </w:r>
    </w:p>
    <w:p w:rsidR="00F768B0" w:rsidRPr="00884D10" w:rsidRDefault="00F768B0" w:rsidP="00F768B0"/>
    <w:p w:rsidR="00F768B0" w:rsidRPr="00884D10" w:rsidRDefault="00F768B0" w:rsidP="00F768B0">
      <w:pPr>
        <w:pStyle w:val="h4Subdiv"/>
      </w:pPr>
      <w:bookmarkStart w:id="74" w:name="_Toc357780200"/>
      <w:r w:rsidRPr="00884D10">
        <w:lastRenderedPageBreak/>
        <w:t xml:space="preserve">Subdivision </w:t>
      </w:r>
      <w:r>
        <w:t>4.3.4</w:t>
      </w:r>
      <w:r w:rsidRPr="00884D10">
        <w:tab/>
        <w:t>Calculating net annual greenhouse gas abatement</w:t>
      </w:r>
      <w:bookmarkEnd w:id="74"/>
      <w:r w:rsidRPr="00884D10">
        <w:t xml:space="preserve"> </w:t>
      </w:r>
    </w:p>
    <w:p w:rsidR="00F768B0" w:rsidRPr="00884D10" w:rsidRDefault="00F768B0" w:rsidP="00F768B0">
      <w:pPr>
        <w:pStyle w:val="h5Section"/>
      </w:pPr>
      <w:bookmarkStart w:id="75" w:name="_Toc357780201"/>
      <w:r>
        <w:t>4.23</w:t>
      </w:r>
      <w:r w:rsidRPr="00884D10">
        <w:tab/>
        <w:t>Calculating net annual greenhouse gas abatement</w:t>
      </w:r>
      <w:bookmarkEnd w:id="75"/>
      <w:r w:rsidRPr="00884D10">
        <w:t xml:space="preserve"> </w:t>
      </w:r>
    </w:p>
    <w:p w:rsidR="00F768B0" w:rsidRPr="00884D10" w:rsidRDefault="00F768B0" w:rsidP="00F768B0">
      <w:pPr>
        <w:pStyle w:val="tMain"/>
        <w:spacing w:after="240"/>
      </w:pPr>
      <w:r w:rsidRPr="00884D10">
        <w:tab/>
      </w:r>
      <w:r w:rsidRPr="00884D10">
        <w:tab/>
        <w:t>For paragraph 106(1)(c) of the Act, the CO</w:t>
      </w:r>
      <w:r w:rsidRPr="00884D10">
        <w:rPr>
          <w:vertAlign w:val="subscript"/>
        </w:rPr>
        <w:t>2</w:t>
      </w:r>
      <w:r w:rsidRPr="00884D10">
        <w:t xml:space="preserve">-e net annual abatement amount for a project to which this Determination applies is taken to be the amount calculated using the following formula and recorded in Table 28 of both Form 1 and Form 2 of Schedule 2: </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60"/>
        <w:gridCol w:w="1871"/>
      </w:tblGrid>
      <w:tr w:rsidR="00F768B0" w:rsidRPr="00884D10" w:rsidTr="00C83E03">
        <w:tc>
          <w:tcPr>
            <w:tcW w:w="5460" w:type="dxa"/>
          </w:tcPr>
          <w:p w:rsidR="00F768B0" w:rsidRPr="00884D10" w:rsidRDefault="00F768B0" w:rsidP="00C83E03">
            <w:pPr>
              <w:spacing w:before="120" w:after="120"/>
              <w:jc w:val="center"/>
              <w:rPr>
                <w:b/>
                <w:lang w:val="es-AR"/>
              </w:rPr>
            </w:pPr>
            <w:r w:rsidRPr="00884D10">
              <w:rPr>
                <w:b/>
                <w:lang w:val="es-AR"/>
              </w:rPr>
              <w:t>A</w:t>
            </w:r>
            <w:r w:rsidRPr="00884D10">
              <w:rPr>
                <w:b/>
                <w:vertAlign w:val="subscript"/>
                <w:lang w:val="es-AR"/>
              </w:rPr>
              <w:t>net</w:t>
            </w:r>
            <w:r w:rsidRPr="00884D10">
              <w:rPr>
                <w:b/>
                <w:lang w:val="es-AR"/>
              </w:rPr>
              <w:t>CO</w:t>
            </w:r>
            <w:r w:rsidRPr="00884D10">
              <w:rPr>
                <w:b/>
                <w:vertAlign w:val="subscript"/>
                <w:lang w:val="es-AR"/>
              </w:rPr>
              <w:t>2</w:t>
            </w:r>
            <w:r w:rsidRPr="00884D10">
              <w:rPr>
                <w:b/>
                <w:lang w:val="es-AR"/>
              </w:rPr>
              <w:t>-e = E</w:t>
            </w:r>
            <w:r w:rsidRPr="00884D10">
              <w:rPr>
                <w:b/>
                <w:vertAlign w:val="subscript"/>
                <w:lang w:val="es-AR"/>
              </w:rPr>
              <w:t>BL</w:t>
            </w:r>
            <w:r w:rsidRPr="00884D10">
              <w:rPr>
                <w:b/>
                <w:lang w:val="es-AR"/>
              </w:rPr>
              <w:t>CO</w:t>
            </w:r>
            <w:r w:rsidRPr="00884D10">
              <w:rPr>
                <w:b/>
                <w:vertAlign w:val="subscript"/>
                <w:lang w:val="es-AR"/>
              </w:rPr>
              <w:t>2</w:t>
            </w:r>
            <w:r w:rsidRPr="00884D10">
              <w:rPr>
                <w:b/>
                <w:lang w:val="es-AR"/>
              </w:rPr>
              <w:t>-e - E</w:t>
            </w:r>
            <w:r w:rsidRPr="00884D10">
              <w:rPr>
                <w:b/>
                <w:vertAlign w:val="subscript"/>
                <w:lang w:val="es-AR"/>
              </w:rPr>
              <w:t>total</w:t>
            </w:r>
            <w:r w:rsidRPr="00884D10">
              <w:rPr>
                <w:b/>
                <w:lang w:val="es-AR"/>
              </w:rPr>
              <w:t>CO</w:t>
            </w:r>
            <w:r w:rsidRPr="00884D10">
              <w:rPr>
                <w:b/>
                <w:vertAlign w:val="subscript"/>
                <w:lang w:val="es-AR"/>
              </w:rPr>
              <w:t>2</w:t>
            </w:r>
            <w:r w:rsidRPr="00884D10">
              <w:rPr>
                <w:b/>
                <w:lang w:val="es-AR"/>
              </w:rPr>
              <w:t>-e</w:t>
            </w:r>
          </w:p>
        </w:tc>
        <w:tc>
          <w:tcPr>
            <w:tcW w:w="1871" w:type="dxa"/>
          </w:tcPr>
          <w:p w:rsidR="00F768B0" w:rsidRPr="00884D10" w:rsidRDefault="00F768B0" w:rsidP="00C83E03">
            <w:pPr>
              <w:spacing w:before="120" w:after="120"/>
              <w:jc w:val="center"/>
              <w:rPr>
                <w:b/>
              </w:rPr>
            </w:pPr>
            <w:r w:rsidRPr="00884D10">
              <w:rPr>
                <w:b/>
              </w:rPr>
              <w:t>Equation 9</w:t>
            </w:r>
          </w:p>
        </w:tc>
      </w:tr>
    </w:tbl>
    <w:p w:rsidR="00F768B0" w:rsidRPr="00884D10" w:rsidRDefault="00F768B0" w:rsidP="00F768B0">
      <w:pPr>
        <w:pStyle w:val="Bullet"/>
        <w:tabs>
          <w:tab w:val="left" w:pos="7139"/>
        </w:tabs>
        <w:spacing w:before="180"/>
        <w:ind w:left="1242" w:hanging="391"/>
      </w:pPr>
      <w:r w:rsidRPr="00884D10">
        <w:t>Where:</w:t>
      </w:r>
      <w:r w:rsidRPr="00884D10">
        <w:tab/>
      </w:r>
    </w:p>
    <w:p w:rsidR="00F768B0" w:rsidRPr="00884D10" w:rsidRDefault="00F768B0" w:rsidP="00F768B0">
      <w:pPr>
        <w:spacing w:after="120"/>
        <w:ind w:left="2127" w:hanging="1276"/>
        <w:jc w:val="both"/>
      </w:pPr>
      <w:r w:rsidRPr="00884D10">
        <w:rPr>
          <w:b/>
        </w:rPr>
        <w:t>A</w:t>
      </w:r>
      <w:r w:rsidRPr="00884D10">
        <w:rPr>
          <w:b/>
          <w:vertAlign w:val="subscript"/>
        </w:rPr>
        <w:t>net</w:t>
      </w:r>
      <w:r w:rsidRPr="00884D10">
        <w:rPr>
          <w:b/>
        </w:rPr>
        <w:t>CO</w:t>
      </w:r>
      <w:r w:rsidRPr="00884D10">
        <w:rPr>
          <w:b/>
          <w:vertAlign w:val="subscript"/>
        </w:rPr>
        <w:t>2</w:t>
      </w:r>
      <w:r w:rsidRPr="00884D10">
        <w:rPr>
          <w:b/>
        </w:rPr>
        <w:t>-e</w:t>
      </w:r>
      <w:r w:rsidRPr="00884D10">
        <w:t xml:space="preserve"> = </w:t>
      </w:r>
      <w:r w:rsidRPr="00884D10">
        <w:tab/>
        <w:t>the net abatement amount for an offsets project to which this Determination applies for a reporting period, in tonnes CO</w:t>
      </w:r>
      <w:r w:rsidRPr="00884D10">
        <w:rPr>
          <w:vertAlign w:val="subscript"/>
        </w:rPr>
        <w:t>2</w:t>
      </w:r>
      <w:r w:rsidRPr="00884D10">
        <w:t>-e.</w:t>
      </w:r>
    </w:p>
    <w:p w:rsidR="00F768B0" w:rsidRPr="00884D10" w:rsidRDefault="00F768B0" w:rsidP="00F768B0">
      <w:pPr>
        <w:spacing w:after="120"/>
        <w:ind w:left="2127" w:hanging="1276"/>
        <w:jc w:val="both"/>
      </w:pPr>
      <w:r w:rsidRPr="00884D10">
        <w:rPr>
          <w:b/>
        </w:rPr>
        <w:t>E</w:t>
      </w:r>
      <w:r w:rsidRPr="00884D10">
        <w:rPr>
          <w:b/>
          <w:vertAlign w:val="subscript"/>
        </w:rPr>
        <w:t>BL</w:t>
      </w:r>
      <w:r w:rsidRPr="00884D10">
        <w:rPr>
          <w:b/>
        </w:rPr>
        <w:t>CO</w:t>
      </w:r>
      <w:r w:rsidRPr="00884D10">
        <w:rPr>
          <w:b/>
          <w:vertAlign w:val="subscript"/>
        </w:rPr>
        <w:t>2</w:t>
      </w:r>
      <w:r w:rsidRPr="00884D10">
        <w:rPr>
          <w:b/>
        </w:rPr>
        <w:t xml:space="preserve">-e = </w:t>
      </w:r>
      <w:r w:rsidRPr="00884D10">
        <w:rPr>
          <w:b/>
        </w:rPr>
        <w:tab/>
      </w:r>
      <w:r w:rsidRPr="00884D10">
        <w:t>the baseline for a project, being the average of annual total CH</w:t>
      </w:r>
      <w:r w:rsidRPr="00884D10">
        <w:rPr>
          <w:vertAlign w:val="subscript"/>
        </w:rPr>
        <w:t>4</w:t>
      </w:r>
      <w:r w:rsidRPr="00884D10">
        <w:t xml:space="preserve"> and N</w:t>
      </w:r>
      <w:r w:rsidRPr="00884D10">
        <w:rPr>
          <w:vertAlign w:val="subscript"/>
        </w:rPr>
        <w:t>2</w:t>
      </w:r>
      <w:r w:rsidRPr="00884D10">
        <w:t>O emissions (in tonnes CO</w:t>
      </w:r>
      <w:r w:rsidRPr="00884D10">
        <w:rPr>
          <w:vertAlign w:val="subscript"/>
        </w:rPr>
        <w:t>2</w:t>
      </w:r>
      <w:r w:rsidRPr="00884D10">
        <w:t xml:space="preserve">-e), from the project area for the applicable period, taken from Table 24 in Form 1 of Schedule 2.  </w:t>
      </w:r>
    </w:p>
    <w:p w:rsidR="00F768B0" w:rsidRPr="00884D10" w:rsidRDefault="00F768B0" w:rsidP="00F768B0">
      <w:pPr>
        <w:spacing w:after="120"/>
        <w:ind w:left="2127" w:hanging="1276"/>
        <w:jc w:val="both"/>
      </w:pPr>
      <w:r w:rsidRPr="00884D10">
        <w:rPr>
          <w:b/>
        </w:rPr>
        <w:t>E</w:t>
      </w:r>
      <w:r w:rsidRPr="00884D10">
        <w:rPr>
          <w:b/>
          <w:vertAlign w:val="subscript"/>
        </w:rPr>
        <w:t>total</w:t>
      </w:r>
      <w:r w:rsidRPr="00884D10">
        <w:rPr>
          <w:b/>
        </w:rPr>
        <w:t>CO</w:t>
      </w:r>
      <w:r w:rsidRPr="00884D10">
        <w:rPr>
          <w:b/>
          <w:vertAlign w:val="subscript"/>
        </w:rPr>
        <w:t>2</w:t>
      </w:r>
      <w:r w:rsidRPr="00884D10">
        <w:rPr>
          <w:b/>
        </w:rPr>
        <w:t>-e =</w:t>
      </w:r>
      <w:r w:rsidRPr="00884D10">
        <w:t xml:space="preserve"> the total annual project emissions from the project area in tonnes CO</w:t>
      </w:r>
      <w:r w:rsidRPr="00884D10">
        <w:rPr>
          <w:vertAlign w:val="subscript"/>
        </w:rPr>
        <w:t>2</w:t>
      </w:r>
      <w:r w:rsidRPr="00884D10">
        <w:t>-e, as calculated according to section 4.22.</w:t>
      </w:r>
    </w:p>
    <w:p w:rsidR="00F768B0" w:rsidRPr="00884D10" w:rsidRDefault="00F768B0" w:rsidP="00F768B0">
      <w:pPr>
        <w:pStyle w:val="h3Div"/>
      </w:pPr>
      <w:bookmarkStart w:id="76" w:name="_Toc357780202"/>
      <w:r w:rsidRPr="00884D10">
        <w:t xml:space="preserve">Division </w:t>
      </w:r>
      <w:r>
        <w:t>4.4</w:t>
      </w:r>
      <w:r w:rsidRPr="00884D10">
        <w:tab/>
        <w:t>Data collection</w:t>
      </w:r>
      <w:bookmarkEnd w:id="76"/>
      <w:r w:rsidRPr="00884D10">
        <w:t xml:space="preserve"> </w:t>
      </w:r>
    </w:p>
    <w:p w:rsidR="00F768B0" w:rsidRPr="00884D10" w:rsidRDefault="00F768B0" w:rsidP="00F768B0">
      <w:pPr>
        <w:pStyle w:val="h5Section"/>
      </w:pPr>
      <w:bookmarkStart w:id="77" w:name="_Toc357780203"/>
      <w:r>
        <w:t>4.24</w:t>
      </w:r>
      <w:r w:rsidRPr="00884D10">
        <w:tab/>
        <w:t>Data collection</w:t>
      </w:r>
      <w:bookmarkEnd w:id="77"/>
      <w:r w:rsidRPr="00884D10">
        <w:t xml:space="preserve"> </w:t>
      </w:r>
    </w:p>
    <w:p w:rsidR="00F768B0" w:rsidRPr="00884D10" w:rsidRDefault="00F768B0" w:rsidP="00F768B0">
      <w:pPr>
        <w:pStyle w:val="tMain"/>
      </w:pPr>
      <w:r w:rsidRPr="00884D10">
        <w:tab/>
        <w:t>(1)</w:t>
      </w:r>
      <w:r w:rsidRPr="00884D10">
        <w:tab/>
        <w:t>Data must be collected to develop:</w:t>
      </w:r>
    </w:p>
    <w:p w:rsidR="00F768B0" w:rsidRPr="00884D10" w:rsidRDefault="00F768B0" w:rsidP="00F768B0">
      <w:pPr>
        <w:pStyle w:val="tPara"/>
      </w:pPr>
      <w:r w:rsidRPr="00884D10">
        <w:tab/>
        <w:t>(a)</w:t>
      </w:r>
      <w:r w:rsidRPr="00884D10">
        <w:tab/>
        <w:t>vegetation maps in accordance with Division 3.2; and</w:t>
      </w:r>
    </w:p>
    <w:p w:rsidR="00F768B0" w:rsidRPr="00884D10" w:rsidRDefault="00F768B0" w:rsidP="00F768B0">
      <w:pPr>
        <w:pStyle w:val="tPara"/>
      </w:pPr>
      <w:r w:rsidRPr="00884D10">
        <w:tab/>
        <w:t>(b)</w:t>
      </w:r>
      <w:r w:rsidRPr="00884D10">
        <w:tab/>
        <w:t>fire maps in accordance with Division 3.3.</w:t>
      </w:r>
    </w:p>
    <w:p w:rsidR="00F768B0" w:rsidRPr="00884D10" w:rsidRDefault="00F768B0" w:rsidP="00F768B0">
      <w:pPr>
        <w:pStyle w:val="tMain"/>
      </w:pPr>
      <w:r w:rsidRPr="00884D10">
        <w:tab/>
        <w:t>(2)</w:t>
      </w:r>
      <w:r w:rsidRPr="00884D10">
        <w:tab/>
        <w:t>Data must be collected on the quantity of liquid fuel, recorded in kilolitres (</w:t>
      </w:r>
      <w:proofErr w:type="spellStart"/>
      <w:r w:rsidRPr="00884D10">
        <w:t>kL</w:t>
      </w:r>
      <w:proofErr w:type="spellEnd"/>
      <w:r w:rsidRPr="00884D10">
        <w:t xml:space="preserve">), for each fuel type used in the project.  </w:t>
      </w:r>
    </w:p>
    <w:p w:rsidR="00F768B0" w:rsidRPr="00884D10" w:rsidRDefault="00F768B0" w:rsidP="00F768B0">
      <w:pPr>
        <w:pStyle w:val="tMain"/>
      </w:pPr>
      <w:r w:rsidRPr="00884D10">
        <w:tab/>
        <w:t>(3)</w:t>
      </w:r>
      <w:r w:rsidRPr="00884D10">
        <w:tab/>
        <w:t>If helicopters have been used in the project, and the quantity of liquid fuel for use in the helicopter is not available, data must be collected on the hours of flight time undertaken for the project and liquid fuel use estimated accordingly.</w:t>
      </w:r>
    </w:p>
    <w:p w:rsidR="00F768B0" w:rsidRPr="00884D10" w:rsidRDefault="00F768B0" w:rsidP="00F768B0">
      <w:r w:rsidRPr="00884D10">
        <w:br w:type="page"/>
      </w:r>
    </w:p>
    <w:p w:rsidR="00F768B0" w:rsidRPr="00884D10" w:rsidRDefault="00F768B0" w:rsidP="00F768B0">
      <w:pPr>
        <w:pStyle w:val="h2Part"/>
      </w:pPr>
      <w:bookmarkStart w:id="78" w:name="_Toc357780204"/>
      <w:r w:rsidRPr="00884D10">
        <w:lastRenderedPageBreak/>
        <w:t xml:space="preserve">Part </w:t>
      </w:r>
      <w:r>
        <w:t>5</w:t>
      </w:r>
      <w:r w:rsidRPr="00884D10">
        <w:tab/>
        <w:t>Record-keeping and reporting requirements</w:t>
      </w:r>
      <w:bookmarkEnd w:id="78"/>
    </w:p>
    <w:p w:rsidR="00F768B0" w:rsidRPr="00884D10" w:rsidRDefault="00F768B0" w:rsidP="00F768B0">
      <w:pPr>
        <w:pStyle w:val="noteMain"/>
      </w:pPr>
      <w:r w:rsidRPr="00884D10">
        <w:tab/>
      </w:r>
      <w:r w:rsidRPr="00884D10">
        <w:rPr>
          <w:b/>
          <w:i/>
        </w:rPr>
        <w:t>Note</w:t>
      </w:r>
      <w:r w:rsidRPr="00884D10">
        <w:tab/>
        <w:t>See subsection 106(3) of the Act.</w:t>
      </w:r>
    </w:p>
    <w:p w:rsidR="00F768B0" w:rsidRPr="00884D10" w:rsidRDefault="00F768B0" w:rsidP="00F768B0">
      <w:pPr>
        <w:pStyle w:val="h3Div"/>
      </w:pPr>
      <w:bookmarkStart w:id="79" w:name="_Toc357780205"/>
      <w:r w:rsidRPr="00884D10">
        <w:t xml:space="preserve">Division </w:t>
      </w:r>
      <w:r>
        <w:t>5.1</w:t>
      </w:r>
      <w:r w:rsidRPr="00884D10">
        <w:tab/>
        <w:t>General</w:t>
      </w:r>
      <w:bookmarkEnd w:id="79"/>
    </w:p>
    <w:p w:rsidR="00F768B0" w:rsidRPr="00884D10" w:rsidRDefault="00F768B0" w:rsidP="00F768B0">
      <w:pPr>
        <w:pStyle w:val="h5Section"/>
      </w:pPr>
      <w:bookmarkStart w:id="80" w:name="_Toc357780206"/>
      <w:r>
        <w:t>5.1</w:t>
      </w:r>
      <w:r w:rsidRPr="00884D10">
        <w:tab/>
        <w:t>Application</w:t>
      </w:r>
      <w:bookmarkEnd w:id="80"/>
      <w:r w:rsidRPr="00884D10">
        <w:t xml:space="preserve"> </w:t>
      </w:r>
    </w:p>
    <w:p w:rsidR="00F768B0" w:rsidRPr="00884D10" w:rsidRDefault="00F768B0" w:rsidP="00F768B0">
      <w:pPr>
        <w:pStyle w:val="tMain"/>
      </w:pPr>
      <w:r w:rsidRPr="00884D10">
        <w:tab/>
      </w:r>
      <w:r w:rsidRPr="00884D10">
        <w:tab/>
        <w:t xml:space="preserve">For subsection 106(3) of the Act, a project proponent of an eligible offsets project to which this Determination applies must comply with the </w:t>
      </w:r>
      <w:r w:rsidRPr="00884D10">
        <w:rPr>
          <w:bCs/>
        </w:rPr>
        <w:t>r</w:t>
      </w:r>
      <w:r w:rsidRPr="00884D10">
        <w:t>ecord</w:t>
      </w:r>
      <w:r w:rsidRPr="00884D10">
        <w:noBreakHyphen/>
        <w:t>keeping and reporting requirements of this Part.</w:t>
      </w:r>
    </w:p>
    <w:p w:rsidR="00F768B0" w:rsidRPr="00884D10" w:rsidRDefault="00F768B0" w:rsidP="00F768B0">
      <w:pPr>
        <w:pStyle w:val="h3Div"/>
      </w:pPr>
      <w:bookmarkStart w:id="81" w:name="_Toc357780207"/>
      <w:r w:rsidRPr="00884D10">
        <w:t xml:space="preserve">Division </w:t>
      </w:r>
      <w:r>
        <w:t>5.2</w:t>
      </w:r>
      <w:r w:rsidRPr="00884D10">
        <w:tab/>
        <w:t>Record-keeping requirements</w:t>
      </w:r>
      <w:bookmarkEnd w:id="81"/>
    </w:p>
    <w:p w:rsidR="00F768B0" w:rsidRPr="00884D10" w:rsidRDefault="00F768B0" w:rsidP="00F768B0">
      <w:pPr>
        <w:pStyle w:val="h5Section"/>
      </w:pPr>
      <w:bookmarkStart w:id="82" w:name="_Toc357780208"/>
      <w:r>
        <w:t>5.2</w:t>
      </w:r>
      <w:r w:rsidRPr="00884D10">
        <w:tab/>
        <w:t>Records that must be kept</w:t>
      </w:r>
      <w:bookmarkEnd w:id="82"/>
      <w:r w:rsidRPr="00884D10">
        <w:t xml:space="preserve"> </w:t>
      </w:r>
    </w:p>
    <w:p w:rsidR="00F768B0" w:rsidRPr="00884D10" w:rsidRDefault="00F768B0" w:rsidP="00F768B0">
      <w:pPr>
        <w:pStyle w:val="tMain"/>
      </w:pPr>
      <w:r w:rsidRPr="00884D10">
        <w:tab/>
        <w:t>(1)</w:t>
      </w:r>
      <w:r w:rsidRPr="00884D10">
        <w:tab/>
        <w:t xml:space="preserve">The project proponent must create and maintain the records specified in this section. </w:t>
      </w:r>
    </w:p>
    <w:p w:rsidR="00F768B0" w:rsidRPr="00884D10" w:rsidRDefault="00F768B0" w:rsidP="00F768B0">
      <w:pPr>
        <w:pStyle w:val="tMain"/>
      </w:pPr>
      <w:r w:rsidRPr="00884D10">
        <w:tab/>
        <w:t>(2)</w:t>
      </w:r>
      <w:r w:rsidRPr="00884D10">
        <w:tab/>
        <w:t>All primary maps and data used as inputs into both baseline and project emissions calculations must be kept in electronic form.</w:t>
      </w:r>
    </w:p>
    <w:p w:rsidR="00F768B0" w:rsidRPr="00884D10" w:rsidRDefault="00F768B0" w:rsidP="00F768B0">
      <w:pPr>
        <w:pStyle w:val="tMain"/>
      </w:pPr>
      <w:r w:rsidRPr="00884D10">
        <w:tab/>
        <w:t>(3)</w:t>
      </w:r>
      <w:r w:rsidRPr="00884D10">
        <w:tab/>
        <w:t>The maps specified in subsection (2) must be retained in standard geospatial formats.</w:t>
      </w:r>
    </w:p>
    <w:p w:rsidR="00F768B0" w:rsidRPr="00884D10" w:rsidRDefault="00F768B0" w:rsidP="00F768B0">
      <w:pPr>
        <w:pStyle w:val="tMain"/>
      </w:pPr>
      <w:r w:rsidRPr="00884D10">
        <w:tab/>
        <w:t>(4)</w:t>
      </w:r>
      <w:r w:rsidRPr="00884D10">
        <w:tab/>
        <w:t xml:space="preserve">Data sets specified in subsection (2) must be retained in standard </w:t>
      </w:r>
      <w:proofErr w:type="spellStart"/>
      <w:r w:rsidRPr="00884D10">
        <w:t>spreadsheet</w:t>
      </w:r>
      <w:proofErr w:type="spellEnd"/>
      <w:r w:rsidRPr="00884D10">
        <w:t xml:space="preserve"> or text formats.</w:t>
      </w:r>
    </w:p>
    <w:p w:rsidR="00F768B0" w:rsidRPr="00884D10" w:rsidRDefault="00F768B0" w:rsidP="00F768B0">
      <w:pPr>
        <w:pStyle w:val="tMain"/>
      </w:pPr>
      <w:r w:rsidRPr="00884D10">
        <w:tab/>
        <w:t>(5)</w:t>
      </w:r>
      <w:r w:rsidRPr="00884D10">
        <w:tab/>
        <w:t xml:space="preserve">Copies of all mapping products consulted and produced to generate the maps must be kept. </w:t>
      </w:r>
    </w:p>
    <w:p w:rsidR="00F768B0" w:rsidRPr="00884D10" w:rsidRDefault="00F768B0" w:rsidP="00F768B0">
      <w:pPr>
        <w:pStyle w:val="tMain"/>
      </w:pPr>
      <w:r w:rsidRPr="00884D10">
        <w:tab/>
        <w:t>(6)</w:t>
      </w:r>
      <w:r w:rsidRPr="00884D10">
        <w:tab/>
        <w:t xml:space="preserve">A GIS map combining the vegetation map (to define the project area) and the </w:t>
      </w:r>
      <w:proofErr w:type="spellStart"/>
      <w:r w:rsidRPr="00884D10">
        <w:t>Savanna</w:t>
      </w:r>
      <w:proofErr w:type="spellEnd"/>
      <w:r w:rsidRPr="00884D10">
        <w:t xml:space="preserve"> burning 1000 mm rainfall map must be developed and kept to provide evidence that the project falls within the above 1,000 millimetre rainfall area.</w:t>
      </w:r>
    </w:p>
    <w:p w:rsidR="00F768B0" w:rsidRPr="00884D10" w:rsidRDefault="00F768B0" w:rsidP="00F768B0">
      <w:pPr>
        <w:pStyle w:val="tMain"/>
      </w:pPr>
      <w:r w:rsidRPr="00884D10">
        <w:tab/>
        <w:t>(7)</w:t>
      </w:r>
      <w:r w:rsidRPr="00884D10">
        <w:tab/>
        <w:t>The following records must also be created and maintained:</w:t>
      </w:r>
    </w:p>
    <w:p w:rsidR="00F768B0" w:rsidRPr="00884D10" w:rsidRDefault="00F768B0" w:rsidP="00F768B0">
      <w:pPr>
        <w:pStyle w:val="tPara"/>
      </w:pPr>
      <w:r w:rsidRPr="00884D10">
        <w:tab/>
        <w:t>(a)</w:t>
      </w:r>
      <w:r w:rsidRPr="00884D10">
        <w:tab/>
        <w:t>data sources used for compiling the vegetation map, including copies of all mapping products consulted and produced;</w:t>
      </w:r>
    </w:p>
    <w:p w:rsidR="00F768B0" w:rsidRPr="00884D10" w:rsidRDefault="00F768B0" w:rsidP="00F768B0">
      <w:pPr>
        <w:pStyle w:val="tPara"/>
      </w:pPr>
      <w:r w:rsidRPr="00884D10">
        <w:tab/>
        <w:t>(b)</w:t>
      </w:r>
      <w:r w:rsidRPr="00884D10">
        <w:tab/>
        <w:t>seasonal fire maps for each year in the baseline period and reporting periods;</w:t>
      </w:r>
    </w:p>
    <w:p w:rsidR="00F768B0" w:rsidRPr="00884D10" w:rsidRDefault="00F768B0" w:rsidP="00F768B0">
      <w:pPr>
        <w:pStyle w:val="tPara"/>
      </w:pPr>
      <w:r w:rsidRPr="00884D10">
        <w:tab/>
        <w:t>(c)</w:t>
      </w:r>
      <w:r w:rsidRPr="00884D10">
        <w:tab/>
        <w:t>all monthly fire maps and supporting data sets that underpin the monthly fire maps as required under section 4.5, including maps used to calculate:</w:t>
      </w:r>
    </w:p>
    <w:p w:rsidR="00F768B0" w:rsidRPr="00884D10" w:rsidRDefault="00F768B0" w:rsidP="00F768B0">
      <w:pPr>
        <w:pStyle w:val="tSubpara"/>
      </w:pPr>
      <w:r w:rsidRPr="00884D10">
        <w:tab/>
        <w:t>(</w:t>
      </w:r>
      <w:proofErr w:type="spellStart"/>
      <w:r w:rsidRPr="00884D10">
        <w:t>i</w:t>
      </w:r>
      <w:proofErr w:type="spellEnd"/>
      <w:r w:rsidRPr="00884D10">
        <w:t>)</w:t>
      </w:r>
      <w:r w:rsidRPr="00884D10">
        <w:tab/>
        <w:t>baseline emissions; and</w:t>
      </w:r>
    </w:p>
    <w:p w:rsidR="00F768B0" w:rsidRDefault="00F768B0" w:rsidP="00F768B0">
      <w:pPr>
        <w:pStyle w:val="tSubpara"/>
      </w:pPr>
      <w:r w:rsidRPr="00884D10">
        <w:tab/>
        <w:t>(ii)</w:t>
      </w:r>
      <w:r w:rsidRPr="00884D10">
        <w:tab/>
        <w:t>annual project emissions;</w:t>
      </w:r>
    </w:p>
    <w:p w:rsidR="00130233" w:rsidRPr="00884D10" w:rsidRDefault="00130233" w:rsidP="00F768B0">
      <w:pPr>
        <w:pStyle w:val="tSubpara"/>
      </w:pPr>
    </w:p>
    <w:p w:rsidR="00F768B0" w:rsidRPr="00884D10" w:rsidRDefault="00F768B0" w:rsidP="00F768B0">
      <w:pPr>
        <w:pStyle w:val="tPara"/>
      </w:pPr>
      <w:r w:rsidRPr="00884D10">
        <w:lastRenderedPageBreak/>
        <w:tab/>
        <w:t>(d)</w:t>
      </w:r>
      <w:r w:rsidRPr="00884D10">
        <w:tab/>
        <w:t>YSLB maps for the project area, and the data used to develop the maps;</w:t>
      </w:r>
    </w:p>
    <w:p w:rsidR="00F768B0" w:rsidRPr="00884D10" w:rsidRDefault="00F768B0" w:rsidP="00F768B0">
      <w:pPr>
        <w:pStyle w:val="tPara"/>
      </w:pPr>
      <w:r w:rsidRPr="00884D10">
        <w:tab/>
        <w:t>(e)</w:t>
      </w:r>
      <w:r w:rsidRPr="00884D10">
        <w:tab/>
        <w:t>evidence of the validation of the vegetation map, including:</w:t>
      </w:r>
    </w:p>
    <w:p w:rsidR="00F768B0" w:rsidRPr="00884D10" w:rsidRDefault="00F768B0" w:rsidP="00F768B0">
      <w:pPr>
        <w:pStyle w:val="tSubpara"/>
      </w:pPr>
      <w:r w:rsidRPr="00884D10">
        <w:tab/>
        <w:t>(</w:t>
      </w:r>
      <w:proofErr w:type="spellStart"/>
      <w:r w:rsidRPr="00884D10">
        <w:t>i</w:t>
      </w:r>
      <w:proofErr w:type="spellEnd"/>
      <w:r w:rsidRPr="00884D10">
        <w:t>)</w:t>
      </w:r>
      <w:r w:rsidRPr="00884D10">
        <w:tab/>
        <w:t>the results of the validation assessment;</w:t>
      </w:r>
    </w:p>
    <w:p w:rsidR="00F768B0" w:rsidRPr="00884D10" w:rsidRDefault="00F768B0" w:rsidP="00F768B0">
      <w:pPr>
        <w:pStyle w:val="tSubpara"/>
      </w:pPr>
      <w:r w:rsidRPr="00884D10">
        <w:tab/>
        <w:t>(ii)</w:t>
      </w:r>
      <w:r w:rsidRPr="00884D10">
        <w:tab/>
        <w:t>the data sources used for undertaking the validation assessment, including copies of all mapping and sampling products consulted and produced;</w:t>
      </w:r>
    </w:p>
    <w:p w:rsidR="00F768B0" w:rsidRPr="00884D10" w:rsidRDefault="00F768B0" w:rsidP="00F768B0">
      <w:pPr>
        <w:pStyle w:val="tSubpara"/>
      </w:pPr>
      <w:r w:rsidRPr="00884D10">
        <w:tab/>
        <w:t>(iii)</w:t>
      </w:r>
      <w:r w:rsidRPr="00884D10">
        <w:tab/>
        <w:t>all GIS maps depicting the position of all independent data waypoints collected;</w:t>
      </w:r>
    </w:p>
    <w:p w:rsidR="00F768B0" w:rsidRPr="00884D10" w:rsidRDefault="00F768B0" w:rsidP="00F768B0">
      <w:pPr>
        <w:pStyle w:val="tSubpara"/>
      </w:pPr>
      <w:r w:rsidRPr="00884D10">
        <w:tab/>
        <w:t>(iv)</w:t>
      </w:r>
      <w:r w:rsidRPr="00884D10">
        <w:tab/>
        <w:t>the GIS map that shows the intersection of the independent data waypoints and the vegetation map; and</w:t>
      </w:r>
    </w:p>
    <w:p w:rsidR="00F768B0" w:rsidRPr="00884D10" w:rsidRDefault="00F768B0" w:rsidP="00F768B0">
      <w:pPr>
        <w:pStyle w:val="tSubpara"/>
      </w:pPr>
      <w:r w:rsidRPr="00884D10">
        <w:tab/>
        <w:t>(v)</w:t>
      </w:r>
      <w:r w:rsidRPr="00884D10">
        <w:tab/>
        <w:t>the matrix showing quantitative evidence of errors of omission and commission by vegetation class and evidence that the final vegetation map is at least 80% reliable;</w:t>
      </w:r>
    </w:p>
    <w:p w:rsidR="00F768B0" w:rsidRPr="00884D10" w:rsidRDefault="00F768B0" w:rsidP="00F768B0">
      <w:pPr>
        <w:pStyle w:val="tPara"/>
      </w:pPr>
      <w:r w:rsidRPr="00884D10">
        <w:tab/>
        <w:t>(f)</w:t>
      </w:r>
      <w:r w:rsidRPr="00884D10">
        <w:tab/>
        <w:t>for a fire map sourced from NAFI, evidence of the source;</w:t>
      </w:r>
    </w:p>
    <w:p w:rsidR="00F768B0" w:rsidRPr="00884D10" w:rsidRDefault="00F768B0" w:rsidP="00F768B0">
      <w:pPr>
        <w:pStyle w:val="tPara"/>
      </w:pPr>
      <w:r w:rsidRPr="00884D10">
        <w:tab/>
        <w:t>(g)</w:t>
      </w:r>
      <w:r w:rsidRPr="00884D10">
        <w:tab/>
        <w:t>for a fire map not sourced from NAFI:</w:t>
      </w:r>
    </w:p>
    <w:p w:rsidR="00F768B0" w:rsidRPr="00884D10" w:rsidRDefault="00F768B0" w:rsidP="00F768B0">
      <w:pPr>
        <w:pStyle w:val="tSubpara"/>
      </w:pPr>
      <w:r w:rsidRPr="00884D10">
        <w:tab/>
        <w:t>(</w:t>
      </w:r>
      <w:proofErr w:type="spellStart"/>
      <w:r w:rsidRPr="00884D10">
        <w:t>i</w:t>
      </w:r>
      <w:proofErr w:type="spellEnd"/>
      <w:r w:rsidRPr="00884D10">
        <w:t>)</w:t>
      </w:r>
      <w:r w:rsidRPr="00884D10">
        <w:tab/>
        <w:t>the registered greenhouse and energy auditor’s validation assessment report of the fire map;</w:t>
      </w:r>
    </w:p>
    <w:p w:rsidR="00F768B0" w:rsidRPr="00884D10" w:rsidRDefault="00F768B0" w:rsidP="00F768B0">
      <w:pPr>
        <w:pStyle w:val="tSubpara"/>
      </w:pPr>
      <w:r w:rsidRPr="00884D10">
        <w:tab/>
        <w:t>(ii)</w:t>
      </w:r>
      <w:r w:rsidRPr="00884D10">
        <w:tab/>
        <w:t>the data sources used for undertaking the validation assessment, including copies of all mapping and sampling products consulted and produced;</w:t>
      </w:r>
    </w:p>
    <w:p w:rsidR="00F768B0" w:rsidRPr="00884D10" w:rsidRDefault="00F768B0" w:rsidP="00F768B0">
      <w:pPr>
        <w:pStyle w:val="tSubpara"/>
      </w:pPr>
      <w:r w:rsidRPr="00884D10">
        <w:tab/>
        <w:t>(iii)</w:t>
      </w:r>
      <w:r w:rsidRPr="00884D10">
        <w:tab/>
        <w:t>all GIS maps depicting the position of all independent data waypoints collected;</w:t>
      </w:r>
    </w:p>
    <w:p w:rsidR="00F768B0" w:rsidRPr="00884D10" w:rsidRDefault="00F768B0" w:rsidP="00F768B0">
      <w:pPr>
        <w:pStyle w:val="tSubpara"/>
      </w:pPr>
      <w:r w:rsidRPr="00884D10">
        <w:tab/>
        <w:t>(iv)</w:t>
      </w:r>
      <w:r w:rsidRPr="00884D10">
        <w:tab/>
        <w:t>the GIS map that shows the intersection of the independent data waypoints and the seasonal fire maps; and</w:t>
      </w:r>
    </w:p>
    <w:p w:rsidR="00F768B0" w:rsidRPr="00884D10" w:rsidRDefault="00F768B0" w:rsidP="00F768B0">
      <w:pPr>
        <w:pStyle w:val="tSubpara"/>
      </w:pPr>
      <w:r w:rsidRPr="00884D10">
        <w:tab/>
        <w:t>(v)</w:t>
      </w:r>
      <w:r w:rsidRPr="00884D10">
        <w:tab/>
        <w:t>the matrix showing quantitative evidence of errors of omission and commission by vegetation class and evidence that the final vegetation map is at least 80% reliable;</w:t>
      </w:r>
    </w:p>
    <w:p w:rsidR="00F768B0" w:rsidRPr="00884D10" w:rsidRDefault="00F768B0" w:rsidP="00F768B0">
      <w:pPr>
        <w:pStyle w:val="tPara"/>
        <w:rPr>
          <w:u w:val="single"/>
        </w:rPr>
      </w:pPr>
      <w:r w:rsidRPr="00884D10">
        <w:tab/>
        <w:t>(h)</w:t>
      </w:r>
      <w:r w:rsidRPr="00884D10">
        <w:tab/>
        <w:t>if the data collected by the registered greenhouse and energy auditor’s validation assessment has been used to increase the accuracy of a fire map, the original fire map and the adjusted fire map;</w:t>
      </w:r>
    </w:p>
    <w:p w:rsidR="00F768B0" w:rsidRPr="00884D10" w:rsidRDefault="00F768B0" w:rsidP="00F768B0">
      <w:pPr>
        <w:pStyle w:val="tPara"/>
      </w:pPr>
      <w:r w:rsidRPr="00884D10">
        <w:tab/>
        <w:t>(</w:t>
      </w:r>
      <w:proofErr w:type="spellStart"/>
      <w:r w:rsidRPr="00884D10">
        <w:t>i</w:t>
      </w:r>
      <w:proofErr w:type="spellEnd"/>
      <w:r w:rsidRPr="00884D10">
        <w:t>)</w:t>
      </w:r>
      <w:r w:rsidRPr="00884D10">
        <w:tab/>
        <w:t>the results of all calculations specified in Part 3 in the tables specified in Form 1 at Schedule 2;</w:t>
      </w:r>
    </w:p>
    <w:p w:rsidR="00F768B0" w:rsidRPr="00884D10" w:rsidRDefault="00F768B0" w:rsidP="00F768B0">
      <w:pPr>
        <w:pStyle w:val="tPara"/>
      </w:pPr>
      <w:r w:rsidRPr="00884D10">
        <w:tab/>
        <w:t>(j)</w:t>
      </w:r>
      <w:r w:rsidRPr="00884D10">
        <w:tab/>
        <w:t>records of early dry season burning activities undertaken, including location, timing and method; and</w:t>
      </w:r>
    </w:p>
    <w:p w:rsidR="00F768B0" w:rsidRPr="00884D10" w:rsidRDefault="00F768B0" w:rsidP="00F768B0">
      <w:pPr>
        <w:pStyle w:val="tPara"/>
      </w:pPr>
      <w:r w:rsidRPr="00884D10">
        <w:tab/>
        <w:t>(k)</w:t>
      </w:r>
      <w:r w:rsidRPr="00884D10">
        <w:tab/>
        <w:t>evidence of fuel use, including invoices and receipts and, in the case of helicopter use if fuel use receipts are not available, record of hours of flight.</w:t>
      </w:r>
    </w:p>
    <w:p w:rsidR="00F768B0" w:rsidRPr="00884D10" w:rsidRDefault="00F768B0" w:rsidP="00F768B0">
      <w:pPr>
        <w:pStyle w:val="h3Div"/>
      </w:pPr>
      <w:bookmarkStart w:id="83" w:name="_Toc357780209"/>
      <w:r w:rsidRPr="00884D10">
        <w:lastRenderedPageBreak/>
        <w:t xml:space="preserve">Division </w:t>
      </w:r>
      <w:r>
        <w:t>5.3</w:t>
      </w:r>
      <w:r w:rsidRPr="00884D10">
        <w:tab/>
        <w:t>Offsets report requirements</w:t>
      </w:r>
      <w:bookmarkEnd w:id="83"/>
    </w:p>
    <w:p w:rsidR="00F768B0" w:rsidRPr="00884D10" w:rsidRDefault="00F768B0" w:rsidP="00F768B0">
      <w:pPr>
        <w:pStyle w:val="h5Section"/>
      </w:pPr>
      <w:bookmarkStart w:id="84" w:name="_Toc357780210"/>
      <w:r>
        <w:t>5.3</w:t>
      </w:r>
      <w:r w:rsidRPr="00884D10">
        <w:tab/>
        <w:t>Information that must be included in first offsets report</w:t>
      </w:r>
      <w:bookmarkEnd w:id="84"/>
      <w:r w:rsidRPr="00884D10">
        <w:t xml:space="preserve"> </w:t>
      </w:r>
    </w:p>
    <w:p w:rsidR="00F768B0" w:rsidRPr="00884D10" w:rsidRDefault="00F768B0" w:rsidP="00F768B0">
      <w:pPr>
        <w:pStyle w:val="Sec"/>
      </w:pPr>
      <w:r w:rsidRPr="00884D10">
        <w:tab/>
      </w:r>
      <w:r w:rsidRPr="00884D10">
        <w:tab/>
        <w:t>The following information must be included in the first offsets report for a project to which this Determination applies:</w:t>
      </w:r>
    </w:p>
    <w:p w:rsidR="00F768B0" w:rsidRPr="00884D10" w:rsidRDefault="00F768B0" w:rsidP="00F768B0">
      <w:pPr>
        <w:pStyle w:val="tPara"/>
      </w:pPr>
      <w:r w:rsidRPr="00884D10">
        <w:tab/>
        <w:t>(a)</w:t>
      </w:r>
      <w:r w:rsidRPr="00884D10">
        <w:tab/>
        <w:t>the CO</w:t>
      </w:r>
      <w:r w:rsidRPr="00884D10">
        <w:rPr>
          <w:vertAlign w:val="subscript"/>
        </w:rPr>
        <w:t>2</w:t>
      </w:r>
      <w:r w:rsidRPr="00884D10">
        <w:t>-e net abatement amount for the project;</w:t>
      </w:r>
    </w:p>
    <w:p w:rsidR="00F768B0" w:rsidRPr="00884D10" w:rsidRDefault="00F768B0" w:rsidP="00F768B0">
      <w:pPr>
        <w:pStyle w:val="tPara"/>
      </w:pPr>
      <w:r w:rsidRPr="00884D10">
        <w:tab/>
        <w:t>(b)</w:t>
      </w:r>
      <w:r w:rsidRPr="00884D10">
        <w:tab/>
        <w:t>the validated vegetation map of the project area;</w:t>
      </w:r>
    </w:p>
    <w:p w:rsidR="00F768B0" w:rsidRPr="00884D10" w:rsidRDefault="00F768B0" w:rsidP="00F768B0">
      <w:pPr>
        <w:pStyle w:val="tPara"/>
      </w:pPr>
      <w:r w:rsidRPr="00884D10">
        <w:tab/>
        <w:t>(c)</w:t>
      </w:r>
      <w:r w:rsidRPr="00884D10">
        <w:tab/>
        <w:t>the map described in subsection 5.2(6);</w:t>
      </w:r>
    </w:p>
    <w:p w:rsidR="00F768B0" w:rsidRPr="00884D10" w:rsidRDefault="00F768B0" w:rsidP="00F768B0">
      <w:pPr>
        <w:pStyle w:val="tPara"/>
      </w:pPr>
      <w:r w:rsidRPr="00884D10">
        <w:tab/>
        <w:t>(d)</w:t>
      </w:r>
      <w:r w:rsidRPr="00884D10">
        <w:tab/>
        <w:t xml:space="preserve">a description of the early dry season burning, including the location, timing and method of prescribed burns; </w:t>
      </w:r>
    </w:p>
    <w:p w:rsidR="00F768B0" w:rsidRPr="00884D10" w:rsidRDefault="00F768B0" w:rsidP="00F768B0">
      <w:pPr>
        <w:pStyle w:val="tPara"/>
      </w:pPr>
      <w:r w:rsidRPr="00884D10">
        <w:tab/>
        <w:t>(e)</w:t>
      </w:r>
      <w:r w:rsidRPr="00884D10">
        <w:tab/>
        <w:t>the seasonal fire maps for the project area for the baseline period and the reporting period;</w:t>
      </w:r>
    </w:p>
    <w:p w:rsidR="00F768B0" w:rsidRPr="00884D10" w:rsidRDefault="00F768B0" w:rsidP="00F768B0">
      <w:pPr>
        <w:pStyle w:val="tPara"/>
      </w:pPr>
      <w:r w:rsidRPr="00884D10">
        <w:tab/>
        <w:t>(f)</w:t>
      </w:r>
      <w:r w:rsidRPr="00884D10">
        <w:tab/>
        <w:t>for a fire map sourced from NAFI, evidence of the source;</w:t>
      </w:r>
    </w:p>
    <w:p w:rsidR="00F768B0" w:rsidRPr="00884D10" w:rsidRDefault="00F768B0" w:rsidP="00F768B0">
      <w:pPr>
        <w:pStyle w:val="tPara"/>
      </w:pPr>
      <w:r w:rsidRPr="00884D10">
        <w:tab/>
        <w:t>(g)</w:t>
      </w:r>
      <w:r w:rsidRPr="00884D10">
        <w:tab/>
        <w:t>for fire maps not sourced from NAFI, the report of the registered greenhouse and energy auditor’s report relating to the validation of the early dry season and late dry season fire maps; and</w:t>
      </w:r>
    </w:p>
    <w:p w:rsidR="00F768B0" w:rsidRPr="00884D10" w:rsidRDefault="00F768B0" w:rsidP="00F768B0">
      <w:pPr>
        <w:pStyle w:val="tPara"/>
      </w:pPr>
      <w:r w:rsidRPr="00884D10">
        <w:tab/>
        <w:t>(h)</w:t>
      </w:r>
      <w:r w:rsidRPr="00884D10">
        <w:tab/>
        <w:t>the results of the calculations and other information given in Form 2 of Schedule 2.</w:t>
      </w:r>
    </w:p>
    <w:p w:rsidR="00F768B0" w:rsidRPr="00884D10" w:rsidRDefault="00F768B0" w:rsidP="00F768B0">
      <w:pPr>
        <w:pStyle w:val="h5Section"/>
      </w:pPr>
      <w:bookmarkStart w:id="85" w:name="_Toc357780211"/>
      <w:r>
        <w:t>5.4</w:t>
      </w:r>
      <w:r w:rsidRPr="00884D10">
        <w:tab/>
        <w:t>Subsequent reporting periods</w:t>
      </w:r>
      <w:bookmarkEnd w:id="85"/>
      <w:r w:rsidRPr="00884D10">
        <w:t xml:space="preserve"> </w:t>
      </w:r>
    </w:p>
    <w:p w:rsidR="00F768B0" w:rsidRPr="00884D10" w:rsidRDefault="00F768B0" w:rsidP="00F768B0">
      <w:pPr>
        <w:pStyle w:val="Sec"/>
      </w:pPr>
      <w:r w:rsidRPr="00884D10">
        <w:tab/>
      </w:r>
      <w:r w:rsidRPr="00884D10">
        <w:tab/>
        <w:t>The following information must be included in the second and subsequent offsets reports for a project to which this Determination applies:</w:t>
      </w:r>
    </w:p>
    <w:p w:rsidR="00F768B0" w:rsidRPr="00884D10" w:rsidRDefault="00F768B0" w:rsidP="00F768B0">
      <w:pPr>
        <w:pStyle w:val="tPara"/>
      </w:pPr>
      <w:r w:rsidRPr="00884D10">
        <w:tab/>
        <w:t>(a)</w:t>
      </w:r>
      <w:r w:rsidRPr="00884D10">
        <w:tab/>
        <w:t>the CO</w:t>
      </w:r>
      <w:r w:rsidRPr="00884D10">
        <w:rPr>
          <w:vertAlign w:val="subscript"/>
        </w:rPr>
        <w:t>2</w:t>
      </w:r>
      <w:r w:rsidRPr="00884D10">
        <w:t>-e net abatement amount for the project;</w:t>
      </w:r>
    </w:p>
    <w:p w:rsidR="00F768B0" w:rsidRPr="00884D10" w:rsidRDefault="00F768B0" w:rsidP="00F768B0">
      <w:pPr>
        <w:pStyle w:val="tPara"/>
      </w:pPr>
      <w:r w:rsidRPr="00884D10">
        <w:tab/>
        <w:t>(b)</w:t>
      </w:r>
      <w:r w:rsidRPr="00884D10">
        <w:tab/>
        <w:t xml:space="preserve">a description of the early dry season burning regime, including the location, timing and method of prescribed burns; </w:t>
      </w:r>
    </w:p>
    <w:p w:rsidR="00F768B0" w:rsidRPr="00884D10" w:rsidRDefault="00F768B0" w:rsidP="00F768B0">
      <w:pPr>
        <w:pStyle w:val="tPara"/>
      </w:pPr>
      <w:r w:rsidRPr="00884D10">
        <w:tab/>
        <w:t>(c)</w:t>
      </w:r>
      <w:r w:rsidRPr="00884D10">
        <w:tab/>
        <w:t>the early dry season fire maps of the project area for the years in the reporting period;</w:t>
      </w:r>
    </w:p>
    <w:p w:rsidR="00F768B0" w:rsidRPr="00884D10" w:rsidRDefault="00F768B0" w:rsidP="00F768B0">
      <w:pPr>
        <w:pStyle w:val="tPara"/>
      </w:pPr>
      <w:r w:rsidRPr="00884D10">
        <w:tab/>
        <w:t>(d)</w:t>
      </w:r>
      <w:r w:rsidRPr="00884D10">
        <w:tab/>
        <w:t xml:space="preserve">the late dry season fire maps of the project area for the years in the reporting period; </w:t>
      </w:r>
    </w:p>
    <w:p w:rsidR="00F768B0" w:rsidRPr="00884D10" w:rsidRDefault="00F768B0" w:rsidP="00F768B0">
      <w:pPr>
        <w:pStyle w:val="tPara"/>
      </w:pPr>
      <w:r w:rsidRPr="00884D10">
        <w:tab/>
        <w:t>(e)</w:t>
      </w:r>
      <w:r w:rsidRPr="00884D10">
        <w:tab/>
        <w:t>for a fire map sourced from NAFI, evidence of the source;</w:t>
      </w:r>
    </w:p>
    <w:p w:rsidR="00F768B0" w:rsidRPr="00884D10" w:rsidRDefault="00F768B0" w:rsidP="00F768B0">
      <w:pPr>
        <w:pStyle w:val="tPara"/>
      </w:pPr>
      <w:r w:rsidRPr="00884D10">
        <w:tab/>
        <w:t>(f)</w:t>
      </w:r>
      <w:r w:rsidRPr="00884D10">
        <w:tab/>
        <w:t>for fire maps not sourced from NAFI, the report of the registered greenhouse and energy auditor’s report relating to the validation of the early dry season and late dry season fire maps; and</w:t>
      </w:r>
    </w:p>
    <w:p w:rsidR="00F768B0" w:rsidRPr="00884D10" w:rsidRDefault="00F768B0" w:rsidP="00F768B0">
      <w:pPr>
        <w:pStyle w:val="tPara"/>
      </w:pPr>
      <w:r w:rsidRPr="00884D10">
        <w:tab/>
        <w:t>(g)</w:t>
      </w:r>
      <w:r w:rsidRPr="00884D10">
        <w:tab/>
        <w:t>the results of the calculations and other information given in Form 2 of Schedule 2.</w:t>
      </w:r>
    </w:p>
    <w:p w:rsidR="00F768B0" w:rsidRPr="00884D10" w:rsidRDefault="00F768B0" w:rsidP="00F768B0">
      <w:pPr>
        <w:pStyle w:val="h1ChSch"/>
        <w:spacing w:before="240"/>
        <w:rPr>
          <w:rStyle w:val="CharSectno"/>
          <w:rFonts w:ascii="Times New Roman" w:hAnsi="Times New Roman"/>
        </w:rPr>
      </w:pPr>
      <w:bookmarkStart w:id="86" w:name="_Toc357780212"/>
      <w:r w:rsidRPr="00884D10">
        <w:rPr>
          <w:rStyle w:val="CharSectno"/>
          <w:rFonts w:ascii="Times New Roman" w:hAnsi="Times New Roman"/>
        </w:rPr>
        <w:lastRenderedPageBreak/>
        <w:t>Schedule 1</w:t>
      </w:r>
      <w:r w:rsidRPr="00884D10">
        <w:rPr>
          <w:rStyle w:val="CharSectno"/>
          <w:rFonts w:ascii="Times New Roman" w:hAnsi="Times New Roman"/>
        </w:rPr>
        <w:tab/>
        <w:t>Vegetation classes</w:t>
      </w:r>
      <w:bookmarkEnd w:id="86"/>
    </w:p>
    <w:p w:rsidR="00F768B0" w:rsidRPr="00884D10" w:rsidRDefault="00F768B0" w:rsidP="00F768B0">
      <w:pPr>
        <w:pStyle w:val="R2"/>
        <w:spacing w:before="0"/>
        <w:ind w:left="851" w:firstLine="0"/>
        <w:jc w:val="left"/>
        <w:rPr>
          <w:b/>
        </w:rPr>
      </w:pPr>
    </w:p>
    <w:tbl>
      <w:tblPr>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38"/>
        <w:gridCol w:w="916"/>
        <w:gridCol w:w="878"/>
        <w:gridCol w:w="1477"/>
        <w:gridCol w:w="1250"/>
        <w:gridCol w:w="1350"/>
        <w:gridCol w:w="1570"/>
      </w:tblGrid>
      <w:tr w:rsidR="00F768B0" w:rsidRPr="00884D10" w:rsidTr="00C83E03">
        <w:tc>
          <w:tcPr>
            <w:tcW w:w="1131" w:type="dxa"/>
          </w:tcPr>
          <w:p w:rsidR="00F768B0" w:rsidRPr="00884D10" w:rsidRDefault="00F768B0" w:rsidP="00C83E03">
            <w:pPr>
              <w:pStyle w:val="NoSpacing"/>
              <w:rPr>
                <w:b/>
                <w:sz w:val="20"/>
              </w:rPr>
            </w:pPr>
            <w:r w:rsidRPr="00884D10">
              <w:rPr>
                <w:b/>
                <w:sz w:val="20"/>
              </w:rPr>
              <w:t>Vegetation class</w:t>
            </w:r>
          </w:p>
        </w:tc>
        <w:tc>
          <w:tcPr>
            <w:tcW w:w="909" w:type="dxa"/>
          </w:tcPr>
          <w:p w:rsidR="00F768B0" w:rsidRPr="00884D10" w:rsidRDefault="00F768B0" w:rsidP="00C83E03">
            <w:pPr>
              <w:pStyle w:val="NoSpacing"/>
              <w:jc w:val="center"/>
              <w:rPr>
                <w:b/>
                <w:sz w:val="20"/>
              </w:rPr>
            </w:pPr>
            <w:r w:rsidRPr="00884D10">
              <w:rPr>
                <w:b/>
                <w:sz w:val="20"/>
              </w:rPr>
              <w:t>Canopy Height (m)</w:t>
            </w:r>
          </w:p>
        </w:tc>
        <w:tc>
          <w:tcPr>
            <w:tcW w:w="878" w:type="dxa"/>
          </w:tcPr>
          <w:p w:rsidR="00F768B0" w:rsidRPr="00884D10" w:rsidRDefault="00F768B0" w:rsidP="00C83E03">
            <w:pPr>
              <w:pStyle w:val="NoSpacing"/>
              <w:jc w:val="center"/>
              <w:rPr>
                <w:b/>
                <w:sz w:val="20"/>
              </w:rPr>
            </w:pPr>
            <w:r w:rsidRPr="00884D10">
              <w:rPr>
                <w:b/>
                <w:sz w:val="20"/>
              </w:rPr>
              <w:t xml:space="preserve">Foliage </w:t>
            </w:r>
          </w:p>
          <w:p w:rsidR="00F768B0" w:rsidRPr="00884D10" w:rsidRDefault="00F768B0" w:rsidP="00C83E03">
            <w:pPr>
              <w:pStyle w:val="NoSpacing"/>
              <w:jc w:val="center"/>
              <w:rPr>
                <w:b/>
                <w:sz w:val="20"/>
              </w:rPr>
            </w:pPr>
            <w:r w:rsidRPr="00884D10">
              <w:rPr>
                <w:b/>
                <w:sz w:val="20"/>
              </w:rPr>
              <w:t>cover</w:t>
            </w:r>
          </w:p>
          <w:p w:rsidR="00F768B0" w:rsidRPr="00884D10" w:rsidRDefault="00F768B0" w:rsidP="00C83E03">
            <w:pPr>
              <w:pStyle w:val="NoSpacing"/>
              <w:jc w:val="center"/>
              <w:rPr>
                <w:b/>
                <w:sz w:val="20"/>
              </w:rPr>
            </w:pPr>
            <w:r w:rsidRPr="00884D10">
              <w:rPr>
                <w:b/>
                <w:sz w:val="20"/>
              </w:rPr>
              <w:t>(%)</w:t>
            </w:r>
          </w:p>
        </w:tc>
        <w:tc>
          <w:tcPr>
            <w:tcW w:w="4041" w:type="dxa"/>
            <w:gridSpan w:val="3"/>
          </w:tcPr>
          <w:p w:rsidR="00F768B0" w:rsidRPr="00884D10" w:rsidRDefault="00F768B0" w:rsidP="00C83E03">
            <w:pPr>
              <w:pStyle w:val="NoSpacing"/>
              <w:jc w:val="center"/>
              <w:rPr>
                <w:b/>
                <w:sz w:val="20"/>
              </w:rPr>
            </w:pPr>
            <w:r w:rsidRPr="00884D10">
              <w:rPr>
                <w:b/>
                <w:sz w:val="20"/>
              </w:rPr>
              <w:t>Characteristic species</w:t>
            </w:r>
          </w:p>
        </w:tc>
        <w:tc>
          <w:tcPr>
            <w:tcW w:w="1570" w:type="dxa"/>
          </w:tcPr>
          <w:p w:rsidR="00F768B0" w:rsidRPr="00884D10" w:rsidRDefault="00F768B0" w:rsidP="00C83E03">
            <w:pPr>
              <w:pStyle w:val="NoSpacing"/>
              <w:jc w:val="center"/>
              <w:rPr>
                <w:b/>
                <w:sz w:val="20"/>
              </w:rPr>
            </w:pPr>
            <w:r w:rsidRPr="00884D10">
              <w:rPr>
                <w:b/>
                <w:sz w:val="20"/>
              </w:rPr>
              <w:t>Characteristic substrates</w:t>
            </w:r>
          </w:p>
        </w:tc>
      </w:tr>
      <w:tr w:rsidR="00F768B0" w:rsidRPr="00884D10" w:rsidTr="00C83E03">
        <w:tc>
          <w:tcPr>
            <w:tcW w:w="1131" w:type="dxa"/>
          </w:tcPr>
          <w:p w:rsidR="00F768B0" w:rsidRPr="00884D10" w:rsidRDefault="00F768B0" w:rsidP="00C83E03">
            <w:pPr>
              <w:pStyle w:val="NoSpacing"/>
              <w:rPr>
                <w:b/>
                <w:sz w:val="20"/>
              </w:rPr>
            </w:pPr>
          </w:p>
        </w:tc>
        <w:tc>
          <w:tcPr>
            <w:tcW w:w="909" w:type="dxa"/>
          </w:tcPr>
          <w:p w:rsidR="00F768B0" w:rsidRPr="00884D10" w:rsidRDefault="00F768B0" w:rsidP="00C83E03">
            <w:pPr>
              <w:pStyle w:val="NoSpacing"/>
              <w:jc w:val="center"/>
              <w:rPr>
                <w:sz w:val="20"/>
              </w:rPr>
            </w:pPr>
          </w:p>
        </w:tc>
        <w:tc>
          <w:tcPr>
            <w:tcW w:w="878" w:type="dxa"/>
          </w:tcPr>
          <w:p w:rsidR="00F768B0" w:rsidRPr="00884D10" w:rsidRDefault="00F768B0" w:rsidP="00C83E03">
            <w:pPr>
              <w:pStyle w:val="NoSpacing"/>
              <w:jc w:val="center"/>
              <w:rPr>
                <w:sz w:val="20"/>
              </w:rPr>
            </w:pPr>
          </w:p>
        </w:tc>
        <w:tc>
          <w:tcPr>
            <w:tcW w:w="1470" w:type="dxa"/>
          </w:tcPr>
          <w:p w:rsidR="00F768B0" w:rsidRPr="00884D10" w:rsidRDefault="00F768B0" w:rsidP="00C83E03">
            <w:pPr>
              <w:pStyle w:val="NoSpacing"/>
              <w:jc w:val="center"/>
              <w:rPr>
                <w:b/>
                <w:i/>
                <w:sz w:val="20"/>
              </w:rPr>
            </w:pPr>
            <w:r w:rsidRPr="00884D10">
              <w:rPr>
                <w:b/>
                <w:i/>
                <w:sz w:val="20"/>
              </w:rPr>
              <w:t>Canopy trees</w:t>
            </w:r>
          </w:p>
        </w:tc>
        <w:tc>
          <w:tcPr>
            <w:tcW w:w="1240" w:type="dxa"/>
          </w:tcPr>
          <w:p w:rsidR="00F768B0" w:rsidRPr="00884D10" w:rsidRDefault="00F768B0" w:rsidP="00C83E03">
            <w:pPr>
              <w:pStyle w:val="NoSpacing"/>
              <w:jc w:val="center"/>
              <w:rPr>
                <w:b/>
                <w:i/>
                <w:sz w:val="20"/>
              </w:rPr>
            </w:pPr>
            <w:r w:rsidRPr="00884D10">
              <w:rPr>
                <w:b/>
                <w:i/>
                <w:sz w:val="20"/>
              </w:rPr>
              <w:t>Shrubs</w:t>
            </w:r>
          </w:p>
        </w:tc>
        <w:tc>
          <w:tcPr>
            <w:tcW w:w="1331" w:type="dxa"/>
          </w:tcPr>
          <w:p w:rsidR="00F768B0" w:rsidRPr="00884D10" w:rsidRDefault="00F768B0" w:rsidP="00C83E03">
            <w:pPr>
              <w:pStyle w:val="NoSpacing"/>
              <w:jc w:val="center"/>
              <w:rPr>
                <w:b/>
                <w:i/>
                <w:sz w:val="20"/>
              </w:rPr>
            </w:pPr>
            <w:r w:rsidRPr="00884D10">
              <w:rPr>
                <w:b/>
                <w:i/>
                <w:sz w:val="20"/>
              </w:rPr>
              <w:t>Grasses</w:t>
            </w:r>
          </w:p>
        </w:tc>
        <w:tc>
          <w:tcPr>
            <w:tcW w:w="1570" w:type="dxa"/>
          </w:tcPr>
          <w:p w:rsidR="00F768B0" w:rsidRPr="00884D10" w:rsidRDefault="00F768B0" w:rsidP="00C83E03">
            <w:pPr>
              <w:pStyle w:val="NoSpacing"/>
              <w:jc w:val="center"/>
              <w:rPr>
                <w:sz w:val="20"/>
              </w:rPr>
            </w:pPr>
          </w:p>
        </w:tc>
      </w:tr>
      <w:tr w:rsidR="00F768B0" w:rsidRPr="00884D10" w:rsidTr="00C83E03">
        <w:tc>
          <w:tcPr>
            <w:tcW w:w="1131" w:type="dxa"/>
          </w:tcPr>
          <w:p w:rsidR="00F768B0" w:rsidRPr="00884D10" w:rsidRDefault="00F768B0" w:rsidP="00C83E03">
            <w:pPr>
              <w:pStyle w:val="NoSpacing"/>
              <w:rPr>
                <w:b/>
                <w:sz w:val="20"/>
              </w:rPr>
            </w:pPr>
            <w:r w:rsidRPr="00884D10">
              <w:rPr>
                <w:b/>
                <w:sz w:val="20"/>
              </w:rPr>
              <w:t>EOF</w:t>
            </w:r>
          </w:p>
        </w:tc>
        <w:tc>
          <w:tcPr>
            <w:tcW w:w="909" w:type="dxa"/>
          </w:tcPr>
          <w:p w:rsidR="00F768B0" w:rsidRPr="00884D10" w:rsidRDefault="00F768B0" w:rsidP="00C83E03">
            <w:pPr>
              <w:pStyle w:val="NoSpacing"/>
              <w:jc w:val="center"/>
              <w:rPr>
                <w:sz w:val="20"/>
              </w:rPr>
            </w:pPr>
            <w:r w:rsidRPr="00884D10">
              <w:rPr>
                <w:sz w:val="20"/>
              </w:rPr>
              <w:t>Majority</w:t>
            </w:r>
          </w:p>
          <w:p w:rsidR="00F768B0" w:rsidRPr="00884D10" w:rsidRDefault="00F768B0" w:rsidP="00C83E03">
            <w:pPr>
              <w:pStyle w:val="NoSpacing"/>
              <w:jc w:val="center"/>
              <w:rPr>
                <w:sz w:val="20"/>
              </w:rPr>
            </w:pPr>
            <w:r w:rsidRPr="00884D10">
              <w:rPr>
                <w:sz w:val="20"/>
              </w:rPr>
              <w:t xml:space="preserve"> &gt;15</w:t>
            </w:r>
          </w:p>
        </w:tc>
        <w:tc>
          <w:tcPr>
            <w:tcW w:w="878" w:type="dxa"/>
          </w:tcPr>
          <w:p w:rsidR="00F768B0" w:rsidRPr="00884D10" w:rsidRDefault="00F768B0" w:rsidP="00C83E03">
            <w:pPr>
              <w:pStyle w:val="NoSpacing"/>
              <w:jc w:val="center"/>
              <w:rPr>
                <w:sz w:val="20"/>
              </w:rPr>
            </w:pPr>
            <w:r w:rsidRPr="00884D10">
              <w:rPr>
                <w:sz w:val="20"/>
              </w:rPr>
              <w:t>30-70</w:t>
            </w:r>
          </w:p>
          <w:p w:rsidR="00F768B0" w:rsidRPr="00884D10" w:rsidRDefault="00F768B0" w:rsidP="00C83E03">
            <w:pPr>
              <w:pStyle w:val="NoSpacing"/>
              <w:jc w:val="center"/>
              <w:rPr>
                <w:sz w:val="20"/>
              </w:rPr>
            </w:pPr>
            <w:r w:rsidRPr="00884D10">
              <w:rPr>
                <w:sz w:val="20"/>
              </w:rPr>
              <w:t>(trees)</w:t>
            </w:r>
          </w:p>
        </w:tc>
        <w:tc>
          <w:tcPr>
            <w:tcW w:w="1470" w:type="dxa"/>
          </w:tcPr>
          <w:p w:rsidR="00F768B0" w:rsidRPr="00884D10" w:rsidRDefault="00F768B0" w:rsidP="00C83E03">
            <w:pPr>
              <w:pStyle w:val="NoSpacing"/>
              <w:rPr>
                <w:sz w:val="20"/>
                <w:lang w:val="pt-BR"/>
              </w:rPr>
            </w:pPr>
            <w:r w:rsidRPr="00884D10">
              <w:rPr>
                <w:sz w:val="20"/>
                <w:lang w:val="pt-BR"/>
              </w:rPr>
              <w:t xml:space="preserve">Tall eucalypts (e.g. </w:t>
            </w:r>
            <w:r w:rsidRPr="00884D10">
              <w:rPr>
                <w:i/>
                <w:sz w:val="20"/>
                <w:lang w:val="pt-BR"/>
              </w:rPr>
              <w:t>Eucalyptus tetrodonta</w:t>
            </w:r>
            <w:r w:rsidRPr="00884D10">
              <w:rPr>
                <w:sz w:val="20"/>
                <w:lang w:val="pt-BR"/>
              </w:rPr>
              <w:t xml:space="preserve">, </w:t>
            </w:r>
            <w:r w:rsidRPr="00884D10">
              <w:rPr>
                <w:i/>
                <w:sz w:val="20"/>
                <w:lang w:val="pt-BR"/>
              </w:rPr>
              <w:t>E. miniata</w:t>
            </w:r>
            <w:r w:rsidRPr="00884D10">
              <w:rPr>
                <w:sz w:val="20"/>
                <w:lang w:val="pt-BR"/>
              </w:rPr>
              <w:t>)</w:t>
            </w:r>
          </w:p>
        </w:tc>
        <w:tc>
          <w:tcPr>
            <w:tcW w:w="1240" w:type="dxa"/>
          </w:tcPr>
          <w:p w:rsidR="00F768B0" w:rsidRPr="00884D10" w:rsidRDefault="00F768B0" w:rsidP="00C83E03">
            <w:pPr>
              <w:pStyle w:val="NoSpacing"/>
              <w:rPr>
                <w:sz w:val="20"/>
              </w:rPr>
            </w:pPr>
            <w:r w:rsidRPr="00884D10">
              <w:rPr>
                <w:sz w:val="20"/>
              </w:rPr>
              <w:t>Various—well developed shrub layer may / may not be present</w:t>
            </w:r>
          </w:p>
        </w:tc>
        <w:tc>
          <w:tcPr>
            <w:tcW w:w="1331" w:type="dxa"/>
          </w:tcPr>
          <w:p w:rsidR="00F768B0" w:rsidRPr="00884D10" w:rsidRDefault="00F768B0" w:rsidP="00C83E03">
            <w:pPr>
              <w:pStyle w:val="NoSpacing"/>
              <w:rPr>
                <w:sz w:val="20"/>
              </w:rPr>
            </w:pPr>
            <w:r w:rsidRPr="00884D10">
              <w:rPr>
                <w:sz w:val="20"/>
              </w:rPr>
              <w:t>Native perennial and annual tussock grasses</w:t>
            </w:r>
          </w:p>
        </w:tc>
        <w:tc>
          <w:tcPr>
            <w:tcW w:w="1570" w:type="dxa"/>
          </w:tcPr>
          <w:p w:rsidR="00F768B0" w:rsidRPr="00884D10" w:rsidRDefault="00F768B0" w:rsidP="00C83E03">
            <w:pPr>
              <w:pStyle w:val="NoSpacing"/>
              <w:rPr>
                <w:sz w:val="20"/>
              </w:rPr>
            </w:pPr>
            <w:r w:rsidRPr="00884D10">
              <w:rPr>
                <w:sz w:val="20"/>
              </w:rPr>
              <w:t>Well drained deep soils, often sandy loams</w:t>
            </w:r>
          </w:p>
        </w:tc>
      </w:tr>
      <w:tr w:rsidR="00F768B0" w:rsidRPr="00884D10" w:rsidTr="00C83E03">
        <w:tc>
          <w:tcPr>
            <w:tcW w:w="1131" w:type="dxa"/>
          </w:tcPr>
          <w:p w:rsidR="00F768B0" w:rsidRPr="00884D10" w:rsidRDefault="00F768B0" w:rsidP="00C83E03">
            <w:pPr>
              <w:pStyle w:val="NoSpacing"/>
              <w:rPr>
                <w:b/>
                <w:sz w:val="20"/>
                <w:lang w:val="en-US"/>
              </w:rPr>
            </w:pPr>
            <w:r w:rsidRPr="00884D10">
              <w:rPr>
                <w:b/>
                <w:sz w:val="20"/>
                <w:lang w:val="en-US"/>
              </w:rPr>
              <w:t>EW</w:t>
            </w:r>
          </w:p>
        </w:tc>
        <w:tc>
          <w:tcPr>
            <w:tcW w:w="909" w:type="dxa"/>
          </w:tcPr>
          <w:p w:rsidR="00F768B0" w:rsidRPr="00884D10" w:rsidRDefault="00F768B0" w:rsidP="00C83E03">
            <w:pPr>
              <w:pStyle w:val="NoSpacing"/>
              <w:jc w:val="center"/>
              <w:rPr>
                <w:sz w:val="20"/>
              </w:rPr>
            </w:pPr>
            <w:r w:rsidRPr="00884D10">
              <w:rPr>
                <w:sz w:val="20"/>
              </w:rPr>
              <w:t>Majority</w:t>
            </w:r>
          </w:p>
          <w:p w:rsidR="00F768B0" w:rsidRPr="00884D10" w:rsidRDefault="00F768B0" w:rsidP="00C83E03">
            <w:pPr>
              <w:pStyle w:val="NoSpacing"/>
              <w:jc w:val="center"/>
              <w:rPr>
                <w:sz w:val="20"/>
              </w:rPr>
            </w:pPr>
            <w:r w:rsidRPr="00884D10">
              <w:rPr>
                <w:sz w:val="20"/>
              </w:rPr>
              <w:t xml:space="preserve"> &gt;8</w:t>
            </w:r>
          </w:p>
        </w:tc>
        <w:tc>
          <w:tcPr>
            <w:tcW w:w="878" w:type="dxa"/>
          </w:tcPr>
          <w:p w:rsidR="00F768B0" w:rsidRPr="00884D10" w:rsidRDefault="00F768B0" w:rsidP="00C83E03">
            <w:pPr>
              <w:pStyle w:val="NoSpacing"/>
              <w:jc w:val="center"/>
              <w:rPr>
                <w:sz w:val="20"/>
              </w:rPr>
            </w:pPr>
            <w:r w:rsidRPr="00884D10">
              <w:rPr>
                <w:sz w:val="20"/>
              </w:rPr>
              <w:t xml:space="preserve"> 10-30</w:t>
            </w:r>
          </w:p>
          <w:p w:rsidR="00F768B0" w:rsidRPr="00884D10" w:rsidRDefault="00F768B0" w:rsidP="00C83E03">
            <w:pPr>
              <w:pStyle w:val="NoSpacing"/>
              <w:jc w:val="center"/>
              <w:rPr>
                <w:sz w:val="20"/>
              </w:rPr>
            </w:pPr>
            <w:r w:rsidRPr="00884D10">
              <w:rPr>
                <w:sz w:val="20"/>
              </w:rPr>
              <w:t>(trees)</w:t>
            </w:r>
          </w:p>
        </w:tc>
        <w:tc>
          <w:tcPr>
            <w:tcW w:w="1470" w:type="dxa"/>
          </w:tcPr>
          <w:p w:rsidR="00F768B0" w:rsidRPr="00884D10" w:rsidRDefault="00F768B0" w:rsidP="00C83E03">
            <w:pPr>
              <w:pStyle w:val="NoSpacing"/>
              <w:rPr>
                <w:sz w:val="20"/>
              </w:rPr>
            </w:pPr>
            <w:r w:rsidRPr="00884D10">
              <w:rPr>
                <w:sz w:val="20"/>
              </w:rPr>
              <w:t xml:space="preserve">Various eucalypts, often with other taxa (e.g. </w:t>
            </w:r>
            <w:proofErr w:type="spellStart"/>
            <w:r w:rsidRPr="00884D10">
              <w:rPr>
                <w:i/>
                <w:sz w:val="20"/>
              </w:rPr>
              <w:t>Erythrophleum</w:t>
            </w:r>
            <w:proofErr w:type="spellEnd"/>
            <w:r w:rsidRPr="00884D10">
              <w:rPr>
                <w:sz w:val="20"/>
              </w:rPr>
              <w:t xml:space="preserve">, </w:t>
            </w:r>
            <w:proofErr w:type="spellStart"/>
            <w:r w:rsidRPr="00884D10">
              <w:rPr>
                <w:i/>
                <w:sz w:val="20"/>
              </w:rPr>
              <w:t>Terminalia</w:t>
            </w:r>
            <w:proofErr w:type="spellEnd"/>
            <w:r w:rsidRPr="00884D10">
              <w:rPr>
                <w:sz w:val="20"/>
              </w:rPr>
              <w:t xml:space="preserve">, </w:t>
            </w:r>
            <w:proofErr w:type="spellStart"/>
            <w:r w:rsidRPr="00884D10">
              <w:rPr>
                <w:i/>
                <w:sz w:val="20"/>
              </w:rPr>
              <w:t>Xanthostemon</w:t>
            </w:r>
            <w:proofErr w:type="spellEnd"/>
            <w:r w:rsidRPr="00884D10">
              <w:rPr>
                <w:sz w:val="20"/>
              </w:rPr>
              <w:t>)</w:t>
            </w:r>
          </w:p>
        </w:tc>
        <w:tc>
          <w:tcPr>
            <w:tcW w:w="1240" w:type="dxa"/>
          </w:tcPr>
          <w:p w:rsidR="00F768B0" w:rsidRPr="00884D10" w:rsidRDefault="00F768B0" w:rsidP="00C83E03">
            <w:pPr>
              <w:pStyle w:val="NoSpacing"/>
              <w:rPr>
                <w:sz w:val="20"/>
              </w:rPr>
            </w:pPr>
            <w:r w:rsidRPr="00884D10">
              <w:rPr>
                <w:sz w:val="20"/>
              </w:rPr>
              <w:t>Various—well developed shrub layer may / may not be present</w:t>
            </w:r>
          </w:p>
        </w:tc>
        <w:tc>
          <w:tcPr>
            <w:tcW w:w="1331" w:type="dxa"/>
          </w:tcPr>
          <w:p w:rsidR="00F768B0" w:rsidRPr="00884D10" w:rsidRDefault="00F768B0" w:rsidP="00C83E03">
            <w:pPr>
              <w:pStyle w:val="NoSpacing"/>
              <w:rPr>
                <w:sz w:val="20"/>
              </w:rPr>
            </w:pPr>
            <w:r w:rsidRPr="00884D10">
              <w:rPr>
                <w:sz w:val="20"/>
              </w:rPr>
              <w:t>Native perennial and annual tussock grasses</w:t>
            </w:r>
          </w:p>
        </w:tc>
        <w:tc>
          <w:tcPr>
            <w:tcW w:w="1570" w:type="dxa"/>
          </w:tcPr>
          <w:p w:rsidR="00F768B0" w:rsidRPr="00884D10" w:rsidRDefault="00F768B0" w:rsidP="00C83E03">
            <w:pPr>
              <w:pStyle w:val="NoSpacing"/>
              <w:rPr>
                <w:sz w:val="20"/>
              </w:rPr>
            </w:pPr>
            <w:r w:rsidRPr="00884D10">
              <w:rPr>
                <w:sz w:val="20"/>
              </w:rPr>
              <w:t>Various situations, from well-drained gravelly sites to those with impeded drainage</w:t>
            </w:r>
          </w:p>
        </w:tc>
      </w:tr>
      <w:tr w:rsidR="00F768B0" w:rsidRPr="00884D10" w:rsidTr="00C83E03">
        <w:tc>
          <w:tcPr>
            <w:tcW w:w="1131" w:type="dxa"/>
          </w:tcPr>
          <w:p w:rsidR="00F768B0" w:rsidRPr="00884D10" w:rsidRDefault="00F768B0" w:rsidP="00C83E03">
            <w:pPr>
              <w:pStyle w:val="NoSpacing"/>
              <w:rPr>
                <w:b/>
                <w:sz w:val="20"/>
              </w:rPr>
            </w:pPr>
            <w:r w:rsidRPr="00884D10">
              <w:rPr>
                <w:b/>
                <w:sz w:val="20"/>
              </w:rPr>
              <w:t>SW</w:t>
            </w:r>
          </w:p>
        </w:tc>
        <w:tc>
          <w:tcPr>
            <w:tcW w:w="909" w:type="dxa"/>
          </w:tcPr>
          <w:p w:rsidR="00F768B0" w:rsidRPr="00884D10" w:rsidRDefault="00F768B0" w:rsidP="00C83E03">
            <w:pPr>
              <w:pStyle w:val="NoSpacing"/>
              <w:jc w:val="center"/>
              <w:rPr>
                <w:sz w:val="20"/>
              </w:rPr>
            </w:pPr>
            <w:r w:rsidRPr="00884D10">
              <w:rPr>
                <w:sz w:val="20"/>
              </w:rPr>
              <w:t>Majority</w:t>
            </w:r>
          </w:p>
          <w:p w:rsidR="00F768B0" w:rsidRPr="00884D10" w:rsidRDefault="00F768B0" w:rsidP="00C83E03">
            <w:pPr>
              <w:pStyle w:val="NoSpacing"/>
              <w:jc w:val="center"/>
              <w:rPr>
                <w:sz w:val="20"/>
              </w:rPr>
            </w:pPr>
            <w:r w:rsidRPr="00884D10">
              <w:rPr>
                <w:sz w:val="20"/>
              </w:rPr>
              <w:t xml:space="preserve"> &gt;8</w:t>
            </w:r>
          </w:p>
        </w:tc>
        <w:tc>
          <w:tcPr>
            <w:tcW w:w="878" w:type="dxa"/>
          </w:tcPr>
          <w:p w:rsidR="00F768B0" w:rsidRPr="00884D10" w:rsidRDefault="00F768B0" w:rsidP="00C83E03">
            <w:pPr>
              <w:pStyle w:val="NoSpacing"/>
              <w:jc w:val="center"/>
              <w:rPr>
                <w:sz w:val="20"/>
              </w:rPr>
            </w:pPr>
            <w:r w:rsidRPr="00884D10">
              <w:rPr>
                <w:sz w:val="20"/>
              </w:rPr>
              <w:t>10-30</w:t>
            </w:r>
          </w:p>
          <w:p w:rsidR="00F768B0" w:rsidRPr="00884D10" w:rsidRDefault="00F768B0" w:rsidP="00C83E03">
            <w:pPr>
              <w:pStyle w:val="NoSpacing"/>
              <w:jc w:val="center"/>
              <w:rPr>
                <w:sz w:val="20"/>
              </w:rPr>
            </w:pPr>
            <w:r w:rsidRPr="00884D10">
              <w:rPr>
                <w:sz w:val="20"/>
              </w:rPr>
              <w:t>(trees)</w:t>
            </w:r>
          </w:p>
        </w:tc>
        <w:tc>
          <w:tcPr>
            <w:tcW w:w="1470" w:type="dxa"/>
          </w:tcPr>
          <w:p w:rsidR="00F768B0" w:rsidRPr="00884D10" w:rsidRDefault="00F768B0" w:rsidP="00C83E03">
            <w:pPr>
              <w:pStyle w:val="NoSpacing"/>
              <w:rPr>
                <w:sz w:val="20"/>
              </w:rPr>
            </w:pPr>
            <w:r w:rsidRPr="00884D10">
              <w:rPr>
                <w:sz w:val="20"/>
              </w:rPr>
              <w:t xml:space="preserve">Various eucalypts, often with other taxa (e.g. </w:t>
            </w:r>
            <w:proofErr w:type="spellStart"/>
            <w:r w:rsidRPr="00884D10">
              <w:rPr>
                <w:i/>
                <w:sz w:val="20"/>
              </w:rPr>
              <w:t>Erythrophleum</w:t>
            </w:r>
            <w:proofErr w:type="spellEnd"/>
            <w:r w:rsidRPr="00884D10">
              <w:rPr>
                <w:sz w:val="20"/>
              </w:rPr>
              <w:t xml:space="preserve">, </w:t>
            </w:r>
            <w:proofErr w:type="spellStart"/>
            <w:r w:rsidRPr="00884D10">
              <w:rPr>
                <w:i/>
                <w:sz w:val="20"/>
              </w:rPr>
              <w:t>Terminalia</w:t>
            </w:r>
            <w:proofErr w:type="spellEnd"/>
            <w:r w:rsidRPr="00884D10">
              <w:rPr>
                <w:sz w:val="20"/>
              </w:rPr>
              <w:t xml:space="preserve">, </w:t>
            </w:r>
            <w:proofErr w:type="spellStart"/>
            <w:r w:rsidRPr="00884D10">
              <w:rPr>
                <w:i/>
                <w:sz w:val="20"/>
              </w:rPr>
              <w:t>Xanthostemon</w:t>
            </w:r>
            <w:proofErr w:type="spellEnd"/>
            <w:r w:rsidRPr="00884D10">
              <w:rPr>
                <w:sz w:val="20"/>
              </w:rPr>
              <w:t>)</w:t>
            </w:r>
          </w:p>
        </w:tc>
        <w:tc>
          <w:tcPr>
            <w:tcW w:w="1240" w:type="dxa"/>
          </w:tcPr>
          <w:p w:rsidR="00F768B0" w:rsidRPr="00884D10" w:rsidRDefault="00F768B0" w:rsidP="00C83E03">
            <w:pPr>
              <w:pStyle w:val="NoSpacing"/>
              <w:rPr>
                <w:sz w:val="20"/>
              </w:rPr>
            </w:pPr>
            <w:r w:rsidRPr="00884D10">
              <w:rPr>
                <w:sz w:val="20"/>
              </w:rPr>
              <w:t>Various—well developed shrub layer may / may not be present; where present, may include woody heath taxa as listed for Sandstone heath</w:t>
            </w:r>
          </w:p>
        </w:tc>
        <w:tc>
          <w:tcPr>
            <w:tcW w:w="1331" w:type="dxa"/>
          </w:tcPr>
          <w:p w:rsidR="00F768B0" w:rsidRPr="00884D10" w:rsidRDefault="00F768B0" w:rsidP="00C83E03">
            <w:pPr>
              <w:pStyle w:val="NoSpacing"/>
              <w:rPr>
                <w:sz w:val="20"/>
              </w:rPr>
            </w:pPr>
            <w:r w:rsidRPr="00884D10">
              <w:rPr>
                <w:sz w:val="20"/>
              </w:rPr>
              <w:t>Mixture of native perennial and annual tussock and hummock (</w:t>
            </w:r>
            <w:proofErr w:type="spellStart"/>
            <w:r w:rsidRPr="00884D10">
              <w:rPr>
                <w:i/>
                <w:sz w:val="20"/>
              </w:rPr>
              <w:t>Triodia</w:t>
            </w:r>
            <w:proofErr w:type="spellEnd"/>
            <w:r w:rsidRPr="00884D10">
              <w:rPr>
                <w:sz w:val="20"/>
              </w:rPr>
              <w:t>) grasses</w:t>
            </w:r>
          </w:p>
        </w:tc>
        <w:tc>
          <w:tcPr>
            <w:tcW w:w="1570" w:type="dxa"/>
          </w:tcPr>
          <w:p w:rsidR="00F768B0" w:rsidRPr="00884D10" w:rsidRDefault="00F768B0" w:rsidP="00C83E03">
            <w:pPr>
              <w:pStyle w:val="NoSpacing"/>
              <w:rPr>
                <w:sz w:val="20"/>
              </w:rPr>
            </w:pPr>
            <w:r w:rsidRPr="00884D10">
              <w:rPr>
                <w:sz w:val="20"/>
              </w:rPr>
              <w:t xml:space="preserve">Shallow to rocky substrates derived typically from sandstone, metamorphosed sandstone (e.g. quartzite), sometimes </w:t>
            </w:r>
            <w:proofErr w:type="spellStart"/>
            <w:r w:rsidRPr="00884D10">
              <w:rPr>
                <w:sz w:val="20"/>
              </w:rPr>
              <w:t>laterised</w:t>
            </w:r>
            <w:proofErr w:type="spellEnd"/>
          </w:p>
        </w:tc>
      </w:tr>
      <w:tr w:rsidR="00F768B0" w:rsidRPr="00884D10" w:rsidTr="00C83E03">
        <w:tc>
          <w:tcPr>
            <w:tcW w:w="1131" w:type="dxa"/>
          </w:tcPr>
          <w:p w:rsidR="00F768B0" w:rsidRPr="00884D10" w:rsidRDefault="00F768B0" w:rsidP="00C83E03">
            <w:pPr>
              <w:pStyle w:val="NoSpacing"/>
              <w:rPr>
                <w:b/>
                <w:sz w:val="20"/>
              </w:rPr>
            </w:pPr>
            <w:r w:rsidRPr="00884D10">
              <w:rPr>
                <w:b/>
                <w:sz w:val="20"/>
              </w:rPr>
              <w:t>SH</w:t>
            </w:r>
          </w:p>
        </w:tc>
        <w:tc>
          <w:tcPr>
            <w:tcW w:w="909" w:type="dxa"/>
          </w:tcPr>
          <w:p w:rsidR="00F768B0" w:rsidRPr="00884D10" w:rsidRDefault="00F768B0" w:rsidP="00C83E03">
            <w:pPr>
              <w:pStyle w:val="NoSpacing"/>
              <w:jc w:val="center"/>
              <w:rPr>
                <w:sz w:val="20"/>
              </w:rPr>
            </w:pPr>
            <w:r w:rsidRPr="00884D10">
              <w:rPr>
                <w:sz w:val="20"/>
              </w:rPr>
              <w:t>Majority</w:t>
            </w:r>
          </w:p>
          <w:p w:rsidR="00F768B0" w:rsidRPr="00884D10" w:rsidRDefault="00F768B0" w:rsidP="00C83E03">
            <w:pPr>
              <w:pStyle w:val="NoSpacing"/>
              <w:jc w:val="center"/>
              <w:rPr>
                <w:sz w:val="20"/>
              </w:rPr>
            </w:pPr>
            <w:r w:rsidRPr="00884D10">
              <w:rPr>
                <w:sz w:val="20"/>
              </w:rPr>
              <w:t xml:space="preserve"> &lt;5</w:t>
            </w:r>
          </w:p>
        </w:tc>
        <w:tc>
          <w:tcPr>
            <w:tcW w:w="878" w:type="dxa"/>
          </w:tcPr>
          <w:p w:rsidR="00F768B0" w:rsidRPr="00884D10" w:rsidRDefault="00F768B0" w:rsidP="00C83E03">
            <w:pPr>
              <w:pStyle w:val="NoSpacing"/>
              <w:jc w:val="center"/>
              <w:rPr>
                <w:sz w:val="20"/>
              </w:rPr>
            </w:pPr>
            <w:r w:rsidRPr="00884D10">
              <w:rPr>
                <w:sz w:val="20"/>
              </w:rPr>
              <w:t>0-30</w:t>
            </w:r>
          </w:p>
          <w:p w:rsidR="00F768B0" w:rsidRPr="00884D10" w:rsidRDefault="00F768B0" w:rsidP="00C83E03">
            <w:pPr>
              <w:pStyle w:val="NoSpacing"/>
              <w:jc w:val="center"/>
              <w:rPr>
                <w:sz w:val="20"/>
              </w:rPr>
            </w:pPr>
            <w:r w:rsidRPr="00884D10">
              <w:rPr>
                <w:sz w:val="20"/>
              </w:rPr>
              <w:t>(shrubs)</w:t>
            </w:r>
          </w:p>
        </w:tc>
        <w:tc>
          <w:tcPr>
            <w:tcW w:w="1470" w:type="dxa"/>
          </w:tcPr>
          <w:p w:rsidR="00F768B0" w:rsidRPr="00884D10" w:rsidRDefault="00F768B0" w:rsidP="00C83E03">
            <w:pPr>
              <w:pStyle w:val="NoSpacing"/>
              <w:rPr>
                <w:sz w:val="20"/>
              </w:rPr>
            </w:pPr>
            <w:r w:rsidRPr="00884D10">
              <w:rPr>
                <w:sz w:val="20"/>
              </w:rPr>
              <w:t>Occasional trees</w:t>
            </w:r>
          </w:p>
        </w:tc>
        <w:tc>
          <w:tcPr>
            <w:tcW w:w="1240" w:type="dxa"/>
          </w:tcPr>
          <w:p w:rsidR="00F768B0" w:rsidRPr="00884D10" w:rsidRDefault="00F768B0" w:rsidP="00C83E03">
            <w:pPr>
              <w:pStyle w:val="NoSpacing"/>
              <w:rPr>
                <w:sz w:val="20"/>
              </w:rPr>
            </w:pPr>
            <w:r w:rsidRPr="00884D10">
              <w:rPr>
                <w:sz w:val="20"/>
              </w:rPr>
              <w:t xml:space="preserve">Conspicuous cover of </w:t>
            </w:r>
            <w:proofErr w:type="spellStart"/>
            <w:r w:rsidRPr="00884D10">
              <w:rPr>
                <w:sz w:val="20"/>
              </w:rPr>
              <w:t>heathy</w:t>
            </w:r>
            <w:proofErr w:type="spellEnd"/>
            <w:r w:rsidRPr="00884D10">
              <w:rPr>
                <w:sz w:val="20"/>
              </w:rPr>
              <w:t xml:space="preserve"> shrubs (e.g. </w:t>
            </w:r>
            <w:r w:rsidRPr="00884D10">
              <w:rPr>
                <w:i/>
                <w:sz w:val="20"/>
              </w:rPr>
              <w:t>Acacia</w:t>
            </w:r>
            <w:r w:rsidRPr="00884D10">
              <w:rPr>
                <w:sz w:val="20"/>
              </w:rPr>
              <w:t xml:space="preserve">, </w:t>
            </w:r>
            <w:proofErr w:type="spellStart"/>
            <w:r w:rsidRPr="00884D10">
              <w:rPr>
                <w:i/>
                <w:sz w:val="20"/>
              </w:rPr>
              <w:t>Calytrix</w:t>
            </w:r>
            <w:proofErr w:type="spellEnd"/>
            <w:r w:rsidRPr="00884D10">
              <w:rPr>
                <w:sz w:val="20"/>
              </w:rPr>
              <w:t xml:space="preserve">, </w:t>
            </w:r>
            <w:r w:rsidRPr="00884D10">
              <w:rPr>
                <w:i/>
                <w:sz w:val="20"/>
              </w:rPr>
              <w:t>Grevillea</w:t>
            </w:r>
            <w:r w:rsidRPr="00884D10">
              <w:rPr>
                <w:sz w:val="20"/>
              </w:rPr>
              <w:t xml:space="preserve">, </w:t>
            </w:r>
            <w:r w:rsidRPr="00884D10">
              <w:rPr>
                <w:i/>
                <w:sz w:val="20"/>
              </w:rPr>
              <w:t>Hibbertia</w:t>
            </w:r>
            <w:r w:rsidRPr="00884D10">
              <w:rPr>
                <w:sz w:val="20"/>
              </w:rPr>
              <w:t xml:space="preserve">, </w:t>
            </w:r>
            <w:r w:rsidRPr="00884D10">
              <w:rPr>
                <w:i/>
                <w:sz w:val="20"/>
              </w:rPr>
              <w:t xml:space="preserve">Hibiscus, </w:t>
            </w:r>
            <w:proofErr w:type="spellStart"/>
            <w:r w:rsidRPr="00884D10">
              <w:rPr>
                <w:i/>
                <w:sz w:val="20"/>
              </w:rPr>
              <w:t>Jacksonia</w:t>
            </w:r>
            <w:proofErr w:type="spellEnd"/>
            <w:r w:rsidRPr="00884D10">
              <w:rPr>
                <w:i/>
                <w:sz w:val="20"/>
              </w:rPr>
              <w:t xml:space="preserve">, </w:t>
            </w:r>
            <w:proofErr w:type="spellStart"/>
            <w:r w:rsidRPr="00884D10">
              <w:rPr>
                <w:i/>
                <w:sz w:val="20"/>
              </w:rPr>
              <w:t>Tephrosia</w:t>
            </w:r>
            <w:proofErr w:type="spellEnd"/>
            <w:r w:rsidRPr="00884D10">
              <w:rPr>
                <w:i/>
                <w:sz w:val="20"/>
              </w:rPr>
              <w:t xml:space="preserve">, </w:t>
            </w:r>
            <w:proofErr w:type="spellStart"/>
            <w:r w:rsidRPr="00884D10">
              <w:rPr>
                <w:i/>
                <w:sz w:val="20"/>
              </w:rPr>
              <w:t>Verticordia</w:t>
            </w:r>
            <w:proofErr w:type="spellEnd"/>
            <w:r w:rsidRPr="00884D10">
              <w:rPr>
                <w:sz w:val="20"/>
              </w:rPr>
              <w:t>)</w:t>
            </w:r>
          </w:p>
        </w:tc>
        <w:tc>
          <w:tcPr>
            <w:tcW w:w="1331" w:type="dxa"/>
          </w:tcPr>
          <w:p w:rsidR="00F768B0" w:rsidRPr="00884D10" w:rsidRDefault="00F768B0" w:rsidP="00C83E03">
            <w:pPr>
              <w:pStyle w:val="NoSpacing"/>
              <w:rPr>
                <w:sz w:val="20"/>
              </w:rPr>
            </w:pPr>
            <w:r w:rsidRPr="00884D10">
              <w:rPr>
                <w:sz w:val="20"/>
              </w:rPr>
              <w:t>Hummock (</w:t>
            </w:r>
            <w:proofErr w:type="spellStart"/>
            <w:r w:rsidRPr="00884D10">
              <w:rPr>
                <w:i/>
                <w:sz w:val="20"/>
              </w:rPr>
              <w:t>Triodia</w:t>
            </w:r>
            <w:proofErr w:type="spellEnd"/>
            <w:r w:rsidRPr="00884D10">
              <w:rPr>
                <w:sz w:val="20"/>
              </w:rPr>
              <w:t xml:space="preserve">) grasses, with other perennial </w:t>
            </w:r>
            <w:proofErr w:type="spellStart"/>
            <w:r w:rsidRPr="00884D10">
              <w:rPr>
                <w:sz w:val="20"/>
              </w:rPr>
              <w:t>restios</w:t>
            </w:r>
            <w:proofErr w:type="spellEnd"/>
            <w:r w:rsidRPr="00884D10">
              <w:rPr>
                <w:sz w:val="20"/>
              </w:rPr>
              <w:t xml:space="preserve"> (</w:t>
            </w:r>
            <w:proofErr w:type="spellStart"/>
            <w:r w:rsidRPr="00884D10">
              <w:rPr>
                <w:i/>
                <w:sz w:val="20"/>
              </w:rPr>
              <w:t>Lepyrodia</w:t>
            </w:r>
            <w:proofErr w:type="spellEnd"/>
            <w:r w:rsidRPr="00884D10">
              <w:rPr>
                <w:i/>
                <w:sz w:val="20"/>
              </w:rPr>
              <w:t xml:space="preserve">, </w:t>
            </w:r>
            <w:proofErr w:type="spellStart"/>
            <w:r w:rsidRPr="00884D10">
              <w:rPr>
                <w:i/>
                <w:sz w:val="20"/>
              </w:rPr>
              <w:t>Dapsilanthus</w:t>
            </w:r>
            <w:proofErr w:type="spellEnd"/>
            <w:r w:rsidRPr="00884D10">
              <w:rPr>
                <w:sz w:val="20"/>
              </w:rPr>
              <w:t>) and sedges (</w:t>
            </w:r>
            <w:proofErr w:type="spellStart"/>
            <w:r w:rsidRPr="00884D10">
              <w:rPr>
                <w:i/>
                <w:sz w:val="20"/>
              </w:rPr>
              <w:t>Schoenus</w:t>
            </w:r>
            <w:proofErr w:type="spellEnd"/>
            <w:r w:rsidRPr="00884D10">
              <w:rPr>
                <w:i/>
                <w:sz w:val="20"/>
              </w:rPr>
              <w:t xml:space="preserve"> </w:t>
            </w:r>
            <w:proofErr w:type="spellStart"/>
            <w:r w:rsidRPr="00884D10">
              <w:rPr>
                <w:i/>
                <w:sz w:val="20"/>
              </w:rPr>
              <w:t>sparteus</w:t>
            </w:r>
            <w:proofErr w:type="spellEnd"/>
            <w:r w:rsidRPr="00884D10">
              <w:rPr>
                <w:sz w:val="20"/>
              </w:rPr>
              <w:t>)</w:t>
            </w:r>
          </w:p>
        </w:tc>
        <w:tc>
          <w:tcPr>
            <w:tcW w:w="1570" w:type="dxa"/>
          </w:tcPr>
          <w:p w:rsidR="00F768B0" w:rsidRPr="00884D10" w:rsidRDefault="00F768B0" w:rsidP="00C83E03">
            <w:pPr>
              <w:pStyle w:val="NoSpacing"/>
              <w:rPr>
                <w:sz w:val="20"/>
              </w:rPr>
            </w:pPr>
            <w:r w:rsidRPr="00884D10">
              <w:rPr>
                <w:sz w:val="20"/>
              </w:rPr>
              <w:t xml:space="preserve">Shallow to rocky substrates derived from sandstone; </w:t>
            </w:r>
            <w:proofErr w:type="spellStart"/>
            <w:r w:rsidRPr="00884D10">
              <w:rPr>
                <w:sz w:val="20"/>
              </w:rPr>
              <w:t>sandsheets</w:t>
            </w:r>
            <w:proofErr w:type="spellEnd"/>
          </w:p>
        </w:tc>
      </w:tr>
    </w:tbl>
    <w:p w:rsidR="00F768B0" w:rsidRPr="00884D10" w:rsidRDefault="00F768B0" w:rsidP="00F768B0">
      <w:pPr>
        <w:rPr>
          <w:iCs/>
        </w:rPr>
      </w:pPr>
    </w:p>
    <w:p w:rsidR="00F768B0" w:rsidRPr="00884D10" w:rsidRDefault="00F768B0" w:rsidP="00F768B0">
      <w:pPr>
        <w:pStyle w:val="h1ChSch"/>
        <w:spacing w:before="240"/>
      </w:pPr>
      <w:bookmarkStart w:id="87" w:name="_Toc357780213"/>
      <w:r w:rsidRPr="00884D10">
        <w:lastRenderedPageBreak/>
        <w:t>Schedule 2</w:t>
      </w:r>
      <w:r w:rsidRPr="00884D10">
        <w:tab/>
        <w:t>Forms</w:t>
      </w:r>
      <w:bookmarkEnd w:id="87"/>
    </w:p>
    <w:p w:rsidR="00F768B0" w:rsidRPr="00884D10" w:rsidRDefault="00F768B0" w:rsidP="00F768B0">
      <w:pPr>
        <w:pStyle w:val="HR"/>
        <w:rPr>
          <w:rStyle w:val="CharSectno"/>
          <w:rFonts w:ascii="Times New Roman" w:hAnsi="Times New Roman"/>
        </w:rPr>
      </w:pPr>
      <w:r w:rsidRPr="00884D10">
        <w:rPr>
          <w:rStyle w:val="CharSectno"/>
          <w:rFonts w:ascii="Times New Roman" w:hAnsi="Times New Roman"/>
        </w:rPr>
        <w:t>Form 1</w:t>
      </w:r>
      <w:r w:rsidRPr="00884D10">
        <w:rPr>
          <w:rStyle w:val="CharSectno"/>
          <w:rFonts w:ascii="Times New Roman" w:hAnsi="Times New Roman"/>
        </w:rPr>
        <w:tab/>
        <w:t>Record of Calculations</w:t>
      </w:r>
    </w:p>
    <w:p w:rsidR="00F768B0" w:rsidRPr="00884D10" w:rsidRDefault="00F768B0" w:rsidP="00F768B0">
      <w:pPr>
        <w:pStyle w:val="R2"/>
        <w:ind w:left="0" w:firstLine="0"/>
        <w:jc w:val="left"/>
        <w:rPr>
          <w:i/>
        </w:rPr>
      </w:pPr>
      <w:r w:rsidRPr="00884D10">
        <w:rPr>
          <w:i/>
        </w:rPr>
        <w:t>The results of all calculations prescribed by Part 4 must be recorded in the following tables and retained by the project proponent.</w:t>
      </w:r>
    </w:p>
    <w:p w:rsidR="00F768B0" w:rsidRPr="00884D10" w:rsidRDefault="00F768B0" w:rsidP="00F768B0">
      <w:pPr>
        <w:widowControl w:val="0"/>
        <w:ind w:right="238"/>
        <w:rPr>
          <w:iCs/>
        </w:rPr>
      </w:pPr>
    </w:p>
    <w:p w:rsidR="00F768B0" w:rsidRPr="00884D10" w:rsidRDefault="00F768B0" w:rsidP="00F768B0">
      <w:pPr>
        <w:keepNext/>
        <w:jc w:val="center"/>
        <w:rPr>
          <w:b/>
        </w:rPr>
      </w:pPr>
      <w:r w:rsidRPr="00884D10">
        <w:rPr>
          <w:b/>
        </w:rPr>
        <w:t>Table 9: Start of the LDS for project region</w:t>
      </w:r>
    </w:p>
    <w:p w:rsidR="00F768B0" w:rsidRPr="00884D10" w:rsidRDefault="00F768B0" w:rsidP="00F768B0">
      <w:pPr>
        <w:keepNext/>
        <w:jc w:val="center"/>
        <w:rPr>
          <w:b/>
        </w:rPr>
      </w:pPr>
    </w:p>
    <w:tbl>
      <w:tblPr>
        <w:tblW w:w="3089" w:type="dxa"/>
        <w:jc w:val="center"/>
        <w:tblLook w:val="04A0" w:firstRow="1" w:lastRow="0" w:firstColumn="1" w:lastColumn="0" w:noHBand="0" w:noVBand="1"/>
      </w:tblPr>
      <w:tblGrid>
        <w:gridCol w:w="1256"/>
        <w:gridCol w:w="1833"/>
      </w:tblGrid>
      <w:tr w:rsidR="00F768B0" w:rsidRPr="00884D10" w:rsidTr="00C83E03">
        <w:trPr>
          <w:trHeight w:val="600"/>
          <w:jc w:val="center"/>
        </w:trPr>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F768B0" w:rsidRPr="00884D10" w:rsidRDefault="00F768B0" w:rsidP="00C83E03">
            <w:pPr>
              <w:keepNext/>
              <w:jc w:val="center"/>
              <w:rPr>
                <w:b/>
                <w:bCs/>
                <w:color w:val="000000"/>
              </w:rPr>
            </w:pPr>
            <w:r w:rsidRPr="00884D10">
              <w:rPr>
                <w:b/>
                <w:bCs/>
                <w:color w:val="000000"/>
              </w:rPr>
              <w:t>Year</w:t>
            </w:r>
          </w:p>
        </w:tc>
        <w:tc>
          <w:tcPr>
            <w:tcW w:w="1833" w:type="dxa"/>
            <w:tcBorders>
              <w:top w:val="single" w:sz="4" w:space="0" w:color="auto"/>
              <w:left w:val="nil"/>
              <w:bottom w:val="single" w:sz="4" w:space="0" w:color="auto"/>
              <w:right w:val="single" w:sz="4" w:space="0" w:color="auto"/>
            </w:tcBorders>
            <w:shd w:val="clear" w:color="auto" w:fill="auto"/>
            <w:vAlign w:val="center"/>
          </w:tcPr>
          <w:p w:rsidR="00F768B0" w:rsidRPr="00884D10" w:rsidRDefault="00F768B0" w:rsidP="00C83E03">
            <w:pPr>
              <w:keepNext/>
              <w:jc w:val="center"/>
              <w:rPr>
                <w:b/>
                <w:bCs/>
                <w:color w:val="000000"/>
              </w:rPr>
            </w:pPr>
            <w:r w:rsidRPr="00884D10">
              <w:rPr>
                <w:b/>
                <w:bCs/>
                <w:color w:val="000000"/>
              </w:rPr>
              <w:t>Month that represents the start of the LDS</w:t>
            </w:r>
          </w:p>
        </w:tc>
      </w:tr>
      <w:tr w:rsidR="00F768B0" w:rsidRPr="00884D10" w:rsidTr="00C83E03">
        <w:trPr>
          <w:trHeight w:val="600"/>
          <w:jc w:val="center"/>
        </w:trPr>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F768B0" w:rsidRPr="00884D10" w:rsidRDefault="00F768B0" w:rsidP="00C83E03">
            <w:pPr>
              <w:keepNext/>
              <w:jc w:val="center"/>
              <w:rPr>
                <w:b/>
                <w:bCs/>
                <w:color w:val="000000"/>
              </w:rPr>
            </w:pPr>
          </w:p>
        </w:tc>
        <w:tc>
          <w:tcPr>
            <w:tcW w:w="1833" w:type="dxa"/>
            <w:tcBorders>
              <w:top w:val="single" w:sz="4" w:space="0" w:color="auto"/>
              <w:left w:val="nil"/>
              <w:bottom w:val="single" w:sz="4" w:space="0" w:color="auto"/>
              <w:right w:val="single" w:sz="4" w:space="0" w:color="auto"/>
            </w:tcBorders>
            <w:shd w:val="clear" w:color="auto" w:fill="auto"/>
            <w:vAlign w:val="center"/>
          </w:tcPr>
          <w:p w:rsidR="00F768B0" w:rsidRPr="00884D10" w:rsidRDefault="00F768B0" w:rsidP="00C83E03">
            <w:pPr>
              <w:keepNext/>
              <w:jc w:val="center"/>
              <w:rPr>
                <w:b/>
                <w:bCs/>
                <w:color w:val="000000"/>
              </w:rPr>
            </w:pPr>
          </w:p>
        </w:tc>
      </w:tr>
    </w:tbl>
    <w:p w:rsidR="00F768B0" w:rsidRPr="00884D10" w:rsidRDefault="00F768B0" w:rsidP="00F768B0">
      <w:pPr>
        <w:widowControl w:val="0"/>
        <w:ind w:right="238"/>
        <w:rPr>
          <w:iCs/>
        </w:rPr>
      </w:pPr>
    </w:p>
    <w:p w:rsidR="00F768B0" w:rsidRPr="00884D10" w:rsidRDefault="00F768B0" w:rsidP="00F768B0">
      <w:pPr>
        <w:keepNext/>
        <w:jc w:val="center"/>
        <w:rPr>
          <w:b/>
        </w:rPr>
      </w:pPr>
      <w:r w:rsidRPr="00884D10">
        <w:rPr>
          <w:b/>
        </w:rPr>
        <w:t>Table 10: Fire scar area (A) by vegetation class and fire season (ha)</w:t>
      </w:r>
    </w:p>
    <w:p w:rsidR="00F768B0" w:rsidRPr="00884D10" w:rsidRDefault="00F768B0" w:rsidP="00F768B0">
      <w:pPr>
        <w:keepNext/>
        <w:jc w:val="center"/>
        <w:rPr>
          <w:b/>
        </w:rPr>
      </w:pPr>
    </w:p>
    <w:tbl>
      <w:tblPr>
        <w:tblW w:w="3702" w:type="dxa"/>
        <w:jc w:val="center"/>
        <w:tblLook w:val="04A0" w:firstRow="1" w:lastRow="0" w:firstColumn="1" w:lastColumn="0" w:noHBand="0" w:noVBand="1"/>
      </w:tblPr>
      <w:tblGrid>
        <w:gridCol w:w="1323"/>
        <w:gridCol w:w="1220"/>
        <w:gridCol w:w="1159"/>
      </w:tblGrid>
      <w:tr w:rsidR="00F768B0" w:rsidRPr="00884D10" w:rsidTr="00C83E03">
        <w:trPr>
          <w:trHeight w:val="600"/>
          <w:jc w:val="center"/>
        </w:trPr>
        <w:tc>
          <w:tcPr>
            <w:tcW w:w="1256" w:type="dxa"/>
            <w:vMerge w:val="restart"/>
            <w:tcBorders>
              <w:top w:val="single" w:sz="4" w:space="0" w:color="auto"/>
              <w:left w:val="single" w:sz="4" w:space="0" w:color="auto"/>
              <w:right w:val="single" w:sz="4" w:space="0" w:color="auto"/>
            </w:tcBorders>
            <w:vAlign w:val="center"/>
          </w:tcPr>
          <w:p w:rsidR="00F768B0" w:rsidRPr="00884D10" w:rsidRDefault="00F768B0" w:rsidP="00C83E03">
            <w:pPr>
              <w:keepNext/>
              <w:jc w:val="center"/>
              <w:rPr>
                <w:b/>
                <w:bCs/>
                <w:color w:val="000000"/>
              </w:rPr>
            </w:pPr>
            <w:r w:rsidRPr="00884D10">
              <w:rPr>
                <w:b/>
                <w:bCs/>
                <w:color w:val="000000"/>
              </w:rPr>
              <w:t>Vegetation class</w:t>
            </w:r>
          </w:p>
        </w:tc>
        <w:tc>
          <w:tcPr>
            <w:tcW w:w="24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768B0" w:rsidRPr="00884D10" w:rsidRDefault="00F768B0" w:rsidP="00C83E03">
            <w:pPr>
              <w:keepNext/>
              <w:jc w:val="center"/>
              <w:rPr>
                <w:b/>
                <w:bCs/>
                <w:color w:val="000000"/>
              </w:rPr>
            </w:pPr>
            <w:r w:rsidRPr="00884D10">
              <w:rPr>
                <w:b/>
                <w:bCs/>
                <w:color w:val="000000"/>
              </w:rPr>
              <w:t>Fire season</w:t>
            </w:r>
          </w:p>
        </w:tc>
      </w:tr>
      <w:tr w:rsidR="00F768B0" w:rsidRPr="00884D10" w:rsidTr="00C83E03">
        <w:trPr>
          <w:trHeight w:val="300"/>
          <w:jc w:val="center"/>
        </w:trPr>
        <w:tc>
          <w:tcPr>
            <w:tcW w:w="1256" w:type="dxa"/>
            <w:vMerge/>
            <w:tcBorders>
              <w:left w:val="single" w:sz="4" w:space="0" w:color="auto"/>
              <w:bottom w:val="single" w:sz="4" w:space="0" w:color="auto"/>
              <w:right w:val="single" w:sz="4" w:space="0" w:color="auto"/>
            </w:tcBorders>
            <w:vAlign w:val="center"/>
          </w:tcPr>
          <w:p w:rsidR="00F768B0" w:rsidRPr="00884D10" w:rsidRDefault="00F768B0" w:rsidP="00C83E03">
            <w:pPr>
              <w:keepNext/>
              <w:jc w:val="center"/>
              <w:rPr>
                <w:b/>
                <w:bCs/>
                <w:color w:val="000000"/>
              </w:rPr>
            </w:pPr>
          </w:p>
        </w:tc>
        <w:tc>
          <w:tcPr>
            <w:tcW w:w="1256" w:type="dxa"/>
            <w:tcBorders>
              <w:top w:val="nil"/>
              <w:left w:val="single" w:sz="4" w:space="0" w:color="auto"/>
              <w:bottom w:val="single" w:sz="4" w:space="0" w:color="auto"/>
              <w:right w:val="single" w:sz="4" w:space="0" w:color="auto"/>
            </w:tcBorders>
            <w:shd w:val="clear" w:color="auto" w:fill="auto"/>
            <w:vAlign w:val="center"/>
            <w:hideMark/>
          </w:tcPr>
          <w:p w:rsidR="00F768B0" w:rsidRPr="00884D10" w:rsidRDefault="00F768B0" w:rsidP="00C83E03">
            <w:pPr>
              <w:keepNext/>
              <w:jc w:val="center"/>
              <w:rPr>
                <w:b/>
                <w:bCs/>
                <w:color w:val="000000"/>
              </w:rPr>
            </w:pPr>
            <w:r w:rsidRPr="00884D10">
              <w:rPr>
                <w:b/>
                <w:bCs/>
                <w:color w:val="000000"/>
              </w:rPr>
              <w:t>EDS</w:t>
            </w:r>
          </w:p>
        </w:tc>
        <w:tc>
          <w:tcPr>
            <w:tcW w:w="1190" w:type="dxa"/>
            <w:tcBorders>
              <w:top w:val="nil"/>
              <w:left w:val="nil"/>
              <w:bottom w:val="single" w:sz="4" w:space="0" w:color="auto"/>
              <w:right w:val="single" w:sz="4" w:space="0" w:color="auto"/>
            </w:tcBorders>
            <w:shd w:val="clear" w:color="auto" w:fill="auto"/>
            <w:vAlign w:val="center"/>
            <w:hideMark/>
          </w:tcPr>
          <w:p w:rsidR="00F768B0" w:rsidRPr="00884D10" w:rsidRDefault="00F768B0" w:rsidP="00C83E03">
            <w:pPr>
              <w:keepNext/>
              <w:jc w:val="center"/>
              <w:rPr>
                <w:b/>
                <w:bCs/>
                <w:color w:val="000000"/>
              </w:rPr>
            </w:pPr>
            <w:r w:rsidRPr="00884D10">
              <w:rPr>
                <w:b/>
                <w:bCs/>
                <w:color w:val="000000"/>
              </w:rPr>
              <w:t>LDS</w:t>
            </w:r>
          </w:p>
        </w:tc>
      </w:tr>
      <w:tr w:rsidR="00F768B0" w:rsidRPr="00884D10" w:rsidTr="00C83E03">
        <w:trPr>
          <w:trHeight w:val="300"/>
          <w:jc w:val="center"/>
        </w:trPr>
        <w:tc>
          <w:tcPr>
            <w:tcW w:w="1256" w:type="dxa"/>
            <w:tcBorders>
              <w:top w:val="nil"/>
              <w:left w:val="single" w:sz="4" w:space="0" w:color="auto"/>
              <w:bottom w:val="single" w:sz="4" w:space="0" w:color="auto"/>
              <w:right w:val="single" w:sz="4" w:space="0" w:color="auto"/>
            </w:tcBorders>
            <w:vAlign w:val="center"/>
          </w:tcPr>
          <w:p w:rsidR="00F768B0" w:rsidRPr="00884D10" w:rsidRDefault="00F768B0" w:rsidP="00C83E03">
            <w:pPr>
              <w:keepNext/>
              <w:jc w:val="center"/>
              <w:rPr>
                <w:b/>
                <w:bCs/>
                <w:color w:val="000000"/>
              </w:rPr>
            </w:pPr>
            <w:r w:rsidRPr="00884D10">
              <w:rPr>
                <w:b/>
                <w:bCs/>
                <w:color w:val="000000"/>
              </w:rPr>
              <w:t>EOF</w:t>
            </w:r>
          </w:p>
        </w:tc>
        <w:tc>
          <w:tcPr>
            <w:tcW w:w="1256" w:type="dxa"/>
            <w:tcBorders>
              <w:top w:val="nil"/>
              <w:left w:val="single" w:sz="4" w:space="0" w:color="auto"/>
              <w:bottom w:val="single" w:sz="4" w:space="0" w:color="auto"/>
              <w:right w:val="single" w:sz="4" w:space="0" w:color="auto"/>
            </w:tcBorders>
            <w:shd w:val="clear" w:color="auto" w:fill="auto"/>
            <w:vAlign w:val="center"/>
            <w:hideMark/>
          </w:tcPr>
          <w:p w:rsidR="00F768B0" w:rsidRPr="00884D10" w:rsidRDefault="00F768B0" w:rsidP="00C83E03">
            <w:pPr>
              <w:keepNext/>
              <w:jc w:val="center"/>
            </w:pPr>
          </w:p>
        </w:tc>
        <w:tc>
          <w:tcPr>
            <w:tcW w:w="1190" w:type="dxa"/>
            <w:tcBorders>
              <w:top w:val="nil"/>
              <w:left w:val="nil"/>
              <w:bottom w:val="single" w:sz="4" w:space="0" w:color="auto"/>
              <w:right w:val="single" w:sz="4" w:space="0" w:color="auto"/>
            </w:tcBorders>
            <w:shd w:val="clear" w:color="auto" w:fill="auto"/>
            <w:vAlign w:val="center"/>
            <w:hideMark/>
          </w:tcPr>
          <w:p w:rsidR="00F768B0" w:rsidRPr="00884D10" w:rsidRDefault="00F768B0" w:rsidP="00C83E03">
            <w:pPr>
              <w:keepNext/>
              <w:jc w:val="center"/>
            </w:pPr>
          </w:p>
        </w:tc>
      </w:tr>
      <w:tr w:rsidR="00F768B0" w:rsidRPr="00884D10" w:rsidTr="00C83E03">
        <w:trPr>
          <w:trHeight w:val="300"/>
          <w:jc w:val="center"/>
        </w:trPr>
        <w:tc>
          <w:tcPr>
            <w:tcW w:w="1256" w:type="dxa"/>
            <w:tcBorders>
              <w:top w:val="nil"/>
              <w:left w:val="single" w:sz="4" w:space="0" w:color="auto"/>
              <w:bottom w:val="single" w:sz="4" w:space="0" w:color="auto"/>
              <w:right w:val="single" w:sz="4" w:space="0" w:color="auto"/>
            </w:tcBorders>
            <w:vAlign w:val="center"/>
          </w:tcPr>
          <w:p w:rsidR="00F768B0" w:rsidRPr="00884D10" w:rsidRDefault="00F768B0" w:rsidP="00C83E03">
            <w:pPr>
              <w:keepNext/>
              <w:jc w:val="center"/>
              <w:rPr>
                <w:b/>
                <w:bCs/>
                <w:color w:val="000000"/>
              </w:rPr>
            </w:pPr>
            <w:r w:rsidRPr="00884D10">
              <w:rPr>
                <w:b/>
                <w:bCs/>
                <w:color w:val="000000"/>
              </w:rPr>
              <w:t>EW</w:t>
            </w:r>
          </w:p>
        </w:tc>
        <w:tc>
          <w:tcPr>
            <w:tcW w:w="1256" w:type="dxa"/>
            <w:tcBorders>
              <w:top w:val="nil"/>
              <w:left w:val="single" w:sz="4" w:space="0" w:color="auto"/>
              <w:bottom w:val="single" w:sz="4" w:space="0" w:color="auto"/>
              <w:right w:val="single" w:sz="4" w:space="0" w:color="auto"/>
            </w:tcBorders>
            <w:shd w:val="clear" w:color="auto" w:fill="auto"/>
            <w:vAlign w:val="center"/>
            <w:hideMark/>
          </w:tcPr>
          <w:p w:rsidR="00F768B0" w:rsidRPr="00884D10" w:rsidRDefault="00F768B0" w:rsidP="00C83E03">
            <w:pPr>
              <w:keepNext/>
              <w:jc w:val="center"/>
            </w:pPr>
          </w:p>
        </w:tc>
        <w:tc>
          <w:tcPr>
            <w:tcW w:w="1190" w:type="dxa"/>
            <w:tcBorders>
              <w:top w:val="nil"/>
              <w:left w:val="nil"/>
              <w:bottom w:val="single" w:sz="4" w:space="0" w:color="auto"/>
              <w:right w:val="single" w:sz="4" w:space="0" w:color="auto"/>
            </w:tcBorders>
            <w:shd w:val="clear" w:color="auto" w:fill="auto"/>
            <w:vAlign w:val="center"/>
            <w:hideMark/>
          </w:tcPr>
          <w:p w:rsidR="00F768B0" w:rsidRPr="00884D10" w:rsidRDefault="00F768B0" w:rsidP="00C83E03">
            <w:pPr>
              <w:keepNext/>
              <w:jc w:val="center"/>
            </w:pPr>
          </w:p>
        </w:tc>
      </w:tr>
      <w:tr w:rsidR="00F768B0" w:rsidRPr="00884D10" w:rsidTr="00C83E03">
        <w:trPr>
          <w:trHeight w:val="300"/>
          <w:jc w:val="center"/>
        </w:trPr>
        <w:tc>
          <w:tcPr>
            <w:tcW w:w="1256" w:type="dxa"/>
            <w:tcBorders>
              <w:top w:val="nil"/>
              <w:left w:val="single" w:sz="4" w:space="0" w:color="auto"/>
              <w:bottom w:val="single" w:sz="4" w:space="0" w:color="auto"/>
              <w:right w:val="single" w:sz="4" w:space="0" w:color="auto"/>
            </w:tcBorders>
            <w:vAlign w:val="center"/>
          </w:tcPr>
          <w:p w:rsidR="00F768B0" w:rsidRPr="00884D10" w:rsidRDefault="00F768B0" w:rsidP="00C83E03">
            <w:pPr>
              <w:keepNext/>
              <w:jc w:val="center"/>
              <w:rPr>
                <w:b/>
                <w:bCs/>
                <w:color w:val="000000"/>
              </w:rPr>
            </w:pPr>
            <w:r w:rsidRPr="00884D10">
              <w:rPr>
                <w:b/>
                <w:bCs/>
                <w:color w:val="000000"/>
              </w:rPr>
              <w:t>SW</w:t>
            </w:r>
          </w:p>
        </w:tc>
        <w:tc>
          <w:tcPr>
            <w:tcW w:w="1256" w:type="dxa"/>
            <w:tcBorders>
              <w:top w:val="nil"/>
              <w:left w:val="single" w:sz="4" w:space="0" w:color="auto"/>
              <w:bottom w:val="single" w:sz="4" w:space="0" w:color="auto"/>
              <w:right w:val="single" w:sz="4" w:space="0" w:color="auto"/>
            </w:tcBorders>
            <w:shd w:val="clear" w:color="auto" w:fill="auto"/>
            <w:vAlign w:val="center"/>
            <w:hideMark/>
          </w:tcPr>
          <w:p w:rsidR="00F768B0" w:rsidRPr="00884D10" w:rsidRDefault="00F768B0" w:rsidP="00C83E03">
            <w:pPr>
              <w:keepNext/>
              <w:jc w:val="center"/>
            </w:pPr>
          </w:p>
        </w:tc>
        <w:tc>
          <w:tcPr>
            <w:tcW w:w="1190" w:type="dxa"/>
            <w:tcBorders>
              <w:top w:val="nil"/>
              <w:left w:val="nil"/>
              <w:bottom w:val="single" w:sz="4" w:space="0" w:color="auto"/>
              <w:right w:val="single" w:sz="4" w:space="0" w:color="auto"/>
            </w:tcBorders>
            <w:shd w:val="clear" w:color="auto" w:fill="auto"/>
            <w:vAlign w:val="center"/>
            <w:hideMark/>
          </w:tcPr>
          <w:p w:rsidR="00F768B0" w:rsidRPr="00884D10" w:rsidRDefault="00F768B0" w:rsidP="00C83E03">
            <w:pPr>
              <w:keepNext/>
              <w:jc w:val="center"/>
            </w:pPr>
          </w:p>
        </w:tc>
      </w:tr>
      <w:tr w:rsidR="00F768B0" w:rsidRPr="00884D10" w:rsidTr="00C83E03">
        <w:trPr>
          <w:trHeight w:val="300"/>
          <w:jc w:val="center"/>
        </w:trPr>
        <w:tc>
          <w:tcPr>
            <w:tcW w:w="1256" w:type="dxa"/>
            <w:tcBorders>
              <w:top w:val="nil"/>
              <w:left w:val="single" w:sz="4" w:space="0" w:color="auto"/>
              <w:bottom w:val="single" w:sz="4" w:space="0" w:color="auto"/>
              <w:right w:val="single" w:sz="4" w:space="0" w:color="auto"/>
            </w:tcBorders>
            <w:vAlign w:val="center"/>
          </w:tcPr>
          <w:p w:rsidR="00F768B0" w:rsidRPr="00884D10" w:rsidRDefault="00F768B0" w:rsidP="00C83E03">
            <w:pPr>
              <w:keepNext/>
              <w:jc w:val="center"/>
              <w:rPr>
                <w:b/>
                <w:bCs/>
                <w:color w:val="000000"/>
              </w:rPr>
            </w:pPr>
            <w:r w:rsidRPr="00884D10">
              <w:rPr>
                <w:b/>
                <w:bCs/>
                <w:color w:val="000000"/>
              </w:rPr>
              <w:t>SH</w:t>
            </w:r>
          </w:p>
        </w:tc>
        <w:tc>
          <w:tcPr>
            <w:tcW w:w="1256" w:type="dxa"/>
            <w:tcBorders>
              <w:top w:val="nil"/>
              <w:left w:val="single" w:sz="4" w:space="0" w:color="auto"/>
              <w:bottom w:val="single" w:sz="4" w:space="0" w:color="auto"/>
              <w:right w:val="single" w:sz="4" w:space="0" w:color="auto"/>
            </w:tcBorders>
            <w:shd w:val="clear" w:color="auto" w:fill="auto"/>
            <w:vAlign w:val="center"/>
            <w:hideMark/>
          </w:tcPr>
          <w:p w:rsidR="00F768B0" w:rsidRPr="00884D10" w:rsidRDefault="00F768B0" w:rsidP="00C83E03">
            <w:pPr>
              <w:keepNext/>
              <w:jc w:val="center"/>
            </w:pPr>
          </w:p>
        </w:tc>
        <w:tc>
          <w:tcPr>
            <w:tcW w:w="1190" w:type="dxa"/>
            <w:tcBorders>
              <w:top w:val="nil"/>
              <w:left w:val="nil"/>
              <w:bottom w:val="single" w:sz="4" w:space="0" w:color="auto"/>
              <w:right w:val="single" w:sz="4" w:space="0" w:color="auto"/>
            </w:tcBorders>
            <w:shd w:val="clear" w:color="auto" w:fill="auto"/>
            <w:vAlign w:val="center"/>
            <w:hideMark/>
          </w:tcPr>
          <w:p w:rsidR="00F768B0" w:rsidRPr="00884D10" w:rsidRDefault="00F768B0" w:rsidP="00C83E03">
            <w:pPr>
              <w:keepNext/>
              <w:jc w:val="center"/>
            </w:pPr>
          </w:p>
        </w:tc>
      </w:tr>
    </w:tbl>
    <w:p w:rsidR="00F768B0" w:rsidRPr="00884D10" w:rsidRDefault="00F768B0" w:rsidP="00F768B0">
      <w:pPr>
        <w:jc w:val="center"/>
        <w:rPr>
          <w:b/>
        </w:rPr>
      </w:pPr>
    </w:p>
    <w:p w:rsidR="00F768B0" w:rsidRPr="00884D10" w:rsidRDefault="00F768B0" w:rsidP="00F768B0">
      <w:pPr>
        <w:keepNext/>
        <w:jc w:val="center"/>
        <w:rPr>
          <w:b/>
        </w:rPr>
      </w:pPr>
      <w:r w:rsidRPr="00884D10">
        <w:rPr>
          <w:b/>
        </w:rPr>
        <w:t>Table 11: Area burnt by fire season and vegetation class (ha)</w:t>
      </w:r>
    </w:p>
    <w:p w:rsidR="00F768B0" w:rsidRPr="00884D10" w:rsidRDefault="00F768B0" w:rsidP="00F768B0">
      <w:pPr>
        <w:keepNext/>
        <w:jc w:val="center"/>
        <w:rPr>
          <w:b/>
        </w:rPr>
      </w:pPr>
    </w:p>
    <w:tbl>
      <w:tblPr>
        <w:tblW w:w="3702" w:type="dxa"/>
        <w:jc w:val="center"/>
        <w:tblLook w:val="04A0" w:firstRow="1" w:lastRow="0" w:firstColumn="1" w:lastColumn="0" w:noHBand="0" w:noVBand="1"/>
      </w:tblPr>
      <w:tblGrid>
        <w:gridCol w:w="1323"/>
        <w:gridCol w:w="1220"/>
        <w:gridCol w:w="1159"/>
      </w:tblGrid>
      <w:tr w:rsidR="00F768B0" w:rsidRPr="00884D10" w:rsidTr="00C83E03">
        <w:trPr>
          <w:trHeight w:val="600"/>
          <w:jc w:val="center"/>
        </w:trPr>
        <w:tc>
          <w:tcPr>
            <w:tcW w:w="1256" w:type="dxa"/>
            <w:vMerge w:val="restart"/>
            <w:tcBorders>
              <w:top w:val="single" w:sz="4" w:space="0" w:color="auto"/>
              <w:left w:val="single" w:sz="4" w:space="0" w:color="auto"/>
              <w:right w:val="single" w:sz="4" w:space="0" w:color="auto"/>
            </w:tcBorders>
            <w:vAlign w:val="center"/>
          </w:tcPr>
          <w:p w:rsidR="00F768B0" w:rsidRPr="00884D10" w:rsidRDefault="00F768B0" w:rsidP="00C83E03">
            <w:pPr>
              <w:keepNext/>
              <w:jc w:val="center"/>
              <w:rPr>
                <w:b/>
                <w:bCs/>
                <w:color w:val="000000"/>
              </w:rPr>
            </w:pPr>
            <w:r w:rsidRPr="00884D10">
              <w:rPr>
                <w:b/>
                <w:bCs/>
                <w:color w:val="000000"/>
              </w:rPr>
              <w:t>Vegetation class</w:t>
            </w:r>
          </w:p>
        </w:tc>
        <w:tc>
          <w:tcPr>
            <w:tcW w:w="24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768B0" w:rsidRPr="00884D10" w:rsidRDefault="00F768B0" w:rsidP="00C83E03">
            <w:pPr>
              <w:keepNext/>
              <w:jc w:val="center"/>
              <w:rPr>
                <w:b/>
                <w:bCs/>
                <w:color w:val="000000"/>
              </w:rPr>
            </w:pPr>
            <w:r w:rsidRPr="00884D10">
              <w:rPr>
                <w:b/>
                <w:bCs/>
                <w:color w:val="000000"/>
              </w:rPr>
              <w:t>Fire season</w:t>
            </w:r>
          </w:p>
        </w:tc>
      </w:tr>
      <w:tr w:rsidR="00F768B0" w:rsidRPr="00884D10" w:rsidTr="00C83E03">
        <w:trPr>
          <w:trHeight w:val="300"/>
          <w:jc w:val="center"/>
        </w:trPr>
        <w:tc>
          <w:tcPr>
            <w:tcW w:w="1256" w:type="dxa"/>
            <w:vMerge/>
            <w:tcBorders>
              <w:left w:val="single" w:sz="4" w:space="0" w:color="auto"/>
              <w:bottom w:val="single" w:sz="4" w:space="0" w:color="auto"/>
              <w:right w:val="single" w:sz="4" w:space="0" w:color="auto"/>
            </w:tcBorders>
            <w:vAlign w:val="center"/>
          </w:tcPr>
          <w:p w:rsidR="00F768B0" w:rsidRPr="00884D10" w:rsidRDefault="00F768B0" w:rsidP="00C83E03">
            <w:pPr>
              <w:keepNext/>
              <w:jc w:val="center"/>
              <w:rPr>
                <w:b/>
                <w:bCs/>
                <w:color w:val="000000"/>
              </w:rPr>
            </w:pPr>
          </w:p>
        </w:tc>
        <w:tc>
          <w:tcPr>
            <w:tcW w:w="1256" w:type="dxa"/>
            <w:tcBorders>
              <w:top w:val="nil"/>
              <w:left w:val="single" w:sz="4" w:space="0" w:color="auto"/>
              <w:bottom w:val="single" w:sz="4" w:space="0" w:color="auto"/>
              <w:right w:val="single" w:sz="4" w:space="0" w:color="auto"/>
            </w:tcBorders>
            <w:shd w:val="clear" w:color="auto" w:fill="auto"/>
            <w:vAlign w:val="center"/>
          </w:tcPr>
          <w:p w:rsidR="00F768B0" w:rsidRPr="00884D10" w:rsidRDefault="00F768B0" w:rsidP="00C83E03">
            <w:pPr>
              <w:keepNext/>
              <w:jc w:val="center"/>
              <w:rPr>
                <w:b/>
                <w:bCs/>
                <w:color w:val="000000"/>
              </w:rPr>
            </w:pPr>
            <w:r w:rsidRPr="00884D10">
              <w:rPr>
                <w:b/>
                <w:bCs/>
                <w:color w:val="000000"/>
              </w:rPr>
              <w:t>EDS</w:t>
            </w:r>
          </w:p>
        </w:tc>
        <w:tc>
          <w:tcPr>
            <w:tcW w:w="1190" w:type="dxa"/>
            <w:tcBorders>
              <w:top w:val="nil"/>
              <w:left w:val="nil"/>
              <w:bottom w:val="single" w:sz="4" w:space="0" w:color="auto"/>
              <w:right w:val="single" w:sz="4" w:space="0" w:color="auto"/>
            </w:tcBorders>
            <w:shd w:val="clear" w:color="auto" w:fill="auto"/>
            <w:vAlign w:val="center"/>
          </w:tcPr>
          <w:p w:rsidR="00F768B0" w:rsidRPr="00884D10" w:rsidRDefault="00F768B0" w:rsidP="00C83E03">
            <w:pPr>
              <w:keepNext/>
              <w:jc w:val="center"/>
              <w:rPr>
                <w:b/>
                <w:bCs/>
                <w:color w:val="000000"/>
              </w:rPr>
            </w:pPr>
            <w:r w:rsidRPr="00884D10">
              <w:rPr>
                <w:b/>
                <w:bCs/>
                <w:color w:val="000000"/>
              </w:rPr>
              <w:t>LDS</w:t>
            </w:r>
          </w:p>
        </w:tc>
      </w:tr>
      <w:tr w:rsidR="00F768B0" w:rsidRPr="00884D10" w:rsidTr="00C83E03">
        <w:trPr>
          <w:trHeight w:val="300"/>
          <w:jc w:val="center"/>
        </w:trPr>
        <w:tc>
          <w:tcPr>
            <w:tcW w:w="1256" w:type="dxa"/>
            <w:tcBorders>
              <w:top w:val="nil"/>
              <w:left w:val="single" w:sz="4" w:space="0" w:color="auto"/>
              <w:bottom w:val="single" w:sz="4" w:space="0" w:color="auto"/>
              <w:right w:val="single" w:sz="4" w:space="0" w:color="auto"/>
            </w:tcBorders>
            <w:vAlign w:val="center"/>
          </w:tcPr>
          <w:p w:rsidR="00F768B0" w:rsidRPr="00884D10" w:rsidRDefault="00F768B0" w:rsidP="00C83E03">
            <w:pPr>
              <w:keepNext/>
              <w:jc w:val="center"/>
              <w:rPr>
                <w:b/>
                <w:bCs/>
                <w:color w:val="000000"/>
              </w:rPr>
            </w:pPr>
            <w:r w:rsidRPr="00884D10">
              <w:rPr>
                <w:b/>
                <w:bCs/>
                <w:color w:val="000000"/>
              </w:rPr>
              <w:t>EOF</w:t>
            </w:r>
          </w:p>
        </w:tc>
        <w:tc>
          <w:tcPr>
            <w:tcW w:w="1256" w:type="dxa"/>
            <w:tcBorders>
              <w:top w:val="nil"/>
              <w:left w:val="single" w:sz="4" w:space="0" w:color="auto"/>
              <w:bottom w:val="single" w:sz="4" w:space="0" w:color="auto"/>
              <w:right w:val="single" w:sz="4" w:space="0" w:color="auto"/>
            </w:tcBorders>
            <w:shd w:val="clear" w:color="auto" w:fill="auto"/>
            <w:vAlign w:val="center"/>
          </w:tcPr>
          <w:p w:rsidR="00F768B0" w:rsidRPr="00884D10" w:rsidRDefault="00F768B0" w:rsidP="00C83E03">
            <w:pPr>
              <w:keepNext/>
              <w:jc w:val="center"/>
            </w:pPr>
          </w:p>
        </w:tc>
        <w:tc>
          <w:tcPr>
            <w:tcW w:w="1190" w:type="dxa"/>
            <w:tcBorders>
              <w:top w:val="nil"/>
              <w:left w:val="nil"/>
              <w:bottom w:val="single" w:sz="4" w:space="0" w:color="auto"/>
              <w:right w:val="single" w:sz="4" w:space="0" w:color="auto"/>
            </w:tcBorders>
            <w:shd w:val="clear" w:color="auto" w:fill="auto"/>
            <w:vAlign w:val="center"/>
          </w:tcPr>
          <w:p w:rsidR="00F768B0" w:rsidRPr="00884D10" w:rsidRDefault="00F768B0" w:rsidP="00C83E03">
            <w:pPr>
              <w:keepNext/>
              <w:jc w:val="center"/>
            </w:pPr>
          </w:p>
        </w:tc>
      </w:tr>
      <w:tr w:rsidR="00F768B0" w:rsidRPr="00884D10" w:rsidTr="00C83E03">
        <w:trPr>
          <w:trHeight w:val="300"/>
          <w:jc w:val="center"/>
        </w:trPr>
        <w:tc>
          <w:tcPr>
            <w:tcW w:w="1256" w:type="dxa"/>
            <w:tcBorders>
              <w:top w:val="nil"/>
              <w:left w:val="single" w:sz="4" w:space="0" w:color="auto"/>
              <w:bottom w:val="single" w:sz="4" w:space="0" w:color="auto"/>
              <w:right w:val="single" w:sz="4" w:space="0" w:color="auto"/>
            </w:tcBorders>
            <w:vAlign w:val="center"/>
          </w:tcPr>
          <w:p w:rsidR="00F768B0" w:rsidRPr="00884D10" w:rsidRDefault="00F768B0" w:rsidP="00C83E03">
            <w:pPr>
              <w:keepNext/>
              <w:jc w:val="center"/>
              <w:rPr>
                <w:b/>
                <w:bCs/>
                <w:color w:val="000000"/>
              </w:rPr>
            </w:pPr>
            <w:r w:rsidRPr="00884D10">
              <w:rPr>
                <w:b/>
                <w:bCs/>
                <w:color w:val="000000"/>
              </w:rPr>
              <w:t>EW</w:t>
            </w:r>
          </w:p>
        </w:tc>
        <w:tc>
          <w:tcPr>
            <w:tcW w:w="1256" w:type="dxa"/>
            <w:tcBorders>
              <w:top w:val="nil"/>
              <w:left w:val="single" w:sz="4" w:space="0" w:color="auto"/>
              <w:bottom w:val="single" w:sz="4" w:space="0" w:color="auto"/>
              <w:right w:val="single" w:sz="4" w:space="0" w:color="auto"/>
            </w:tcBorders>
            <w:shd w:val="clear" w:color="auto" w:fill="auto"/>
            <w:vAlign w:val="center"/>
          </w:tcPr>
          <w:p w:rsidR="00F768B0" w:rsidRPr="00884D10" w:rsidRDefault="00F768B0" w:rsidP="00C83E03">
            <w:pPr>
              <w:keepNext/>
              <w:jc w:val="center"/>
            </w:pPr>
          </w:p>
        </w:tc>
        <w:tc>
          <w:tcPr>
            <w:tcW w:w="1190" w:type="dxa"/>
            <w:tcBorders>
              <w:top w:val="nil"/>
              <w:left w:val="nil"/>
              <w:bottom w:val="single" w:sz="4" w:space="0" w:color="auto"/>
              <w:right w:val="single" w:sz="4" w:space="0" w:color="auto"/>
            </w:tcBorders>
            <w:shd w:val="clear" w:color="auto" w:fill="auto"/>
            <w:vAlign w:val="center"/>
          </w:tcPr>
          <w:p w:rsidR="00F768B0" w:rsidRPr="00884D10" w:rsidRDefault="00F768B0" w:rsidP="00C83E03">
            <w:pPr>
              <w:keepNext/>
              <w:jc w:val="center"/>
            </w:pPr>
          </w:p>
        </w:tc>
      </w:tr>
      <w:tr w:rsidR="00F768B0" w:rsidRPr="00884D10" w:rsidTr="00C83E03">
        <w:trPr>
          <w:trHeight w:val="300"/>
          <w:jc w:val="center"/>
        </w:trPr>
        <w:tc>
          <w:tcPr>
            <w:tcW w:w="1256" w:type="dxa"/>
            <w:tcBorders>
              <w:top w:val="nil"/>
              <w:left w:val="single" w:sz="4" w:space="0" w:color="auto"/>
              <w:bottom w:val="single" w:sz="4" w:space="0" w:color="auto"/>
              <w:right w:val="single" w:sz="4" w:space="0" w:color="auto"/>
            </w:tcBorders>
            <w:vAlign w:val="center"/>
          </w:tcPr>
          <w:p w:rsidR="00F768B0" w:rsidRPr="00884D10" w:rsidRDefault="00F768B0" w:rsidP="00C83E03">
            <w:pPr>
              <w:keepNext/>
              <w:jc w:val="center"/>
              <w:rPr>
                <w:b/>
                <w:bCs/>
                <w:color w:val="000000"/>
              </w:rPr>
            </w:pPr>
            <w:r w:rsidRPr="00884D10">
              <w:rPr>
                <w:b/>
                <w:bCs/>
                <w:color w:val="000000"/>
              </w:rPr>
              <w:t>SW</w:t>
            </w:r>
          </w:p>
        </w:tc>
        <w:tc>
          <w:tcPr>
            <w:tcW w:w="1256" w:type="dxa"/>
            <w:tcBorders>
              <w:top w:val="nil"/>
              <w:left w:val="single" w:sz="4" w:space="0" w:color="auto"/>
              <w:bottom w:val="single" w:sz="4" w:space="0" w:color="auto"/>
              <w:right w:val="single" w:sz="4" w:space="0" w:color="auto"/>
            </w:tcBorders>
            <w:shd w:val="clear" w:color="auto" w:fill="auto"/>
            <w:vAlign w:val="center"/>
          </w:tcPr>
          <w:p w:rsidR="00F768B0" w:rsidRPr="00884D10" w:rsidRDefault="00F768B0" w:rsidP="00C83E03">
            <w:pPr>
              <w:keepNext/>
              <w:jc w:val="center"/>
            </w:pPr>
          </w:p>
        </w:tc>
        <w:tc>
          <w:tcPr>
            <w:tcW w:w="1190" w:type="dxa"/>
            <w:tcBorders>
              <w:top w:val="nil"/>
              <w:left w:val="nil"/>
              <w:bottom w:val="single" w:sz="4" w:space="0" w:color="auto"/>
              <w:right w:val="single" w:sz="4" w:space="0" w:color="auto"/>
            </w:tcBorders>
            <w:shd w:val="clear" w:color="auto" w:fill="auto"/>
            <w:vAlign w:val="center"/>
          </w:tcPr>
          <w:p w:rsidR="00F768B0" w:rsidRPr="00884D10" w:rsidRDefault="00F768B0" w:rsidP="00C83E03">
            <w:pPr>
              <w:keepNext/>
              <w:jc w:val="center"/>
            </w:pPr>
          </w:p>
        </w:tc>
      </w:tr>
      <w:tr w:rsidR="00F768B0" w:rsidRPr="00884D10" w:rsidTr="00C83E03">
        <w:trPr>
          <w:trHeight w:val="300"/>
          <w:jc w:val="center"/>
        </w:trPr>
        <w:tc>
          <w:tcPr>
            <w:tcW w:w="1256" w:type="dxa"/>
            <w:tcBorders>
              <w:top w:val="nil"/>
              <w:left w:val="single" w:sz="4" w:space="0" w:color="auto"/>
              <w:bottom w:val="single" w:sz="4" w:space="0" w:color="auto"/>
              <w:right w:val="single" w:sz="4" w:space="0" w:color="auto"/>
            </w:tcBorders>
            <w:vAlign w:val="center"/>
          </w:tcPr>
          <w:p w:rsidR="00F768B0" w:rsidRPr="00884D10" w:rsidRDefault="00F768B0" w:rsidP="00C83E03">
            <w:pPr>
              <w:keepNext/>
              <w:jc w:val="center"/>
              <w:rPr>
                <w:b/>
                <w:bCs/>
                <w:color w:val="000000"/>
              </w:rPr>
            </w:pPr>
            <w:r w:rsidRPr="00884D10">
              <w:rPr>
                <w:b/>
                <w:bCs/>
                <w:color w:val="000000"/>
              </w:rPr>
              <w:t>SH</w:t>
            </w:r>
          </w:p>
        </w:tc>
        <w:tc>
          <w:tcPr>
            <w:tcW w:w="1256" w:type="dxa"/>
            <w:tcBorders>
              <w:top w:val="nil"/>
              <w:left w:val="single" w:sz="4" w:space="0" w:color="auto"/>
              <w:bottom w:val="single" w:sz="4" w:space="0" w:color="auto"/>
              <w:right w:val="single" w:sz="4" w:space="0" w:color="auto"/>
            </w:tcBorders>
            <w:shd w:val="clear" w:color="auto" w:fill="auto"/>
            <w:vAlign w:val="center"/>
          </w:tcPr>
          <w:p w:rsidR="00F768B0" w:rsidRPr="00884D10" w:rsidRDefault="00F768B0" w:rsidP="00C83E03">
            <w:pPr>
              <w:keepNext/>
              <w:jc w:val="center"/>
            </w:pPr>
          </w:p>
        </w:tc>
        <w:tc>
          <w:tcPr>
            <w:tcW w:w="1190" w:type="dxa"/>
            <w:tcBorders>
              <w:top w:val="nil"/>
              <w:left w:val="nil"/>
              <w:bottom w:val="single" w:sz="4" w:space="0" w:color="auto"/>
              <w:right w:val="single" w:sz="4" w:space="0" w:color="auto"/>
            </w:tcBorders>
            <w:shd w:val="clear" w:color="auto" w:fill="auto"/>
            <w:vAlign w:val="center"/>
          </w:tcPr>
          <w:p w:rsidR="00F768B0" w:rsidRPr="00884D10" w:rsidRDefault="00F768B0" w:rsidP="00C83E03">
            <w:pPr>
              <w:keepNext/>
              <w:jc w:val="center"/>
            </w:pPr>
          </w:p>
        </w:tc>
      </w:tr>
    </w:tbl>
    <w:p w:rsidR="00F768B0" w:rsidRPr="00884D10" w:rsidRDefault="00F768B0" w:rsidP="00F768B0">
      <w:pPr>
        <w:widowControl w:val="0"/>
        <w:ind w:right="238"/>
        <w:rPr>
          <w:iCs/>
        </w:rPr>
      </w:pPr>
    </w:p>
    <w:p w:rsidR="00F768B0" w:rsidRPr="00884D10" w:rsidRDefault="00F768B0" w:rsidP="00F768B0">
      <w:pPr>
        <w:pStyle w:val="noteMain"/>
      </w:pPr>
      <w:r w:rsidRPr="00884D10">
        <w:tab/>
      </w:r>
      <w:r w:rsidRPr="00884D10">
        <w:rPr>
          <w:b/>
          <w:i/>
        </w:rPr>
        <w:t>Note</w:t>
      </w:r>
      <w:r w:rsidRPr="00884D10">
        <w:tab/>
        <w:t>There is no table 12.</w:t>
      </w:r>
    </w:p>
    <w:p w:rsidR="00F768B0" w:rsidRPr="00884D10" w:rsidRDefault="00F768B0" w:rsidP="00F768B0">
      <w:pPr>
        <w:keepNext/>
        <w:jc w:val="center"/>
        <w:rPr>
          <w:b/>
        </w:rPr>
      </w:pPr>
      <w:r w:rsidRPr="00884D10">
        <w:rPr>
          <w:b/>
        </w:rPr>
        <w:lastRenderedPageBreak/>
        <w:t>Table 13: Fuel loads for each vegetation class (t ha</w:t>
      </w:r>
      <w:r w:rsidRPr="00884D10">
        <w:rPr>
          <w:b/>
          <w:vertAlign w:val="superscript"/>
        </w:rPr>
        <w:t>-1</w:t>
      </w:r>
      <w:r w:rsidRPr="00884D10">
        <w:rPr>
          <w:b/>
        </w:rPr>
        <w:t>)</w:t>
      </w:r>
    </w:p>
    <w:p w:rsidR="00F768B0" w:rsidRPr="00884D10" w:rsidRDefault="00F768B0" w:rsidP="00F768B0">
      <w:pPr>
        <w:keepNext/>
        <w:jc w:val="center"/>
        <w:rPr>
          <w:b/>
        </w:rPr>
      </w:pPr>
    </w:p>
    <w:tbl>
      <w:tblPr>
        <w:tblW w:w="7832" w:type="dxa"/>
        <w:jc w:val="center"/>
        <w:tblLook w:val="0000" w:firstRow="0" w:lastRow="0" w:firstColumn="0" w:lastColumn="0" w:noHBand="0" w:noVBand="0"/>
      </w:tblPr>
      <w:tblGrid>
        <w:gridCol w:w="1700"/>
        <w:gridCol w:w="2021"/>
        <w:gridCol w:w="1276"/>
        <w:gridCol w:w="1417"/>
        <w:gridCol w:w="1418"/>
      </w:tblGrid>
      <w:tr w:rsidR="00F768B0" w:rsidRPr="00884D10" w:rsidTr="00C83E03">
        <w:trPr>
          <w:trHeight w:val="322"/>
          <w:jc w:val="center"/>
        </w:trPr>
        <w:tc>
          <w:tcPr>
            <w:tcW w:w="1700" w:type="dxa"/>
            <w:tcBorders>
              <w:top w:val="single" w:sz="4" w:space="0" w:color="auto"/>
              <w:left w:val="single" w:sz="4" w:space="0" w:color="auto"/>
              <w:right w:val="single" w:sz="4" w:space="0" w:color="auto"/>
            </w:tcBorders>
            <w:shd w:val="clear" w:color="auto" w:fill="auto"/>
            <w:noWrap/>
            <w:vAlign w:val="center"/>
          </w:tcPr>
          <w:p w:rsidR="00F768B0" w:rsidRPr="00884D10" w:rsidRDefault="00F768B0" w:rsidP="00C83E03">
            <w:pPr>
              <w:keepNext/>
              <w:jc w:val="center"/>
              <w:rPr>
                <w:b/>
                <w:sz w:val="20"/>
                <w:szCs w:val="20"/>
              </w:rPr>
            </w:pPr>
            <w:r w:rsidRPr="00884D10">
              <w:rPr>
                <w:b/>
                <w:bCs/>
                <w:color w:val="000000"/>
              </w:rPr>
              <w:t>Vegetation class</w:t>
            </w:r>
          </w:p>
        </w:tc>
        <w:tc>
          <w:tcPr>
            <w:tcW w:w="613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F768B0" w:rsidRPr="00884D10" w:rsidRDefault="00F768B0" w:rsidP="00C83E03">
            <w:pPr>
              <w:keepNext/>
              <w:jc w:val="center"/>
              <w:rPr>
                <w:b/>
                <w:sz w:val="20"/>
                <w:szCs w:val="20"/>
              </w:rPr>
            </w:pPr>
            <w:r w:rsidRPr="00884D10">
              <w:rPr>
                <w:b/>
                <w:bCs/>
                <w:color w:val="000000"/>
              </w:rPr>
              <w:t>Fuel size class</w:t>
            </w:r>
          </w:p>
        </w:tc>
      </w:tr>
      <w:tr w:rsidR="00F768B0" w:rsidRPr="00884D10" w:rsidTr="00C83E03">
        <w:trPr>
          <w:trHeight w:val="255"/>
          <w:jc w:val="center"/>
        </w:trPr>
        <w:tc>
          <w:tcPr>
            <w:tcW w:w="1700" w:type="dxa"/>
            <w:tcBorders>
              <w:left w:val="single" w:sz="4" w:space="0" w:color="auto"/>
              <w:bottom w:val="single" w:sz="4" w:space="0" w:color="auto"/>
              <w:right w:val="single" w:sz="4" w:space="0" w:color="auto"/>
            </w:tcBorders>
            <w:shd w:val="clear" w:color="auto" w:fill="auto"/>
            <w:noWrap/>
            <w:vAlign w:val="center"/>
          </w:tcPr>
          <w:p w:rsidR="00F768B0" w:rsidRPr="00884D10" w:rsidRDefault="00F768B0" w:rsidP="00C83E03">
            <w:pPr>
              <w:keepNext/>
              <w:jc w:val="center"/>
              <w:rPr>
                <w:b/>
              </w:rPr>
            </w:pPr>
          </w:p>
        </w:tc>
        <w:tc>
          <w:tcPr>
            <w:tcW w:w="2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68B0" w:rsidRPr="00884D10" w:rsidRDefault="00F768B0" w:rsidP="00C83E03">
            <w:pPr>
              <w:keepNext/>
              <w:jc w:val="center"/>
              <w:rPr>
                <w:b/>
              </w:rPr>
            </w:pPr>
            <w:r w:rsidRPr="00884D10">
              <w:rPr>
                <w:b/>
              </w:rPr>
              <w:t>Fine</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768B0" w:rsidRPr="00884D10" w:rsidRDefault="00F768B0" w:rsidP="00C83E03">
            <w:pPr>
              <w:keepNext/>
              <w:jc w:val="center"/>
              <w:rPr>
                <w:b/>
              </w:rPr>
            </w:pPr>
            <w:r w:rsidRPr="00884D10">
              <w:rPr>
                <w:b/>
              </w:rPr>
              <w:t>Coarse</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768B0" w:rsidRPr="00884D10" w:rsidRDefault="00F768B0" w:rsidP="00C83E03">
            <w:pPr>
              <w:keepNext/>
              <w:jc w:val="center"/>
              <w:rPr>
                <w:b/>
              </w:rPr>
            </w:pPr>
            <w:r w:rsidRPr="00884D10">
              <w:rPr>
                <w:b/>
              </w:rPr>
              <w:t>Heavy</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768B0" w:rsidRPr="00884D10" w:rsidRDefault="00F768B0" w:rsidP="00C83E03">
            <w:pPr>
              <w:keepNext/>
              <w:jc w:val="center"/>
              <w:rPr>
                <w:b/>
              </w:rPr>
            </w:pPr>
            <w:r w:rsidRPr="00884D10">
              <w:rPr>
                <w:b/>
              </w:rPr>
              <w:t>Shrub</w:t>
            </w:r>
          </w:p>
        </w:tc>
      </w:tr>
      <w:tr w:rsidR="00F768B0" w:rsidRPr="00884D10" w:rsidTr="00C83E03">
        <w:trPr>
          <w:trHeight w:val="315"/>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68B0" w:rsidRPr="00884D10" w:rsidRDefault="00F768B0" w:rsidP="00C83E03">
            <w:pPr>
              <w:keepNext/>
              <w:jc w:val="center"/>
              <w:rPr>
                <w:b/>
              </w:rPr>
            </w:pPr>
            <w:r w:rsidRPr="00884D10">
              <w:rPr>
                <w:b/>
              </w:rPr>
              <w:t>EOF</w:t>
            </w:r>
          </w:p>
        </w:tc>
        <w:tc>
          <w:tcPr>
            <w:tcW w:w="2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68B0" w:rsidRPr="00884D10" w:rsidRDefault="00F768B0" w:rsidP="00C83E03">
            <w:pPr>
              <w:keepNext/>
              <w:jc w:val="center"/>
              <w:rPr>
                <w:color w:val="000000"/>
              </w:rPr>
            </w:pPr>
            <w:r w:rsidRPr="00884D10">
              <w:rPr>
                <w:color w:val="000000"/>
              </w:rPr>
              <w:t>Import values from Table 16</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768B0" w:rsidRPr="00884D10" w:rsidRDefault="00F768B0" w:rsidP="00C83E03">
            <w:pPr>
              <w:keepNext/>
              <w:jc w:val="center"/>
              <w:rPr>
                <w:color w:val="000000"/>
              </w:rPr>
            </w:pPr>
            <w:r w:rsidRPr="00884D10">
              <w:rPr>
                <w:color w:val="000000"/>
              </w:rPr>
              <w:t>1.4</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768B0" w:rsidRPr="00884D10" w:rsidRDefault="00F768B0" w:rsidP="00C83E03">
            <w:pPr>
              <w:keepNext/>
              <w:jc w:val="center"/>
              <w:rPr>
                <w:color w:val="000000"/>
              </w:rPr>
            </w:pPr>
            <w:r w:rsidRPr="00884D10">
              <w:rPr>
                <w:color w:val="000000"/>
              </w:rPr>
              <w:t>4.8</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768B0" w:rsidRPr="00884D10" w:rsidRDefault="00F768B0" w:rsidP="00C83E03">
            <w:pPr>
              <w:keepNext/>
              <w:jc w:val="center"/>
              <w:rPr>
                <w:color w:val="000000"/>
              </w:rPr>
            </w:pPr>
            <w:r w:rsidRPr="00884D10">
              <w:rPr>
                <w:color w:val="000000"/>
              </w:rPr>
              <w:t>1.5</w:t>
            </w:r>
          </w:p>
        </w:tc>
      </w:tr>
      <w:tr w:rsidR="00F768B0" w:rsidRPr="00884D10" w:rsidTr="00C83E03">
        <w:trPr>
          <w:trHeight w:val="315"/>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68B0" w:rsidRPr="00884D10" w:rsidRDefault="00F768B0" w:rsidP="00C83E03">
            <w:pPr>
              <w:keepNext/>
              <w:jc w:val="center"/>
              <w:rPr>
                <w:b/>
              </w:rPr>
            </w:pPr>
            <w:r w:rsidRPr="00884D10">
              <w:rPr>
                <w:b/>
              </w:rPr>
              <w:t>EW</w:t>
            </w:r>
          </w:p>
        </w:tc>
        <w:tc>
          <w:tcPr>
            <w:tcW w:w="2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68B0" w:rsidRPr="00884D10" w:rsidRDefault="00F768B0" w:rsidP="00C83E03">
            <w:pPr>
              <w:keepNext/>
              <w:jc w:val="center"/>
            </w:pPr>
            <w:r w:rsidRPr="00884D10">
              <w:rPr>
                <w:color w:val="000000"/>
              </w:rPr>
              <w:t>Import values from Table 16</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768B0" w:rsidRPr="00884D10" w:rsidRDefault="00F768B0" w:rsidP="00C83E03">
            <w:pPr>
              <w:keepNext/>
              <w:jc w:val="center"/>
              <w:rPr>
                <w:color w:val="000000"/>
              </w:rPr>
            </w:pPr>
            <w:r w:rsidRPr="00884D10">
              <w:rPr>
                <w:color w:val="000000"/>
              </w:rPr>
              <w:t>0.9</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768B0" w:rsidRPr="00884D10" w:rsidRDefault="00F768B0" w:rsidP="00C83E03">
            <w:pPr>
              <w:keepNext/>
              <w:jc w:val="center"/>
              <w:rPr>
                <w:color w:val="000000"/>
              </w:rPr>
            </w:pPr>
            <w:r w:rsidRPr="00884D10">
              <w:rPr>
                <w:color w:val="000000"/>
              </w:rPr>
              <w:t>2.2</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768B0" w:rsidRPr="00884D10" w:rsidRDefault="00F768B0" w:rsidP="00C83E03">
            <w:pPr>
              <w:keepNext/>
              <w:jc w:val="center"/>
              <w:rPr>
                <w:color w:val="000000"/>
              </w:rPr>
            </w:pPr>
            <w:r w:rsidRPr="00884D10">
              <w:rPr>
                <w:color w:val="000000"/>
              </w:rPr>
              <w:t>0.5</w:t>
            </w:r>
          </w:p>
        </w:tc>
      </w:tr>
      <w:tr w:rsidR="00F768B0" w:rsidRPr="00884D10" w:rsidTr="00C83E03">
        <w:trPr>
          <w:trHeight w:val="315"/>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68B0" w:rsidRPr="00884D10" w:rsidRDefault="00F768B0" w:rsidP="00C83E03">
            <w:pPr>
              <w:keepNext/>
              <w:jc w:val="center"/>
              <w:rPr>
                <w:b/>
              </w:rPr>
            </w:pPr>
            <w:r w:rsidRPr="00884D10">
              <w:rPr>
                <w:b/>
              </w:rPr>
              <w:t>SW</w:t>
            </w:r>
          </w:p>
        </w:tc>
        <w:tc>
          <w:tcPr>
            <w:tcW w:w="2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68B0" w:rsidRPr="00884D10" w:rsidRDefault="00F768B0" w:rsidP="00C83E03">
            <w:pPr>
              <w:keepNext/>
              <w:jc w:val="center"/>
            </w:pPr>
            <w:r w:rsidRPr="00884D10">
              <w:rPr>
                <w:color w:val="000000"/>
              </w:rPr>
              <w:t>Import values from Table 16</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768B0" w:rsidRPr="00884D10" w:rsidRDefault="00F768B0" w:rsidP="00C83E03">
            <w:pPr>
              <w:keepNext/>
              <w:jc w:val="center"/>
              <w:rPr>
                <w:color w:val="000000"/>
              </w:rPr>
            </w:pPr>
            <w:r w:rsidRPr="00884D10">
              <w:rPr>
                <w:color w:val="000000"/>
              </w:rPr>
              <w:t>1.2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768B0" w:rsidRPr="00884D10" w:rsidRDefault="00F768B0" w:rsidP="00C83E03">
            <w:pPr>
              <w:keepNext/>
              <w:jc w:val="center"/>
              <w:rPr>
                <w:color w:val="000000"/>
              </w:rPr>
            </w:pPr>
            <w:r w:rsidRPr="00884D10">
              <w:rPr>
                <w:color w:val="000000"/>
              </w:rPr>
              <w:t>3.4</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768B0" w:rsidRPr="00884D10" w:rsidRDefault="00F768B0" w:rsidP="00C83E03">
            <w:pPr>
              <w:keepNext/>
              <w:jc w:val="center"/>
              <w:rPr>
                <w:color w:val="000000"/>
              </w:rPr>
            </w:pPr>
            <w:r w:rsidRPr="00884D10">
              <w:rPr>
                <w:color w:val="000000"/>
              </w:rPr>
              <w:t>1.7</w:t>
            </w:r>
          </w:p>
        </w:tc>
      </w:tr>
      <w:tr w:rsidR="00F768B0" w:rsidRPr="00884D10" w:rsidTr="00C83E03">
        <w:trPr>
          <w:trHeight w:val="315"/>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68B0" w:rsidRPr="00884D10" w:rsidRDefault="00F768B0" w:rsidP="00C83E03">
            <w:pPr>
              <w:keepNext/>
              <w:jc w:val="center"/>
              <w:rPr>
                <w:b/>
              </w:rPr>
            </w:pPr>
            <w:r w:rsidRPr="00884D10">
              <w:rPr>
                <w:b/>
              </w:rPr>
              <w:t>SH</w:t>
            </w:r>
          </w:p>
        </w:tc>
        <w:tc>
          <w:tcPr>
            <w:tcW w:w="2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68B0" w:rsidRPr="00884D10" w:rsidRDefault="00F768B0" w:rsidP="00C83E03">
            <w:pPr>
              <w:keepNext/>
              <w:jc w:val="center"/>
            </w:pPr>
            <w:r w:rsidRPr="00884D10">
              <w:rPr>
                <w:color w:val="000000"/>
              </w:rPr>
              <w:t>Import values from Table 16</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768B0" w:rsidRPr="00884D10" w:rsidRDefault="00F768B0" w:rsidP="00C83E03">
            <w:pPr>
              <w:keepNext/>
              <w:jc w:val="center"/>
              <w:rPr>
                <w:color w:val="000000"/>
              </w:rPr>
            </w:pPr>
            <w:r w:rsidRPr="00884D10">
              <w:rPr>
                <w:color w:val="000000"/>
              </w:rPr>
              <w:t>0.6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768B0" w:rsidRPr="00884D10" w:rsidRDefault="00F768B0" w:rsidP="00C83E03">
            <w:pPr>
              <w:keepNext/>
              <w:jc w:val="center"/>
              <w:rPr>
                <w:color w:val="000000"/>
              </w:rPr>
            </w:pPr>
            <w:r w:rsidRPr="00884D10">
              <w:rPr>
                <w:color w:val="000000"/>
              </w:rPr>
              <w:t>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768B0" w:rsidRPr="00884D10" w:rsidRDefault="00F768B0" w:rsidP="00C83E03">
            <w:pPr>
              <w:keepNext/>
              <w:jc w:val="center"/>
              <w:rPr>
                <w:color w:val="000000"/>
              </w:rPr>
            </w:pPr>
            <w:r w:rsidRPr="00884D10">
              <w:rPr>
                <w:color w:val="000000"/>
              </w:rPr>
              <w:t>1.8</w:t>
            </w:r>
          </w:p>
        </w:tc>
      </w:tr>
    </w:tbl>
    <w:p w:rsidR="00F768B0" w:rsidRPr="00884D10" w:rsidRDefault="00F768B0" w:rsidP="00F768B0">
      <w:pPr>
        <w:jc w:val="center"/>
        <w:rPr>
          <w:iCs/>
        </w:rPr>
      </w:pPr>
    </w:p>
    <w:p w:rsidR="00F768B0" w:rsidRPr="00884D10" w:rsidRDefault="00F768B0" w:rsidP="00F768B0">
      <w:pPr>
        <w:pStyle w:val="BodyTextIndent"/>
        <w:spacing w:after="0"/>
        <w:ind w:left="0"/>
        <w:jc w:val="center"/>
        <w:rPr>
          <w:rFonts w:eastAsia="Calibri"/>
          <w:b/>
          <w:szCs w:val="22"/>
        </w:rPr>
      </w:pPr>
    </w:p>
    <w:p w:rsidR="00F768B0" w:rsidRPr="00884D10" w:rsidRDefault="00F768B0" w:rsidP="00F768B0">
      <w:pPr>
        <w:pStyle w:val="BodyTextIndent"/>
        <w:keepNext/>
        <w:spacing w:after="0"/>
        <w:ind w:left="0"/>
        <w:jc w:val="center"/>
        <w:rPr>
          <w:rFonts w:eastAsia="Calibri"/>
          <w:b/>
          <w:szCs w:val="22"/>
        </w:rPr>
      </w:pPr>
      <w:r w:rsidRPr="00884D10">
        <w:rPr>
          <w:rFonts w:eastAsia="Calibri"/>
          <w:b/>
          <w:szCs w:val="22"/>
        </w:rPr>
        <w:t>Table 14: Number of burnt pixels by YSLB</w:t>
      </w:r>
    </w:p>
    <w:p w:rsidR="00F768B0" w:rsidRPr="00884D10" w:rsidRDefault="00F768B0" w:rsidP="00F768B0">
      <w:pPr>
        <w:pStyle w:val="BodyTextIndent"/>
        <w:keepNext/>
        <w:spacing w:after="0"/>
        <w:ind w:left="0"/>
        <w:jc w:val="center"/>
        <w:rPr>
          <w:rFonts w:eastAsia="Calibri"/>
          <w:b/>
          <w:szCs w:val="22"/>
        </w:rPr>
      </w:pPr>
      <w:r w:rsidRPr="00884D10">
        <w:rPr>
          <w:rFonts w:eastAsia="Calibri"/>
          <w:b/>
          <w:szCs w:val="22"/>
        </w:rPr>
        <w:t xml:space="preserve"> </w:t>
      </w:r>
    </w:p>
    <w:tbl>
      <w:tblPr>
        <w:tblW w:w="6376" w:type="dxa"/>
        <w:jc w:val="center"/>
        <w:tblLook w:val="04A0" w:firstRow="1" w:lastRow="0" w:firstColumn="1" w:lastColumn="0" w:noHBand="0" w:noVBand="1"/>
      </w:tblPr>
      <w:tblGrid>
        <w:gridCol w:w="1324"/>
        <w:gridCol w:w="739"/>
        <w:gridCol w:w="726"/>
        <w:gridCol w:w="706"/>
        <w:gridCol w:w="706"/>
        <w:gridCol w:w="706"/>
        <w:gridCol w:w="706"/>
        <w:gridCol w:w="763"/>
      </w:tblGrid>
      <w:tr w:rsidR="00F768B0" w:rsidRPr="00884D10" w:rsidTr="00C83E03">
        <w:trPr>
          <w:trHeight w:val="293"/>
          <w:jc w:val="center"/>
        </w:trPr>
        <w:tc>
          <w:tcPr>
            <w:tcW w:w="1230" w:type="dxa"/>
            <w:vMerge w:val="restart"/>
            <w:tcBorders>
              <w:top w:val="single" w:sz="4" w:space="0" w:color="auto"/>
              <w:left w:val="single" w:sz="4" w:space="0" w:color="auto"/>
              <w:right w:val="single" w:sz="4" w:space="0" w:color="auto"/>
            </w:tcBorders>
            <w:vAlign w:val="center"/>
          </w:tcPr>
          <w:p w:rsidR="00F768B0" w:rsidRPr="00884D10" w:rsidRDefault="00F768B0" w:rsidP="00C83E03">
            <w:pPr>
              <w:keepNext/>
              <w:jc w:val="center"/>
              <w:rPr>
                <w:b/>
                <w:bCs/>
                <w:color w:val="000000"/>
              </w:rPr>
            </w:pPr>
            <w:r w:rsidRPr="00884D10">
              <w:rPr>
                <w:b/>
                <w:bCs/>
                <w:color w:val="000000"/>
              </w:rPr>
              <w:t>Vegetation class</w:t>
            </w:r>
          </w:p>
        </w:tc>
        <w:tc>
          <w:tcPr>
            <w:tcW w:w="438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F768B0" w:rsidRPr="00884D10" w:rsidRDefault="00F768B0" w:rsidP="00C83E03">
            <w:pPr>
              <w:keepNext/>
              <w:jc w:val="center"/>
              <w:rPr>
                <w:b/>
                <w:bCs/>
                <w:color w:val="000000"/>
              </w:rPr>
            </w:pPr>
            <w:r w:rsidRPr="00884D10">
              <w:rPr>
                <w:b/>
                <w:bCs/>
                <w:color w:val="000000"/>
              </w:rPr>
              <w:t>YSLB</w:t>
            </w:r>
          </w:p>
        </w:tc>
        <w:tc>
          <w:tcPr>
            <w:tcW w:w="758" w:type="dxa"/>
            <w:vMerge w:val="restart"/>
            <w:tcBorders>
              <w:top w:val="single" w:sz="4" w:space="0" w:color="auto"/>
              <w:left w:val="single" w:sz="4" w:space="0" w:color="auto"/>
              <w:right w:val="single" w:sz="4" w:space="0" w:color="auto"/>
            </w:tcBorders>
            <w:vAlign w:val="center"/>
          </w:tcPr>
          <w:p w:rsidR="00F768B0" w:rsidRPr="00884D10" w:rsidRDefault="00F768B0" w:rsidP="00C83E03">
            <w:pPr>
              <w:keepNext/>
              <w:jc w:val="center"/>
              <w:rPr>
                <w:b/>
                <w:bCs/>
                <w:color w:val="000000"/>
              </w:rPr>
            </w:pPr>
            <w:r w:rsidRPr="00884D10">
              <w:rPr>
                <w:b/>
                <w:bCs/>
                <w:color w:val="000000"/>
              </w:rPr>
              <w:t>Total</w:t>
            </w:r>
          </w:p>
        </w:tc>
      </w:tr>
      <w:tr w:rsidR="00F768B0" w:rsidRPr="00884D10" w:rsidTr="00C83E03">
        <w:trPr>
          <w:trHeight w:val="300"/>
          <w:jc w:val="center"/>
        </w:trPr>
        <w:tc>
          <w:tcPr>
            <w:tcW w:w="1230" w:type="dxa"/>
            <w:vMerge/>
            <w:tcBorders>
              <w:left w:val="single" w:sz="4" w:space="0" w:color="auto"/>
              <w:bottom w:val="single" w:sz="4" w:space="0" w:color="auto"/>
              <w:right w:val="single" w:sz="4" w:space="0" w:color="auto"/>
            </w:tcBorders>
            <w:vAlign w:val="center"/>
          </w:tcPr>
          <w:p w:rsidR="00F768B0" w:rsidRPr="00884D10" w:rsidRDefault="00F768B0" w:rsidP="00C83E03">
            <w:pPr>
              <w:keepNext/>
              <w:jc w:val="center"/>
              <w:rPr>
                <w:b/>
                <w:bCs/>
                <w:color w:val="000000"/>
              </w:rPr>
            </w:pPr>
          </w:p>
        </w:tc>
        <w:tc>
          <w:tcPr>
            <w:tcW w:w="757" w:type="dxa"/>
            <w:tcBorders>
              <w:top w:val="nil"/>
              <w:left w:val="single" w:sz="4" w:space="0" w:color="auto"/>
              <w:bottom w:val="single" w:sz="4" w:space="0" w:color="auto"/>
              <w:right w:val="single" w:sz="4" w:space="0" w:color="auto"/>
            </w:tcBorders>
            <w:shd w:val="clear" w:color="auto" w:fill="auto"/>
            <w:vAlign w:val="center"/>
            <w:hideMark/>
          </w:tcPr>
          <w:p w:rsidR="00F768B0" w:rsidRPr="00884D10" w:rsidRDefault="00F768B0" w:rsidP="00C83E03">
            <w:pPr>
              <w:keepNext/>
              <w:jc w:val="center"/>
              <w:rPr>
                <w:b/>
                <w:bCs/>
                <w:color w:val="000000"/>
              </w:rPr>
            </w:pPr>
            <w:r w:rsidRPr="00884D10">
              <w:rPr>
                <w:b/>
                <w:bCs/>
                <w:color w:val="000000"/>
              </w:rPr>
              <w:t>1</w:t>
            </w:r>
          </w:p>
        </w:tc>
        <w:tc>
          <w:tcPr>
            <w:tcW w:w="743" w:type="dxa"/>
            <w:tcBorders>
              <w:top w:val="nil"/>
              <w:left w:val="nil"/>
              <w:bottom w:val="single" w:sz="4" w:space="0" w:color="auto"/>
              <w:right w:val="single" w:sz="4" w:space="0" w:color="auto"/>
            </w:tcBorders>
            <w:shd w:val="clear" w:color="auto" w:fill="auto"/>
            <w:vAlign w:val="center"/>
            <w:hideMark/>
          </w:tcPr>
          <w:p w:rsidR="00F768B0" w:rsidRPr="00884D10" w:rsidRDefault="00F768B0" w:rsidP="00C83E03">
            <w:pPr>
              <w:keepNext/>
              <w:jc w:val="center"/>
              <w:rPr>
                <w:b/>
                <w:bCs/>
                <w:color w:val="000000"/>
              </w:rPr>
            </w:pPr>
            <w:r w:rsidRPr="00884D10">
              <w:rPr>
                <w:b/>
                <w:bCs/>
                <w:color w:val="000000"/>
              </w:rPr>
              <w:t>2</w:t>
            </w:r>
          </w:p>
        </w:tc>
        <w:tc>
          <w:tcPr>
            <w:tcW w:w="722" w:type="dxa"/>
            <w:tcBorders>
              <w:top w:val="nil"/>
              <w:left w:val="nil"/>
              <w:bottom w:val="single" w:sz="4" w:space="0" w:color="auto"/>
              <w:right w:val="single" w:sz="4" w:space="0" w:color="auto"/>
            </w:tcBorders>
            <w:vAlign w:val="center"/>
          </w:tcPr>
          <w:p w:rsidR="00F768B0" w:rsidRPr="00884D10" w:rsidRDefault="00F768B0" w:rsidP="00C83E03">
            <w:pPr>
              <w:keepNext/>
              <w:jc w:val="center"/>
              <w:rPr>
                <w:b/>
                <w:bCs/>
                <w:color w:val="000000"/>
              </w:rPr>
            </w:pPr>
            <w:r w:rsidRPr="00884D10">
              <w:rPr>
                <w:b/>
                <w:bCs/>
                <w:color w:val="000000"/>
              </w:rPr>
              <w:t>3</w:t>
            </w:r>
          </w:p>
        </w:tc>
        <w:tc>
          <w:tcPr>
            <w:tcW w:w="722" w:type="dxa"/>
            <w:tcBorders>
              <w:top w:val="nil"/>
              <w:left w:val="nil"/>
              <w:bottom w:val="single" w:sz="4" w:space="0" w:color="auto"/>
              <w:right w:val="single" w:sz="4" w:space="0" w:color="auto"/>
            </w:tcBorders>
            <w:vAlign w:val="center"/>
          </w:tcPr>
          <w:p w:rsidR="00F768B0" w:rsidRPr="00884D10" w:rsidRDefault="00F768B0" w:rsidP="00C83E03">
            <w:pPr>
              <w:keepNext/>
              <w:jc w:val="center"/>
              <w:rPr>
                <w:b/>
                <w:bCs/>
                <w:color w:val="000000"/>
              </w:rPr>
            </w:pPr>
            <w:r w:rsidRPr="00884D10">
              <w:rPr>
                <w:b/>
                <w:bCs/>
                <w:color w:val="000000"/>
              </w:rPr>
              <w:t>4</w:t>
            </w:r>
          </w:p>
        </w:tc>
        <w:tc>
          <w:tcPr>
            <w:tcW w:w="722" w:type="dxa"/>
            <w:tcBorders>
              <w:top w:val="nil"/>
              <w:left w:val="nil"/>
              <w:bottom w:val="single" w:sz="4" w:space="0" w:color="auto"/>
              <w:right w:val="single" w:sz="4" w:space="0" w:color="auto"/>
            </w:tcBorders>
            <w:vAlign w:val="center"/>
          </w:tcPr>
          <w:p w:rsidR="00F768B0" w:rsidRPr="00884D10" w:rsidRDefault="00F768B0" w:rsidP="00C83E03">
            <w:pPr>
              <w:keepNext/>
              <w:jc w:val="center"/>
              <w:rPr>
                <w:b/>
                <w:bCs/>
                <w:color w:val="000000"/>
              </w:rPr>
            </w:pPr>
            <w:r w:rsidRPr="00884D10">
              <w:rPr>
                <w:b/>
                <w:bCs/>
                <w:color w:val="000000"/>
              </w:rPr>
              <w:t>5</w:t>
            </w:r>
          </w:p>
        </w:tc>
        <w:tc>
          <w:tcPr>
            <w:tcW w:w="722" w:type="dxa"/>
            <w:tcBorders>
              <w:top w:val="nil"/>
              <w:left w:val="nil"/>
              <w:bottom w:val="single" w:sz="4" w:space="0" w:color="auto"/>
              <w:right w:val="single" w:sz="4" w:space="0" w:color="auto"/>
            </w:tcBorders>
            <w:vAlign w:val="center"/>
          </w:tcPr>
          <w:p w:rsidR="00F768B0" w:rsidRPr="00884D10" w:rsidRDefault="00F768B0" w:rsidP="00C83E03">
            <w:pPr>
              <w:keepNext/>
              <w:jc w:val="center"/>
              <w:rPr>
                <w:b/>
                <w:bCs/>
                <w:color w:val="000000"/>
              </w:rPr>
            </w:pPr>
            <w:r w:rsidRPr="00884D10">
              <w:rPr>
                <w:b/>
                <w:bCs/>
                <w:color w:val="000000"/>
              </w:rPr>
              <w:t>&gt;5</w:t>
            </w:r>
          </w:p>
        </w:tc>
        <w:tc>
          <w:tcPr>
            <w:tcW w:w="758" w:type="dxa"/>
            <w:vMerge/>
            <w:tcBorders>
              <w:left w:val="single" w:sz="4" w:space="0" w:color="auto"/>
              <w:bottom w:val="single" w:sz="4" w:space="0" w:color="auto"/>
              <w:right w:val="single" w:sz="4" w:space="0" w:color="auto"/>
            </w:tcBorders>
            <w:vAlign w:val="center"/>
          </w:tcPr>
          <w:p w:rsidR="00F768B0" w:rsidRPr="00884D10" w:rsidRDefault="00F768B0" w:rsidP="00C83E03">
            <w:pPr>
              <w:keepNext/>
              <w:jc w:val="center"/>
              <w:rPr>
                <w:b/>
                <w:bCs/>
                <w:color w:val="000000"/>
              </w:rPr>
            </w:pPr>
          </w:p>
        </w:tc>
      </w:tr>
      <w:tr w:rsidR="00F768B0" w:rsidRPr="00884D10" w:rsidTr="00C83E03">
        <w:trPr>
          <w:trHeight w:val="300"/>
          <w:jc w:val="center"/>
        </w:trPr>
        <w:tc>
          <w:tcPr>
            <w:tcW w:w="1230" w:type="dxa"/>
            <w:tcBorders>
              <w:top w:val="nil"/>
              <w:left w:val="single" w:sz="4" w:space="0" w:color="auto"/>
              <w:bottom w:val="single" w:sz="4" w:space="0" w:color="auto"/>
              <w:right w:val="single" w:sz="4" w:space="0" w:color="auto"/>
            </w:tcBorders>
            <w:vAlign w:val="center"/>
          </w:tcPr>
          <w:p w:rsidR="00F768B0" w:rsidRPr="00884D10" w:rsidRDefault="00F768B0" w:rsidP="00C83E03">
            <w:pPr>
              <w:keepNext/>
              <w:jc w:val="center"/>
              <w:rPr>
                <w:b/>
                <w:bCs/>
                <w:color w:val="000000"/>
              </w:rPr>
            </w:pPr>
            <w:r w:rsidRPr="00884D10">
              <w:rPr>
                <w:b/>
                <w:bCs/>
                <w:color w:val="000000"/>
              </w:rPr>
              <w:t>EOF</w:t>
            </w:r>
          </w:p>
        </w:tc>
        <w:tc>
          <w:tcPr>
            <w:tcW w:w="757" w:type="dxa"/>
            <w:tcBorders>
              <w:top w:val="nil"/>
              <w:left w:val="single" w:sz="4" w:space="0" w:color="auto"/>
              <w:bottom w:val="single" w:sz="4" w:space="0" w:color="auto"/>
              <w:right w:val="single" w:sz="4" w:space="0" w:color="auto"/>
            </w:tcBorders>
            <w:shd w:val="clear" w:color="auto" w:fill="auto"/>
            <w:vAlign w:val="center"/>
            <w:hideMark/>
          </w:tcPr>
          <w:p w:rsidR="00F768B0" w:rsidRPr="00884D10" w:rsidRDefault="00F768B0" w:rsidP="00C83E03">
            <w:pPr>
              <w:keepNext/>
              <w:jc w:val="center"/>
            </w:pPr>
            <w:proofErr w:type="spellStart"/>
            <w:r w:rsidRPr="00884D10">
              <w:t>N</w:t>
            </w:r>
            <w:r w:rsidRPr="00884D10">
              <w:rPr>
                <w:vertAlign w:val="subscript"/>
              </w:rPr>
              <w:t>b</w:t>
            </w:r>
            <w:proofErr w:type="spellEnd"/>
          </w:p>
        </w:tc>
        <w:tc>
          <w:tcPr>
            <w:tcW w:w="743" w:type="dxa"/>
            <w:tcBorders>
              <w:top w:val="nil"/>
              <w:left w:val="nil"/>
              <w:bottom w:val="single" w:sz="4" w:space="0" w:color="auto"/>
              <w:right w:val="single" w:sz="4" w:space="0" w:color="auto"/>
            </w:tcBorders>
            <w:shd w:val="clear" w:color="auto" w:fill="auto"/>
            <w:vAlign w:val="center"/>
            <w:hideMark/>
          </w:tcPr>
          <w:p w:rsidR="00F768B0" w:rsidRPr="00884D10" w:rsidRDefault="00F768B0" w:rsidP="00C83E03">
            <w:pPr>
              <w:keepNext/>
              <w:jc w:val="center"/>
            </w:pPr>
            <w:proofErr w:type="spellStart"/>
            <w:r w:rsidRPr="00884D10">
              <w:t>N</w:t>
            </w:r>
            <w:r w:rsidRPr="00884D10">
              <w:rPr>
                <w:vertAlign w:val="subscript"/>
              </w:rPr>
              <w:t>b</w:t>
            </w:r>
            <w:proofErr w:type="spellEnd"/>
          </w:p>
        </w:tc>
        <w:tc>
          <w:tcPr>
            <w:tcW w:w="722" w:type="dxa"/>
            <w:tcBorders>
              <w:top w:val="nil"/>
              <w:left w:val="nil"/>
              <w:bottom w:val="single" w:sz="4" w:space="0" w:color="auto"/>
              <w:right w:val="single" w:sz="4" w:space="0" w:color="auto"/>
            </w:tcBorders>
            <w:vAlign w:val="center"/>
          </w:tcPr>
          <w:p w:rsidR="00F768B0" w:rsidRPr="00884D10" w:rsidRDefault="00F768B0" w:rsidP="00C83E03">
            <w:pPr>
              <w:keepNext/>
              <w:jc w:val="center"/>
            </w:pPr>
            <w:proofErr w:type="spellStart"/>
            <w:r w:rsidRPr="00884D10">
              <w:t>N</w:t>
            </w:r>
            <w:r w:rsidRPr="00884D10">
              <w:rPr>
                <w:vertAlign w:val="subscript"/>
              </w:rPr>
              <w:t>b</w:t>
            </w:r>
            <w:proofErr w:type="spellEnd"/>
          </w:p>
        </w:tc>
        <w:tc>
          <w:tcPr>
            <w:tcW w:w="722" w:type="dxa"/>
            <w:tcBorders>
              <w:top w:val="nil"/>
              <w:left w:val="nil"/>
              <w:bottom w:val="single" w:sz="4" w:space="0" w:color="auto"/>
              <w:right w:val="single" w:sz="4" w:space="0" w:color="auto"/>
            </w:tcBorders>
            <w:vAlign w:val="center"/>
          </w:tcPr>
          <w:p w:rsidR="00F768B0" w:rsidRPr="00884D10" w:rsidRDefault="00F768B0" w:rsidP="00C83E03">
            <w:pPr>
              <w:keepNext/>
              <w:jc w:val="center"/>
            </w:pPr>
            <w:proofErr w:type="spellStart"/>
            <w:r w:rsidRPr="00884D10">
              <w:t>N</w:t>
            </w:r>
            <w:r w:rsidRPr="00884D10">
              <w:rPr>
                <w:vertAlign w:val="subscript"/>
              </w:rPr>
              <w:t>b</w:t>
            </w:r>
            <w:proofErr w:type="spellEnd"/>
          </w:p>
        </w:tc>
        <w:tc>
          <w:tcPr>
            <w:tcW w:w="722" w:type="dxa"/>
            <w:tcBorders>
              <w:top w:val="nil"/>
              <w:left w:val="nil"/>
              <w:bottom w:val="single" w:sz="4" w:space="0" w:color="auto"/>
              <w:right w:val="single" w:sz="4" w:space="0" w:color="auto"/>
            </w:tcBorders>
            <w:vAlign w:val="center"/>
          </w:tcPr>
          <w:p w:rsidR="00F768B0" w:rsidRPr="00884D10" w:rsidRDefault="00F768B0" w:rsidP="00C83E03">
            <w:pPr>
              <w:keepNext/>
              <w:jc w:val="center"/>
            </w:pPr>
            <w:proofErr w:type="spellStart"/>
            <w:r w:rsidRPr="00884D10">
              <w:t>N</w:t>
            </w:r>
            <w:r w:rsidRPr="00884D10">
              <w:rPr>
                <w:vertAlign w:val="subscript"/>
              </w:rPr>
              <w:t>b</w:t>
            </w:r>
            <w:proofErr w:type="spellEnd"/>
          </w:p>
        </w:tc>
        <w:tc>
          <w:tcPr>
            <w:tcW w:w="722" w:type="dxa"/>
            <w:tcBorders>
              <w:top w:val="nil"/>
              <w:left w:val="nil"/>
              <w:bottom w:val="single" w:sz="4" w:space="0" w:color="auto"/>
              <w:right w:val="single" w:sz="4" w:space="0" w:color="auto"/>
            </w:tcBorders>
            <w:vAlign w:val="center"/>
          </w:tcPr>
          <w:p w:rsidR="00F768B0" w:rsidRPr="00884D10" w:rsidRDefault="00F768B0" w:rsidP="00C83E03">
            <w:pPr>
              <w:keepNext/>
              <w:jc w:val="center"/>
            </w:pPr>
            <w:proofErr w:type="spellStart"/>
            <w:r w:rsidRPr="00884D10">
              <w:t>N</w:t>
            </w:r>
            <w:r w:rsidRPr="00884D10">
              <w:rPr>
                <w:vertAlign w:val="subscript"/>
              </w:rPr>
              <w:t>b</w:t>
            </w:r>
            <w:proofErr w:type="spellEnd"/>
          </w:p>
        </w:tc>
        <w:tc>
          <w:tcPr>
            <w:tcW w:w="758" w:type="dxa"/>
            <w:tcBorders>
              <w:top w:val="nil"/>
              <w:left w:val="nil"/>
              <w:bottom w:val="single" w:sz="4" w:space="0" w:color="auto"/>
              <w:right w:val="single" w:sz="4" w:space="0" w:color="auto"/>
            </w:tcBorders>
            <w:vAlign w:val="center"/>
          </w:tcPr>
          <w:p w:rsidR="00F768B0" w:rsidRPr="00884D10" w:rsidRDefault="00F768B0" w:rsidP="00C83E03">
            <w:pPr>
              <w:keepNext/>
              <w:jc w:val="center"/>
            </w:pPr>
            <w:proofErr w:type="spellStart"/>
            <w:r w:rsidRPr="00884D10">
              <w:t>N</w:t>
            </w:r>
            <w:r w:rsidRPr="00884D10">
              <w:rPr>
                <w:vertAlign w:val="subscript"/>
              </w:rPr>
              <w:t>total</w:t>
            </w:r>
            <w:proofErr w:type="spellEnd"/>
          </w:p>
        </w:tc>
      </w:tr>
      <w:tr w:rsidR="00F768B0" w:rsidRPr="00884D10" w:rsidTr="00C83E03">
        <w:trPr>
          <w:trHeight w:val="300"/>
          <w:jc w:val="center"/>
        </w:trPr>
        <w:tc>
          <w:tcPr>
            <w:tcW w:w="1230" w:type="dxa"/>
            <w:tcBorders>
              <w:top w:val="nil"/>
              <w:left w:val="single" w:sz="4" w:space="0" w:color="auto"/>
              <w:bottom w:val="single" w:sz="4" w:space="0" w:color="auto"/>
              <w:right w:val="single" w:sz="4" w:space="0" w:color="auto"/>
            </w:tcBorders>
            <w:vAlign w:val="center"/>
          </w:tcPr>
          <w:p w:rsidR="00F768B0" w:rsidRPr="00884D10" w:rsidRDefault="00F768B0" w:rsidP="00C83E03">
            <w:pPr>
              <w:keepNext/>
              <w:jc w:val="center"/>
              <w:rPr>
                <w:b/>
                <w:bCs/>
                <w:color w:val="000000"/>
              </w:rPr>
            </w:pPr>
            <w:r w:rsidRPr="00884D10">
              <w:rPr>
                <w:b/>
                <w:bCs/>
                <w:color w:val="000000"/>
              </w:rPr>
              <w:t>EW</w:t>
            </w:r>
          </w:p>
        </w:tc>
        <w:tc>
          <w:tcPr>
            <w:tcW w:w="757" w:type="dxa"/>
            <w:tcBorders>
              <w:top w:val="nil"/>
              <w:left w:val="single" w:sz="4" w:space="0" w:color="auto"/>
              <w:bottom w:val="single" w:sz="4" w:space="0" w:color="auto"/>
              <w:right w:val="single" w:sz="4" w:space="0" w:color="auto"/>
            </w:tcBorders>
            <w:shd w:val="clear" w:color="auto" w:fill="auto"/>
            <w:vAlign w:val="center"/>
            <w:hideMark/>
          </w:tcPr>
          <w:p w:rsidR="00F768B0" w:rsidRPr="00884D10" w:rsidRDefault="00F768B0" w:rsidP="00C83E03">
            <w:pPr>
              <w:keepNext/>
              <w:jc w:val="center"/>
            </w:pPr>
            <w:proofErr w:type="spellStart"/>
            <w:r w:rsidRPr="00884D10">
              <w:t>N</w:t>
            </w:r>
            <w:r w:rsidRPr="00884D10">
              <w:rPr>
                <w:vertAlign w:val="subscript"/>
              </w:rPr>
              <w:t>b</w:t>
            </w:r>
            <w:proofErr w:type="spellEnd"/>
          </w:p>
        </w:tc>
        <w:tc>
          <w:tcPr>
            <w:tcW w:w="743" w:type="dxa"/>
            <w:tcBorders>
              <w:top w:val="nil"/>
              <w:left w:val="nil"/>
              <w:bottom w:val="single" w:sz="4" w:space="0" w:color="auto"/>
              <w:right w:val="single" w:sz="4" w:space="0" w:color="auto"/>
            </w:tcBorders>
            <w:shd w:val="clear" w:color="auto" w:fill="auto"/>
            <w:vAlign w:val="center"/>
            <w:hideMark/>
          </w:tcPr>
          <w:p w:rsidR="00F768B0" w:rsidRPr="00884D10" w:rsidRDefault="00F768B0" w:rsidP="00C83E03">
            <w:pPr>
              <w:keepNext/>
              <w:jc w:val="center"/>
            </w:pPr>
            <w:proofErr w:type="spellStart"/>
            <w:r w:rsidRPr="00884D10">
              <w:t>N</w:t>
            </w:r>
            <w:r w:rsidRPr="00884D10">
              <w:rPr>
                <w:vertAlign w:val="subscript"/>
              </w:rPr>
              <w:t>b</w:t>
            </w:r>
            <w:proofErr w:type="spellEnd"/>
          </w:p>
        </w:tc>
        <w:tc>
          <w:tcPr>
            <w:tcW w:w="722" w:type="dxa"/>
            <w:tcBorders>
              <w:top w:val="nil"/>
              <w:left w:val="nil"/>
              <w:bottom w:val="single" w:sz="4" w:space="0" w:color="auto"/>
              <w:right w:val="single" w:sz="4" w:space="0" w:color="auto"/>
            </w:tcBorders>
            <w:vAlign w:val="center"/>
          </w:tcPr>
          <w:p w:rsidR="00F768B0" w:rsidRPr="00884D10" w:rsidRDefault="00F768B0" w:rsidP="00C83E03">
            <w:pPr>
              <w:keepNext/>
              <w:jc w:val="center"/>
            </w:pPr>
            <w:proofErr w:type="spellStart"/>
            <w:r w:rsidRPr="00884D10">
              <w:t>N</w:t>
            </w:r>
            <w:r w:rsidRPr="00884D10">
              <w:rPr>
                <w:vertAlign w:val="subscript"/>
              </w:rPr>
              <w:t>b</w:t>
            </w:r>
            <w:proofErr w:type="spellEnd"/>
          </w:p>
        </w:tc>
        <w:tc>
          <w:tcPr>
            <w:tcW w:w="722" w:type="dxa"/>
            <w:tcBorders>
              <w:top w:val="nil"/>
              <w:left w:val="nil"/>
              <w:bottom w:val="single" w:sz="4" w:space="0" w:color="auto"/>
              <w:right w:val="single" w:sz="4" w:space="0" w:color="auto"/>
            </w:tcBorders>
            <w:vAlign w:val="center"/>
          </w:tcPr>
          <w:p w:rsidR="00F768B0" w:rsidRPr="00884D10" w:rsidRDefault="00F768B0" w:rsidP="00C83E03">
            <w:pPr>
              <w:keepNext/>
              <w:jc w:val="center"/>
            </w:pPr>
            <w:proofErr w:type="spellStart"/>
            <w:r w:rsidRPr="00884D10">
              <w:t>N</w:t>
            </w:r>
            <w:r w:rsidRPr="00884D10">
              <w:rPr>
                <w:vertAlign w:val="subscript"/>
              </w:rPr>
              <w:t>b</w:t>
            </w:r>
            <w:proofErr w:type="spellEnd"/>
          </w:p>
        </w:tc>
        <w:tc>
          <w:tcPr>
            <w:tcW w:w="722" w:type="dxa"/>
            <w:tcBorders>
              <w:top w:val="nil"/>
              <w:left w:val="nil"/>
              <w:bottom w:val="single" w:sz="4" w:space="0" w:color="auto"/>
              <w:right w:val="single" w:sz="4" w:space="0" w:color="auto"/>
            </w:tcBorders>
            <w:vAlign w:val="center"/>
          </w:tcPr>
          <w:p w:rsidR="00F768B0" w:rsidRPr="00884D10" w:rsidRDefault="00F768B0" w:rsidP="00C83E03">
            <w:pPr>
              <w:keepNext/>
              <w:jc w:val="center"/>
            </w:pPr>
            <w:proofErr w:type="spellStart"/>
            <w:r w:rsidRPr="00884D10">
              <w:t>N</w:t>
            </w:r>
            <w:r w:rsidRPr="00884D10">
              <w:rPr>
                <w:vertAlign w:val="subscript"/>
              </w:rPr>
              <w:t>b</w:t>
            </w:r>
            <w:proofErr w:type="spellEnd"/>
          </w:p>
        </w:tc>
        <w:tc>
          <w:tcPr>
            <w:tcW w:w="722" w:type="dxa"/>
            <w:tcBorders>
              <w:top w:val="nil"/>
              <w:left w:val="nil"/>
              <w:bottom w:val="single" w:sz="4" w:space="0" w:color="auto"/>
              <w:right w:val="single" w:sz="4" w:space="0" w:color="auto"/>
            </w:tcBorders>
            <w:vAlign w:val="center"/>
          </w:tcPr>
          <w:p w:rsidR="00F768B0" w:rsidRPr="00884D10" w:rsidRDefault="00F768B0" w:rsidP="00C83E03">
            <w:pPr>
              <w:keepNext/>
              <w:jc w:val="center"/>
            </w:pPr>
            <w:proofErr w:type="spellStart"/>
            <w:r w:rsidRPr="00884D10">
              <w:t>N</w:t>
            </w:r>
            <w:r w:rsidRPr="00884D10">
              <w:rPr>
                <w:vertAlign w:val="subscript"/>
              </w:rPr>
              <w:t>b</w:t>
            </w:r>
            <w:proofErr w:type="spellEnd"/>
          </w:p>
        </w:tc>
        <w:tc>
          <w:tcPr>
            <w:tcW w:w="758" w:type="dxa"/>
            <w:tcBorders>
              <w:top w:val="nil"/>
              <w:left w:val="nil"/>
              <w:bottom w:val="single" w:sz="4" w:space="0" w:color="auto"/>
              <w:right w:val="single" w:sz="4" w:space="0" w:color="auto"/>
            </w:tcBorders>
            <w:vAlign w:val="center"/>
          </w:tcPr>
          <w:p w:rsidR="00F768B0" w:rsidRPr="00884D10" w:rsidRDefault="00F768B0" w:rsidP="00C83E03">
            <w:pPr>
              <w:keepNext/>
              <w:jc w:val="center"/>
            </w:pPr>
            <w:proofErr w:type="spellStart"/>
            <w:r w:rsidRPr="00884D10">
              <w:t>N</w:t>
            </w:r>
            <w:r w:rsidRPr="00884D10">
              <w:rPr>
                <w:vertAlign w:val="subscript"/>
              </w:rPr>
              <w:t>total</w:t>
            </w:r>
            <w:proofErr w:type="spellEnd"/>
          </w:p>
        </w:tc>
      </w:tr>
      <w:tr w:rsidR="00F768B0" w:rsidRPr="00884D10" w:rsidTr="00C83E03">
        <w:trPr>
          <w:trHeight w:val="300"/>
          <w:jc w:val="center"/>
        </w:trPr>
        <w:tc>
          <w:tcPr>
            <w:tcW w:w="1230" w:type="dxa"/>
            <w:tcBorders>
              <w:top w:val="nil"/>
              <w:left w:val="single" w:sz="4" w:space="0" w:color="auto"/>
              <w:bottom w:val="single" w:sz="4" w:space="0" w:color="auto"/>
              <w:right w:val="single" w:sz="4" w:space="0" w:color="auto"/>
            </w:tcBorders>
            <w:vAlign w:val="center"/>
          </w:tcPr>
          <w:p w:rsidR="00F768B0" w:rsidRPr="00884D10" w:rsidRDefault="00F768B0" w:rsidP="00C83E03">
            <w:pPr>
              <w:keepNext/>
              <w:jc w:val="center"/>
              <w:rPr>
                <w:b/>
                <w:bCs/>
                <w:color w:val="000000"/>
              </w:rPr>
            </w:pPr>
            <w:r w:rsidRPr="00884D10">
              <w:rPr>
                <w:b/>
                <w:bCs/>
                <w:color w:val="000000"/>
              </w:rPr>
              <w:t>SW</w:t>
            </w:r>
          </w:p>
        </w:tc>
        <w:tc>
          <w:tcPr>
            <w:tcW w:w="757" w:type="dxa"/>
            <w:tcBorders>
              <w:top w:val="nil"/>
              <w:left w:val="single" w:sz="4" w:space="0" w:color="auto"/>
              <w:bottom w:val="single" w:sz="4" w:space="0" w:color="auto"/>
              <w:right w:val="single" w:sz="4" w:space="0" w:color="auto"/>
            </w:tcBorders>
            <w:shd w:val="clear" w:color="auto" w:fill="auto"/>
            <w:vAlign w:val="center"/>
            <w:hideMark/>
          </w:tcPr>
          <w:p w:rsidR="00F768B0" w:rsidRPr="00884D10" w:rsidRDefault="00F768B0" w:rsidP="00C83E03">
            <w:pPr>
              <w:keepNext/>
              <w:jc w:val="center"/>
            </w:pPr>
            <w:proofErr w:type="spellStart"/>
            <w:r w:rsidRPr="00884D10">
              <w:t>N</w:t>
            </w:r>
            <w:r w:rsidRPr="00884D10">
              <w:rPr>
                <w:vertAlign w:val="subscript"/>
              </w:rPr>
              <w:t>b</w:t>
            </w:r>
            <w:proofErr w:type="spellEnd"/>
          </w:p>
        </w:tc>
        <w:tc>
          <w:tcPr>
            <w:tcW w:w="743" w:type="dxa"/>
            <w:tcBorders>
              <w:top w:val="nil"/>
              <w:left w:val="nil"/>
              <w:bottom w:val="single" w:sz="4" w:space="0" w:color="auto"/>
              <w:right w:val="single" w:sz="4" w:space="0" w:color="auto"/>
            </w:tcBorders>
            <w:shd w:val="clear" w:color="auto" w:fill="auto"/>
            <w:vAlign w:val="center"/>
            <w:hideMark/>
          </w:tcPr>
          <w:p w:rsidR="00F768B0" w:rsidRPr="00884D10" w:rsidRDefault="00F768B0" w:rsidP="00C83E03">
            <w:pPr>
              <w:keepNext/>
              <w:jc w:val="center"/>
            </w:pPr>
            <w:proofErr w:type="spellStart"/>
            <w:r w:rsidRPr="00884D10">
              <w:t>N</w:t>
            </w:r>
            <w:r w:rsidRPr="00884D10">
              <w:rPr>
                <w:vertAlign w:val="subscript"/>
              </w:rPr>
              <w:t>b</w:t>
            </w:r>
            <w:proofErr w:type="spellEnd"/>
          </w:p>
        </w:tc>
        <w:tc>
          <w:tcPr>
            <w:tcW w:w="722" w:type="dxa"/>
            <w:tcBorders>
              <w:top w:val="nil"/>
              <w:left w:val="nil"/>
              <w:bottom w:val="single" w:sz="4" w:space="0" w:color="auto"/>
              <w:right w:val="single" w:sz="4" w:space="0" w:color="auto"/>
            </w:tcBorders>
            <w:vAlign w:val="center"/>
          </w:tcPr>
          <w:p w:rsidR="00F768B0" w:rsidRPr="00884D10" w:rsidRDefault="00F768B0" w:rsidP="00C83E03">
            <w:pPr>
              <w:keepNext/>
              <w:jc w:val="center"/>
            </w:pPr>
            <w:proofErr w:type="spellStart"/>
            <w:r w:rsidRPr="00884D10">
              <w:t>N</w:t>
            </w:r>
            <w:r w:rsidRPr="00884D10">
              <w:rPr>
                <w:vertAlign w:val="subscript"/>
              </w:rPr>
              <w:t>b</w:t>
            </w:r>
            <w:proofErr w:type="spellEnd"/>
          </w:p>
        </w:tc>
        <w:tc>
          <w:tcPr>
            <w:tcW w:w="722" w:type="dxa"/>
            <w:tcBorders>
              <w:top w:val="nil"/>
              <w:left w:val="nil"/>
              <w:bottom w:val="single" w:sz="4" w:space="0" w:color="auto"/>
              <w:right w:val="single" w:sz="4" w:space="0" w:color="auto"/>
            </w:tcBorders>
            <w:vAlign w:val="center"/>
          </w:tcPr>
          <w:p w:rsidR="00F768B0" w:rsidRPr="00884D10" w:rsidRDefault="00F768B0" w:rsidP="00C83E03">
            <w:pPr>
              <w:keepNext/>
              <w:jc w:val="center"/>
            </w:pPr>
            <w:proofErr w:type="spellStart"/>
            <w:r w:rsidRPr="00884D10">
              <w:t>N</w:t>
            </w:r>
            <w:r w:rsidRPr="00884D10">
              <w:rPr>
                <w:vertAlign w:val="subscript"/>
              </w:rPr>
              <w:t>b</w:t>
            </w:r>
            <w:proofErr w:type="spellEnd"/>
          </w:p>
        </w:tc>
        <w:tc>
          <w:tcPr>
            <w:tcW w:w="722" w:type="dxa"/>
            <w:tcBorders>
              <w:top w:val="nil"/>
              <w:left w:val="nil"/>
              <w:bottom w:val="single" w:sz="4" w:space="0" w:color="auto"/>
              <w:right w:val="single" w:sz="4" w:space="0" w:color="auto"/>
            </w:tcBorders>
            <w:vAlign w:val="center"/>
          </w:tcPr>
          <w:p w:rsidR="00F768B0" w:rsidRPr="00884D10" w:rsidRDefault="00F768B0" w:rsidP="00C83E03">
            <w:pPr>
              <w:keepNext/>
              <w:jc w:val="center"/>
            </w:pPr>
            <w:proofErr w:type="spellStart"/>
            <w:r w:rsidRPr="00884D10">
              <w:t>N</w:t>
            </w:r>
            <w:r w:rsidRPr="00884D10">
              <w:rPr>
                <w:vertAlign w:val="subscript"/>
              </w:rPr>
              <w:t>b</w:t>
            </w:r>
            <w:proofErr w:type="spellEnd"/>
          </w:p>
        </w:tc>
        <w:tc>
          <w:tcPr>
            <w:tcW w:w="722" w:type="dxa"/>
            <w:tcBorders>
              <w:top w:val="nil"/>
              <w:left w:val="nil"/>
              <w:bottom w:val="single" w:sz="4" w:space="0" w:color="auto"/>
              <w:right w:val="single" w:sz="4" w:space="0" w:color="auto"/>
            </w:tcBorders>
            <w:vAlign w:val="center"/>
          </w:tcPr>
          <w:p w:rsidR="00F768B0" w:rsidRPr="00884D10" w:rsidRDefault="00F768B0" w:rsidP="00C83E03">
            <w:pPr>
              <w:keepNext/>
              <w:jc w:val="center"/>
            </w:pPr>
            <w:proofErr w:type="spellStart"/>
            <w:r w:rsidRPr="00884D10">
              <w:t>N</w:t>
            </w:r>
            <w:r w:rsidRPr="00884D10">
              <w:rPr>
                <w:vertAlign w:val="subscript"/>
              </w:rPr>
              <w:t>b</w:t>
            </w:r>
            <w:proofErr w:type="spellEnd"/>
          </w:p>
        </w:tc>
        <w:tc>
          <w:tcPr>
            <w:tcW w:w="758" w:type="dxa"/>
            <w:tcBorders>
              <w:top w:val="nil"/>
              <w:left w:val="nil"/>
              <w:bottom w:val="single" w:sz="4" w:space="0" w:color="auto"/>
              <w:right w:val="single" w:sz="4" w:space="0" w:color="auto"/>
            </w:tcBorders>
            <w:vAlign w:val="center"/>
          </w:tcPr>
          <w:p w:rsidR="00F768B0" w:rsidRPr="00884D10" w:rsidRDefault="00F768B0" w:rsidP="00C83E03">
            <w:pPr>
              <w:keepNext/>
              <w:jc w:val="center"/>
            </w:pPr>
            <w:proofErr w:type="spellStart"/>
            <w:r w:rsidRPr="00884D10">
              <w:t>N</w:t>
            </w:r>
            <w:r w:rsidRPr="00884D10">
              <w:rPr>
                <w:vertAlign w:val="subscript"/>
              </w:rPr>
              <w:t>total</w:t>
            </w:r>
            <w:proofErr w:type="spellEnd"/>
          </w:p>
        </w:tc>
      </w:tr>
      <w:tr w:rsidR="00F768B0" w:rsidRPr="00884D10" w:rsidTr="00C83E03">
        <w:trPr>
          <w:trHeight w:val="300"/>
          <w:jc w:val="center"/>
        </w:trPr>
        <w:tc>
          <w:tcPr>
            <w:tcW w:w="1230" w:type="dxa"/>
            <w:tcBorders>
              <w:top w:val="nil"/>
              <w:left w:val="single" w:sz="4" w:space="0" w:color="auto"/>
              <w:bottom w:val="single" w:sz="4" w:space="0" w:color="auto"/>
              <w:right w:val="single" w:sz="4" w:space="0" w:color="auto"/>
            </w:tcBorders>
            <w:vAlign w:val="center"/>
          </w:tcPr>
          <w:p w:rsidR="00F768B0" w:rsidRPr="00884D10" w:rsidRDefault="00F768B0" w:rsidP="00C83E03">
            <w:pPr>
              <w:keepNext/>
              <w:jc w:val="center"/>
              <w:rPr>
                <w:b/>
                <w:bCs/>
                <w:color w:val="000000"/>
              </w:rPr>
            </w:pPr>
            <w:r w:rsidRPr="00884D10">
              <w:rPr>
                <w:b/>
                <w:bCs/>
                <w:color w:val="000000"/>
              </w:rPr>
              <w:t>SH</w:t>
            </w:r>
          </w:p>
        </w:tc>
        <w:tc>
          <w:tcPr>
            <w:tcW w:w="757" w:type="dxa"/>
            <w:tcBorders>
              <w:top w:val="nil"/>
              <w:left w:val="single" w:sz="4" w:space="0" w:color="auto"/>
              <w:bottom w:val="single" w:sz="4" w:space="0" w:color="auto"/>
              <w:right w:val="single" w:sz="4" w:space="0" w:color="auto"/>
            </w:tcBorders>
            <w:shd w:val="clear" w:color="auto" w:fill="auto"/>
            <w:vAlign w:val="center"/>
            <w:hideMark/>
          </w:tcPr>
          <w:p w:rsidR="00F768B0" w:rsidRPr="00884D10" w:rsidRDefault="00F768B0" w:rsidP="00C83E03">
            <w:pPr>
              <w:keepNext/>
              <w:jc w:val="center"/>
            </w:pPr>
            <w:proofErr w:type="spellStart"/>
            <w:r w:rsidRPr="00884D10">
              <w:t>N</w:t>
            </w:r>
            <w:r w:rsidRPr="00884D10">
              <w:rPr>
                <w:vertAlign w:val="subscript"/>
              </w:rPr>
              <w:t>b</w:t>
            </w:r>
            <w:proofErr w:type="spellEnd"/>
          </w:p>
        </w:tc>
        <w:tc>
          <w:tcPr>
            <w:tcW w:w="743" w:type="dxa"/>
            <w:tcBorders>
              <w:top w:val="nil"/>
              <w:left w:val="nil"/>
              <w:bottom w:val="single" w:sz="4" w:space="0" w:color="auto"/>
              <w:right w:val="single" w:sz="4" w:space="0" w:color="auto"/>
            </w:tcBorders>
            <w:shd w:val="clear" w:color="auto" w:fill="auto"/>
            <w:vAlign w:val="center"/>
            <w:hideMark/>
          </w:tcPr>
          <w:p w:rsidR="00F768B0" w:rsidRPr="00884D10" w:rsidRDefault="00F768B0" w:rsidP="00C83E03">
            <w:pPr>
              <w:keepNext/>
              <w:jc w:val="center"/>
            </w:pPr>
            <w:proofErr w:type="spellStart"/>
            <w:r w:rsidRPr="00884D10">
              <w:t>N</w:t>
            </w:r>
            <w:r w:rsidRPr="00884D10">
              <w:rPr>
                <w:vertAlign w:val="subscript"/>
              </w:rPr>
              <w:t>b</w:t>
            </w:r>
            <w:proofErr w:type="spellEnd"/>
          </w:p>
        </w:tc>
        <w:tc>
          <w:tcPr>
            <w:tcW w:w="722" w:type="dxa"/>
            <w:tcBorders>
              <w:top w:val="nil"/>
              <w:left w:val="nil"/>
              <w:bottom w:val="single" w:sz="4" w:space="0" w:color="auto"/>
              <w:right w:val="single" w:sz="4" w:space="0" w:color="auto"/>
            </w:tcBorders>
            <w:vAlign w:val="center"/>
          </w:tcPr>
          <w:p w:rsidR="00F768B0" w:rsidRPr="00884D10" w:rsidRDefault="00F768B0" w:rsidP="00C83E03">
            <w:pPr>
              <w:keepNext/>
              <w:jc w:val="center"/>
            </w:pPr>
            <w:proofErr w:type="spellStart"/>
            <w:r w:rsidRPr="00884D10">
              <w:t>N</w:t>
            </w:r>
            <w:r w:rsidRPr="00884D10">
              <w:rPr>
                <w:vertAlign w:val="subscript"/>
              </w:rPr>
              <w:t>b</w:t>
            </w:r>
            <w:proofErr w:type="spellEnd"/>
          </w:p>
        </w:tc>
        <w:tc>
          <w:tcPr>
            <w:tcW w:w="722" w:type="dxa"/>
            <w:tcBorders>
              <w:top w:val="nil"/>
              <w:left w:val="nil"/>
              <w:bottom w:val="single" w:sz="4" w:space="0" w:color="auto"/>
              <w:right w:val="single" w:sz="4" w:space="0" w:color="auto"/>
            </w:tcBorders>
            <w:vAlign w:val="center"/>
          </w:tcPr>
          <w:p w:rsidR="00F768B0" w:rsidRPr="00884D10" w:rsidRDefault="00F768B0" w:rsidP="00C83E03">
            <w:pPr>
              <w:keepNext/>
              <w:jc w:val="center"/>
            </w:pPr>
            <w:proofErr w:type="spellStart"/>
            <w:r w:rsidRPr="00884D10">
              <w:t>N</w:t>
            </w:r>
            <w:r w:rsidRPr="00884D10">
              <w:rPr>
                <w:vertAlign w:val="subscript"/>
              </w:rPr>
              <w:t>b</w:t>
            </w:r>
            <w:proofErr w:type="spellEnd"/>
          </w:p>
        </w:tc>
        <w:tc>
          <w:tcPr>
            <w:tcW w:w="722" w:type="dxa"/>
            <w:tcBorders>
              <w:top w:val="nil"/>
              <w:left w:val="nil"/>
              <w:bottom w:val="single" w:sz="4" w:space="0" w:color="auto"/>
              <w:right w:val="single" w:sz="4" w:space="0" w:color="auto"/>
            </w:tcBorders>
            <w:vAlign w:val="center"/>
          </w:tcPr>
          <w:p w:rsidR="00F768B0" w:rsidRPr="00884D10" w:rsidRDefault="00F768B0" w:rsidP="00C83E03">
            <w:pPr>
              <w:keepNext/>
              <w:jc w:val="center"/>
            </w:pPr>
            <w:proofErr w:type="spellStart"/>
            <w:r w:rsidRPr="00884D10">
              <w:t>N</w:t>
            </w:r>
            <w:r w:rsidRPr="00884D10">
              <w:rPr>
                <w:vertAlign w:val="subscript"/>
              </w:rPr>
              <w:t>b</w:t>
            </w:r>
            <w:proofErr w:type="spellEnd"/>
          </w:p>
        </w:tc>
        <w:tc>
          <w:tcPr>
            <w:tcW w:w="722" w:type="dxa"/>
            <w:tcBorders>
              <w:top w:val="nil"/>
              <w:left w:val="nil"/>
              <w:bottom w:val="single" w:sz="4" w:space="0" w:color="auto"/>
              <w:right w:val="single" w:sz="4" w:space="0" w:color="auto"/>
            </w:tcBorders>
            <w:vAlign w:val="center"/>
          </w:tcPr>
          <w:p w:rsidR="00F768B0" w:rsidRPr="00884D10" w:rsidRDefault="00F768B0" w:rsidP="00C83E03">
            <w:pPr>
              <w:keepNext/>
              <w:jc w:val="center"/>
            </w:pPr>
            <w:proofErr w:type="spellStart"/>
            <w:r w:rsidRPr="00884D10">
              <w:t>N</w:t>
            </w:r>
            <w:r w:rsidRPr="00884D10">
              <w:rPr>
                <w:vertAlign w:val="subscript"/>
              </w:rPr>
              <w:t>b</w:t>
            </w:r>
            <w:proofErr w:type="spellEnd"/>
          </w:p>
        </w:tc>
        <w:tc>
          <w:tcPr>
            <w:tcW w:w="758" w:type="dxa"/>
            <w:tcBorders>
              <w:top w:val="nil"/>
              <w:left w:val="nil"/>
              <w:bottom w:val="single" w:sz="4" w:space="0" w:color="auto"/>
              <w:right w:val="single" w:sz="4" w:space="0" w:color="auto"/>
            </w:tcBorders>
            <w:vAlign w:val="center"/>
          </w:tcPr>
          <w:p w:rsidR="00F768B0" w:rsidRPr="00884D10" w:rsidRDefault="00F768B0" w:rsidP="00C83E03">
            <w:pPr>
              <w:keepNext/>
              <w:jc w:val="center"/>
            </w:pPr>
            <w:proofErr w:type="spellStart"/>
            <w:r w:rsidRPr="00884D10">
              <w:t>N</w:t>
            </w:r>
            <w:r w:rsidRPr="00884D10">
              <w:rPr>
                <w:vertAlign w:val="subscript"/>
              </w:rPr>
              <w:t>total</w:t>
            </w:r>
            <w:proofErr w:type="spellEnd"/>
          </w:p>
        </w:tc>
      </w:tr>
    </w:tbl>
    <w:p w:rsidR="00F768B0" w:rsidRPr="00884D10" w:rsidRDefault="00F768B0" w:rsidP="00F768B0">
      <w:pPr>
        <w:jc w:val="center"/>
        <w:rPr>
          <w:iCs/>
        </w:rPr>
      </w:pPr>
    </w:p>
    <w:p w:rsidR="00F768B0" w:rsidRPr="00884D10" w:rsidRDefault="00F768B0" w:rsidP="00F768B0">
      <w:pPr>
        <w:pStyle w:val="BodyTextIndent"/>
        <w:spacing w:after="0"/>
        <w:ind w:left="0"/>
        <w:jc w:val="center"/>
        <w:rPr>
          <w:rFonts w:eastAsia="Calibri"/>
          <w:b/>
          <w:szCs w:val="22"/>
        </w:rPr>
      </w:pPr>
    </w:p>
    <w:p w:rsidR="00F768B0" w:rsidRPr="00884D10" w:rsidRDefault="00F768B0" w:rsidP="00F768B0">
      <w:pPr>
        <w:pStyle w:val="BodyTextIndent"/>
        <w:keepNext/>
        <w:spacing w:after="0"/>
        <w:ind w:left="0"/>
        <w:jc w:val="center"/>
        <w:rPr>
          <w:rFonts w:eastAsia="Calibri"/>
          <w:b/>
          <w:szCs w:val="22"/>
        </w:rPr>
      </w:pPr>
      <w:r w:rsidRPr="00884D10">
        <w:rPr>
          <w:rFonts w:eastAsia="Calibri"/>
          <w:b/>
          <w:szCs w:val="22"/>
        </w:rPr>
        <w:t>Table 15: Relative frequency distribution of YSLB values</w:t>
      </w:r>
    </w:p>
    <w:p w:rsidR="00F768B0" w:rsidRPr="00884D10" w:rsidRDefault="00F768B0" w:rsidP="00F768B0">
      <w:pPr>
        <w:pStyle w:val="BodyTextIndent"/>
        <w:keepNext/>
        <w:spacing w:after="0"/>
        <w:ind w:left="0"/>
        <w:jc w:val="center"/>
        <w:rPr>
          <w:rFonts w:eastAsia="Calibri"/>
          <w:b/>
          <w:szCs w:val="22"/>
        </w:rPr>
      </w:pPr>
    </w:p>
    <w:tbl>
      <w:tblPr>
        <w:tblW w:w="6376" w:type="dxa"/>
        <w:jc w:val="center"/>
        <w:tblLook w:val="04A0" w:firstRow="1" w:lastRow="0" w:firstColumn="1" w:lastColumn="0" w:noHBand="0" w:noVBand="1"/>
      </w:tblPr>
      <w:tblGrid>
        <w:gridCol w:w="1323"/>
        <w:gridCol w:w="739"/>
        <w:gridCol w:w="725"/>
        <w:gridCol w:w="705"/>
        <w:gridCol w:w="705"/>
        <w:gridCol w:w="705"/>
        <w:gridCol w:w="711"/>
        <w:gridCol w:w="763"/>
      </w:tblGrid>
      <w:tr w:rsidR="00F768B0" w:rsidRPr="00884D10" w:rsidTr="00C83E03">
        <w:trPr>
          <w:trHeight w:val="299"/>
          <w:jc w:val="center"/>
        </w:trPr>
        <w:tc>
          <w:tcPr>
            <w:tcW w:w="1230" w:type="dxa"/>
            <w:vMerge w:val="restart"/>
            <w:tcBorders>
              <w:top w:val="single" w:sz="4" w:space="0" w:color="auto"/>
              <w:left w:val="single" w:sz="4" w:space="0" w:color="auto"/>
              <w:right w:val="single" w:sz="4" w:space="0" w:color="auto"/>
            </w:tcBorders>
            <w:vAlign w:val="center"/>
          </w:tcPr>
          <w:p w:rsidR="00F768B0" w:rsidRPr="00884D10" w:rsidRDefault="00F768B0" w:rsidP="00C83E03">
            <w:pPr>
              <w:keepNext/>
              <w:jc w:val="center"/>
              <w:rPr>
                <w:b/>
                <w:bCs/>
                <w:color w:val="000000"/>
              </w:rPr>
            </w:pPr>
            <w:r w:rsidRPr="00884D10">
              <w:rPr>
                <w:b/>
                <w:bCs/>
                <w:color w:val="000000"/>
              </w:rPr>
              <w:t>Vegetation class</w:t>
            </w:r>
          </w:p>
        </w:tc>
        <w:tc>
          <w:tcPr>
            <w:tcW w:w="438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F768B0" w:rsidRPr="00884D10" w:rsidRDefault="00F768B0" w:rsidP="00C83E03">
            <w:pPr>
              <w:keepNext/>
              <w:jc w:val="center"/>
              <w:rPr>
                <w:b/>
                <w:bCs/>
                <w:color w:val="000000"/>
              </w:rPr>
            </w:pPr>
            <w:r w:rsidRPr="00884D10">
              <w:rPr>
                <w:b/>
                <w:bCs/>
                <w:color w:val="000000"/>
              </w:rPr>
              <w:t>YSLB</w:t>
            </w:r>
          </w:p>
        </w:tc>
        <w:tc>
          <w:tcPr>
            <w:tcW w:w="758" w:type="dxa"/>
            <w:vMerge w:val="restart"/>
            <w:tcBorders>
              <w:top w:val="single" w:sz="4" w:space="0" w:color="auto"/>
              <w:left w:val="single" w:sz="4" w:space="0" w:color="auto"/>
              <w:right w:val="single" w:sz="4" w:space="0" w:color="auto"/>
            </w:tcBorders>
            <w:vAlign w:val="center"/>
          </w:tcPr>
          <w:p w:rsidR="00F768B0" w:rsidRPr="00884D10" w:rsidRDefault="00F768B0" w:rsidP="00C83E03">
            <w:pPr>
              <w:keepNext/>
              <w:jc w:val="center"/>
              <w:rPr>
                <w:b/>
                <w:bCs/>
                <w:color w:val="000000"/>
              </w:rPr>
            </w:pPr>
            <w:r w:rsidRPr="00884D10">
              <w:rPr>
                <w:b/>
                <w:bCs/>
                <w:color w:val="000000"/>
              </w:rPr>
              <w:t>Total</w:t>
            </w:r>
          </w:p>
        </w:tc>
      </w:tr>
      <w:tr w:rsidR="00F768B0" w:rsidRPr="00884D10" w:rsidTr="00C83E03">
        <w:trPr>
          <w:trHeight w:val="300"/>
          <w:jc w:val="center"/>
        </w:trPr>
        <w:tc>
          <w:tcPr>
            <w:tcW w:w="1230" w:type="dxa"/>
            <w:vMerge/>
            <w:tcBorders>
              <w:left w:val="single" w:sz="4" w:space="0" w:color="auto"/>
              <w:bottom w:val="single" w:sz="4" w:space="0" w:color="auto"/>
              <w:right w:val="single" w:sz="4" w:space="0" w:color="auto"/>
            </w:tcBorders>
            <w:vAlign w:val="center"/>
          </w:tcPr>
          <w:p w:rsidR="00F768B0" w:rsidRPr="00884D10" w:rsidRDefault="00F768B0" w:rsidP="00C83E03">
            <w:pPr>
              <w:keepNext/>
              <w:jc w:val="center"/>
              <w:rPr>
                <w:b/>
                <w:bCs/>
                <w:color w:val="000000"/>
              </w:rPr>
            </w:pPr>
          </w:p>
        </w:tc>
        <w:tc>
          <w:tcPr>
            <w:tcW w:w="757" w:type="dxa"/>
            <w:tcBorders>
              <w:top w:val="nil"/>
              <w:left w:val="single" w:sz="4" w:space="0" w:color="auto"/>
              <w:bottom w:val="single" w:sz="4" w:space="0" w:color="auto"/>
              <w:right w:val="single" w:sz="4" w:space="0" w:color="auto"/>
            </w:tcBorders>
            <w:shd w:val="clear" w:color="auto" w:fill="auto"/>
            <w:vAlign w:val="center"/>
            <w:hideMark/>
          </w:tcPr>
          <w:p w:rsidR="00F768B0" w:rsidRPr="00884D10" w:rsidRDefault="00F768B0" w:rsidP="00C83E03">
            <w:pPr>
              <w:keepNext/>
              <w:jc w:val="center"/>
              <w:rPr>
                <w:b/>
                <w:bCs/>
                <w:color w:val="000000"/>
              </w:rPr>
            </w:pPr>
            <w:r w:rsidRPr="00884D10">
              <w:rPr>
                <w:b/>
                <w:bCs/>
                <w:color w:val="000000"/>
              </w:rPr>
              <w:t>1</w:t>
            </w:r>
          </w:p>
        </w:tc>
        <w:tc>
          <w:tcPr>
            <w:tcW w:w="743" w:type="dxa"/>
            <w:tcBorders>
              <w:top w:val="nil"/>
              <w:left w:val="nil"/>
              <w:bottom w:val="single" w:sz="4" w:space="0" w:color="auto"/>
              <w:right w:val="single" w:sz="4" w:space="0" w:color="auto"/>
            </w:tcBorders>
            <w:shd w:val="clear" w:color="auto" w:fill="auto"/>
            <w:vAlign w:val="center"/>
            <w:hideMark/>
          </w:tcPr>
          <w:p w:rsidR="00F768B0" w:rsidRPr="00884D10" w:rsidRDefault="00F768B0" w:rsidP="00C83E03">
            <w:pPr>
              <w:keepNext/>
              <w:jc w:val="center"/>
              <w:rPr>
                <w:b/>
                <w:bCs/>
                <w:color w:val="000000"/>
              </w:rPr>
            </w:pPr>
            <w:r w:rsidRPr="00884D10">
              <w:rPr>
                <w:b/>
                <w:bCs/>
                <w:color w:val="000000"/>
              </w:rPr>
              <w:t>2</w:t>
            </w:r>
          </w:p>
        </w:tc>
        <w:tc>
          <w:tcPr>
            <w:tcW w:w="722" w:type="dxa"/>
            <w:tcBorders>
              <w:top w:val="nil"/>
              <w:left w:val="nil"/>
              <w:bottom w:val="single" w:sz="4" w:space="0" w:color="auto"/>
              <w:right w:val="single" w:sz="4" w:space="0" w:color="auto"/>
            </w:tcBorders>
            <w:vAlign w:val="center"/>
          </w:tcPr>
          <w:p w:rsidR="00F768B0" w:rsidRPr="00884D10" w:rsidRDefault="00F768B0" w:rsidP="00C83E03">
            <w:pPr>
              <w:keepNext/>
              <w:jc w:val="center"/>
              <w:rPr>
                <w:b/>
                <w:bCs/>
                <w:color w:val="000000"/>
              </w:rPr>
            </w:pPr>
            <w:r w:rsidRPr="00884D10">
              <w:rPr>
                <w:b/>
                <w:bCs/>
                <w:color w:val="000000"/>
              </w:rPr>
              <w:t>3</w:t>
            </w:r>
          </w:p>
        </w:tc>
        <w:tc>
          <w:tcPr>
            <w:tcW w:w="722" w:type="dxa"/>
            <w:tcBorders>
              <w:top w:val="nil"/>
              <w:left w:val="nil"/>
              <w:bottom w:val="single" w:sz="4" w:space="0" w:color="auto"/>
              <w:right w:val="single" w:sz="4" w:space="0" w:color="auto"/>
            </w:tcBorders>
            <w:vAlign w:val="center"/>
          </w:tcPr>
          <w:p w:rsidR="00F768B0" w:rsidRPr="00884D10" w:rsidRDefault="00F768B0" w:rsidP="00C83E03">
            <w:pPr>
              <w:keepNext/>
              <w:jc w:val="center"/>
              <w:rPr>
                <w:b/>
                <w:bCs/>
                <w:color w:val="000000"/>
              </w:rPr>
            </w:pPr>
            <w:r w:rsidRPr="00884D10">
              <w:rPr>
                <w:b/>
                <w:bCs/>
                <w:color w:val="000000"/>
              </w:rPr>
              <w:t>4</w:t>
            </w:r>
          </w:p>
        </w:tc>
        <w:tc>
          <w:tcPr>
            <w:tcW w:w="722" w:type="dxa"/>
            <w:tcBorders>
              <w:top w:val="nil"/>
              <w:left w:val="nil"/>
              <w:bottom w:val="single" w:sz="4" w:space="0" w:color="auto"/>
              <w:right w:val="single" w:sz="4" w:space="0" w:color="auto"/>
            </w:tcBorders>
            <w:vAlign w:val="center"/>
          </w:tcPr>
          <w:p w:rsidR="00F768B0" w:rsidRPr="00884D10" w:rsidRDefault="00F768B0" w:rsidP="00C83E03">
            <w:pPr>
              <w:keepNext/>
              <w:jc w:val="center"/>
              <w:rPr>
                <w:b/>
                <w:bCs/>
                <w:color w:val="000000"/>
              </w:rPr>
            </w:pPr>
            <w:r w:rsidRPr="00884D10">
              <w:rPr>
                <w:b/>
                <w:bCs/>
                <w:color w:val="000000"/>
              </w:rPr>
              <w:t>5</w:t>
            </w:r>
          </w:p>
        </w:tc>
        <w:tc>
          <w:tcPr>
            <w:tcW w:w="722" w:type="dxa"/>
            <w:tcBorders>
              <w:top w:val="nil"/>
              <w:left w:val="nil"/>
              <w:bottom w:val="single" w:sz="4" w:space="0" w:color="auto"/>
              <w:right w:val="single" w:sz="4" w:space="0" w:color="auto"/>
            </w:tcBorders>
            <w:vAlign w:val="center"/>
          </w:tcPr>
          <w:p w:rsidR="00F768B0" w:rsidRPr="00884D10" w:rsidRDefault="00F768B0" w:rsidP="00C83E03">
            <w:pPr>
              <w:keepNext/>
              <w:jc w:val="center"/>
              <w:rPr>
                <w:b/>
                <w:bCs/>
                <w:color w:val="000000"/>
              </w:rPr>
            </w:pPr>
            <w:r w:rsidRPr="00884D10">
              <w:rPr>
                <w:b/>
                <w:bCs/>
                <w:color w:val="000000"/>
              </w:rPr>
              <w:t>&gt;5</w:t>
            </w:r>
          </w:p>
        </w:tc>
        <w:tc>
          <w:tcPr>
            <w:tcW w:w="758" w:type="dxa"/>
            <w:vMerge/>
            <w:tcBorders>
              <w:left w:val="single" w:sz="4" w:space="0" w:color="auto"/>
              <w:bottom w:val="single" w:sz="4" w:space="0" w:color="auto"/>
              <w:right w:val="single" w:sz="4" w:space="0" w:color="auto"/>
            </w:tcBorders>
            <w:vAlign w:val="center"/>
          </w:tcPr>
          <w:p w:rsidR="00F768B0" w:rsidRPr="00884D10" w:rsidRDefault="00F768B0" w:rsidP="00C83E03">
            <w:pPr>
              <w:keepNext/>
              <w:jc w:val="center"/>
              <w:rPr>
                <w:b/>
                <w:bCs/>
                <w:color w:val="000000"/>
              </w:rPr>
            </w:pPr>
          </w:p>
        </w:tc>
      </w:tr>
      <w:tr w:rsidR="00F768B0" w:rsidRPr="00884D10" w:rsidTr="00C83E03">
        <w:trPr>
          <w:trHeight w:val="300"/>
          <w:jc w:val="center"/>
        </w:trPr>
        <w:tc>
          <w:tcPr>
            <w:tcW w:w="1230" w:type="dxa"/>
            <w:tcBorders>
              <w:top w:val="nil"/>
              <w:left w:val="single" w:sz="4" w:space="0" w:color="auto"/>
              <w:bottom w:val="single" w:sz="4" w:space="0" w:color="auto"/>
              <w:right w:val="single" w:sz="4" w:space="0" w:color="auto"/>
            </w:tcBorders>
            <w:vAlign w:val="center"/>
          </w:tcPr>
          <w:p w:rsidR="00F768B0" w:rsidRPr="00884D10" w:rsidRDefault="00F768B0" w:rsidP="00C83E03">
            <w:pPr>
              <w:keepNext/>
              <w:jc w:val="center"/>
              <w:rPr>
                <w:b/>
                <w:bCs/>
                <w:color w:val="000000"/>
              </w:rPr>
            </w:pPr>
            <w:r w:rsidRPr="00884D10">
              <w:rPr>
                <w:b/>
                <w:bCs/>
                <w:color w:val="000000"/>
              </w:rPr>
              <w:t>EOF</w:t>
            </w:r>
          </w:p>
        </w:tc>
        <w:tc>
          <w:tcPr>
            <w:tcW w:w="757" w:type="dxa"/>
            <w:tcBorders>
              <w:top w:val="nil"/>
              <w:left w:val="single" w:sz="4" w:space="0" w:color="auto"/>
              <w:bottom w:val="single" w:sz="4" w:space="0" w:color="auto"/>
              <w:right w:val="single" w:sz="4" w:space="0" w:color="auto"/>
            </w:tcBorders>
            <w:shd w:val="clear" w:color="auto" w:fill="auto"/>
            <w:vAlign w:val="center"/>
            <w:hideMark/>
          </w:tcPr>
          <w:p w:rsidR="00F768B0" w:rsidRPr="00884D10" w:rsidRDefault="00F768B0" w:rsidP="00C83E03">
            <w:pPr>
              <w:keepNext/>
              <w:jc w:val="center"/>
            </w:pPr>
          </w:p>
        </w:tc>
        <w:tc>
          <w:tcPr>
            <w:tcW w:w="743" w:type="dxa"/>
            <w:tcBorders>
              <w:top w:val="nil"/>
              <w:left w:val="nil"/>
              <w:bottom w:val="single" w:sz="4" w:space="0" w:color="auto"/>
              <w:right w:val="single" w:sz="4" w:space="0" w:color="auto"/>
            </w:tcBorders>
            <w:shd w:val="clear" w:color="auto" w:fill="auto"/>
            <w:vAlign w:val="center"/>
            <w:hideMark/>
          </w:tcPr>
          <w:p w:rsidR="00F768B0" w:rsidRPr="00884D10" w:rsidRDefault="00F768B0" w:rsidP="00C83E03">
            <w:pPr>
              <w:keepNext/>
              <w:jc w:val="center"/>
            </w:pPr>
          </w:p>
        </w:tc>
        <w:tc>
          <w:tcPr>
            <w:tcW w:w="722" w:type="dxa"/>
            <w:tcBorders>
              <w:top w:val="nil"/>
              <w:left w:val="nil"/>
              <w:bottom w:val="single" w:sz="4" w:space="0" w:color="auto"/>
              <w:right w:val="single" w:sz="4" w:space="0" w:color="auto"/>
            </w:tcBorders>
            <w:vAlign w:val="center"/>
          </w:tcPr>
          <w:p w:rsidR="00F768B0" w:rsidRPr="00884D10" w:rsidRDefault="00F768B0" w:rsidP="00C83E03">
            <w:pPr>
              <w:keepNext/>
              <w:jc w:val="center"/>
            </w:pPr>
          </w:p>
        </w:tc>
        <w:tc>
          <w:tcPr>
            <w:tcW w:w="722" w:type="dxa"/>
            <w:tcBorders>
              <w:top w:val="nil"/>
              <w:left w:val="nil"/>
              <w:bottom w:val="single" w:sz="4" w:space="0" w:color="auto"/>
              <w:right w:val="single" w:sz="4" w:space="0" w:color="auto"/>
            </w:tcBorders>
            <w:vAlign w:val="center"/>
          </w:tcPr>
          <w:p w:rsidR="00F768B0" w:rsidRPr="00884D10" w:rsidRDefault="00F768B0" w:rsidP="00C83E03">
            <w:pPr>
              <w:keepNext/>
              <w:jc w:val="center"/>
            </w:pPr>
          </w:p>
        </w:tc>
        <w:tc>
          <w:tcPr>
            <w:tcW w:w="722" w:type="dxa"/>
            <w:tcBorders>
              <w:top w:val="nil"/>
              <w:left w:val="nil"/>
              <w:bottom w:val="single" w:sz="4" w:space="0" w:color="auto"/>
              <w:right w:val="single" w:sz="4" w:space="0" w:color="auto"/>
            </w:tcBorders>
            <w:vAlign w:val="center"/>
          </w:tcPr>
          <w:p w:rsidR="00F768B0" w:rsidRPr="00884D10" w:rsidRDefault="00F768B0" w:rsidP="00C83E03">
            <w:pPr>
              <w:keepNext/>
              <w:jc w:val="center"/>
            </w:pPr>
          </w:p>
        </w:tc>
        <w:tc>
          <w:tcPr>
            <w:tcW w:w="722" w:type="dxa"/>
            <w:tcBorders>
              <w:top w:val="nil"/>
              <w:left w:val="nil"/>
              <w:bottom w:val="single" w:sz="4" w:space="0" w:color="auto"/>
              <w:right w:val="single" w:sz="4" w:space="0" w:color="auto"/>
            </w:tcBorders>
            <w:vAlign w:val="center"/>
          </w:tcPr>
          <w:p w:rsidR="00F768B0" w:rsidRPr="00884D10" w:rsidRDefault="00F768B0" w:rsidP="00C83E03">
            <w:pPr>
              <w:keepNext/>
              <w:jc w:val="center"/>
            </w:pPr>
          </w:p>
        </w:tc>
        <w:tc>
          <w:tcPr>
            <w:tcW w:w="758" w:type="dxa"/>
            <w:tcBorders>
              <w:top w:val="nil"/>
              <w:left w:val="nil"/>
              <w:bottom w:val="single" w:sz="4" w:space="0" w:color="auto"/>
              <w:right w:val="single" w:sz="4" w:space="0" w:color="auto"/>
            </w:tcBorders>
            <w:vAlign w:val="center"/>
          </w:tcPr>
          <w:p w:rsidR="00F768B0" w:rsidRPr="00884D10" w:rsidRDefault="00F768B0" w:rsidP="00C83E03">
            <w:pPr>
              <w:keepNext/>
              <w:jc w:val="center"/>
            </w:pPr>
            <w:r w:rsidRPr="00884D10">
              <w:t>1</w:t>
            </w:r>
          </w:p>
        </w:tc>
      </w:tr>
      <w:tr w:rsidR="00F768B0" w:rsidRPr="00884D10" w:rsidTr="00C83E03">
        <w:trPr>
          <w:trHeight w:val="300"/>
          <w:jc w:val="center"/>
        </w:trPr>
        <w:tc>
          <w:tcPr>
            <w:tcW w:w="1230" w:type="dxa"/>
            <w:tcBorders>
              <w:top w:val="nil"/>
              <w:left w:val="single" w:sz="4" w:space="0" w:color="auto"/>
              <w:bottom w:val="single" w:sz="4" w:space="0" w:color="auto"/>
              <w:right w:val="single" w:sz="4" w:space="0" w:color="auto"/>
            </w:tcBorders>
            <w:vAlign w:val="center"/>
          </w:tcPr>
          <w:p w:rsidR="00F768B0" w:rsidRPr="00884D10" w:rsidRDefault="00F768B0" w:rsidP="00C83E03">
            <w:pPr>
              <w:keepNext/>
              <w:jc w:val="center"/>
              <w:rPr>
                <w:b/>
                <w:bCs/>
                <w:color w:val="000000"/>
              </w:rPr>
            </w:pPr>
            <w:r w:rsidRPr="00884D10">
              <w:rPr>
                <w:b/>
                <w:bCs/>
                <w:color w:val="000000"/>
              </w:rPr>
              <w:t>EW</w:t>
            </w:r>
          </w:p>
        </w:tc>
        <w:tc>
          <w:tcPr>
            <w:tcW w:w="757" w:type="dxa"/>
            <w:tcBorders>
              <w:top w:val="nil"/>
              <w:left w:val="single" w:sz="4" w:space="0" w:color="auto"/>
              <w:bottom w:val="single" w:sz="4" w:space="0" w:color="auto"/>
              <w:right w:val="single" w:sz="4" w:space="0" w:color="auto"/>
            </w:tcBorders>
            <w:shd w:val="clear" w:color="auto" w:fill="auto"/>
            <w:vAlign w:val="center"/>
            <w:hideMark/>
          </w:tcPr>
          <w:p w:rsidR="00F768B0" w:rsidRPr="00884D10" w:rsidRDefault="00F768B0" w:rsidP="00C83E03">
            <w:pPr>
              <w:keepNext/>
              <w:jc w:val="center"/>
            </w:pPr>
          </w:p>
        </w:tc>
        <w:tc>
          <w:tcPr>
            <w:tcW w:w="743" w:type="dxa"/>
            <w:tcBorders>
              <w:top w:val="nil"/>
              <w:left w:val="nil"/>
              <w:bottom w:val="single" w:sz="4" w:space="0" w:color="auto"/>
              <w:right w:val="single" w:sz="4" w:space="0" w:color="auto"/>
            </w:tcBorders>
            <w:shd w:val="clear" w:color="auto" w:fill="auto"/>
            <w:vAlign w:val="center"/>
            <w:hideMark/>
          </w:tcPr>
          <w:p w:rsidR="00F768B0" w:rsidRPr="00884D10" w:rsidRDefault="00F768B0" w:rsidP="00C83E03">
            <w:pPr>
              <w:keepNext/>
              <w:jc w:val="center"/>
            </w:pPr>
          </w:p>
        </w:tc>
        <w:tc>
          <w:tcPr>
            <w:tcW w:w="722" w:type="dxa"/>
            <w:tcBorders>
              <w:top w:val="nil"/>
              <w:left w:val="nil"/>
              <w:bottom w:val="single" w:sz="4" w:space="0" w:color="auto"/>
              <w:right w:val="single" w:sz="4" w:space="0" w:color="auto"/>
            </w:tcBorders>
            <w:vAlign w:val="center"/>
          </w:tcPr>
          <w:p w:rsidR="00F768B0" w:rsidRPr="00884D10" w:rsidRDefault="00F768B0" w:rsidP="00C83E03">
            <w:pPr>
              <w:keepNext/>
              <w:jc w:val="center"/>
            </w:pPr>
          </w:p>
        </w:tc>
        <w:tc>
          <w:tcPr>
            <w:tcW w:w="722" w:type="dxa"/>
            <w:tcBorders>
              <w:top w:val="nil"/>
              <w:left w:val="nil"/>
              <w:bottom w:val="single" w:sz="4" w:space="0" w:color="auto"/>
              <w:right w:val="single" w:sz="4" w:space="0" w:color="auto"/>
            </w:tcBorders>
            <w:vAlign w:val="center"/>
          </w:tcPr>
          <w:p w:rsidR="00F768B0" w:rsidRPr="00884D10" w:rsidRDefault="00F768B0" w:rsidP="00C83E03">
            <w:pPr>
              <w:keepNext/>
              <w:jc w:val="center"/>
            </w:pPr>
          </w:p>
        </w:tc>
        <w:tc>
          <w:tcPr>
            <w:tcW w:w="722" w:type="dxa"/>
            <w:tcBorders>
              <w:top w:val="nil"/>
              <w:left w:val="nil"/>
              <w:bottom w:val="single" w:sz="4" w:space="0" w:color="auto"/>
              <w:right w:val="single" w:sz="4" w:space="0" w:color="auto"/>
            </w:tcBorders>
            <w:vAlign w:val="center"/>
          </w:tcPr>
          <w:p w:rsidR="00F768B0" w:rsidRPr="00884D10" w:rsidRDefault="00F768B0" w:rsidP="00C83E03">
            <w:pPr>
              <w:keepNext/>
              <w:jc w:val="center"/>
            </w:pPr>
          </w:p>
        </w:tc>
        <w:tc>
          <w:tcPr>
            <w:tcW w:w="722" w:type="dxa"/>
            <w:tcBorders>
              <w:top w:val="nil"/>
              <w:left w:val="nil"/>
              <w:bottom w:val="single" w:sz="4" w:space="0" w:color="auto"/>
              <w:right w:val="single" w:sz="4" w:space="0" w:color="auto"/>
            </w:tcBorders>
            <w:vAlign w:val="center"/>
          </w:tcPr>
          <w:p w:rsidR="00F768B0" w:rsidRPr="00884D10" w:rsidRDefault="00F768B0" w:rsidP="00C83E03">
            <w:pPr>
              <w:keepNext/>
              <w:jc w:val="center"/>
            </w:pPr>
          </w:p>
        </w:tc>
        <w:tc>
          <w:tcPr>
            <w:tcW w:w="758" w:type="dxa"/>
            <w:tcBorders>
              <w:top w:val="nil"/>
              <w:left w:val="nil"/>
              <w:bottom w:val="single" w:sz="4" w:space="0" w:color="auto"/>
              <w:right w:val="single" w:sz="4" w:space="0" w:color="auto"/>
            </w:tcBorders>
            <w:vAlign w:val="center"/>
          </w:tcPr>
          <w:p w:rsidR="00F768B0" w:rsidRPr="00884D10" w:rsidRDefault="00F768B0" w:rsidP="00C83E03">
            <w:pPr>
              <w:keepNext/>
              <w:jc w:val="center"/>
            </w:pPr>
            <w:r w:rsidRPr="00884D10">
              <w:t>1</w:t>
            </w:r>
          </w:p>
        </w:tc>
      </w:tr>
      <w:tr w:rsidR="00F768B0" w:rsidRPr="00884D10" w:rsidTr="00C83E03">
        <w:trPr>
          <w:trHeight w:val="300"/>
          <w:jc w:val="center"/>
        </w:trPr>
        <w:tc>
          <w:tcPr>
            <w:tcW w:w="1230" w:type="dxa"/>
            <w:tcBorders>
              <w:top w:val="nil"/>
              <w:left w:val="single" w:sz="4" w:space="0" w:color="auto"/>
              <w:bottom w:val="single" w:sz="4" w:space="0" w:color="auto"/>
              <w:right w:val="single" w:sz="4" w:space="0" w:color="auto"/>
            </w:tcBorders>
            <w:vAlign w:val="center"/>
          </w:tcPr>
          <w:p w:rsidR="00F768B0" w:rsidRPr="00884D10" w:rsidRDefault="00F768B0" w:rsidP="00C83E03">
            <w:pPr>
              <w:keepNext/>
              <w:jc w:val="center"/>
              <w:rPr>
                <w:b/>
                <w:bCs/>
                <w:color w:val="000000"/>
              </w:rPr>
            </w:pPr>
            <w:r w:rsidRPr="00884D10">
              <w:rPr>
                <w:b/>
                <w:bCs/>
                <w:color w:val="000000"/>
              </w:rPr>
              <w:t>SW</w:t>
            </w:r>
          </w:p>
        </w:tc>
        <w:tc>
          <w:tcPr>
            <w:tcW w:w="757" w:type="dxa"/>
            <w:tcBorders>
              <w:top w:val="nil"/>
              <w:left w:val="single" w:sz="4" w:space="0" w:color="auto"/>
              <w:bottom w:val="single" w:sz="4" w:space="0" w:color="auto"/>
              <w:right w:val="single" w:sz="4" w:space="0" w:color="auto"/>
            </w:tcBorders>
            <w:shd w:val="clear" w:color="auto" w:fill="auto"/>
            <w:vAlign w:val="center"/>
            <w:hideMark/>
          </w:tcPr>
          <w:p w:rsidR="00F768B0" w:rsidRPr="00884D10" w:rsidRDefault="00F768B0" w:rsidP="00C83E03">
            <w:pPr>
              <w:keepNext/>
              <w:jc w:val="center"/>
            </w:pPr>
          </w:p>
        </w:tc>
        <w:tc>
          <w:tcPr>
            <w:tcW w:w="743" w:type="dxa"/>
            <w:tcBorders>
              <w:top w:val="nil"/>
              <w:left w:val="nil"/>
              <w:bottom w:val="single" w:sz="4" w:space="0" w:color="auto"/>
              <w:right w:val="single" w:sz="4" w:space="0" w:color="auto"/>
            </w:tcBorders>
            <w:shd w:val="clear" w:color="auto" w:fill="auto"/>
            <w:vAlign w:val="center"/>
            <w:hideMark/>
          </w:tcPr>
          <w:p w:rsidR="00F768B0" w:rsidRPr="00884D10" w:rsidRDefault="00F768B0" w:rsidP="00C83E03">
            <w:pPr>
              <w:keepNext/>
              <w:jc w:val="center"/>
            </w:pPr>
          </w:p>
        </w:tc>
        <w:tc>
          <w:tcPr>
            <w:tcW w:w="722" w:type="dxa"/>
            <w:tcBorders>
              <w:top w:val="nil"/>
              <w:left w:val="nil"/>
              <w:bottom w:val="single" w:sz="4" w:space="0" w:color="auto"/>
              <w:right w:val="single" w:sz="4" w:space="0" w:color="auto"/>
            </w:tcBorders>
            <w:vAlign w:val="center"/>
          </w:tcPr>
          <w:p w:rsidR="00F768B0" w:rsidRPr="00884D10" w:rsidRDefault="00F768B0" w:rsidP="00C83E03">
            <w:pPr>
              <w:keepNext/>
              <w:jc w:val="center"/>
            </w:pPr>
          </w:p>
        </w:tc>
        <w:tc>
          <w:tcPr>
            <w:tcW w:w="722" w:type="dxa"/>
            <w:tcBorders>
              <w:top w:val="nil"/>
              <w:left w:val="nil"/>
              <w:bottom w:val="single" w:sz="4" w:space="0" w:color="auto"/>
              <w:right w:val="single" w:sz="4" w:space="0" w:color="auto"/>
            </w:tcBorders>
            <w:vAlign w:val="center"/>
          </w:tcPr>
          <w:p w:rsidR="00F768B0" w:rsidRPr="00884D10" w:rsidRDefault="00F768B0" w:rsidP="00C83E03">
            <w:pPr>
              <w:keepNext/>
              <w:jc w:val="center"/>
            </w:pPr>
          </w:p>
        </w:tc>
        <w:tc>
          <w:tcPr>
            <w:tcW w:w="722" w:type="dxa"/>
            <w:tcBorders>
              <w:top w:val="nil"/>
              <w:left w:val="nil"/>
              <w:bottom w:val="single" w:sz="4" w:space="0" w:color="auto"/>
              <w:right w:val="single" w:sz="4" w:space="0" w:color="auto"/>
            </w:tcBorders>
            <w:vAlign w:val="center"/>
          </w:tcPr>
          <w:p w:rsidR="00F768B0" w:rsidRPr="00884D10" w:rsidRDefault="00F768B0" w:rsidP="00C83E03">
            <w:pPr>
              <w:keepNext/>
              <w:jc w:val="center"/>
            </w:pPr>
          </w:p>
        </w:tc>
        <w:tc>
          <w:tcPr>
            <w:tcW w:w="722" w:type="dxa"/>
            <w:tcBorders>
              <w:top w:val="nil"/>
              <w:left w:val="nil"/>
              <w:bottom w:val="single" w:sz="4" w:space="0" w:color="auto"/>
              <w:right w:val="single" w:sz="4" w:space="0" w:color="auto"/>
            </w:tcBorders>
            <w:vAlign w:val="center"/>
          </w:tcPr>
          <w:p w:rsidR="00F768B0" w:rsidRPr="00884D10" w:rsidRDefault="00F768B0" w:rsidP="00C83E03">
            <w:pPr>
              <w:keepNext/>
              <w:jc w:val="center"/>
            </w:pPr>
          </w:p>
        </w:tc>
        <w:tc>
          <w:tcPr>
            <w:tcW w:w="758" w:type="dxa"/>
            <w:tcBorders>
              <w:top w:val="nil"/>
              <w:left w:val="nil"/>
              <w:bottom w:val="single" w:sz="4" w:space="0" w:color="auto"/>
              <w:right w:val="single" w:sz="4" w:space="0" w:color="auto"/>
            </w:tcBorders>
            <w:vAlign w:val="center"/>
          </w:tcPr>
          <w:p w:rsidR="00F768B0" w:rsidRPr="00884D10" w:rsidRDefault="00F768B0" w:rsidP="00C83E03">
            <w:pPr>
              <w:keepNext/>
              <w:jc w:val="center"/>
            </w:pPr>
            <w:r w:rsidRPr="00884D10">
              <w:t>1</w:t>
            </w:r>
          </w:p>
        </w:tc>
      </w:tr>
      <w:tr w:rsidR="00F768B0" w:rsidRPr="00884D10" w:rsidTr="00C83E03">
        <w:trPr>
          <w:trHeight w:val="300"/>
          <w:jc w:val="center"/>
        </w:trPr>
        <w:tc>
          <w:tcPr>
            <w:tcW w:w="1230" w:type="dxa"/>
            <w:tcBorders>
              <w:top w:val="nil"/>
              <w:left w:val="single" w:sz="4" w:space="0" w:color="auto"/>
              <w:bottom w:val="single" w:sz="4" w:space="0" w:color="auto"/>
              <w:right w:val="single" w:sz="4" w:space="0" w:color="auto"/>
            </w:tcBorders>
            <w:vAlign w:val="center"/>
          </w:tcPr>
          <w:p w:rsidR="00F768B0" w:rsidRPr="00884D10" w:rsidRDefault="00F768B0" w:rsidP="00C83E03">
            <w:pPr>
              <w:keepNext/>
              <w:jc w:val="center"/>
              <w:rPr>
                <w:b/>
                <w:bCs/>
                <w:color w:val="000000"/>
              </w:rPr>
            </w:pPr>
            <w:r w:rsidRPr="00884D10">
              <w:rPr>
                <w:b/>
                <w:bCs/>
                <w:color w:val="000000"/>
              </w:rPr>
              <w:t>SH</w:t>
            </w:r>
          </w:p>
        </w:tc>
        <w:tc>
          <w:tcPr>
            <w:tcW w:w="757" w:type="dxa"/>
            <w:tcBorders>
              <w:top w:val="nil"/>
              <w:left w:val="single" w:sz="4" w:space="0" w:color="auto"/>
              <w:bottom w:val="single" w:sz="4" w:space="0" w:color="auto"/>
              <w:right w:val="single" w:sz="4" w:space="0" w:color="auto"/>
            </w:tcBorders>
            <w:shd w:val="clear" w:color="auto" w:fill="auto"/>
            <w:vAlign w:val="center"/>
            <w:hideMark/>
          </w:tcPr>
          <w:p w:rsidR="00F768B0" w:rsidRPr="00884D10" w:rsidRDefault="00F768B0" w:rsidP="00C83E03">
            <w:pPr>
              <w:keepNext/>
              <w:jc w:val="center"/>
            </w:pPr>
          </w:p>
        </w:tc>
        <w:tc>
          <w:tcPr>
            <w:tcW w:w="743" w:type="dxa"/>
            <w:tcBorders>
              <w:top w:val="nil"/>
              <w:left w:val="nil"/>
              <w:bottom w:val="single" w:sz="4" w:space="0" w:color="auto"/>
              <w:right w:val="single" w:sz="4" w:space="0" w:color="auto"/>
            </w:tcBorders>
            <w:shd w:val="clear" w:color="auto" w:fill="auto"/>
            <w:vAlign w:val="center"/>
            <w:hideMark/>
          </w:tcPr>
          <w:p w:rsidR="00F768B0" w:rsidRPr="00884D10" w:rsidRDefault="00F768B0" w:rsidP="00C83E03">
            <w:pPr>
              <w:keepNext/>
              <w:jc w:val="center"/>
            </w:pPr>
          </w:p>
        </w:tc>
        <w:tc>
          <w:tcPr>
            <w:tcW w:w="722" w:type="dxa"/>
            <w:tcBorders>
              <w:top w:val="nil"/>
              <w:left w:val="nil"/>
              <w:bottom w:val="single" w:sz="4" w:space="0" w:color="auto"/>
              <w:right w:val="single" w:sz="4" w:space="0" w:color="auto"/>
            </w:tcBorders>
            <w:vAlign w:val="center"/>
          </w:tcPr>
          <w:p w:rsidR="00F768B0" w:rsidRPr="00884D10" w:rsidRDefault="00F768B0" w:rsidP="00C83E03">
            <w:pPr>
              <w:keepNext/>
              <w:jc w:val="center"/>
            </w:pPr>
          </w:p>
        </w:tc>
        <w:tc>
          <w:tcPr>
            <w:tcW w:w="722" w:type="dxa"/>
            <w:tcBorders>
              <w:top w:val="nil"/>
              <w:left w:val="nil"/>
              <w:bottom w:val="single" w:sz="4" w:space="0" w:color="auto"/>
              <w:right w:val="single" w:sz="4" w:space="0" w:color="auto"/>
            </w:tcBorders>
            <w:vAlign w:val="center"/>
          </w:tcPr>
          <w:p w:rsidR="00F768B0" w:rsidRPr="00884D10" w:rsidRDefault="00F768B0" w:rsidP="00C83E03">
            <w:pPr>
              <w:keepNext/>
              <w:jc w:val="center"/>
            </w:pPr>
          </w:p>
        </w:tc>
        <w:tc>
          <w:tcPr>
            <w:tcW w:w="722" w:type="dxa"/>
            <w:tcBorders>
              <w:top w:val="nil"/>
              <w:left w:val="nil"/>
              <w:bottom w:val="single" w:sz="4" w:space="0" w:color="auto"/>
              <w:right w:val="single" w:sz="4" w:space="0" w:color="auto"/>
            </w:tcBorders>
            <w:vAlign w:val="center"/>
          </w:tcPr>
          <w:p w:rsidR="00F768B0" w:rsidRPr="00884D10" w:rsidRDefault="00F768B0" w:rsidP="00C83E03">
            <w:pPr>
              <w:keepNext/>
              <w:jc w:val="center"/>
            </w:pPr>
          </w:p>
        </w:tc>
        <w:tc>
          <w:tcPr>
            <w:tcW w:w="722" w:type="dxa"/>
            <w:tcBorders>
              <w:top w:val="nil"/>
              <w:left w:val="nil"/>
              <w:bottom w:val="single" w:sz="4" w:space="0" w:color="auto"/>
              <w:right w:val="single" w:sz="4" w:space="0" w:color="auto"/>
            </w:tcBorders>
            <w:vAlign w:val="center"/>
          </w:tcPr>
          <w:p w:rsidR="00F768B0" w:rsidRPr="00884D10" w:rsidRDefault="00F768B0" w:rsidP="00C83E03">
            <w:pPr>
              <w:keepNext/>
              <w:jc w:val="center"/>
            </w:pPr>
          </w:p>
        </w:tc>
        <w:tc>
          <w:tcPr>
            <w:tcW w:w="758" w:type="dxa"/>
            <w:tcBorders>
              <w:top w:val="nil"/>
              <w:left w:val="nil"/>
              <w:bottom w:val="single" w:sz="4" w:space="0" w:color="auto"/>
              <w:right w:val="single" w:sz="4" w:space="0" w:color="auto"/>
            </w:tcBorders>
            <w:vAlign w:val="center"/>
          </w:tcPr>
          <w:p w:rsidR="00F768B0" w:rsidRPr="00884D10" w:rsidRDefault="00F768B0" w:rsidP="00C83E03">
            <w:pPr>
              <w:keepNext/>
              <w:jc w:val="center"/>
            </w:pPr>
            <w:r w:rsidRPr="00884D10">
              <w:t>1</w:t>
            </w:r>
          </w:p>
        </w:tc>
      </w:tr>
    </w:tbl>
    <w:p w:rsidR="00F768B0" w:rsidRPr="00884D10" w:rsidRDefault="00F768B0" w:rsidP="00F768B0">
      <w:pPr>
        <w:jc w:val="center"/>
        <w:rPr>
          <w:iCs/>
        </w:rPr>
      </w:pPr>
    </w:p>
    <w:p w:rsidR="00F768B0" w:rsidRPr="00884D10" w:rsidRDefault="00F768B0" w:rsidP="00F768B0">
      <w:pPr>
        <w:rPr>
          <w:rFonts w:eastAsia="Calibri"/>
          <w:b/>
          <w:szCs w:val="22"/>
        </w:rPr>
      </w:pPr>
      <w:r w:rsidRPr="00884D10">
        <w:rPr>
          <w:rFonts w:eastAsia="Calibri"/>
          <w:b/>
          <w:szCs w:val="22"/>
        </w:rPr>
        <w:br w:type="page"/>
      </w:r>
    </w:p>
    <w:p w:rsidR="00F768B0" w:rsidRPr="00884D10" w:rsidRDefault="00F768B0" w:rsidP="00F768B0">
      <w:pPr>
        <w:pStyle w:val="BodyTextIndent"/>
        <w:spacing w:after="0"/>
        <w:ind w:left="0"/>
        <w:jc w:val="center"/>
        <w:rPr>
          <w:rFonts w:eastAsia="Calibri"/>
          <w:b/>
          <w:szCs w:val="22"/>
        </w:rPr>
      </w:pPr>
      <w:r w:rsidRPr="00884D10">
        <w:rPr>
          <w:rFonts w:eastAsia="Calibri"/>
          <w:b/>
          <w:szCs w:val="22"/>
        </w:rPr>
        <w:lastRenderedPageBreak/>
        <w:t>Table 16: Fine fuel load (t ha</w:t>
      </w:r>
      <w:r w:rsidRPr="00884D10">
        <w:rPr>
          <w:rFonts w:eastAsia="Calibri"/>
          <w:b/>
          <w:szCs w:val="22"/>
          <w:vertAlign w:val="superscript"/>
        </w:rPr>
        <w:t>-1</w:t>
      </w:r>
      <w:r w:rsidRPr="00884D10">
        <w:rPr>
          <w:rFonts w:eastAsia="Calibri"/>
          <w:b/>
          <w:szCs w:val="22"/>
        </w:rPr>
        <w:t>)</w:t>
      </w:r>
    </w:p>
    <w:p w:rsidR="00F768B0" w:rsidRPr="00884D10" w:rsidRDefault="00F768B0" w:rsidP="00F768B0">
      <w:pPr>
        <w:pStyle w:val="BodyTextIndent"/>
        <w:spacing w:after="0"/>
        <w:ind w:left="0"/>
        <w:jc w:val="center"/>
        <w:rPr>
          <w:rFonts w:eastAsia="Calibri"/>
          <w:b/>
          <w:szCs w:val="22"/>
        </w:rPr>
      </w:pPr>
    </w:p>
    <w:tbl>
      <w:tblPr>
        <w:tblW w:w="7288" w:type="dxa"/>
        <w:jc w:val="center"/>
        <w:tblLook w:val="04A0" w:firstRow="1" w:lastRow="0" w:firstColumn="1" w:lastColumn="0" w:noHBand="0" w:noVBand="1"/>
      </w:tblPr>
      <w:tblGrid>
        <w:gridCol w:w="1323"/>
        <w:gridCol w:w="702"/>
        <w:gridCol w:w="692"/>
        <w:gridCol w:w="676"/>
        <w:gridCol w:w="676"/>
        <w:gridCol w:w="676"/>
        <w:gridCol w:w="689"/>
        <w:gridCol w:w="1854"/>
      </w:tblGrid>
      <w:tr w:rsidR="00F768B0" w:rsidRPr="00884D10" w:rsidTr="00C83E03">
        <w:trPr>
          <w:trHeight w:val="353"/>
          <w:jc w:val="center"/>
        </w:trPr>
        <w:tc>
          <w:tcPr>
            <w:tcW w:w="1323" w:type="dxa"/>
            <w:vMerge w:val="restart"/>
            <w:tcBorders>
              <w:top w:val="single" w:sz="4" w:space="0" w:color="auto"/>
              <w:left w:val="single" w:sz="4" w:space="0" w:color="auto"/>
              <w:right w:val="single" w:sz="4" w:space="0" w:color="auto"/>
            </w:tcBorders>
            <w:vAlign w:val="center"/>
          </w:tcPr>
          <w:p w:rsidR="00F768B0" w:rsidRPr="00884D10" w:rsidRDefault="00F768B0" w:rsidP="00C83E03">
            <w:pPr>
              <w:jc w:val="center"/>
              <w:rPr>
                <w:b/>
                <w:bCs/>
                <w:color w:val="000000"/>
              </w:rPr>
            </w:pPr>
            <w:r w:rsidRPr="00884D10">
              <w:rPr>
                <w:b/>
                <w:bCs/>
                <w:color w:val="000000"/>
              </w:rPr>
              <w:t>Vegetation class</w:t>
            </w:r>
          </w:p>
        </w:tc>
        <w:tc>
          <w:tcPr>
            <w:tcW w:w="411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F768B0" w:rsidRPr="00884D10" w:rsidRDefault="00F768B0" w:rsidP="00C83E03">
            <w:pPr>
              <w:jc w:val="center"/>
              <w:rPr>
                <w:b/>
                <w:bCs/>
                <w:color w:val="000000"/>
              </w:rPr>
            </w:pPr>
            <w:r w:rsidRPr="00884D10">
              <w:rPr>
                <w:b/>
                <w:bCs/>
                <w:color w:val="000000"/>
              </w:rPr>
              <w:t>YSLB</w:t>
            </w:r>
          </w:p>
        </w:tc>
        <w:tc>
          <w:tcPr>
            <w:tcW w:w="1854" w:type="dxa"/>
            <w:vMerge w:val="restart"/>
            <w:tcBorders>
              <w:top w:val="single" w:sz="4" w:space="0" w:color="auto"/>
              <w:left w:val="single" w:sz="4" w:space="0" w:color="auto"/>
              <w:right w:val="single" w:sz="4" w:space="0" w:color="auto"/>
            </w:tcBorders>
            <w:vAlign w:val="center"/>
          </w:tcPr>
          <w:p w:rsidR="00F768B0" w:rsidRPr="00884D10" w:rsidRDefault="00F768B0" w:rsidP="00C83E03">
            <w:pPr>
              <w:jc w:val="center"/>
              <w:rPr>
                <w:b/>
                <w:bCs/>
                <w:color w:val="000000"/>
              </w:rPr>
            </w:pPr>
            <w:r w:rsidRPr="00884D10">
              <w:rPr>
                <w:b/>
                <w:bCs/>
                <w:color w:val="000000"/>
              </w:rPr>
              <w:t>Total</w:t>
            </w:r>
          </w:p>
        </w:tc>
      </w:tr>
      <w:tr w:rsidR="00F768B0" w:rsidRPr="00884D10" w:rsidTr="00C83E03">
        <w:trPr>
          <w:trHeight w:val="300"/>
          <w:jc w:val="center"/>
        </w:trPr>
        <w:tc>
          <w:tcPr>
            <w:tcW w:w="1323" w:type="dxa"/>
            <w:vMerge/>
            <w:tcBorders>
              <w:left w:val="single" w:sz="4" w:space="0" w:color="auto"/>
              <w:bottom w:val="single" w:sz="4" w:space="0" w:color="auto"/>
              <w:right w:val="single" w:sz="4" w:space="0" w:color="auto"/>
            </w:tcBorders>
            <w:vAlign w:val="center"/>
          </w:tcPr>
          <w:p w:rsidR="00F768B0" w:rsidRPr="00884D10" w:rsidRDefault="00F768B0" w:rsidP="00C83E03">
            <w:pPr>
              <w:jc w:val="center"/>
              <w:rPr>
                <w:b/>
                <w:bCs/>
                <w:color w:val="000000"/>
              </w:rPr>
            </w:pPr>
          </w:p>
        </w:tc>
        <w:tc>
          <w:tcPr>
            <w:tcW w:w="702" w:type="dxa"/>
            <w:tcBorders>
              <w:top w:val="nil"/>
              <w:left w:val="single" w:sz="4" w:space="0" w:color="auto"/>
              <w:bottom w:val="single" w:sz="4" w:space="0" w:color="auto"/>
              <w:right w:val="single" w:sz="4" w:space="0" w:color="auto"/>
            </w:tcBorders>
            <w:shd w:val="clear" w:color="auto" w:fill="auto"/>
            <w:vAlign w:val="center"/>
            <w:hideMark/>
          </w:tcPr>
          <w:p w:rsidR="00F768B0" w:rsidRPr="00884D10" w:rsidRDefault="00F768B0" w:rsidP="00C83E03">
            <w:pPr>
              <w:jc w:val="center"/>
              <w:rPr>
                <w:b/>
                <w:bCs/>
                <w:color w:val="000000"/>
              </w:rPr>
            </w:pPr>
            <w:r w:rsidRPr="00884D10">
              <w:rPr>
                <w:b/>
                <w:bCs/>
                <w:color w:val="000000"/>
              </w:rPr>
              <w:t>1</w:t>
            </w:r>
          </w:p>
        </w:tc>
        <w:tc>
          <w:tcPr>
            <w:tcW w:w="692" w:type="dxa"/>
            <w:tcBorders>
              <w:top w:val="nil"/>
              <w:left w:val="nil"/>
              <w:bottom w:val="single" w:sz="4" w:space="0" w:color="auto"/>
              <w:right w:val="single" w:sz="4" w:space="0" w:color="auto"/>
            </w:tcBorders>
            <w:shd w:val="clear" w:color="auto" w:fill="auto"/>
            <w:vAlign w:val="center"/>
            <w:hideMark/>
          </w:tcPr>
          <w:p w:rsidR="00F768B0" w:rsidRPr="00884D10" w:rsidRDefault="00F768B0" w:rsidP="00C83E03">
            <w:pPr>
              <w:jc w:val="center"/>
              <w:rPr>
                <w:b/>
                <w:bCs/>
                <w:color w:val="000000"/>
              </w:rPr>
            </w:pPr>
            <w:r w:rsidRPr="00884D10">
              <w:rPr>
                <w:b/>
                <w:bCs/>
                <w:color w:val="000000"/>
              </w:rPr>
              <w:t>2</w:t>
            </w:r>
          </w:p>
        </w:tc>
        <w:tc>
          <w:tcPr>
            <w:tcW w:w="676" w:type="dxa"/>
            <w:tcBorders>
              <w:top w:val="nil"/>
              <w:left w:val="nil"/>
              <w:bottom w:val="single" w:sz="4" w:space="0" w:color="auto"/>
              <w:right w:val="single" w:sz="4" w:space="0" w:color="auto"/>
            </w:tcBorders>
            <w:vAlign w:val="center"/>
          </w:tcPr>
          <w:p w:rsidR="00F768B0" w:rsidRPr="00884D10" w:rsidRDefault="00F768B0" w:rsidP="00C83E03">
            <w:pPr>
              <w:jc w:val="center"/>
              <w:rPr>
                <w:b/>
                <w:bCs/>
                <w:color w:val="000000"/>
              </w:rPr>
            </w:pPr>
            <w:r w:rsidRPr="00884D10">
              <w:rPr>
                <w:b/>
                <w:bCs/>
                <w:color w:val="000000"/>
              </w:rPr>
              <w:t>3</w:t>
            </w:r>
          </w:p>
        </w:tc>
        <w:tc>
          <w:tcPr>
            <w:tcW w:w="676" w:type="dxa"/>
            <w:tcBorders>
              <w:top w:val="nil"/>
              <w:left w:val="nil"/>
              <w:bottom w:val="single" w:sz="4" w:space="0" w:color="auto"/>
              <w:right w:val="single" w:sz="4" w:space="0" w:color="auto"/>
            </w:tcBorders>
            <w:vAlign w:val="center"/>
          </w:tcPr>
          <w:p w:rsidR="00F768B0" w:rsidRPr="00884D10" w:rsidRDefault="00F768B0" w:rsidP="00C83E03">
            <w:pPr>
              <w:jc w:val="center"/>
              <w:rPr>
                <w:b/>
                <w:bCs/>
                <w:color w:val="000000"/>
              </w:rPr>
            </w:pPr>
            <w:r w:rsidRPr="00884D10">
              <w:rPr>
                <w:b/>
                <w:bCs/>
                <w:color w:val="000000"/>
              </w:rPr>
              <w:t>4</w:t>
            </w:r>
          </w:p>
        </w:tc>
        <w:tc>
          <w:tcPr>
            <w:tcW w:w="676" w:type="dxa"/>
            <w:tcBorders>
              <w:top w:val="nil"/>
              <w:left w:val="nil"/>
              <w:bottom w:val="single" w:sz="4" w:space="0" w:color="auto"/>
              <w:right w:val="single" w:sz="4" w:space="0" w:color="auto"/>
            </w:tcBorders>
            <w:vAlign w:val="center"/>
          </w:tcPr>
          <w:p w:rsidR="00F768B0" w:rsidRPr="00884D10" w:rsidRDefault="00F768B0" w:rsidP="00C83E03">
            <w:pPr>
              <w:jc w:val="center"/>
              <w:rPr>
                <w:b/>
                <w:bCs/>
                <w:color w:val="000000"/>
              </w:rPr>
            </w:pPr>
            <w:r w:rsidRPr="00884D10">
              <w:rPr>
                <w:b/>
                <w:bCs/>
                <w:color w:val="000000"/>
              </w:rPr>
              <w:t>5</w:t>
            </w:r>
          </w:p>
        </w:tc>
        <w:tc>
          <w:tcPr>
            <w:tcW w:w="689" w:type="dxa"/>
            <w:tcBorders>
              <w:top w:val="nil"/>
              <w:left w:val="nil"/>
              <w:bottom w:val="single" w:sz="4" w:space="0" w:color="auto"/>
              <w:right w:val="single" w:sz="4" w:space="0" w:color="auto"/>
            </w:tcBorders>
            <w:vAlign w:val="center"/>
          </w:tcPr>
          <w:p w:rsidR="00F768B0" w:rsidRPr="00884D10" w:rsidRDefault="00F768B0" w:rsidP="00C83E03">
            <w:pPr>
              <w:jc w:val="center"/>
              <w:rPr>
                <w:b/>
                <w:bCs/>
                <w:color w:val="000000"/>
              </w:rPr>
            </w:pPr>
            <w:r w:rsidRPr="00884D10">
              <w:rPr>
                <w:b/>
                <w:bCs/>
                <w:color w:val="000000"/>
              </w:rPr>
              <w:cr/>
              <w:t>&gt;5</w:t>
            </w:r>
          </w:p>
        </w:tc>
        <w:tc>
          <w:tcPr>
            <w:tcW w:w="1854" w:type="dxa"/>
            <w:vMerge/>
            <w:tcBorders>
              <w:left w:val="single" w:sz="4" w:space="0" w:color="auto"/>
              <w:bottom w:val="single" w:sz="4" w:space="0" w:color="auto"/>
              <w:right w:val="single" w:sz="4" w:space="0" w:color="auto"/>
            </w:tcBorders>
            <w:vAlign w:val="center"/>
          </w:tcPr>
          <w:p w:rsidR="00F768B0" w:rsidRPr="00884D10" w:rsidRDefault="00F768B0" w:rsidP="00C83E03">
            <w:pPr>
              <w:jc w:val="center"/>
              <w:rPr>
                <w:b/>
                <w:bCs/>
                <w:color w:val="000000"/>
              </w:rPr>
            </w:pPr>
          </w:p>
        </w:tc>
      </w:tr>
      <w:tr w:rsidR="00F768B0" w:rsidRPr="00884D10" w:rsidTr="00C83E03">
        <w:trPr>
          <w:trHeight w:val="300"/>
          <w:jc w:val="center"/>
        </w:trPr>
        <w:tc>
          <w:tcPr>
            <w:tcW w:w="1323" w:type="dxa"/>
            <w:tcBorders>
              <w:top w:val="nil"/>
              <w:left w:val="single" w:sz="4" w:space="0" w:color="auto"/>
              <w:bottom w:val="single" w:sz="4" w:space="0" w:color="auto"/>
              <w:right w:val="single" w:sz="4" w:space="0" w:color="auto"/>
            </w:tcBorders>
            <w:vAlign w:val="center"/>
          </w:tcPr>
          <w:p w:rsidR="00F768B0" w:rsidRPr="00884D10" w:rsidRDefault="00F768B0" w:rsidP="00C83E03">
            <w:pPr>
              <w:jc w:val="center"/>
              <w:rPr>
                <w:b/>
                <w:bCs/>
                <w:color w:val="000000"/>
              </w:rPr>
            </w:pPr>
            <w:r w:rsidRPr="00884D10">
              <w:rPr>
                <w:b/>
                <w:bCs/>
                <w:color w:val="000000"/>
              </w:rPr>
              <w:t>EOF</w:t>
            </w:r>
          </w:p>
        </w:tc>
        <w:tc>
          <w:tcPr>
            <w:tcW w:w="702" w:type="dxa"/>
            <w:tcBorders>
              <w:top w:val="nil"/>
              <w:left w:val="single" w:sz="4" w:space="0" w:color="auto"/>
              <w:bottom w:val="single" w:sz="4" w:space="0" w:color="auto"/>
              <w:right w:val="single" w:sz="4" w:space="0" w:color="auto"/>
            </w:tcBorders>
            <w:shd w:val="clear" w:color="auto" w:fill="auto"/>
            <w:vAlign w:val="center"/>
            <w:hideMark/>
          </w:tcPr>
          <w:p w:rsidR="00F768B0" w:rsidRPr="00884D10" w:rsidRDefault="00F768B0" w:rsidP="00C83E03">
            <w:pPr>
              <w:jc w:val="center"/>
            </w:pPr>
          </w:p>
        </w:tc>
        <w:tc>
          <w:tcPr>
            <w:tcW w:w="692" w:type="dxa"/>
            <w:tcBorders>
              <w:top w:val="nil"/>
              <w:left w:val="nil"/>
              <w:bottom w:val="single" w:sz="4" w:space="0" w:color="auto"/>
              <w:right w:val="single" w:sz="4" w:space="0" w:color="auto"/>
            </w:tcBorders>
            <w:shd w:val="clear" w:color="auto" w:fill="auto"/>
            <w:vAlign w:val="center"/>
            <w:hideMark/>
          </w:tcPr>
          <w:p w:rsidR="00F768B0" w:rsidRPr="00884D10" w:rsidRDefault="00F768B0" w:rsidP="00C83E03">
            <w:pPr>
              <w:jc w:val="center"/>
            </w:pPr>
          </w:p>
        </w:tc>
        <w:tc>
          <w:tcPr>
            <w:tcW w:w="676" w:type="dxa"/>
            <w:tcBorders>
              <w:top w:val="nil"/>
              <w:left w:val="nil"/>
              <w:bottom w:val="single" w:sz="4" w:space="0" w:color="auto"/>
              <w:right w:val="single" w:sz="4" w:space="0" w:color="auto"/>
            </w:tcBorders>
            <w:vAlign w:val="center"/>
          </w:tcPr>
          <w:p w:rsidR="00F768B0" w:rsidRPr="00884D10" w:rsidRDefault="00F768B0" w:rsidP="00C83E03">
            <w:pPr>
              <w:jc w:val="center"/>
            </w:pPr>
          </w:p>
        </w:tc>
        <w:tc>
          <w:tcPr>
            <w:tcW w:w="676" w:type="dxa"/>
            <w:tcBorders>
              <w:top w:val="nil"/>
              <w:left w:val="nil"/>
              <w:bottom w:val="single" w:sz="4" w:space="0" w:color="auto"/>
              <w:right w:val="single" w:sz="4" w:space="0" w:color="auto"/>
            </w:tcBorders>
            <w:vAlign w:val="center"/>
          </w:tcPr>
          <w:p w:rsidR="00F768B0" w:rsidRPr="00884D10" w:rsidRDefault="00F768B0" w:rsidP="00C83E03">
            <w:pPr>
              <w:jc w:val="center"/>
            </w:pPr>
          </w:p>
        </w:tc>
        <w:tc>
          <w:tcPr>
            <w:tcW w:w="676" w:type="dxa"/>
            <w:tcBorders>
              <w:top w:val="nil"/>
              <w:left w:val="nil"/>
              <w:bottom w:val="single" w:sz="4" w:space="0" w:color="auto"/>
              <w:right w:val="single" w:sz="4" w:space="0" w:color="auto"/>
            </w:tcBorders>
            <w:vAlign w:val="center"/>
          </w:tcPr>
          <w:p w:rsidR="00F768B0" w:rsidRPr="00884D10" w:rsidRDefault="00F768B0" w:rsidP="00C83E03">
            <w:pPr>
              <w:jc w:val="center"/>
            </w:pPr>
          </w:p>
        </w:tc>
        <w:tc>
          <w:tcPr>
            <w:tcW w:w="689" w:type="dxa"/>
            <w:tcBorders>
              <w:top w:val="nil"/>
              <w:left w:val="nil"/>
              <w:bottom w:val="single" w:sz="4" w:space="0" w:color="auto"/>
              <w:right w:val="single" w:sz="4" w:space="0" w:color="auto"/>
            </w:tcBorders>
            <w:vAlign w:val="center"/>
          </w:tcPr>
          <w:p w:rsidR="00F768B0" w:rsidRPr="00884D10" w:rsidRDefault="00F768B0" w:rsidP="00C83E03">
            <w:pPr>
              <w:jc w:val="center"/>
            </w:pPr>
          </w:p>
        </w:tc>
        <w:tc>
          <w:tcPr>
            <w:tcW w:w="1854" w:type="dxa"/>
            <w:tcBorders>
              <w:top w:val="nil"/>
              <w:left w:val="nil"/>
              <w:bottom w:val="single" w:sz="4" w:space="0" w:color="auto"/>
              <w:right w:val="single" w:sz="4" w:space="0" w:color="auto"/>
            </w:tcBorders>
            <w:vAlign w:val="center"/>
          </w:tcPr>
          <w:p w:rsidR="00F768B0" w:rsidRPr="00884D10" w:rsidRDefault="00F768B0" w:rsidP="00C83E03">
            <w:pPr>
              <w:jc w:val="center"/>
              <w:rPr>
                <w:sz w:val="20"/>
                <w:szCs w:val="20"/>
                <w:vertAlign w:val="subscript"/>
              </w:rPr>
            </w:pPr>
            <w:r w:rsidRPr="00884D10">
              <w:rPr>
                <w:sz w:val="20"/>
                <w:szCs w:val="20"/>
              </w:rPr>
              <w:t>Record and transfer to Table 13</w:t>
            </w:r>
          </w:p>
        </w:tc>
      </w:tr>
      <w:tr w:rsidR="00F768B0" w:rsidRPr="00884D10" w:rsidTr="00C83E03">
        <w:trPr>
          <w:trHeight w:val="300"/>
          <w:jc w:val="center"/>
        </w:trPr>
        <w:tc>
          <w:tcPr>
            <w:tcW w:w="1323" w:type="dxa"/>
            <w:tcBorders>
              <w:top w:val="nil"/>
              <w:left w:val="single" w:sz="4" w:space="0" w:color="auto"/>
              <w:bottom w:val="single" w:sz="4" w:space="0" w:color="auto"/>
              <w:right w:val="single" w:sz="4" w:space="0" w:color="auto"/>
            </w:tcBorders>
            <w:vAlign w:val="center"/>
          </w:tcPr>
          <w:p w:rsidR="00F768B0" w:rsidRPr="00884D10" w:rsidRDefault="00F768B0" w:rsidP="00C83E03">
            <w:pPr>
              <w:jc w:val="center"/>
              <w:rPr>
                <w:b/>
                <w:bCs/>
                <w:color w:val="000000"/>
              </w:rPr>
            </w:pPr>
            <w:r w:rsidRPr="00884D10">
              <w:rPr>
                <w:b/>
                <w:bCs/>
                <w:color w:val="000000"/>
              </w:rPr>
              <w:t>EW</w:t>
            </w:r>
          </w:p>
        </w:tc>
        <w:tc>
          <w:tcPr>
            <w:tcW w:w="702" w:type="dxa"/>
            <w:tcBorders>
              <w:top w:val="nil"/>
              <w:left w:val="single" w:sz="4" w:space="0" w:color="auto"/>
              <w:bottom w:val="single" w:sz="4" w:space="0" w:color="auto"/>
              <w:right w:val="single" w:sz="4" w:space="0" w:color="auto"/>
            </w:tcBorders>
            <w:shd w:val="clear" w:color="auto" w:fill="auto"/>
            <w:vAlign w:val="center"/>
            <w:hideMark/>
          </w:tcPr>
          <w:p w:rsidR="00F768B0" w:rsidRPr="00884D10" w:rsidRDefault="00F768B0" w:rsidP="00C83E03">
            <w:pPr>
              <w:jc w:val="center"/>
            </w:pPr>
          </w:p>
        </w:tc>
        <w:tc>
          <w:tcPr>
            <w:tcW w:w="692" w:type="dxa"/>
            <w:tcBorders>
              <w:top w:val="nil"/>
              <w:left w:val="nil"/>
              <w:bottom w:val="single" w:sz="4" w:space="0" w:color="auto"/>
              <w:right w:val="single" w:sz="4" w:space="0" w:color="auto"/>
            </w:tcBorders>
            <w:shd w:val="clear" w:color="auto" w:fill="auto"/>
            <w:vAlign w:val="center"/>
            <w:hideMark/>
          </w:tcPr>
          <w:p w:rsidR="00F768B0" w:rsidRPr="00884D10" w:rsidRDefault="00F768B0" w:rsidP="00C83E03">
            <w:pPr>
              <w:jc w:val="center"/>
            </w:pPr>
          </w:p>
        </w:tc>
        <w:tc>
          <w:tcPr>
            <w:tcW w:w="676" w:type="dxa"/>
            <w:tcBorders>
              <w:top w:val="nil"/>
              <w:left w:val="nil"/>
              <w:bottom w:val="single" w:sz="4" w:space="0" w:color="auto"/>
              <w:right w:val="single" w:sz="4" w:space="0" w:color="auto"/>
            </w:tcBorders>
            <w:vAlign w:val="center"/>
          </w:tcPr>
          <w:p w:rsidR="00F768B0" w:rsidRPr="00884D10" w:rsidRDefault="00F768B0" w:rsidP="00C83E03">
            <w:pPr>
              <w:jc w:val="center"/>
            </w:pPr>
          </w:p>
        </w:tc>
        <w:tc>
          <w:tcPr>
            <w:tcW w:w="676" w:type="dxa"/>
            <w:tcBorders>
              <w:top w:val="nil"/>
              <w:left w:val="nil"/>
              <w:bottom w:val="single" w:sz="4" w:space="0" w:color="auto"/>
              <w:right w:val="single" w:sz="4" w:space="0" w:color="auto"/>
            </w:tcBorders>
            <w:vAlign w:val="center"/>
          </w:tcPr>
          <w:p w:rsidR="00F768B0" w:rsidRPr="00884D10" w:rsidRDefault="00F768B0" w:rsidP="00C83E03">
            <w:pPr>
              <w:jc w:val="center"/>
            </w:pPr>
          </w:p>
        </w:tc>
        <w:tc>
          <w:tcPr>
            <w:tcW w:w="676" w:type="dxa"/>
            <w:tcBorders>
              <w:top w:val="nil"/>
              <w:left w:val="nil"/>
              <w:bottom w:val="single" w:sz="4" w:space="0" w:color="auto"/>
              <w:right w:val="single" w:sz="4" w:space="0" w:color="auto"/>
            </w:tcBorders>
            <w:vAlign w:val="center"/>
          </w:tcPr>
          <w:p w:rsidR="00F768B0" w:rsidRPr="00884D10" w:rsidRDefault="00F768B0" w:rsidP="00C83E03">
            <w:pPr>
              <w:jc w:val="center"/>
            </w:pPr>
          </w:p>
        </w:tc>
        <w:tc>
          <w:tcPr>
            <w:tcW w:w="689" w:type="dxa"/>
            <w:tcBorders>
              <w:top w:val="nil"/>
              <w:left w:val="nil"/>
              <w:bottom w:val="single" w:sz="4" w:space="0" w:color="auto"/>
              <w:right w:val="single" w:sz="4" w:space="0" w:color="auto"/>
            </w:tcBorders>
            <w:vAlign w:val="center"/>
          </w:tcPr>
          <w:p w:rsidR="00F768B0" w:rsidRPr="00884D10" w:rsidRDefault="00F768B0" w:rsidP="00C83E03">
            <w:pPr>
              <w:jc w:val="center"/>
            </w:pPr>
          </w:p>
        </w:tc>
        <w:tc>
          <w:tcPr>
            <w:tcW w:w="1854" w:type="dxa"/>
            <w:tcBorders>
              <w:top w:val="nil"/>
              <w:left w:val="nil"/>
              <w:bottom w:val="single" w:sz="4" w:space="0" w:color="auto"/>
              <w:right w:val="single" w:sz="4" w:space="0" w:color="auto"/>
            </w:tcBorders>
          </w:tcPr>
          <w:p w:rsidR="00F768B0" w:rsidRPr="00884D10" w:rsidRDefault="00F768B0" w:rsidP="00C83E03">
            <w:pPr>
              <w:jc w:val="center"/>
            </w:pPr>
            <w:r w:rsidRPr="00884D10">
              <w:rPr>
                <w:sz w:val="20"/>
                <w:szCs w:val="20"/>
              </w:rPr>
              <w:t>Record and transfer to Table 13</w:t>
            </w:r>
          </w:p>
        </w:tc>
      </w:tr>
      <w:tr w:rsidR="00F768B0" w:rsidRPr="00884D10" w:rsidTr="00C83E03">
        <w:trPr>
          <w:trHeight w:val="300"/>
          <w:jc w:val="center"/>
        </w:trPr>
        <w:tc>
          <w:tcPr>
            <w:tcW w:w="1323" w:type="dxa"/>
            <w:tcBorders>
              <w:top w:val="nil"/>
              <w:left w:val="single" w:sz="4" w:space="0" w:color="auto"/>
              <w:bottom w:val="single" w:sz="4" w:space="0" w:color="auto"/>
              <w:right w:val="single" w:sz="4" w:space="0" w:color="auto"/>
            </w:tcBorders>
            <w:vAlign w:val="center"/>
          </w:tcPr>
          <w:p w:rsidR="00F768B0" w:rsidRPr="00884D10" w:rsidRDefault="00F768B0" w:rsidP="00C83E03">
            <w:pPr>
              <w:jc w:val="center"/>
              <w:rPr>
                <w:b/>
                <w:bCs/>
                <w:color w:val="000000"/>
              </w:rPr>
            </w:pPr>
            <w:r w:rsidRPr="00884D10">
              <w:rPr>
                <w:b/>
                <w:bCs/>
                <w:color w:val="000000"/>
              </w:rPr>
              <w:t>SW</w:t>
            </w:r>
          </w:p>
        </w:tc>
        <w:tc>
          <w:tcPr>
            <w:tcW w:w="702" w:type="dxa"/>
            <w:tcBorders>
              <w:top w:val="nil"/>
              <w:left w:val="single" w:sz="4" w:space="0" w:color="auto"/>
              <w:bottom w:val="single" w:sz="4" w:space="0" w:color="auto"/>
              <w:right w:val="single" w:sz="4" w:space="0" w:color="auto"/>
            </w:tcBorders>
            <w:shd w:val="clear" w:color="auto" w:fill="auto"/>
            <w:vAlign w:val="center"/>
            <w:hideMark/>
          </w:tcPr>
          <w:p w:rsidR="00F768B0" w:rsidRPr="00884D10" w:rsidRDefault="00F768B0" w:rsidP="00C83E03">
            <w:pPr>
              <w:jc w:val="center"/>
            </w:pPr>
          </w:p>
        </w:tc>
        <w:tc>
          <w:tcPr>
            <w:tcW w:w="692" w:type="dxa"/>
            <w:tcBorders>
              <w:top w:val="nil"/>
              <w:left w:val="nil"/>
              <w:bottom w:val="single" w:sz="4" w:space="0" w:color="auto"/>
              <w:right w:val="single" w:sz="4" w:space="0" w:color="auto"/>
            </w:tcBorders>
            <w:shd w:val="clear" w:color="auto" w:fill="auto"/>
            <w:vAlign w:val="center"/>
            <w:hideMark/>
          </w:tcPr>
          <w:p w:rsidR="00F768B0" w:rsidRPr="00884D10" w:rsidRDefault="00F768B0" w:rsidP="00C83E03">
            <w:pPr>
              <w:jc w:val="center"/>
            </w:pPr>
          </w:p>
        </w:tc>
        <w:tc>
          <w:tcPr>
            <w:tcW w:w="676" w:type="dxa"/>
            <w:tcBorders>
              <w:top w:val="nil"/>
              <w:left w:val="nil"/>
              <w:bottom w:val="single" w:sz="4" w:space="0" w:color="auto"/>
              <w:right w:val="single" w:sz="4" w:space="0" w:color="auto"/>
            </w:tcBorders>
            <w:vAlign w:val="center"/>
          </w:tcPr>
          <w:p w:rsidR="00F768B0" w:rsidRPr="00884D10" w:rsidRDefault="00F768B0" w:rsidP="00C83E03">
            <w:pPr>
              <w:jc w:val="center"/>
            </w:pPr>
          </w:p>
        </w:tc>
        <w:tc>
          <w:tcPr>
            <w:tcW w:w="676" w:type="dxa"/>
            <w:tcBorders>
              <w:top w:val="nil"/>
              <w:left w:val="nil"/>
              <w:bottom w:val="single" w:sz="4" w:space="0" w:color="auto"/>
              <w:right w:val="single" w:sz="4" w:space="0" w:color="auto"/>
            </w:tcBorders>
            <w:vAlign w:val="center"/>
          </w:tcPr>
          <w:p w:rsidR="00F768B0" w:rsidRPr="00884D10" w:rsidRDefault="00F768B0" w:rsidP="00C83E03">
            <w:pPr>
              <w:jc w:val="center"/>
            </w:pPr>
          </w:p>
        </w:tc>
        <w:tc>
          <w:tcPr>
            <w:tcW w:w="676" w:type="dxa"/>
            <w:tcBorders>
              <w:top w:val="nil"/>
              <w:left w:val="nil"/>
              <w:bottom w:val="single" w:sz="4" w:space="0" w:color="auto"/>
              <w:right w:val="single" w:sz="4" w:space="0" w:color="auto"/>
            </w:tcBorders>
            <w:vAlign w:val="center"/>
          </w:tcPr>
          <w:p w:rsidR="00F768B0" w:rsidRPr="00884D10" w:rsidRDefault="00F768B0" w:rsidP="00C83E03">
            <w:pPr>
              <w:jc w:val="center"/>
            </w:pPr>
          </w:p>
        </w:tc>
        <w:tc>
          <w:tcPr>
            <w:tcW w:w="689" w:type="dxa"/>
            <w:tcBorders>
              <w:top w:val="nil"/>
              <w:left w:val="nil"/>
              <w:bottom w:val="single" w:sz="4" w:space="0" w:color="auto"/>
              <w:right w:val="single" w:sz="4" w:space="0" w:color="auto"/>
            </w:tcBorders>
            <w:vAlign w:val="center"/>
          </w:tcPr>
          <w:p w:rsidR="00F768B0" w:rsidRPr="00884D10" w:rsidRDefault="00F768B0" w:rsidP="00C83E03">
            <w:pPr>
              <w:jc w:val="center"/>
            </w:pPr>
          </w:p>
        </w:tc>
        <w:tc>
          <w:tcPr>
            <w:tcW w:w="1854" w:type="dxa"/>
            <w:tcBorders>
              <w:top w:val="nil"/>
              <w:left w:val="nil"/>
              <w:bottom w:val="single" w:sz="4" w:space="0" w:color="auto"/>
              <w:right w:val="single" w:sz="4" w:space="0" w:color="auto"/>
            </w:tcBorders>
          </w:tcPr>
          <w:p w:rsidR="00F768B0" w:rsidRPr="00884D10" w:rsidRDefault="00F768B0" w:rsidP="00C83E03">
            <w:pPr>
              <w:jc w:val="center"/>
            </w:pPr>
            <w:r w:rsidRPr="00884D10">
              <w:rPr>
                <w:sz w:val="20"/>
                <w:szCs w:val="20"/>
              </w:rPr>
              <w:t>Record and transfer to Table 13</w:t>
            </w:r>
          </w:p>
        </w:tc>
      </w:tr>
      <w:tr w:rsidR="00F768B0" w:rsidRPr="00884D10" w:rsidTr="00C83E03">
        <w:trPr>
          <w:trHeight w:val="300"/>
          <w:jc w:val="center"/>
        </w:trPr>
        <w:tc>
          <w:tcPr>
            <w:tcW w:w="1323" w:type="dxa"/>
            <w:tcBorders>
              <w:top w:val="nil"/>
              <w:left w:val="single" w:sz="4" w:space="0" w:color="auto"/>
              <w:bottom w:val="single" w:sz="4" w:space="0" w:color="auto"/>
              <w:right w:val="single" w:sz="4" w:space="0" w:color="auto"/>
            </w:tcBorders>
            <w:vAlign w:val="center"/>
          </w:tcPr>
          <w:p w:rsidR="00F768B0" w:rsidRPr="00884D10" w:rsidRDefault="00F768B0" w:rsidP="00C83E03">
            <w:pPr>
              <w:jc w:val="center"/>
              <w:rPr>
                <w:b/>
                <w:bCs/>
                <w:color w:val="000000"/>
              </w:rPr>
            </w:pPr>
            <w:r w:rsidRPr="00884D10">
              <w:rPr>
                <w:b/>
                <w:bCs/>
                <w:color w:val="000000"/>
              </w:rPr>
              <w:t>SH</w:t>
            </w:r>
          </w:p>
        </w:tc>
        <w:tc>
          <w:tcPr>
            <w:tcW w:w="702" w:type="dxa"/>
            <w:tcBorders>
              <w:top w:val="nil"/>
              <w:left w:val="single" w:sz="4" w:space="0" w:color="auto"/>
              <w:bottom w:val="single" w:sz="4" w:space="0" w:color="auto"/>
              <w:right w:val="single" w:sz="4" w:space="0" w:color="auto"/>
            </w:tcBorders>
            <w:shd w:val="clear" w:color="auto" w:fill="auto"/>
            <w:vAlign w:val="center"/>
            <w:hideMark/>
          </w:tcPr>
          <w:p w:rsidR="00F768B0" w:rsidRPr="00884D10" w:rsidRDefault="00F768B0" w:rsidP="00C83E03">
            <w:pPr>
              <w:jc w:val="center"/>
            </w:pPr>
          </w:p>
        </w:tc>
        <w:tc>
          <w:tcPr>
            <w:tcW w:w="692" w:type="dxa"/>
            <w:tcBorders>
              <w:top w:val="nil"/>
              <w:left w:val="nil"/>
              <w:bottom w:val="single" w:sz="4" w:space="0" w:color="auto"/>
              <w:right w:val="single" w:sz="4" w:space="0" w:color="auto"/>
            </w:tcBorders>
            <w:shd w:val="clear" w:color="auto" w:fill="auto"/>
            <w:vAlign w:val="center"/>
            <w:hideMark/>
          </w:tcPr>
          <w:p w:rsidR="00F768B0" w:rsidRPr="00884D10" w:rsidRDefault="00F768B0" w:rsidP="00C83E03">
            <w:pPr>
              <w:jc w:val="center"/>
            </w:pPr>
          </w:p>
        </w:tc>
        <w:tc>
          <w:tcPr>
            <w:tcW w:w="676" w:type="dxa"/>
            <w:tcBorders>
              <w:top w:val="nil"/>
              <w:left w:val="nil"/>
              <w:bottom w:val="single" w:sz="4" w:space="0" w:color="auto"/>
              <w:right w:val="single" w:sz="4" w:space="0" w:color="auto"/>
            </w:tcBorders>
            <w:vAlign w:val="center"/>
          </w:tcPr>
          <w:p w:rsidR="00F768B0" w:rsidRPr="00884D10" w:rsidRDefault="00F768B0" w:rsidP="00C83E03">
            <w:pPr>
              <w:jc w:val="center"/>
            </w:pPr>
          </w:p>
        </w:tc>
        <w:tc>
          <w:tcPr>
            <w:tcW w:w="676" w:type="dxa"/>
            <w:tcBorders>
              <w:top w:val="nil"/>
              <w:left w:val="nil"/>
              <w:bottom w:val="single" w:sz="4" w:space="0" w:color="auto"/>
              <w:right w:val="single" w:sz="4" w:space="0" w:color="auto"/>
            </w:tcBorders>
            <w:vAlign w:val="center"/>
          </w:tcPr>
          <w:p w:rsidR="00F768B0" w:rsidRPr="00884D10" w:rsidRDefault="00F768B0" w:rsidP="00C83E03">
            <w:pPr>
              <w:jc w:val="center"/>
            </w:pPr>
          </w:p>
        </w:tc>
        <w:tc>
          <w:tcPr>
            <w:tcW w:w="676" w:type="dxa"/>
            <w:tcBorders>
              <w:top w:val="nil"/>
              <w:left w:val="nil"/>
              <w:bottom w:val="single" w:sz="4" w:space="0" w:color="auto"/>
              <w:right w:val="single" w:sz="4" w:space="0" w:color="auto"/>
            </w:tcBorders>
            <w:vAlign w:val="center"/>
          </w:tcPr>
          <w:p w:rsidR="00F768B0" w:rsidRPr="00884D10" w:rsidRDefault="00F768B0" w:rsidP="00C83E03">
            <w:pPr>
              <w:jc w:val="center"/>
            </w:pPr>
          </w:p>
        </w:tc>
        <w:tc>
          <w:tcPr>
            <w:tcW w:w="689" w:type="dxa"/>
            <w:tcBorders>
              <w:top w:val="nil"/>
              <w:left w:val="nil"/>
              <w:bottom w:val="single" w:sz="4" w:space="0" w:color="auto"/>
              <w:right w:val="single" w:sz="4" w:space="0" w:color="auto"/>
            </w:tcBorders>
            <w:vAlign w:val="center"/>
          </w:tcPr>
          <w:p w:rsidR="00F768B0" w:rsidRPr="00884D10" w:rsidRDefault="00F768B0" w:rsidP="00C83E03">
            <w:pPr>
              <w:jc w:val="center"/>
            </w:pPr>
          </w:p>
        </w:tc>
        <w:tc>
          <w:tcPr>
            <w:tcW w:w="1854" w:type="dxa"/>
            <w:tcBorders>
              <w:top w:val="nil"/>
              <w:left w:val="nil"/>
              <w:bottom w:val="single" w:sz="4" w:space="0" w:color="auto"/>
              <w:right w:val="single" w:sz="4" w:space="0" w:color="auto"/>
            </w:tcBorders>
          </w:tcPr>
          <w:p w:rsidR="00F768B0" w:rsidRPr="00884D10" w:rsidRDefault="00F768B0" w:rsidP="00C83E03">
            <w:pPr>
              <w:jc w:val="center"/>
            </w:pPr>
            <w:r w:rsidRPr="00884D10">
              <w:rPr>
                <w:sz w:val="20"/>
                <w:szCs w:val="20"/>
              </w:rPr>
              <w:t>Record and transfer to Table 13</w:t>
            </w:r>
          </w:p>
        </w:tc>
      </w:tr>
    </w:tbl>
    <w:p w:rsidR="00F768B0" w:rsidRPr="00884D10" w:rsidRDefault="00F768B0" w:rsidP="00F768B0">
      <w:pPr>
        <w:jc w:val="center"/>
        <w:rPr>
          <w:iCs/>
        </w:rPr>
      </w:pPr>
    </w:p>
    <w:p w:rsidR="00F768B0" w:rsidRPr="00884D10" w:rsidRDefault="00F768B0" w:rsidP="00F768B0">
      <w:pPr>
        <w:jc w:val="center"/>
        <w:rPr>
          <w:b/>
        </w:rPr>
      </w:pPr>
      <w:r w:rsidRPr="00884D10">
        <w:rPr>
          <w:b/>
        </w:rPr>
        <w:t>Table 17: Potential emissions for CH</w:t>
      </w:r>
      <w:r w:rsidRPr="00884D10">
        <w:rPr>
          <w:b/>
          <w:vertAlign w:val="subscript"/>
        </w:rPr>
        <w:t>4</w:t>
      </w:r>
      <w:r w:rsidRPr="00884D10">
        <w:rPr>
          <w:b/>
        </w:rPr>
        <w:t xml:space="preserve"> in EDS (t ha</w:t>
      </w:r>
      <w:r w:rsidRPr="00884D10">
        <w:rPr>
          <w:b/>
          <w:vertAlign w:val="superscript"/>
        </w:rPr>
        <w:t>-1</w:t>
      </w:r>
      <w:r w:rsidRPr="00884D10">
        <w:rPr>
          <w:b/>
        </w:rPr>
        <w:t>)</w:t>
      </w:r>
    </w:p>
    <w:p w:rsidR="00F768B0" w:rsidRPr="00884D10" w:rsidRDefault="00F768B0" w:rsidP="00F768B0">
      <w:pPr>
        <w:jc w:val="center"/>
        <w:rPr>
          <w:b/>
        </w:rPr>
      </w:pPr>
    </w:p>
    <w:tbl>
      <w:tblPr>
        <w:tblW w:w="9016" w:type="dxa"/>
        <w:jc w:val="center"/>
        <w:tblLook w:val="0000" w:firstRow="0" w:lastRow="0" w:firstColumn="0" w:lastColumn="0" w:noHBand="0" w:noVBand="0"/>
      </w:tblPr>
      <w:tblGrid>
        <w:gridCol w:w="1700"/>
        <w:gridCol w:w="1556"/>
        <w:gridCol w:w="1559"/>
        <w:gridCol w:w="1599"/>
        <w:gridCol w:w="1418"/>
        <w:gridCol w:w="1184"/>
      </w:tblGrid>
      <w:tr w:rsidR="00F768B0" w:rsidRPr="00884D10" w:rsidTr="00C83E03">
        <w:trPr>
          <w:trHeight w:val="255"/>
          <w:jc w:val="center"/>
        </w:trPr>
        <w:tc>
          <w:tcPr>
            <w:tcW w:w="1700" w:type="dxa"/>
            <w:vMerge w:val="restart"/>
            <w:tcBorders>
              <w:top w:val="single" w:sz="4" w:space="0" w:color="auto"/>
              <w:left w:val="single" w:sz="4" w:space="0" w:color="auto"/>
              <w:right w:val="single" w:sz="4" w:space="0" w:color="auto"/>
            </w:tcBorders>
            <w:shd w:val="clear" w:color="auto" w:fill="auto"/>
            <w:noWrap/>
            <w:vAlign w:val="center"/>
          </w:tcPr>
          <w:p w:rsidR="00F768B0" w:rsidRPr="00884D10" w:rsidRDefault="00F768B0" w:rsidP="00C83E03">
            <w:pPr>
              <w:jc w:val="center"/>
              <w:rPr>
                <w:b/>
              </w:rPr>
            </w:pPr>
            <w:r w:rsidRPr="00884D10">
              <w:rPr>
                <w:b/>
              </w:rPr>
              <w:t>Vegetation class</w:t>
            </w:r>
          </w:p>
        </w:tc>
        <w:tc>
          <w:tcPr>
            <w:tcW w:w="731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F768B0" w:rsidRPr="00884D10" w:rsidRDefault="00F768B0" w:rsidP="00C83E03">
            <w:pPr>
              <w:jc w:val="center"/>
              <w:rPr>
                <w:b/>
              </w:rPr>
            </w:pPr>
            <w:r w:rsidRPr="00884D10">
              <w:rPr>
                <w:b/>
              </w:rPr>
              <w:t>Fuel size class</w:t>
            </w:r>
          </w:p>
        </w:tc>
      </w:tr>
      <w:tr w:rsidR="00F768B0" w:rsidRPr="00884D10" w:rsidTr="00C83E03">
        <w:trPr>
          <w:trHeight w:val="255"/>
          <w:jc w:val="center"/>
        </w:trPr>
        <w:tc>
          <w:tcPr>
            <w:tcW w:w="1700" w:type="dxa"/>
            <w:vMerge/>
            <w:tcBorders>
              <w:left w:val="single" w:sz="4" w:space="0" w:color="auto"/>
              <w:bottom w:val="single" w:sz="4" w:space="0" w:color="auto"/>
              <w:right w:val="single" w:sz="4" w:space="0" w:color="auto"/>
            </w:tcBorders>
            <w:shd w:val="clear" w:color="auto" w:fill="auto"/>
            <w:noWrap/>
            <w:vAlign w:val="center"/>
          </w:tcPr>
          <w:p w:rsidR="00F768B0" w:rsidRPr="00884D10" w:rsidRDefault="00F768B0" w:rsidP="00C83E03">
            <w:pPr>
              <w:jc w:val="center"/>
              <w:rPr>
                <w:b/>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68B0" w:rsidRPr="00884D10" w:rsidRDefault="00F768B0" w:rsidP="00C83E03">
            <w:pPr>
              <w:jc w:val="center"/>
              <w:rPr>
                <w:b/>
              </w:rPr>
            </w:pPr>
            <w:r w:rsidRPr="00884D10">
              <w:rPr>
                <w:b/>
              </w:rPr>
              <w:t>Fine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68B0" w:rsidRPr="00884D10" w:rsidRDefault="00F768B0" w:rsidP="00C83E03">
            <w:pPr>
              <w:jc w:val="center"/>
              <w:rPr>
                <w:b/>
              </w:rPr>
            </w:pPr>
            <w:r w:rsidRPr="00884D10">
              <w:rPr>
                <w:b/>
              </w:rPr>
              <w:t>Coarse</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68B0" w:rsidRPr="00884D10" w:rsidRDefault="00F768B0" w:rsidP="00C83E03">
            <w:pPr>
              <w:jc w:val="center"/>
              <w:rPr>
                <w:b/>
              </w:rPr>
            </w:pPr>
            <w:r w:rsidRPr="00884D10">
              <w:rPr>
                <w:b/>
              </w:rPr>
              <w:t>Heavy</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68B0" w:rsidRPr="00884D10" w:rsidRDefault="00F768B0" w:rsidP="00C83E03">
            <w:pPr>
              <w:jc w:val="center"/>
              <w:rPr>
                <w:b/>
              </w:rPr>
            </w:pPr>
            <w:r w:rsidRPr="00884D10">
              <w:rPr>
                <w:b/>
              </w:rPr>
              <w:t>Shrub</w:t>
            </w:r>
          </w:p>
        </w:tc>
        <w:tc>
          <w:tcPr>
            <w:tcW w:w="1184" w:type="dxa"/>
            <w:tcBorders>
              <w:top w:val="single" w:sz="4" w:space="0" w:color="auto"/>
              <w:left w:val="single" w:sz="4" w:space="0" w:color="auto"/>
              <w:bottom w:val="single" w:sz="4" w:space="0" w:color="auto"/>
              <w:right w:val="single" w:sz="4" w:space="0" w:color="auto"/>
            </w:tcBorders>
            <w:vAlign w:val="center"/>
          </w:tcPr>
          <w:p w:rsidR="00F768B0" w:rsidRPr="00884D10" w:rsidRDefault="00F768B0" w:rsidP="00C83E03">
            <w:pPr>
              <w:jc w:val="center"/>
              <w:rPr>
                <w:b/>
              </w:rPr>
            </w:pPr>
            <w:r w:rsidRPr="00884D10">
              <w:rPr>
                <w:b/>
              </w:rPr>
              <w:t>Total</w:t>
            </w:r>
          </w:p>
        </w:tc>
      </w:tr>
      <w:tr w:rsidR="00F768B0" w:rsidRPr="00884D10" w:rsidTr="00C83E03">
        <w:trPr>
          <w:trHeight w:val="315"/>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68B0" w:rsidRPr="00884D10" w:rsidRDefault="00F768B0" w:rsidP="00C83E03">
            <w:pPr>
              <w:jc w:val="center"/>
              <w:rPr>
                <w:b/>
              </w:rPr>
            </w:pPr>
            <w:r w:rsidRPr="00884D10">
              <w:rPr>
                <w:b/>
              </w:rPr>
              <w:t>EOF</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68B0" w:rsidRPr="00884D10" w:rsidRDefault="00F768B0" w:rsidP="00C83E03">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68B0" w:rsidRPr="00884D10" w:rsidRDefault="00F768B0" w:rsidP="00C83E03">
            <w:pPr>
              <w:jc w:val="center"/>
            </w:pPr>
          </w:p>
        </w:tc>
        <w:tc>
          <w:tcPr>
            <w:tcW w:w="159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768B0" w:rsidRPr="00884D10" w:rsidRDefault="00F768B0" w:rsidP="00C83E03">
            <w:pPr>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68B0" w:rsidRPr="00884D10" w:rsidRDefault="00F768B0" w:rsidP="00C83E03">
            <w:pPr>
              <w:jc w:val="center"/>
            </w:pPr>
          </w:p>
        </w:tc>
        <w:tc>
          <w:tcPr>
            <w:tcW w:w="1184" w:type="dxa"/>
            <w:tcBorders>
              <w:top w:val="single" w:sz="4" w:space="0" w:color="auto"/>
              <w:left w:val="single" w:sz="4" w:space="0" w:color="auto"/>
              <w:bottom w:val="single" w:sz="4" w:space="0" w:color="auto"/>
              <w:right w:val="single" w:sz="4" w:space="0" w:color="auto"/>
            </w:tcBorders>
            <w:vAlign w:val="center"/>
          </w:tcPr>
          <w:p w:rsidR="00F768B0" w:rsidRPr="00884D10" w:rsidRDefault="00F768B0" w:rsidP="00C83E03">
            <w:pPr>
              <w:jc w:val="center"/>
            </w:pPr>
          </w:p>
        </w:tc>
      </w:tr>
      <w:tr w:rsidR="00F768B0" w:rsidRPr="00884D10" w:rsidTr="00C83E03">
        <w:trPr>
          <w:trHeight w:val="315"/>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68B0" w:rsidRPr="00884D10" w:rsidRDefault="00F768B0" w:rsidP="00C83E03">
            <w:pPr>
              <w:jc w:val="center"/>
              <w:rPr>
                <w:b/>
              </w:rPr>
            </w:pPr>
            <w:r w:rsidRPr="00884D10">
              <w:rPr>
                <w:b/>
              </w:rPr>
              <w:t>EW</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68B0" w:rsidRPr="00884D10" w:rsidRDefault="00F768B0" w:rsidP="00C83E03">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68B0" w:rsidRPr="00884D10" w:rsidRDefault="00F768B0" w:rsidP="00C83E03">
            <w:pPr>
              <w:jc w:val="center"/>
            </w:pPr>
          </w:p>
        </w:tc>
        <w:tc>
          <w:tcPr>
            <w:tcW w:w="159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768B0" w:rsidRPr="00884D10" w:rsidRDefault="00F768B0" w:rsidP="00C83E03">
            <w:pPr>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68B0" w:rsidRPr="00884D10" w:rsidRDefault="00F768B0" w:rsidP="00C83E03">
            <w:pPr>
              <w:jc w:val="center"/>
            </w:pPr>
          </w:p>
        </w:tc>
        <w:tc>
          <w:tcPr>
            <w:tcW w:w="1184" w:type="dxa"/>
            <w:tcBorders>
              <w:top w:val="single" w:sz="4" w:space="0" w:color="auto"/>
              <w:left w:val="single" w:sz="4" w:space="0" w:color="auto"/>
              <w:bottom w:val="single" w:sz="4" w:space="0" w:color="auto"/>
              <w:right w:val="single" w:sz="4" w:space="0" w:color="auto"/>
            </w:tcBorders>
            <w:vAlign w:val="center"/>
          </w:tcPr>
          <w:p w:rsidR="00F768B0" w:rsidRPr="00884D10" w:rsidRDefault="00F768B0" w:rsidP="00C83E03">
            <w:pPr>
              <w:jc w:val="center"/>
            </w:pPr>
          </w:p>
        </w:tc>
      </w:tr>
      <w:tr w:rsidR="00F768B0" w:rsidRPr="00884D10" w:rsidTr="00C83E03">
        <w:trPr>
          <w:trHeight w:val="315"/>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68B0" w:rsidRPr="00884D10" w:rsidRDefault="00F768B0" w:rsidP="00C83E03">
            <w:pPr>
              <w:jc w:val="center"/>
              <w:rPr>
                <w:b/>
              </w:rPr>
            </w:pPr>
            <w:r w:rsidRPr="00884D10">
              <w:rPr>
                <w:b/>
              </w:rPr>
              <w:t>SW</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68B0" w:rsidRPr="00884D10" w:rsidRDefault="00F768B0" w:rsidP="00C83E03">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68B0" w:rsidRPr="00884D10" w:rsidRDefault="00F768B0" w:rsidP="00C83E03">
            <w:pPr>
              <w:jc w:val="center"/>
            </w:pPr>
          </w:p>
        </w:tc>
        <w:tc>
          <w:tcPr>
            <w:tcW w:w="159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768B0" w:rsidRPr="00884D10" w:rsidRDefault="00F768B0" w:rsidP="00C83E03">
            <w:pPr>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68B0" w:rsidRPr="00884D10" w:rsidRDefault="00F768B0" w:rsidP="00C83E03">
            <w:pPr>
              <w:jc w:val="center"/>
            </w:pPr>
          </w:p>
        </w:tc>
        <w:tc>
          <w:tcPr>
            <w:tcW w:w="1184" w:type="dxa"/>
            <w:tcBorders>
              <w:top w:val="single" w:sz="4" w:space="0" w:color="auto"/>
              <w:left w:val="single" w:sz="4" w:space="0" w:color="auto"/>
              <w:bottom w:val="single" w:sz="4" w:space="0" w:color="auto"/>
              <w:right w:val="single" w:sz="4" w:space="0" w:color="auto"/>
            </w:tcBorders>
            <w:vAlign w:val="center"/>
          </w:tcPr>
          <w:p w:rsidR="00F768B0" w:rsidRPr="00884D10" w:rsidRDefault="00F768B0" w:rsidP="00C83E03">
            <w:pPr>
              <w:jc w:val="center"/>
            </w:pPr>
          </w:p>
        </w:tc>
      </w:tr>
      <w:tr w:rsidR="00F768B0" w:rsidRPr="00884D10" w:rsidTr="00C83E03">
        <w:trPr>
          <w:trHeight w:val="315"/>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68B0" w:rsidRPr="00884D10" w:rsidRDefault="00F768B0" w:rsidP="00C83E03">
            <w:pPr>
              <w:jc w:val="center"/>
              <w:rPr>
                <w:b/>
              </w:rPr>
            </w:pPr>
            <w:r w:rsidRPr="00884D10">
              <w:rPr>
                <w:b/>
              </w:rPr>
              <w:t>SH</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68B0" w:rsidRPr="00884D10" w:rsidRDefault="00F768B0" w:rsidP="00C83E03">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68B0" w:rsidRPr="00884D10" w:rsidRDefault="00F768B0" w:rsidP="00C83E03">
            <w:pPr>
              <w:jc w:val="center"/>
            </w:pPr>
          </w:p>
        </w:tc>
        <w:tc>
          <w:tcPr>
            <w:tcW w:w="159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768B0" w:rsidRPr="00884D10" w:rsidRDefault="00F768B0" w:rsidP="00C83E03">
            <w:pPr>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68B0" w:rsidRPr="00884D10" w:rsidRDefault="00F768B0" w:rsidP="00C83E03">
            <w:pPr>
              <w:jc w:val="center"/>
            </w:pPr>
          </w:p>
        </w:tc>
        <w:tc>
          <w:tcPr>
            <w:tcW w:w="1184" w:type="dxa"/>
            <w:tcBorders>
              <w:top w:val="single" w:sz="4" w:space="0" w:color="auto"/>
              <w:left w:val="single" w:sz="4" w:space="0" w:color="auto"/>
              <w:bottom w:val="single" w:sz="4" w:space="0" w:color="auto"/>
              <w:right w:val="single" w:sz="4" w:space="0" w:color="auto"/>
            </w:tcBorders>
            <w:vAlign w:val="center"/>
          </w:tcPr>
          <w:p w:rsidR="00F768B0" w:rsidRPr="00884D10" w:rsidRDefault="00F768B0" w:rsidP="00C83E03">
            <w:pPr>
              <w:jc w:val="center"/>
            </w:pPr>
          </w:p>
        </w:tc>
      </w:tr>
    </w:tbl>
    <w:p w:rsidR="00F768B0" w:rsidRPr="00884D10" w:rsidRDefault="00F768B0" w:rsidP="00F768B0">
      <w:pPr>
        <w:pStyle w:val="BodyTextIndent"/>
        <w:spacing w:after="0"/>
        <w:ind w:left="0"/>
        <w:rPr>
          <w:b/>
          <w:sz w:val="22"/>
          <w:szCs w:val="22"/>
        </w:rPr>
      </w:pPr>
    </w:p>
    <w:p w:rsidR="00F768B0" w:rsidRPr="00884D10" w:rsidRDefault="00F768B0" w:rsidP="00F768B0">
      <w:pPr>
        <w:pStyle w:val="BodyTextIndent"/>
        <w:spacing w:after="0"/>
        <w:ind w:left="0"/>
        <w:jc w:val="center"/>
        <w:rPr>
          <w:b/>
        </w:rPr>
      </w:pPr>
      <w:r w:rsidRPr="00884D10">
        <w:rPr>
          <w:b/>
        </w:rPr>
        <w:t>Table 18: Potential emissions for CH</w:t>
      </w:r>
      <w:r w:rsidRPr="00884D10">
        <w:rPr>
          <w:b/>
          <w:vertAlign w:val="subscript"/>
        </w:rPr>
        <w:t>4</w:t>
      </w:r>
      <w:r w:rsidRPr="00884D10">
        <w:rPr>
          <w:b/>
        </w:rPr>
        <w:t xml:space="preserve"> in LDS (t ha</w:t>
      </w:r>
      <w:r w:rsidRPr="00884D10">
        <w:rPr>
          <w:b/>
          <w:vertAlign w:val="superscript"/>
        </w:rPr>
        <w:t>-1</w:t>
      </w:r>
      <w:r w:rsidRPr="00884D10">
        <w:rPr>
          <w:b/>
        </w:rPr>
        <w:t>)</w:t>
      </w:r>
    </w:p>
    <w:p w:rsidR="00F768B0" w:rsidRPr="00884D10" w:rsidRDefault="00F768B0" w:rsidP="00F768B0">
      <w:pPr>
        <w:pStyle w:val="BodyTextIndent"/>
        <w:spacing w:after="0"/>
        <w:ind w:left="0"/>
        <w:jc w:val="center"/>
        <w:rPr>
          <w:b/>
        </w:rPr>
      </w:pPr>
    </w:p>
    <w:tbl>
      <w:tblPr>
        <w:tblW w:w="9011" w:type="dxa"/>
        <w:jc w:val="center"/>
        <w:tblLook w:val="0000" w:firstRow="0" w:lastRow="0" w:firstColumn="0" w:lastColumn="0" w:noHBand="0" w:noVBand="0"/>
      </w:tblPr>
      <w:tblGrid>
        <w:gridCol w:w="1700"/>
        <w:gridCol w:w="1555"/>
        <w:gridCol w:w="1558"/>
        <w:gridCol w:w="1598"/>
        <w:gridCol w:w="1417"/>
        <w:gridCol w:w="1183"/>
      </w:tblGrid>
      <w:tr w:rsidR="00F768B0" w:rsidRPr="00884D10" w:rsidTr="00C83E03">
        <w:trPr>
          <w:trHeight w:val="255"/>
          <w:jc w:val="center"/>
        </w:trPr>
        <w:tc>
          <w:tcPr>
            <w:tcW w:w="1700" w:type="dxa"/>
            <w:vMerge w:val="restart"/>
            <w:tcBorders>
              <w:top w:val="single" w:sz="4" w:space="0" w:color="auto"/>
              <w:left w:val="single" w:sz="4" w:space="0" w:color="auto"/>
              <w:right w:val="single" w:sz="4" w:space="0" w:color="auto"/>
            </w:tcBorders>
            <w:shd w:val="clear" w:color="auto" w:fill="auto"/>
            <w:noWrap/>
            <w:vAlign w:val="center"/>
          </w:tcPr>
          <w:p w:rsidR="00F768B0" w:rsidRPr="00884D10" w:rsidRDefault="00F768B0" w:rsidP="00C83E03">
            <w:pPr>
              <w:jc w:val="center"/>
              <w:rPr>
                <w:b/>
              </w:rPr>
            </w:pPr>
            <w:r w:rsidRPr="00884D10">
              <w:rPr>
                <w:b/>
              </w:rPr>
              <w:t>Vegetation class</w:t>
            </w:r>
          </w:p>
        </w:tc>
        <w:tc>
          <w:tcPr>
            <w:tcW w:w="731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F768B0" w:rsidRPr="00884D10" w:rsidRDefault="00F768B0" w:rsidP="00C83E03">
            <w:pPr>
              <w:jc w:val="center"/>
              <w:rPr>
                <w:b/>
              </w:rPr>
            </w:pPr>
            <w:r w:rsidRPr="00884D10">
              <w:rPr>
                <w:b/>
              </w:rPr>
              <w:t>Fuel size class</w:t>
            </w:r>
          </w:p>
        </w:tc>
      </w:tr>
      <w:tr w:rsidR="00F768B0" w:rsidRPr="00884D10" w:rsidTr="00C83E03">
        <w:trPr>
          <w:trHeight w:val="255"/>
          <w:jc w:val="center"/>
        </w:trPr>
        <w:tc>
          <w:tcPr>
            <w:tcW w:w="1700" w:type="dxa"/>
            <w:vMerge/>
            <w:tcBorders>
              <w:left w:val="single" w:sz="4" w:space="0" w:color="auto"/>
              <w:bottom w:val="single" w:sz="4" w:space="0" w:color="auto"/>
              <w:right w:val="single" w:sz="4" w:space="0" w:color="auto"/>
            </w:tcBorders>
            <w:shd w:val="clear" w:color="auto" w:fill="auto"/>
            <w:noWrap/>
            <w:vAlign w:val="center"/>
          </w:tcPr>
          <w:p w:rsidR="00F768B0" w:rsidRPr="00884D10" w:rsidRDefault="00F768B0" w:rsidP="00C83E03">
            <w:pPr>
              <w:jc w:val="center"/>
              <w:rPr>
                <w:b/>
              </w:rPr>
            </w:pP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68B0" w:rsidRPr="00884D10" w:rsidRDefault="00F768B0" w:rsidP="00C83E03">
            <w:pPr>
              <w:jc w:val="center"/>
              <w:rPr>
                <w:b/>
              </w:rPr>
            </w:pPr>
            <w:r w:rsidRPr="00884D10">
              <w:rPr>
                <w:b/>
              </w:rPr>
              <w:t>Fine</w:t>
            </w:r>
          </w:p>
        </w:tc>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68B0" w:rsidRPr="00884D10" w:rsidRDefault="00F768B0" w:rsidP="00C83E03">
            <w:pPr>
              <w:jc w:val="center"/>
              <w:rPr>
                <w:b/>
              </w:rPr>
            </w:pPr>
            <w:r w:rsidRPr="00884D10">
              <w:rPr>
                <w:b/>
              </w:rPr>
              <w:t>Coarse</w:t>
            </w:r>
          </w:p>
        </w:tc>
        <w:tc>
          <w:tcPr>
            <w:tcW w:w="15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68B0" w:rsidRPr="00884D10" w:rsidRDefault="00F768B0" w:rsidP="00C83E03">
            <w:pPr>
              <w:jc w:val="center"/>
              <w:rPr>
                <w:b/>
              </w:rPr>
            </w:pPr>
            <w:r w:rsidRPr="00884D10">
              <w:rPr>
                <w:b/>
              </w:rPr>
              <w:t>Heavy</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68B0" w:rsidRPr="00884D10" w:rsidRDefault="00F768B0" w:rsidP="00C83E03">
            <w:pPr>
              <w:jc w:val="center"/>
              <w:rPr>
                <w:b/>
              </w:rPr>
            </w:pPr>
            <w:r w:rsidRPr="00884D10">
              <w:rPr>
                <w:b/>
              </w:rPr>
              <w:t>Shrub</w:t>
            </w:r>
          </w:p>
        </w:tc>
        <w:tc>
          <w:tcPr>
            <w:tcW w:w="1183" w:type="dxa"/>
            <w:tcBorders>
              <w:top w:val="single" w:sz="4" w:space="0" w:color="auto"/>
              <w:left w:val="single" w:sz="4" w:space="0" w:color="auto"/>
              <w:bottom w:val="single" w:sz="4" w:space="0" w:color="auto"/>
              <w:right w:val="single" w:sz="4" w:space="0" w:color="auto"/>
            </w:tcBorders>
            <w:vAlign w:val="center"/>
          </w:tcPr>
          <w:p w:rsidR="00F768B0" w:rsidRPr="00884D10" w:rsidRDefault="00F768B0" w:rsidP="00C83E03">
            <w:pPr>
              <w:jc w:val="center"/>
              <w:rPr>
                <w:b/>
              </w:rPr>
            </w:pPr>
            <w:r w:rsidRPr="00884D10">
              <w:rPr>
                <w:b/>
              </w:rPr>
              <w:t>Total</w:t>
            </w:r>
          </w:p>
        </w:tc>
      </w:tr>
      <w:tr w:rsidR="00F768B0" w:rsidRPr="00884D10" w:rsidTr="00C83E03">
        <w:trPr>
          <w:trHeight w:val="315"/>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68B0" w:rsidRPr="00884D10" w:rsidRDefault="00F768B0" w:rsidP="00C83E03">
            <w:pPr>
              <w:jc w:val="center"/>
              <w:rPr>
                <w:b/>
              </w:rPr>
            </w:pPr>
            <w:r w:rsidRPr="00884D10">
              <w:rPr>
                <w:b/>
              </w:rPr>
              <w:t>EOF</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68B0" w:rsidRPr="00884D10" w:rsidRDefault="00F768B0" w:rsidP="00C83E03">
            <w:pPr>
              <w:jc w:val="center"/>
            </w:pPr>
          </w:p>
        </w:tc>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68B0" w:rsidRPr="00884D10" w:rsidRDefault="00F768B0" w:rsidP="00C83E03">
            <w:pPr>
              <w:jc w:val="center"/>
            </w:pPr>
          </w:p>
        </w:tc>
        <w:tc>
          <w:tcPr>
            <w:tcW w:w="159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768B0" w:rsidRPr="00884D10" w:rsidRDefault="00F768B0" w:rsidP="00C83E03">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68B0" w:rsidRPr="00884D10" w:rsidRDefault="00F768B0" w:rsidP="00C83E03">
            <w:pPr>
              <w:jc w:val="center"/>
            </w:pPr>
          </w:p>
        </w:tc>
        <w:tc>
          <w:tcPr>
            <w:tcW w:w="1183" w:type="dxa"/>
            <w:tcBorders>
              <w:top w:val="single" w:sz="4" w:space="0" w:color="auto"/>
              <w:left w:val="single" w:sz="4" w:space="0" w:color="auto"/>
              <w:bottom w:val="single" w:sz="4" w:space="0" w:color="auto"/>
              <w:right w:val="single" w:sz="4" w:space="0" w:color="auto"/>
            </w:tcBorders>
            <w:vAlign w:val="center"/>
          </w:tcPr>
          <w:p w:rsidR="00F768B0" w:rsidRPr="00884D10" w:rsidRDefault="00F768B0" w:rsidP="00C83E03">
            <w:pPr>
              <w:jc w:val="center"/>
            </w:pPr>
          </w:p>
        </w:tc>
      </w:tr>
      <w:tr w:rsidR="00F768B0" w:rsidRPr="00884D10" w:rsidTr="00C83E03">
        <w:trPr>
          <w:trHeight w:val="315"/>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68B0" w:rsidRPr="00884D10" w:rsidRDefault="00F768B0" w:rsidP="00C83E03">
            <w:pPr>
              <w:jc w:val="center"/>
              <w:rPr>
                <w:b/>
              </w:rPr>
            </w:pPr>
            <w:r w:rsidRPr="00884D10">
              <w:rPr>
                <w:b/>
              </w:rPr>
              <w:t>EW</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68B0" w:rsidRPr="00884D10" w:rsidRDefault="00F768B0" w:rsidP="00C83E03">
            <w:pPr>
              <w:jc w:val="center"/>
            </w:pPr>
          </w:p>
        </w:tc>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68B0" w:rsidRPr="00884D10" w:rsidRDefault="00F768B0" w:rsidP="00C83E03">
            <w:pPr>
              <w:jc w:val="center"/>
            </w:pPr>
          </w:p>
        </w:tc>
        <w:tc>
          <w:tcPr>
            <w:tcW w:w="159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768B0" w:rsidRPr="00884D10" w:rsidRDefault="00F768B0" w:rsidP="00C83E03">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68B0" w:rsidRPr="00884D10" w:rsidRDefault="00F768B0" w:rsidP="00C83E03">
            <w:pPr>
              <w:jc w:val="center"/>
            </w:pPr>
          </w:p>
        </w:tc>
        <w:tc>
          <w:tcPr>
            <w:tcW w:w="1183" w:type="dxa"/>
            <w:tcBorders>
              <w:top w:val="single" w:sz="4" w:space="0" w:color="auto"/>
              <w:left w:val="single" w:sz="4" w:space="0" w:color="auto"/>
              <w:bottom w:val="single" w:sz="4" w:space="0" w:color="auto"/>
              <w:right w:val="single" w:sz="4" w:space="0" w:color="auto"/>
            </w:tcBorders>
            <w:vAlign w:val="center"/>
          </w:tcPr>
          <w:p w:rsidR="00F768B0" w:rsidRPr="00884D10" w:rsidRDefault="00F768B0" w:rsidP="00C83E03">
            <w:pPr>
              <w:jc w:val="center"/>
            </w:pPr>
          </w:p>
        </w:tc>
      </w:tr>
      <w:tr w:rsidR="00F768B0" w:rsidRPr="00884D10" w:rsidTr="00C83E03">
        <w:trPr>
          <w:trHeight w:val="315"/>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68B0" w:rsidRPr="00884D10" w:rsidRDefault="00F768B0" w:rsidP="00C83E03">
            <w:pPr>
              <w:jc w:val="center"/>
              <w:rPr>
                <w:b/>
              </w:rPr>
            </w:pPr>
            <w:r w:rsidRPr="00884D10">
              <w:rPr>
                <w:b/>
              </w:rPr>
              <w:t>SW</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68B0" w:rsidRPr="00884D10" w:rsidRDefault="00F768B0" w:rsidP="00C83E03">
            <w:pPr>
              <w:jc w:val="center"/>
            </w:pPr>
          </w:p>
        </w:tc>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68B0" w:rsidRPr="00884D10" w:rsidRDefault="00F768B0" w:rsidP="00C83E03">
            <w:pPr>
              <w:jc w:val="center"/>
            </w:pPr>
          </w:p>
        </w:tc>
        <w:tc>
          <w:tcPr>
            <w:tcW w:w="159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768B0" w:rsidRPr="00884D10" w:rsidRDefault="00F768B0" w:rsidP="00C83E03">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68B0" w:rsidRPr="00884D10" w:rsidRDefault="00F768B0" w:rsidP="00C83E03">
            <w:pPr>
              <w:jc w:val="center"/>
            </w:pPr>
          </w:p>
        </w:tc>
        <w:tc>
          <w:tcPr>
            <w:tcW w:w="1183" w:type="dxa"/>
            <w:tcBorders>
              <w:top w:val="single" w:sz="4" w:space="0" w:color="auto"/>
              <w:left w:val="single" w:sz="4" w:space="0" w:color="auto"/>
              <w:bottom w:val="single" w:sz="4" w:space="0" w:color="auto"/>
              <w:right w:val="single" w:sz="4" w:space="0" w:color="auto"/>
            </w:tcBorders>
            <w:vAlign w:val="center"/>
          </w:tcPr>
          <w:p w:rsidR="00F768B0" w:rsidRPr="00884D10" w:rsidRDefault="00F768B0" w:rsidP="00C83E03">
            <w:pPr>
              <w:jc w:val="center"/>
            </w:pPr>
          </w:p>
        </w:tc>
      </w:tr>
      <w:tr w:rsidR="00F768B0" w:rsidRPr="00884D10" w:rsidTr="00C83E03">
        <w:trPr>
          <w:trHeight w:val="315"/>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68B0" w:rsidRPr="00884D10" w:rsidRDefault="00F768B0" w:rsidP="00C83E03">
            <w:pPr>
              <w:jc w:val="center"/>
              <w:rPr>
                <w:b/>
              </w:rPr>
            </w:pPr>
            <w:r w:rsidRPr="00884D10">
              <w:rPr>
                <w:b/>
              </w:rPr>
              <w:t>SH</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68B0" w:rsidRPr="00884D10" w:rsidRDefault="00F768B0" w:rsidP="00C83E03">
            <w:pPr>
              <w:jc w:val="center"/>
            </w:pPr>
          </w:p>
        </w:tc>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68B0" w:rsidRPr="00884D10" w:rsidRDefault="00F768B0" w:rsidP="00C83E03">
            <w:pPr>
              <w:jc w:val="center"/>
            </w:pPr>
          </w:p>
        </w:tc>
        <w:tc>
          <w:tcPr>
            <w:tcW w:w="159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768B0" w:rsidRPr="00884D10" w:rsidRDefault="00F768B0" w:rsidP="00C83E03">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68B0" w:rsidRPr="00884D10" w:rsidRDefault="00F768B0" w:rsidP="00C83E03">
            <w:pPr>
              <w:jc w:val="center"/>
            </w:pPr>
          </w:p>
        </w:tc>
        <w:tc>
          <w:tcPr>
            <w:tcW w:w="1183" w:type="dxa"/>
            <w:tcBorders>
              <w:top w:val="single" w:sz="4" w:space="0" w:color="auto"/>
              <w:left w:val="single" w:sz="4" w:space="0" w:color="auto"/>
              <w:bottom w:val="single" w:sz="4" w:space="0" w:color="auto"/>
              <w:right w:val="single" w:sz="4" w:space="0" w:color="auto"/>
            </w:tcBorders>
            <w:vAlign w:val="center"/>
          </w:tcPr>
          <w:p w:rsidR="00F768B0" w:rsidRPr="00884D10" w:rsidRDefault="00F768B0" w:rsidP="00C83E03">
            <w:pPr>
              <w:jc w:val="center"/>
            </w:pPr>
          </w:p>
        </w:tc>
      </w:tr>
    </w:tbl>
    <w:p w:rsidR="00F768B0" w:rsidRPr="00884D10" w:rsidRDefault="00F768B0" w:rsidP="00F768B0">
      <w:pPr>
        <w:pStyle w:val="BodyTextIndent"/>
        <w:spacing w:after="0"/>
        <w:ind w:left="0"/>
        <w:jc w:val="center"/>
        <w:rPr>
          <w:b/>
        </w:rPr>
      </w:pPr>
    </w:p>
    <w:p w:rsidR="00F768B0" w:rsidRPr="00884D10" w:rsidRDefault="00F768B0" w:rsidP="00F768B0">
      <w:pPr>
        <w:pStyle w:val="BodyTextIndent"/>
        <w:spacing w:after="0"/>
        <w:ind w:left="0"/>
        <w:jc w:val="center"/>
        <w:rPr>
          <w:b/>
        </w:rPr>
      </w:pPr>
      <w:r w:rsidRPr="00884D10">
        <w:rPr>
          <w:b/>
        </w:rPr>
        <w:t>Table 19: Potential emissions for N</w:t>
      </w:r>
      <w:r w:rsidRPr="00884D10">
        <w:rPr>
          <w:b/>
          <w:vertAlign w:val="subscript"/>
        </w:rPr>
        <w:t>2</w:t>
      </w:r>
      <w:r w:rsidRPr="00884D10">
        <w:rPr>
          <w:b/>
        </w:rPr>
        <w:t>0 in EDS (t ha</w:t>
      </w:r>
      <w:r w:rsidRPr="00884D10">
        <w:rPr>
          <w:b/>
          <w:vertAlign w:val="superscript"/>
        </w:rPr>
        <w:t>-1</w:t>
      </w:r>
      <w:r w:rsidRPr="00884D10">
        <w:rPr>
          <w:b/>
        </w:rPr>
        <w:t>)</w:t>
      </w:r>
    </w:p>
    <w:p w:rsidR="00F768B0" w:rsidRPr="00884D10" w:rsidRDefault="00F768B0" w:rsidP="00F768B0">
      <w:pPr>
        <w:pStyle w:val="BodyTextIndent"/>
        <w:spacing w:after="0"/>
        <w:ind w:left="0"/>
        <w:jc w:val="center"/>
        <w:rPr>
          <w:b/>
        </w:rPr>
      </w:pPr>
    </w:p>
    <w:tbl>
      <w:tblPr>
        <w:tblW w:w="9011" w:type="dxa"/>
        <w:jc w:val="center"/>
        <w:tblLook w:val="0000" w:firstRow="0" w:lastRow="0" w:firstColumn="0" w:lastColumn="0" w:noHBand="0" w:noVBand="0"/>
      </w:tblPr>
      <w:tblGrid>
        <w:gridCol w:w="1700"/>
        <w:gridCol w:w="1555"/>
        <w:gridCol w:w="1558"/>
        <w:gridCol w:w="1598"/>
        <w:gridCol w:w="1417"/>
        <w:gridCol w:w="1183"/>
      </w:tblGrid>
      <w:tr w:rsidR="00F768B0" w:rsidRPr="00884D10" w:rsidTr="00C83E03">
        <w:trPr>
          <w:trHeight w:val="255"/>
          <w:jc w:val="center"/>
        </w:trPr>
        <w:tc>
          <w:tcPr>
            <w:tcW w:w="1700" w:type="dxa"/>
            <w:vMerge w:val="restart"/>
            <w:tcBorders>
              <w:top w:val="single" w:sz="4" w:space="0" w:color="auto"/>
              <w:left w:val="single" w:sz="4" w:space="0" w:color="auto"/>
              <w:right w:val="single" w:sz="4" w:space="0" w:color="auto"/>
            </w:tcBorders>
            <w:shd w:val="clear" w:color="auto" w:fill="auto"/>
            <w:noWrap/>
            <w:vAlign w:val="center"/>
          </w:tcPr>
          <w:p w:rsidR="00F768B0" w:rsidRPr="00884D10" w:rsidRDefault="00F768B0" w:rsidP="00C83E03">
            <w:pPr>
              <w:jc w:val="center"/>
              <w:rPr>
                <w:b/>
              </w:rPr>
            </w:pPr>
            <w:r w:rsidRPr="00884D10">
              <w:rPr>
                <w:b/>
              </w:rPr>
              <w:t>Vegetation class</w:t>
            </w:r>
          </w:p>
        </w:tc>
        <w:tc>
          <w:tcPr>
            <w:tcW w:w="731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F768B0" w:rsidRPr="00884D10" w:rsidRDefault="00F768B0" w:rsidP="00C83E03">
            <w:pPr>
              <w:jc w:val="center"/>
              <w:rPr>
                <w:b/>
              </w:rPr>
            </w:pPr>
            <w:r w:rsidRPr="00884D10">
              <w:rPr>
                <w:b/>
              </w:rPr>
              <w:t>Fuel size class</w:t>
            </w:r>
          </w:p>
        </w:tc>
      </w:tr>
      <w:tr w:rsidR="00F768B0" w:rsidRPr="00884D10" w:rsidTr="00C83E03">
        <w:trPr>
          <w:trHeight w:val="255"/>
          <w:jc w:val="center"/>
        </w:trPr>
        <w:tc>
          <w:tcPr>
            <w:tcW w:w="1700" w:type="dxa"/>
            <w:vMerge/>
            <w:tcBorders>
              <w:left w:val="single" w:sz="4" w:space="0" w:color="auto"/>
              <w:bottom w:val="single" w:sz="4" w:space="0" w:color="auto"/>
              <w:right w:val="single" w:sz="4" w:space="0" w:color="auto"/>
            </w:tcBorders>
            <w:shd w:val="clear" w:color="auto" w:fill="auto"/>
            <w:noWrap/>
            <w:vAlign w:val="center"/>
          </w:tcPr>
          <w:p w:rsidR="00F768B0" w:rsidRPr="00884D10" w:rsidRDefault="00F768B0" w:rsidP="00C83E03">
            <w:pPr>
              <w:jc w:val="center"/>
              <w:rPr>
                <w:b/>
              </w:rPr>
            </w:pP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68B0" w:rsidRPr="00884D10" w:rsidRDefault="00F768B0" w:rsidP="00C83E03">
            <w:pPr>
              <w:jc w:val="center"/>
              <w:rPr>
                <w:b/>
              </w:rPr>
            </w:pPr>
            <w:r w:rsidRPr="00884D10">
              <w:rPr>
                <w:b/>
              </w:rPr>
              <w:t>Fine</w:t>
            </w:r>
          </w:p>
        </w:tc>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68B0" w:rsidRPr="00884D10" w:rsidRDefault="00F768B0" w:rsidP="00C83E03">
            <w:pPr>
              <w:jc w:val="center"/>
              <w:rPr>
                <w:b/>
              </w:rPr>
            </w:pPr>
            <w:r w:rsidRPr="00884D10">
              <w:rPr>
                <w:b/>
              </w:rPr>
              <w:t>Coarse</w:t>
            </w:r>
          </w:p>
        </w:tc>
        <w:tc>
          <w:tcPr>
            <w:tcW w:w="15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68B0" w:rsidRPr="00884D10" w:rsidRDefault="00F768B0" w:rsidP="00C83E03">
            <w:pPr>
              <w:jc w:val="center"/>
              <w:rPr>
                <w:b/>
              </w:rPr>
            </w:pPr>
            <w:r w:rsidRPr="00884D10">
              <w:rPr>
                <w:b/>
              </w:rPr>
              <w:t>Heavy</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68B0" w:rsidRPr="00884D10" w:rsidRDefault="00F768B0" w:rsidP="00C83E03">
            <w:pPr>
              <w:jc w:val="center"/>
              <w:rPr>
                <w:b/>
              </w:rPr>
            </w:pPr>
            <w:r w:rsidRPr="00884D10">
              <w:rPr>
                <w:b/>
              </w:rPr>
              <w:t>Shrub</w:t>
            </w:r>
          </w:p>
        </w:tc>
        <w:tc>
          <w:tcPr>
            <w:tcW w:w="1183" w:type="dxa"/>
            <w:tcBorders>
              <w:top w:val="single" w:sz="4" w:space="0" w:color="auto"/>
              <w:left w:val="single" w:sz="4" w:space="0" w:color="auto"/>
              <w:bottom w:val="single" w:sz="4" w:space="0" w:color="auto"/>
              <w:right w:val="single" w:sz="4" w:space="0" w:color="auto"/>
            </w:tcBorders>
            <w:vAlign w:val="center"/>
          </w:tcPr>
          <w:p w:rsidR="00F768B0" w:rsidRPr="00884D10" w:rsidRDefault="00F768B0" w:rsidP="00C83E03">
            <w:pPr>
              <w:jc w:val="center"/>
              <w:rPr>
                <w:b/>
              </w:rPr>
            </w:pPr>
            <w:r w:rsidRPr="00884D10">
              <w:rPr>
                <w:b/>
              </w:rPr>
              <w:t>Total</w:t>
            </w:r>
          </w:p>
        </w:tc>
      </w:tr>
      <w:tr w:rsidR="00F768B0" w:rsidRPr="00884D10" w:rsidTr="00C83E03">
        <w:trPr>
          <w:trHeight w:val="315"/>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68B0" w:rsidRPr="00884D10" w:rsidRDefault="00F768B0" w:rsidP="00C83E03">
            <w:pPr>
              <w:jc w:val="center"/>
              <w:rPr>
                <w:b/>
              </w:rPr>
            </w:pPr>
            <w:r w:rsidRPr="00884D10">
              <w:rPr>
                <w:b/>
              </w:rPr>
              <w:t>EOF</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68B0" w:rsidRPr="00884D10" w:rsidRDefault="00F768B0" w:rsidP="00C83E03">
            <w:pPr>
              <w:jc w:val="center"/>
            </w:pPr>
          </w:p>
        </w:tc>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68B0" w:rsidRPr="00884D10" w:rsidRDefault="00F768B0" w:rsidP="00C83E03">
            <w:pPr>
              <w:jc w:val="center"/>
            </w:pPr>
          </w:p>
        </w:tc>
        <w:tc>
          <w:tcPr>
            <w:tcW w:w="159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768B0" w:rsidRPr="00884D10" w:rsidRDefault="00F768B0" w:rsidP="00C83E03">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68B0" w:rsidRPr="00884D10" w:rsidRDefault="00F768B0" w:rsidP="00C83E03">
            <w:pPr>
              <w:jc w:val="center"/>
            </w:pPr>
          </w:p>
        </w:tc>
        <w:tc>
          <w:tcPr>
            <w:tcW w:w="1183" w:type="dxa"/>
            <w:tcBorders>
              <w:top w:val="single" w:sz="4" w:space="0" w:color="auto"/>
              <w:left w:val="single" w:sz="4" w:space="0" w:color="auto"/>
              <w:bottom w:val="single" w:sz="4" w:space="0" w:color="auto"/>
              <w:right w:val="single" w:sz="4" w:space="0" w:color="auto"/>
            </w:tcBorders>
            <w:vAlign w:val="center"/>
          </w:tcPr>
          <w:p w:rsidR="00F768B0" w:rsidRPr="00884D10" w:rsidRDefault="00F768B0" w:rsidP="00C83E03">
            <w:pPr>
              <w:jc w:val="center"/>
            </w:pPr>
          </w:p>
        </w:tc>
      </w:tr>
      <w:tr w:rsidR="00F768B0" w:rsidRPr="00884D10" w:rsidTr="00C83E03">
        <w:trPr>
          <w:trHeight w:val="315"/>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68B0" w:rsidRPr="00884D10" w:rsidRDefault="00F768B0" w:rsidP="00C83E03">
            <w:pPr>
              <w:jc w:val="center"/>
              <w:rPr>
                <w:b/>
              </w:rPr>
            </w:pPr>
            <w:r w:rsidRPr="00884D10">
              <w:rPr>
                <w:b/>
              </w:rPr>
              <w:t>EW</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68B0" w:rsidRPr="00884D10" w:rsidRDefault="00F768B0" w:rsidP="00C83E03">
            <w:pPr>
              <w:jc w:val="center"/>
            </w:pPr>
          </w:p>
        </w:tc>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68B0" w:rsidRPr="00884D10" w:rsidRDefault="00F768B0" w:rsidP="00C83E03">
            <w:pPr>
              <w:jc w:val="center"/>
            </w:pPr>
          </w:p>
        </w:tc>
        <w:tc>
          <w:tcPr>
            <w:tcW w:w="159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768B0" w:rsidRPr="00884D10" w:rsidRDefault="00F768B0" w:rsidP="00C83E03">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68B0" w:rsidRPr="00884D10" w:rsidRDefault="00F768B0" w:rsidP="00C83E03">
            <w:pPr>
              <w:jc w:val="center"/>
            </w:pPr>
          </w:p>
        </w:tc>
        <w:tc>
          <w:tcPr>
            <w:tcW w:w="1183" w:type="dxa"/>
            <w:tcBorders>
              <w:top w:val="single" w:sz="4" w:space="0" w:color="auto"/>
              <w:left w:val="single" w:sz="4" w:space="0" w:color="auto"/>
              <w:bottom w:val="single" w:sz="4" w:space="0" w:color="auto"/>
              <w:right w:val="single" w:sz="4" w:space="0" w:color="auto"/>
            </w:tcBorders>
            <w:vAlign w:val="center"/>
          </w:tcPr>
          <w:p w:rsidR="00F768B0" w:rsidRPr="00884D10" w:rsidRDefault="00F768B0" w:rsidP="00C83E03">
            <w:pPr>
              <w:jc w:val="center"/>
            </w:pPr>
          </w:p>
        </w:tc>
      </w:tr>
      <w:tr w:rsidR="00F768B0" w:rsidRPr="00884D10" w:rsidTr="00C83E03">
        <w:trPr>
          <w:trHeight w:val="315"/>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68B0" w:rsidRPr="00884D10" w:rsidRDefault="00F768B0" w:rsidP="00C83E03">
            <w:pPr>
              <w:jc w:val="center"/>
              <w:rPr>
                <w:b/>
              </w:rPr>
            </w:pPr>
            <w:r w:rsidRPr="00884D10">
              <w:rPr>
                <w:b/>
              </w:rPr>
              <w:t>SW</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68B0" w:rsidRPr="00884D10" w:rsidRDefault="00F768B0" w:rsidP="00C83E03">
            <w:pPr>
              <w:jc w:val="center"/>
            </w:pPr>
          </w:p>
        </w:tc>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68B0" w:rsidRPr="00884D10" w:rsidRDefault="00F768B0" w:rsidP="00C83E03">
            <w:pPr>
              <w:jc w:val="center"/>
            </w:pPr>
          </w:p>
        </w:tc>
        <w:tc>
          <w:tcPr>
            <w:tcW w:w="159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768B0" w:rsidRPr="00884D10" w:rsidRDefault="00F768B0" w:rsidP="00C83E03">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68B0" w:rsidRPr="00884D10" w:rsidRDefault="00F768B0" w:rsidP="00C83E03">
            <w:pPr>
              <w:jc w:val="center"/>
            </w:pPr>
          </w:p>
        </w:tc>
        <w:tc>
          <w:tcPr>
            <w:tcW w:w="1183" w:type="dxa"/>
            <w:tcBorders>
              <w:top w:val="single" w:sz="4" w:space="0" w:color="auto"/>
              <w:left w:val="single" w:sz="4" w:space="0" w:color="auto"/>
              <w:bottom w:val="single" w:sz="4" w:space="0" w:color="auto"/>
              <w:right w:val="single" w:sz="4" w:space="0" w:color="auto"/>
            </w:tcBorders>
            <w:vAlign w:val="center"/>
          </w:tcPr>
          <w:p w:rsidR="00F768B0" w:rsidRPr="00884D10" w:rsidRDefault="00F768B0" w:rsidP="00C83E03">
            <w:pPr>
              <w:jc w:val="center"/>
            </w:pPr>
          </w:p>
        </w:tc>
      </w:tr>
      <w:tr w:rsidR="00F768B0" w:rsidRPr="00884D10" w:rsidTr="00C83E03">
        <w:trPr>
          <w:trHeight w:val="315"/>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68B0" w:rsidRPr="00884D10" w:rsidRDefault="00F768B0" w:rsidP="00C83E03">
            <w:pPr>
              <w:jc w:val="center"/>
              <w:rPr>
                <w:b/>
              </w:rPr>
            </w:pPr>
            <w:r w:rsidRPr="00884D10">
              <w:rPr>
                <w:b/>
              </w:rPr>
              <w:t>SH</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68B0" w:rsidRPr="00884D10" w:rsidRDefault="00F768B0" w:rsidP="00C83E03">
            <w:pPr>
              <w:jc w:val="center"/>
            </w:pPr>
          </w:p>
        </w:tc>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68B0" w:rsidRPr="00884D10" w:rsidRDefault="00F768B0" w:rsidP="00C83E03">
            <w:pPr>
              <w:jc w:val="center"/>
            </w:pPr>
          </w:p>
        </w:tc>
        <w:tc>
          <w:tcPr>
            <w:tcW w:w="159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768B0" w:rsidRPr="00884D10" w:rsidRDefault="00F768B0" w:rsidP="00C83E03">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68B0" w:rsidRPr="00884D10" w:rsidRDefault="00F768B0" w:rsidP="00C83E03">
            <w:pPr>
              <w:jc w:val="center"/>
            </w:pPr>
          </w:p>
        </w:tc>
        <w:tc>
          <w:tcPr>
            <w:tcW w:w="1183" w:type="dxa"/>
            <w:tcBorders>
              <w:top w:val="single" w:sz="4" w:space="0" w:color="auto"/>
              <w:left w:val="single" w:sz="4" w:space="0" w:color="auto"/>
              <w:bottom w:val="single" w:sz="4" w:space="0" w:color="auto"/>
              <w:right w:val="single" w:sz="4" w:space="0" w:color="auto"/>
            </w:tcBorders>
            <w:vAlign w:val="center"/>
          </w:tcPr>
          <w:p w:rsidR="00F768B0" w:rsidRPr="00884D10" w:rsidRDefault="00F768B0" w:rsidP="00C83E03">
            <w:pPr>
              <w:jc w:val="center"/>
            </w:pPr>
          </w:p>
        </w:tc>
      </w:tr>
    </w:tbl>
    <w:p w:rsidR="00F768B0" w:rsidRPr="00884D10" w:rsidRDefault="00F768B0" w:rsidP="00F768B0">
      <w:pPr>
        <w:pStyle w:val="BodyTextIndent"/>
        <w:spacing w:after="0"/>
        <w:ind w:left="0"/>
        <w:jc w:val="center"/>
        <w:rPr>
          <w:b/>
        </w:rPr>
      </w:pPr>
    </w:p>
    <w:p w:rsidR="00F768B0" w:rsidRPr="00884D10" w:rsidRDefault="00F768B0" w:rsidP="00F768B0">
      <w:pPr>
        <w:pStyle w:val="BodyTextIndent"/>
        <w:spacing w:after="0"/>
        <w:ind w:left="0"/>
        <w:jc w:val="center"/>
        <w:rPr>
          <w:b/>
        </w:rPr>
      </w:pPr>
    </w:p>
    <w:p w:rsidR="005F6C34" w:rsidRDefault="005F6C34" w:rsidP="00F768B0">
      <w:pPr>
        <w:pStyle w:val="BodyTextIndent"/>
        <w:spacing w:after="0"/>
        <w:ind w:left="0"/>
        <w:jc w:val="center"/>
        <w:rPr>
          <w:b/>
        </w:rPr>
      </w:pPr>
    </w:p>
    <w:p w:rsidR="005F6C34" w:rsidRDefault="005F6C34" w:rsidP="00F768B0">
      <w:pPr>
        <w:pStyle w:val="BodyTextIndent"/>
        <w:spacing w:after="0"/>
        <w:ind w:left="0"/>
        <w:jc w:val="center"/>
        <w:rPr>
          <w:b/>
        </w:rPr>
      </w:pPr>
    </w:p>
    <w:p w:rsidR="00F768B0" w:rsidRPr="00884D10" w:rsidRDefault="00F768B0" w:rsidP="00F768B0">
      <w:pPr>
        <w:pStyle w:val="BodyTextIndent"/>
        <w:spacing w:after="0"/>
        <w:ind w:left="0"/>
        <w:jc w:val="center"/>
        <w:rPr>
          <w:b/>
        </w:rPr>
      </w:pPr>
      <w:r w:rsidRPr="00884D10">
        <w:rPr>
          <w:b/>
        </w:rPr>
        <w:lastRenderedPageBreak/>
        <w:t>Table 20: Potential emissions for N</w:t>
      </w:r>
      <w:r w:rsidRPr="00884D10">
        <w:rPr>
          <w:b/>
          <w:vertAlign w:val="subscript"/>
        </w:rPr>
        <w:t>2</w:t>
      </w:r>
      <w:r w:rsidRPr="00884D10">
        <w:rPr>
          <w:b/>
        </w:rPr>
        <w:t>O in LDS (t ha</w:t>
      </w:r>
      <w:r w:rsidRPr="00884D10">
        <w:rPr>
          <w:b/>
          <w:vertAlign w:val="superscript"/>
        </w:rPr>
        <w:t>-1</w:t>
      </w:r>
      <w:r w:rsidRPr="00884D10">
        <w:rPr>
          <w:b/>
        </w:rPr>
        <w:t>)</w:t>
      </w:r>
    </w:p>
    <w:p w:rsidR="00F768B0" w:rsidRPr="00884D10" w:rsidRDefault="00F768B0" w:rsidP="00F768B0">
      <w:pPr>
        <w:pStyle w:val="BodyTextIndent"/>
        <w:spacing w:after="0"/>
        <w:ind w:left="0"/>
        <w:jc w:val="center"/>
        <w:rPr>
          <w:b/>
        </w:rPr>
      </w:pPr>
    </w:p>
    <w:tbl>
      <w:tblPr>
        <w:tblW w:w="9011" w:type="dxa"/>
        <w:jc w:val="center"/>
        <w:tblLook w:val="0000" w:firstRow="0" w:lastRow="0" w:firstColumn="0" w:lastColumn="0" w:noHBand="0" w:noVBand="0"/>
      </w:tblPr>
      <w:tblGrid>
        <w:gridCol w:w="1700"/>
        <w:gridCol w:w="1555"/>
        <w:gridCol w:w="1558"/>
        <w:gridCol w:w="1598"/>
        <w:gridCol w:w="1417"/>
        <w:gridCol w:w="1183"/>
      </w:tblGrid>
      <w:tr w:rsidR="00F768B0" w:rsidRPr="00884D10" w:rsidTr="00C83E03">
        <w:trPr>
          <w:trHeight w:val="255"/>
          <w:jc w:val="center"/>
        </w:trPr>
        <w:tc>
          <w:tcPr>
            <w:tcW w:w="1700" w:type="dxa"/>
            <w:vMerge w:val="restart"/>
            <w:tcBorders>
              <w:top w:val="single" w:sz="4" w:space="0" w:color="auto"/>
              <w:left w:val="single" w:sz="4" w:space="0" w:color="auto"/>
              <w:right w:val="single" w:sz="4" w:space="0" w:color="auto"/>
            </w:tcBorders>
            <w:shd w:val="clear" w:color="auto" w:fill="auto"/>
            <w:noWrap/>
            <w:vAlign w:val="center"/>
          </w:tcPr>
          <w:p w:rsidR="00F768B0" w:rsidRPr="00884D10" w:rsidRDefault="00F768B0" w:rsidP="00C83E03">
            <w:pPr>
              <w:jc w:val="center"/>
              <w:rPr>
                <w:b/>
              </w:rPr>
            </w:pPr>
            <w:r w:rsidRPr="00884D10">
              <w:rPr>
                <w:b/>
              </w:rPr>
              <w:t>Vegetation class</w:t>
            </w:r>
          </w:p>
        </w:tc>
        <w:tc>
          <w:tcPr>
            <w:tcW w:w="731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F768B0" w:rsidRPr="00884D10" w:rsidRDefault="00F768B0" w:rsidP="00C83E03">
            <w:pPr>
              <w:jc w:val="center"/>
              <w:rPr>
                <w:b/>
              </w:rPr>
            </w:pPr>
            <w:r w:rsidRPr="00884D10">
              <w:rPr>
                <w:b/>
              </w:rPr>
              <w:t>Fuel size class</w:t>
            </w:r>
          </w:p>
        </w:tc>
      </w:tr>
      <w:tr w:rsidR="00F768B0" w:rsidRPr="00884D10" w:rsidTr="00C83E03">
        <w:trPr>
          <w:trHeight w:val="255"/>
          <w:jc w:val="center"/>
        </w:trPr>
        <w:tc>
          <w:tcPr>
            <w:tcW w:w="1700" w:type="dxa"/>
            <w:vMerge/>
            <w:tcBorders>
              <w:left w:val="single" w:sz="4" w:space="0" w:color="auto"/>
              <w:bottom w:val="single" w:sz="4" w:space="0" w:color="auto"/>
              <w:right w:val="single" w:sz="4" w:space="0" w:color="auto"/>
            </w:tcBorders>
            <w:shd w:val="clear" w:color="auto" w:fill="auto"/>
            <w:noWrap/>
            <w:vAlign w:val="center"/>
          </w:tcPr>
          <w:p w:rsidR="00F768B0" w:rsidRPr="00884D10" w:rsidRDefault="00F768B0" w:rsidP="00C83E03">
            <w:pPr>
              <w:jc w:val="center"/>
              <w:rPr>
                <w:b/>
              </w:rPr>
            </w:pP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68B0" w:rsidRPr="00884D10" w:rsidRDefault="00F768B0" w:rsidP="00C83E03">
            <w:pPr>
              <w:jc w:val="center"/>
              <w:rPr>
                <w:b/>
              </w:rPr>
            </w:pPr>
            <w:r w:rsidRPr="00884D10">
              <w:rPr>
                <w:b/>
              </w:rPr>
              <w:t>Fine</w:t>
            </w:r>
          </w:p>
        </w:tc>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68B0" w:rsidRPr="00884D10" w:rsidRDefault="00F768B0" w:rsidP="00C83E03">
            <w:pPr>
              <w:jc w:val="center"/>
              <w:rPr>
                <w:b/>
              </w:rPr>
            </w:pPr>
            <w:r w:rsidRPr="00884D10">
              <w:rPr>
                <w:b/>
              </w:rPr>
              <w:t>Coarse</w:t>
            </w:r>
          </w:p>
        </w:tc>
        <w:tc>
          <w:tcPr>
            <w:tcW w:w="15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68B0" w:rsidRPr="00884D10" w:rsidRDefault="00F768B0" w:rsidP="00C83E03">
            <w:pPr>
              <w:jc w:val="center"/>
              <w:rPr>
                <w:b/>
              </w:rPr>
            </w:pPr>
            <w:r w:rsidRPr="00884D10">
              <w:rPr>
                <w:b/>
              </w:rPr>
              <w:t>Heavy</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68B0" w:rsidRPr="00884D10" w:rsidRDefault="00F768B0" w:rsidP="00C83E03">
            <w:pPr>
              <w:jc w:val="center"/>
              <w:rPr>
                <w:b/>
              </w:rPr>
            </w:pPr>
            <w:r w:rsidRPr="00884D10">
              <w:rPr>
                <w:b/>
              </w:rPr>
              <w:t>Shrub</w:t>
            </w:r>
          </w:p>
        </w:tc>
        <w:tc>
          <w:tcPr>
            <w:tcW w:w="1183" w:type="dxa"/>
            <w:tcBorders>
              <w:top w:val="single" w:sz="4" w:space="0" w:color="auto"/>
              <w:left w:val="single" w:sz="4" w:space="0" w:color="auto"/>
              <w:bottom w:val="single" w:sz="4" w:space="0" w:color="auto"/>
              <w:right w:val="single" w:sz="4" w:space="0" w:color="auto"/>
            </w:tcBorders>
            <w:vAlign w:val="center"/>
          </w:tcPr>
          <w:p w:rsidR="00F768B0" w:rsidRPr="00884D10" w:rsidRDefault="00F768B0" w:rsidP="00C83E03">
            <w:pPr>
              <w:jc w:val="center"/>
              <w:rPr>
                <w:b/>
              </w:rPr>
            </w:pPr>
            <w:r w:rsidRPr="00884D10">
              <w:rPr>
                <w:b/>
              </w:rPr>
              <w:t>Total</w:t>
            </w:r>
          </w:p>
        </w:tc>
      </w:tr>
      <w:tr w:rsidR="00F768B0" w:rsidRPr="00884D10" w:rsidTr="00C83E03">
        <w:trPr>
          <w:trHeight w:val="315"/>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68B0" w:rsidRPr="00884D10" w:rsidRDefault="00F768B0" w:rsidP="00C83E03">
            <w:pPr>
              <w:jc w:val="center"/>
              <w:rPr>
                <w:b/>
              </w:rPr>
            </w:pPr>
            <w:r w:rsidRPr="00884D10">
              <w:rPr>
                <w:b/>
              </w:rPr>
              <w:t>EOF</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68B0" w:rsidRPr="00884D10" w:rsidRDefault="00F768B0" w:rsidP="00C83E03">
            <w:pPr>
              <w:jc w:val="center"/>
            </w:pPr>
          </w:p>
        </w:tc>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68B0" w:rsidRPr="00884D10" w:rsidRDefault="00F768B0" w:rsidP="00C83E03">
            <w:pPr>
              <w:jc w:val="center"/>
            </w:pPr>
          </w:p>
        </w:tc>
        <w:tc>
          <w:tcPr>
            <w:tcW w:w="159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768B0" w:rsidRPr="00884D10" w:rsidRDefault="00F768B0" w:rsidP="00C83E03">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68B0" w:rsidRPr="00884D10" w:rsidRDefault="00F768B0" w:rsidP="00C83E03">
            <w:pPr>
              <w:jc w:val="center"/>
            </w:pPr>
          </w:p>
        </w:tc>
        <w:tc>
          <w:tcPr>
            <w:tcW w:w="1183" w:type="dxa"/>
            <w:tcBorders>
              <w:top w:val="single" w:sz="4" w:space="0" w:color="auto"/>
              <w:left w:val="single" w:sz="4" w:space="0" w:color="auto"/>
              <w:bottom w:val="single" w:sz="4" w:space="0" w:color="auto"/>
              <w:right w:val="single" w:sz="4" w:space="0" w:color="auto"/>
            </w:tcBorders>
            <w:vAlign w:val="center"/>
          </w:tcPr>
          <w:p w:rsidR="00F768B0" w:rsidRPr="00884D10" w:rsidRDefault="00F768B0" w:rsidP="00C83E03">
            <w:pPr>
              <w:jc w:val="center"/>
            </w:pPr>
          </w:p>
        </w:tc>
      </w:tr>
      <w:tr w:rsidR="00F768B0" w:rsidRPr="00884D10" w:rsidTr="00C83E03">
        <w:trPr>
          <w:trHeight w:val="315"/>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68B0" w:rsidRPr="00884D10" w:rsidRDefault="00F768B0" w:rsidP="00C83E03">
            <w:pPr>
              <w:jc w:val="center"/>
              <w:rPr>
                <w:b/>
              </w:rPr>
            </w:pPr>
            <w:r w:rsidRPr="00884D10">
              <w:rPr>
                <w:b/>
              </w:rPr>
              <w:t>EW</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68B0" w:rsidRPr="00884D10" w:rsidRDefault="00F768B0" w:rsidP="00C83E03">
            <w:pPr>
              <w:jc w:val="center"/>
            </w:pPr>
          </w:p>
        </w:tc>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68B0" w:rsidRPr="00884D10" w:rsidRDefault="00F768B0" w:rsidP="00C83E03">
            <w:pPr>
              <w:jc w:val="center"/>
            </w:pPr>
          </w:p>
        </w:tc>
        <w:tc>
          <w:tcPr>
            <w:tcW w:w="159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768B0" w:rsidRPr="00884D10" w:rsidRDefault="00F768B0" w:rsidP="00C83E03">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68B0" w:rsidRPr="00884D10" w:rsidRDefault="00F768B0" w:rsidP="00C83E03">
            <w:pPr>
              <w:jc w:val="center"/>
            </w:pPr>
          </w:p>
        </w:tc>
        <w:tc>
          <w:tcPr>
            <w:tcW w:w="1183" w:type="dxa"/>
            <w:tcBorders>
              <w:top w:val="single" w:sz="4" w:space="0" w:color="auto"/>
              <w:left w:val="single" w:sz="4" w:space="0" w:color="auto"/>
              <w:bottom w:val="single" w:sz="4" w:space="0" w:color="auto"/>
              <w:right w:val="single" w:sz="4" w:space="0" w:color="auto"/>
            </w:tcBorders>
            <w:vAlign w:val="center"/>
          </w:tcPr>
          <w:p w:rsidR="00F768B0" w:rsidRPr="00884D10" w:rsidRDefault="00F768B0" w:rsidP="00C83E03">
            <w:pPr>
              <w:jc w:val="center"/>
            </w:pPr>
          </w:p>
        </w:tc>
      </w:tr>
      <w:tr w:rsidR="00F768B0" w:rsidRPr="00884D10" w:rsidTr="00C83E03">
        <w:trPr>
          <w:trHeight w:val="315"/>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68B0" w:rsidRPr="00884D10" w:rsidRDefault="00F768B0" w:rsidP="00C83E03">
            <w:pPr>
              <w:jc w:val="center"/>
              <w:rPr>
                <w:b/>
              </w:rPr>
            </w:pPr>
            <w:r w:rsidRPr="00884D10">
              <w:rPr>
                <w:b/>
              </w:rPr>
              <w:t>SW</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68B0" w:rsidRPr="00884D10" w:rsidRDefault="00F768B0" w:rsidP="00C83E03">
            <w:pPr>
              <w:jc w:val="center"/>
            </w:pPr>
          </w:p>
        </w:tc>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68B0" w:rsidRPr="00884D10" w:rsidRDefault="00F768B0" w:rsidP="00C83E03">
            <w:pPr>
              <w:jc w:val="center"/>
            </w:pPr>
          </w:p>
        </w:tc>
        <w:tc>
          <w:tcPr>
            <w:tcW w:w="159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768B0" w:rsidRPr="00884D10" w:rsidRDefault="00F768B0" w:rsidP="00C83E03">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68B0" w:rsidRPr="00884D10" w:rsidRDefault="00F768B0" w:rsidP="00C83E03">
            <w:pPr>
              <w:jc w:val="center"/>
            </w:pPr>
          </w:p>
        </w:tc>
        <w:tc>
          <w:tcPr>
            <w:tcW w:w="1183" w:type="dxa"/>
            <w:tcBorders>
              <w:top w:val="single" w:sz="4" w:space="0" w:color="auto"/>
              <w:left w:val="single" w:sz="4" w:space="0" w:color="auto"/>
              <w:bottom w:val="single" w:sz="4" w:space="0" w:color="auto"/>
              <w:right w:val="single" w:sz="4" w:space="0" w:color="auto"/>
            </w:tcBorders>
            <w:vAlign w:val="center"/>
          </w:tcPr>
          <w:p w:rsidR="00F768B0" w:rsidRPr="00884D10" w:rsidRDefault="00F768B0" w:rsidP="00C83E03">
            <w:pPr>
              <w:jc w:val="center"/>
            </w:pPr>
          </w:p>
        </w:tc>
      </w:tr>
      <w:tr w:rsidR="00F768B0" w:rsidRPr="00884D10" w:rsidTr="00C83E03">
        <w:trPr>
          <w:trHeight w:val="315"/>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68B0" w:rsidRPr="00884D10" w:rsidRDefault="00F768B0" w:rsidP="00C83E03">
            <w:pPr>
              <w:jc w:val="center"/>
              <w:rPr>
                <w:b/>
              </w:rPr>
            </w:pPr>
            <w:r w:rsidRPr="00884D10">
              <w:rPr>
                <w:b/>
              </w:rPr>
              <w:t>SH</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68B0" w:rsidRPr="00884D10" w:rsidRDefault="00F768B0" w:rsidP="00C83E03">
            <w:pPr>
              <w:jc w:val="center"/>
            </w:pPr>
          </w:p>
        </w:tc>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68B0" w:rsidRPr="00884D10" w:rsidRDefault="00F768B0" w:rsidP="00C83E03">
            <w:pPr>
              <w:jc w:val="center"/>
            </w:pPr>
          </w:p>
        </w:tc>
        <w:tc>
          <w:tcPr>
            <w:tcW w:w="159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768B0" w:rsidRPr="00884D10" w:rsidRDefault="00F768B0" w:rsidP="00C83E03">
            <w:pPr>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68B0" w:rsidRPr="00884D10" w:rsidRDefault="00F768B0" w:rsidP="00C83E03">
            <w:pPr>
              <w:jc w:val="center"/>
            </w:pPr>
          </w:p>
        </w:tc>
        <w:tc>
          <w:tcPr>
            <w:tcW w:w="1183" w:type="dxa"/>
            <w:tcBorders>
              <w:top w:val="single" w:sz="4" w:space="0" w:color="auto"/>
              <w:left w:val="single" w:sz="4" w:space="0" w:color="auto"/>
              <w:bottom w:val="single" w:sz="4" w:space="0" w:color="auto"/>
              <w:right w:val="single" w:sz="4" w:space="0" w:color="auto"/>
            </w:tcBorders>
            <w:vAlign w:val="center"/>
          </w:tcPr>
          <w:p w:rsidR="00F768B0" w:rsidRPr="00884D10" w:rsidRDefault="00F768B0" w:rsidP="00C83E03">
            <w:pPr>
              <w:jc w:val="center"/>
            </w:pPr>
          </w:p>
        </w:tc>
      </w:tr>
    </w:tbl>
    <w:p w:rsidR="00F768B0" w:rsidRPr="00884D10" w:rsidRDefault="00F768B0" w:rsidP="00F768B0">
      <w:pPr>
        <w:jc w:val="center"/>
        <w:rPr>
          <w:iCs/>
        </w:rPr>
      </w:pPr>
    </w:p>
    <w:p w:rsidR="00F768B0" w:rsidRPr="00884D10" w:rsidRDefault="00F768B0" w:rsidP="00F768B0">
      <w:pPr>
        <w:pStyle w:val="BodyTextIndent"/>
        <w:spacing w:after="0"/>
        <w:ind w:left="0"/>
        <w:jc w:val="center"/>
        <w:rPr>
          <w:b/>
        </w:rPr>
      </w:pPr>
      <w:r w:rsidRPr="00884D10">
        <w:rPr>
          <w:b/>
        </w:rPr>
        <w:t>Table 21: Potential emissions for each gas in each fire season by vegetation class (t ha</w:t>
      </w:r>
      <w:r w:rsidRPr="00884D10">
        <w:rPr>
          <w:b/>
          <w:vertAlign w:val="superscript"/>
        </w:rPr>
        <w:t>-1</w:t>
      </w:r>
      <w:r w:rsidRPr="00884D10">
        <w:rPr>
          <w:b/>
        </w:rPr>
        <w:t>)</w:t>
      </w:r>
    </w:p>
    <w:p w:rsidR="00F768B0" w:rsidRPr="00884D10" w:rsidRDefault="00F768B0" w:rsidP="00F768B0">
      <w:pPr>
        <w:pStyle w:val="BodyTextIndent"/>
        <w:spacing w:after="0"/>
        <w:ind w:left="0"/>
        <w:jc w:val="center"/>
        <w:rPr>
          <w:b/>
        </w:rPr>
      </w:pPr>
    </w:p>
    <w:tbl>
      <w:tblPr>
        <w:tblW w:w="6082" w:type="dxa"/>
        <w:jc w:val="center"/>
        <w:tblLook w:val="04A0" w:firstRow="1" w:lastRow="0" w:firstColumn="1" w:lastColumn="0" w:noHBand="0" w:noVBand="1"/>
      </w:tblPr>
      <w:tblGrid>
        <w:gridCol w:w="1323"/>
        <w:gridCol w:w="1237"/>
        <w:gridCol w:w="1173"/>
        <w:gridCol w:w="1176"/>
        <w:gridCol w:w="1165"/>
        <w:gridCol w:w="8"/>
      </w:tblGrid>
      <w:tr w:rsidR="00F768B0" w:rsidRPr="00884D10" w:rsidTr="00C83E03">
        <w:trPr>
          <w:gridAfter w:val="1"/>
          <w:wAfter w:w="8" w:type="dxa"/>
          <w:trHeight w:val="600"/>
          <w:jc w:val="center"/>
        </w:trPr>
        <w:tc>
          <w:tcPr>
            <w:tcW w:w="1256" w:type="dxa"/>
            <w:vMerge w:val="restart"/>
            <w:tcBorders>
              <w:top w:val="single" w:sz="4" w:space="0" w:color="auto"/>
              <w:left w:val="single" w:sz="4" w:space="0" w:color="auto"/>
              <w:right w:val="single" w:sz="4" w:space="0" w:color="auto"/>
            </w:tcBorders>
            <w:vAlign w:val="center"/>
          </w:tcPr>
          <w:p w:rsidR="00F768B0" w:rsidRPr="00884D10" w:rsidRDefault="00F768B0" w:rsidP="00C83E03">
            <w:pPr>
              <w:jc w:val="center"/>
              <w:rPr>
                <w:b/>
                <w:bCs/>
                <w:color w:val="000000"/>
              </w:rPr>
            </w:pPr>
            <w:r w:rsidRPr="00884D10">
              <w:rPr>
                <w:b/>
                <w:bCs/>
                <w:color w:val="000000"/>
              </w:rPr>
              <w:t>Vegetation class</w:t>
            </w:r>
          </w:p>
        </w:tc>
        <w:tc>
          <w:tcPr>
            <w:tcW w:w="24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768B0" w:rsidRPr="00884D10" w:rsidRDefault="00F768B0" w:rsidP="00C83E03">
            <w:pPr>
              <w:jc w:val="center"/>
              <w:rPr>
                <w:b/>
                <w:bCs/>
                <w:color w:val="000000"/>
              </w:rPr>
            </w:pPr>
            <w:r w:rsidRPr="00884D10">
              <w:rPr>
                <w:b/>
                <w:bCs/>
                <w:color w:val="000000"/>
              </w:rPr>
              <w:t>Gas (CH</w:t>
            </w:r>
            <w:r w:rsidRPr="00884D10">
              <w:rPr>
                <w:b/>
                <w:bCs/>
                <w:color w:val="000000"/>
                <w:vertAlign w:val="subscript"/>
              </w:rPr>
              <w:t>4</w:t>
            </w:r>
            <w:r w:rsidRPr="00884D10">
              <w:rPr>
                <w:b/>
                <w:bCs/>
                <w:color w:val="000000"/>
              </w:rPr>
              <w:t>)</w:t>
            </w:r>
          </w:p>
        </w:tc>
        <w:tc>
          <w:tcPr>
            <w:tcW w:w="2372" w:type="dxa"/>
            <w:gridSpan w:val="2"/>
            <w:tcBorders>
              <w:top w:val="single" w:sz="4" w:space="0" w:color="auto"/>
              <w:left w:val="single" w:sz="4" w:space="0" w:color="auto"/>
              <w:bottom w:val="single" w:sz="4" w:space="0" w:color="auto"/>
              <w:right w:val="single" w:sz="4" w:space="0" w:color="auto"/>
            </w:tcBorders>
            <w:vAlign w:val="center"/>
          </w:tcPr>
          <w:p w:rsidR="00F768B0" w:rsidRPr="00884D10" w:rsidRDefault="00F768B0" w:rsidP="00C83E03">
            <w:pPr>
              <w:jc w:val="center"/>
              <w:rPr>
                <w:b/>
                <w:bCs/>
                <w:color w:val="000000"/>
              </w:rPr>
            </w:pPr>
            <w:r w:rsidRPr="00884D10">
              <w:rPr>
                <w:b/>
                <w:bCs/>
                <w:color w:val="000000"/>
              </w:rPr>
              <w:t>Gas (N</w:t>
            </w:r>
            <w:r w:rsidRPr="00884D10">
              <w:rPr>
                <w:b/>
                <w:bCs/>
                <w:color w:val="000000"/>
                <w:vertAlign w:val="subscript"/>
              </w:rPr>
              <w:t>2</w:t>
            </w:r>
            <w:r w:rsidRPr="00884D10">
              <w:rPr>
                <w:b/>
                <w:bCs/>
                <w:color w:val="000000"/>
              </w:rPr>
              <w:t>O)</w:t>
            </w:r>
          </w:p>
        </w:tc>
      </w:tr>
      <w:tr w:rsidR="00F768B0" w:rsidRPr="00884D10" w:rsidTr="00C83E03">
        <w:trPr>
          <w:trHeight w:val="300"/>
          <w:jc w:val="center"/>
        </w:trPr>
        <w:tc>
          <w:tcPr>
            <w:tcW w:w="1256" w:type="dxa"/>
            <w:vMerge/>
            <w:tcBorders>
              <w:left w:val="single" w:sz="4" w:space="0" w:color="auto"/>
              <w:bottom w:val="single" w:sz="4" w:space="0" w:color="auto"/>
              <w:right w:val="single" w:sz="4" w:space="0" w:color="auto"/>
            </w:tcBorders>
            <w:vAlign w:val="center"/>
          </w:tcPr>
          <w:p w:rsidR="00F768B0" w:rsidRPr="00884D10" w:rsidRDefault="00F768B0" w:rsidP="00C83E03">
            <w:pPr>
              <w:jc w:val="center"/>
              <w:rPr>
                <w:b/>
                <w:bCs/>
                <w:color w:val="000000"/>
              </w:rPr>
            </w:pPr>
          </w:p>
        </w:tc>
        <w:tc>
          <w:tcPr>
            <w:tcW w:w="1256" w:type="dxa"/>
            <w:tcBorders>
              <w:top w:val="nil"/>
              <w:left w:val="single" w:sz="4" w:space="0" w:color="auto"/>
              <w:bottom w:val="single" w:sz="4" w:space="0" w:color="auto"/>
              <w:right w:val="single" w:sz="4" w:space="0" w:color="auto"/>
            </w:tcBorders>
            <w:shd w:val="clear" w:color="auto" w:fill="auto"/>
            <w:vAlign w:val="center"/>
            <w:hideMark/>
          </w:tcPr>
          <w:p w:rsidR="00F768B0" w:rsidRPr="00884D10" w:rsidRDefault="00F768B0" w:rsidP="00C83E03">
            <w:pPr>
              <w:jc w:val="center"/>
              <w:rPr>
                <w:b/>
                <w:bCs/>
                <w:color w:val="000000"/>
              </w:rPr>
            </w:pPr>
            <w:r w:rsidRPr="00884D10">
              <w:rPr>
                <w:b/>
                <w:bCs/>
                <w:color w:val="000000"/>
              </w:rPr>
              <w:t>EDS</w:t>
            </w:r>
          </w:p>
          <w:p w:rsidR="00F768B0" w:rsidRPr="00884D10" w:rsidRDefault="00F768B0" w:rsidP="00C83E03">
            <w:pPr>
              <w:jc w:val="center"/>
              <w:rPr>
                <w:b/>
                <w:bCs/>
                <w:color w:val="000000"/>
              </w:rPr>
            </w:pPr>
            <w:r w:rsidRPr="00884D10">
              <w:rPr>
                <w:b/>
                <w:bCs/>
                <w:color w:val="000000"/>
                <w:sz w:val="18"/>
              </w:rPr>
              <w:t>(totals from Table 17)</w:t>
            </w:r>
          </w:p>
        </w:tc>
        <w:tc>
          <w:tcPr>
            <w:tcW w:w="1190" w:type="dxa"/>
            <w:tcBorders>
              <w:top w:val="single" w:sz="4" w:space="0" w:color="auto"/>
              <w:left w:val="nil"/>
              <w:bottom w:val="single" w:sz="4" w:space="0" w:color="auto"/>
              <w:right w:val="single" w:sz="4" w:space="0" w:color="auto"/>
            </w:tcBorders>
            <w:vAlign w:val="center"/>
          </w:tcPr>
          <w:p w:rsidR="00F768B0" w:rsidRPr="00884D10" w:rsidRDefault="00F768B0" w:rsidP="00C83E03">
            <w:pPr>
              <w:jc w:val="center"/>
              <w:rPr>
                <w:b/>
                <w:bCs/>
                <w:color w:val="000000"/>
              </w:rPr>
            </w:pPr>
            <w:r w:rsidRPr="00884D10">
              <w:rPr>
                <w:b/>
                <w:bCs/>
                <w:color w:val="000000"/>
              </w:rPr>
              <w:t>LDS</w:t>
            </w:r>
          </w:p>
          <w:p w:rsidR="00F768B0" w:rsidRPr="00884D10" w:rsidRDefault="00F768B0" w:rsidP="00C83E03">
            <w:pPr>
              <w:jc w:val="center"/>
              <w:rPr>
                <w:b/>
                <w:bCs/>
                <w:color w:val="000000"/>
              </w:rPr>
            </w:pPr>
            <w:r w:rsidRPr="00884D10">
              <w:rPr>
                <w:b/>
                <w:bCs/>
                <w:color w:val="000000"/>
                <w:sz w:val="18"/>
              </w:rPr>
              <w:t>(totals from Table 18)</w:t>
            </w:r>
          </w:p>
        </w:tc>
        <w:tc>
          <w:tcPr>
            <w:tcW w:w="1190" w:type="dxa"/>
            <w:tcBorders>
              <w:top w:val="single" w:sz="4" w:space="0" w:color="auto"/>
              <w:left w:val="single" w:sz="4" w:space="0" w:color="auto"/>
              <w:bottom w:val="single" w:sz="4" w:space="0" w:color="auto"/>
              <w:right w:val="single" w:sz="4" w:space="0" w:color="auto"/>
            </w:tcBorders>
            <w:vAlign w:val="center"/>
          </w:tcPr>
          <w:p w:rsidR="00F768B0" w:rsidRPr="00884D10" w:rsidRDefault="00F768B0" w:rsidP="00C83E03">
            <w:pPr>
              <w:jc w:val="center"/>
              <w:rPr>
                <w:b/>
                <w:bCs/>
                <w:color w:val="000000"/>
              </w:rPr>
            </w:pPr>
            <w:r w:rsidRPr="00884D10">
              <w:rPr>
                <w:b/>
                <w:bCs/>
                <w:color w:val="000000"/>
              </w:rPr>
              <w:t>EDS</w:t>
            </w:r>
          </w:p>
          <w:p w:rsidR="00F768B0" w:rsidRPr="00884D10" w:rsidRDefault="00F768B0" w:rsidP="00C83E03">
            <w:pPr>
              <w:jc w:val="center"/>
              <w:rPr>
                <w:b/>
                <w:bCs/>
                <w:color w:val="000000"/>
              </w:rPr>
            </w:pPr>
            <w:r w:rsidRPr="00884D10">
              <w:rPr>
                <w:b/>
                <w:bCs/>
                <w:color w:val="000000"/>
                <w:sz w:val="18"/>
              </w:rPr>
              <w:t>(totals from Table 19)</w:t>
            </w:r>
          </w:p>
        </w:tc>
        <w:tc>
          <w:tcPr>
            <w:tcW w:w="1190" w:type="dxa"/>
            <w:gridSpan w:val="2"/>
            <w:tcBorders>
              <w:top w:val="nil"/>
              <w:left w:val="nil"/>
              <w:bottom w:val="single" w:sz="4" w:space="0" w:color="auto"/>
              <w:right w:val="single" w:sz="4" w:space="0" w:color="auto"/>
            </w:tcBorders>
            <w:shd w:val="clear" w:color="auto" w:fill="auto"/>
            <w:vAlign w:val="center"/>
            <w:hideMark/>
          </w:tcPr>
          <w:p w:rsidR="00F768B0" w:rsidRPr="00884D10" w:rsidRDefault="00F768B0" w:rsidP="00C83E03">
            <w:pPr>
              <w:jc w:val="center"/>
              <w:rPr>
                <w:b/>
                <w:bCs/>
                <w:color w:val="000000"/>
              </w:rPr>
            </w:pPr>
            <w:r w:rsidRPr="00884D10">
              <w:rPr>
                <w:b/>
                <w:bCs/>
                <w:color w:val="000000"/>
              </w:rPr>
              <w:t>LDS</w:t>
            </w:r>
          </w:p>
          <w:p w:rsidR="00F768B0" w:rsidRPr="00884D10" w:rsidRDefault="00F768B0" w:rsidP="00C83E03">
            <w:pPr>
              <w:jc w:val="center"/>
              <w:rPr>
                <w:b/>
                <w:bCs/>
                <w:color w:val="000000"/>
              </w:rPr>
            </w:pPr>
            <w:r w:rsidRPr="00884D10">
              <w:rPr>
                <w:b/>
                <w:bCs/>
                <w:color w:val="000000"/>
                <w:sz w:val="18"/>
              </w:rPr>
              <w:t>(totals from Table 20)</w:t>
            </w:r>
          </w:p>
        </w:tc>
      </w:tr>
      <w:tr w:rsidR="00F768B0" w:rsidRPr="00884D10" w:rsidTr="00C83E03">
        <w:trPr>
          <w:trHeight w:val="300"/>
          <w:jc w:val="center"/>
        </w:trPr>
        <w:tc>
          <w:tcPr>
            <w:tcW w:w="1256" w:type="dxa"/>
            <w:tcBorders>
              <w:top w:val="nil"/>
              <w:left w:val="single" w:sz="4" w:space="0" w:color="auto"/>
              <w:bottom w:val="single" w:sz="4" w:space="0" w:color="auto"/>
              <w:right w:val="single" w:sz="4" w:space="0" w:color="auto"/>
            </w:tcBorders>
            <w:vAlign w:val="center"/>
          </w:tcPr>
          <w:p w:rsidR="00F768B0" w:rsidRPr="00884D10" w:rsidRDefault="00F768B0" w:rsidP="00C83E03">
            <w:pPr>
              <w:jc w:val="center"/>
              <w:rPr>
                <w:b/>
                <w:bCs/>
                <w:color w:val="000000"/>
              </w:rPr>
            </w:pPr>
            <w:r w:rsidRPr="00884D10">
              <w:rPr>
                <w:b/>
                <w:bCs/>
                <w:color w:val="000000"/>
              </w:rPr>
              <w:t>EOF</w:t>
            </w:r>
          </w:p>
        </w:tc>
        <w:tc>
          <w:tcPr>
            <w:tcW w:w="1256" w:type="dxa"/>
            <w:tcBorders>
              <w:top w:val="nil"/>
              <w:left w:val="single" w:sz="4" w:space="0" w:color="auto"/>
              <w:bottom w:val="single" w:sz="4" w:space="0" w:color="auto"/>
              <w:right w:val="single" w:sz="4" w:space="0" w:color="auto"/>
            </w:tcBorders>
            <w:shd w:val="clear" w:color="auto" w:fill="auto"/>
            <w:vAlign w:val="center"/>
            <w:hideMark/>
          </w:tcPr>
          <w:p w:rsidR="00F768B0" w:rsidRPr="00884D10" w:rsidRDefault="00F768B0" w:rsidP="00C83E03">
            <w:pPr>
              <w:jc w:val="center"/>
              <w:rPr>
                <w:vertAlign w:val="subscript"/>
              </w:rPr>
            </w:pPr>
          </w:p>
        </w:tc>
        <w:tc>
          <w:tcPr>
            <w:tcW w:w="1190" w:type="dxa"/>
            <w:tcBorders>
              <w:top w:val="single" w:sz="4" w:space="0" w:color="auto"/>
              <w:left w:val="nil"/>
              <w:bottom w:val="single" w:sz="4" w:space="0" w:color="auto"/>
              <w:right w:val="single" w:sz="4" w:space="0" w:color="auto"/>
            </w:tcBorders>
            <w:vAlign w:val="center"/>
          </w:tcPr>
          <w:p w:rsidR="00F768B0" w:rsidRPr="00884D10" w:rsidRDefault="00F768B0" w:rsidP="00C83E03">
            <w:pPr>
              <w:jc w:val="center"/>
            </w:pPr>
          </w:p>
        </w:tc>
        <w:tc>
          <w:tcPr>
            <w:tcW w:w="1190" w:type="dxa"/>
            <w:tcBorders>
              <w:top w:val="single" w:sz="4" w:space="0" w:color="auto"/>
              <w:left w:val="single" w:sz="4" w:space="0" w:color="auto"/>
              <w:bottom w:val="single" w:sz="4" w:space="0" w:color="auto"/>
              <w:right w:val="single" w:sz="4" w:space="0" w:color="auto"/>
            </w:tcBorders>
            <w:vAlign w:val="center"/>
          </w:tcPr>
          <w:p w:rsidR="00F768B0" w:rsidRPr="00884D10" w:rsidRDefault="00F768B0" w:rsidP="00C83E03">
            <w:pPr>
              <w:jc w:val="center"/>
            </w:pPr>
          </w:p>
        </w:tc>
        <w:tc>
          <w:tcPr>
            <w:tcW w:w="1190" w:type="dxa"/>
            <w:gridSpan w:val="2"/>
            <w:tcBorders>
              <w:top w:val="nil"/>
              <w:left w:val="nil"/>
              <w:bottom w:val="single" w:sz="4" w:space="0" w:color="auto"/>
              <w:right w:val="single" w:sz="4" w:space="0" w:color="auto"/>
            </w:tcBorders>
            <w:shd w:val="clear" w:color="auto" w:fill="auto"/>
            <w:vAlign w:val="center"/>
            <w:hideMark/>
          </w:tcPr>
          <w:p w:rsidR="00F768B0" w:rsidRPr="00884D10" w:rsidRDefault="00F768B0" w:rsidP="00C83E03">
            <w:pPr>
              <w:jc w:val="center"/>
            </w:pPr>
          </w:p>
        </w:tc>
      </w:tr>
      <w:tr w:rsidR="00F768B0" w:rsidRPr="00884D10" w:rsidTr="00C83E03">
        <w:trPr>
          <w:trHeight w:val="300"/>
          <w:jc w:val="center"/>
        </w:trPr>
        <w:tc>
          <w:tcPr>
            <w:tcW w:w="1256" w:type="dxa"/>
            <w:tcBorders>
              <w:top w:val="nil"/>
              <w:left w:val="single" w:sz="4" w:space="0" w:color="auto"/>
              <w:bottom w:val="single" w:sz="4" w:space="0" w:color="auto"/>
              <w:right w:val="single" w:sz="4" w:space="0" w:color="auto"/>
            </w:tcBorders>
            <w:vAlign w:val="center"/>
          </w:tcPr>
          <w:p w:rsidR="00F768B0" w:rsidRPr="00884D10" w:rsidRDefault="00F768B0" w:rsidP="00C83E03">
            <w:pPr>
              <w:jc w:val="center"/>
              <w:rPr>
                <w:b/>
                <w:bCs/>
                <w:color w:val="000000"/>
              </w:rPr>
            </w:pPr>
            <w:r w:rsidRPr="00884D10">
              <w:rPr>
                <w:b/>
                <w:bCs/>
                <w:color w:val="000000"/>
              </w:rPr>
              <w:t>EW</w:t>
            </w:r>
          </w:p>
        </w:tc>
        <w:tc>
          <w:tcPr>
            <w:tcW w:w="1256" w:type="dxa"/>
            <w:tcBorders>
              <w:top w:val="nil"/>
              <w:left w:val="single" w:sz="4" w:space="0" w:color="auto"/>
              <w:bottom w:val="single" w:sz="4" w:space="0" w:color="auto"/>
              <w:right w:val="single" w:sz="4" w:space="0" w:color="auto"/>
            </w:tcBorders>
            <w:shd w:val="clear" w:color="auto" w:fill="auto"/>
            <w:vAlign w:val="center"/>
            <w:hideMark/>
          </w:tcPr>
          <w:p w:rsidR="00F768B0" w:rsidRPr="00884D10" w:rsidRDefault="00F768B0" w:rsidP="00C83E03">
            <w:pPr>
              <w:jc w:val="center"/>
            </w:pPr>
          </w:p>
        </w:tc>
        <w:tc>
          <w:tcPr>
            <w:tcW w:w="1190" w:type="dxa"/>
            <w:tcBorders>
              <w:top w:val="single" w:sz="4" w:space="0" w:color="auto"/>
              <w:left w:val="nil"/>
              <w:bottom w:val="single" w:sz="4" w:space="0" w:color="auto"/>
              <w:right w:val="single" w:sz="4" w:space="0" w:color="auto"/>
            </w:tcBorders>
            <w:vAlign w:val="center"/>
          </w:tcPr>
          <w:p w:rsidR="00F768B0" w:rsidRPr="00884D10" w:rsidRDefault="00F768B0" w:rsidP="00C83E03">
            <w:pPr>
              <w:jc w:val="center"/>
            </w:pPr>
          </w:p>
        </w:tc>
        <w:tc>
          <w:tcPr>
            <w:tcW w:w="1190" w:type="dxa"/>
            <w:tcBorders>
              <w:top w:val="single" w:sz="4" w:space="0" w:color="auto"/>
              <w:left w:val="single" w:sz="4" w:space="0" w:color="auto"/>
              <w:bottom w:val="single" w:sz="4" w:space="0" w:color="auto"/>
              <w:right w:val="single" w:sz="4" w:space="0" w:color="auto"/>
            </w:tcBorders>
            <w:vAlign w:val="center"/>
          </w:tcPr>
          <w:p w:rsidR="00F768B0" w:rsidRPr="00884D10" w:rsidRDefault="00F768B0" w:rsidP="00C83E03">
            <w:pPr>
              <w:jc w:val="center"/>
            </w:pPr>
          </w:p>
        </w:tc>
        <w:tc>
          <w:tcPr>
            <w:tcW w:w="1190" w:type="dxa"/>
            <w:gridSpan w:val="2"/>
            <w:tcBorders>
              <w:top w:val="nil"/>
              <w:left w:val="nil"/>
              <w:bottom w:val="single" w:sz="4" w:space="0" w:color="auto"/>
              <w:right w:val="single" w:sz="4" w:space="0" w:color="auto"/>
            </w:tcBorders>
            <w:shd w:val="clear" w:color="auto" w:fill="auto"/>
            <w:vAlign w:val="center"/>
            <w:hideMark/>
          </w:tcPr>
          <w:p w:rsidR="00F768B0" w:rsidRPr="00884D10" w:rsidRDefault="00F768B0" w:rsidP="00C83E03">
            <w:pPr>
              <w:jc w:val="center"/>
            </w:pPr>
          </w:p>
        </w:tc>
      </w:tr>
      <w:tr w:rsidR="00F768B0" w:rsidRPr="00884D10" w:rsidTr="00C83E03">
        <w:trPr>
          <w:trHeight w:val="300"/>
          <w:jc w:val="center"/>
        </w:trPr>
        <w:tc>
          <w:tcPr>
            <w:tcW w:w="1256" w:type="dxa"/>
            <w:tcBorders>
              <w:top w:val="nil"/>
              <w:left w:val="single" w:sz="4" w:space="0" w:color="auto"/>
              <w:bottom w:val="single" w:sz="4" w:space="0" w:color="auto"/>
              <w:right w:val="single" w:sz="4" w:space="0" w:color="auto"/>
            </w:tcBorders>
            <w:vAlign w:val="center"/>
          </w:tcPr>
          <w:p w:rsidR="00F768B0" w:rsidRPr="00884D10" w:rsidRDefault="00F768B0" w:rsidP="00C83E03">
            <w:pPr>
              <w:jc w:val="center"/>
              <w:rPr>
                <w:b/>
                <w:bCs/>
                <w:color w:val="000000"/>
              </w:rPr>
            </w:pPr>
            <w:r w:rsidRPr="00884D10">
              <w:rPr>
                <w:b/>
                <w:bCs/>
                <w:color w:val="000000"/>
              </w:rPr>
              <w:t>SW</w:t>
            </w:r>
          </w:p>
        </w:tc>
        <w:tc>
          <w:tcPr>
            <w:tcW w:w="1256" w:type="dxa"/>
            <w:tcBorders>
              <w:top w:val="nil"/>
              <w:left w:val="single" w:sz="4" w:space="0" w:color="auto"/>
              <w:bottom w:val="single" w:sz="4" w:space="0" w:color="auto"/>
              <w:right w:val="single" w:sz="4" w:space="0" w:color="auto"/>
            </w:tcBorders>
            <w:shd w:val="clear" w:color="auto" w:fill="auto"/>
            <w:vAlign w:val="center"/>
            <w:hideMark/>
          </w:tcPr>
          <w:p w:rsidR="00F768B0" w:rsidRPr="00884D10" w:rsidRDefault="00F768B0" w:rsidP="00C83E03">
            <w:pPr>
              <w:jc w:val="center"/>
            </w:pPr>
          </w:p>
        </w:tc>
        <w:tc>
          <w:tcPr>
            <w:tcW w:w="1190" w:type="dxa"/>
            <w:tcBorders>
              <w:top w:val="single" w:sz="4" w:space="0" w:color="auto"/>
              <w:left w:val="nil"/>
              <w:bottom w:val="single" w:sz="4" w:space="0" w:color="auto"/>
              <w:right w:val="single" w:sz="4" w:space="0" w:color="auto"/>
            </w:tcBorders>
            <w:vAlign w:val="center"/>
          </w:tcPr>
          <w:p w:rsidR="00F768B0" w:rsidRPr="00884D10" w:rsidRDefault="00F768B0" w:rsidP="00C83E03">
            <w:pPr>
              <w:jc w:val="center"/>
            </w:pPr>
          </w:p>
        </w:tc>
        <w:tc>
          <w:tcPr>
            <w:tcW w:w="1190" w:type="dxa"/>
            <w:tcBorders>
              <w:top w:val="single" w:sz="4" w:space="0" w:color="auto"/>
              <w:left w:val="single" w:sz="4" w:space="0" w:color="auto"/>
              <w:bottom w:val="single" w:sz="4" w:space="0" w:color="auto"/>
              <w:right w:val="single" w:sz="4" w:space="0" w:color="auto"/>
            </w:tcBorders>
            <w:vAlign w:val="center"/>
          </w:tcPr>
          <w:p w:rsidR="00F768B0" w:rsidRPr="00884D10" w:rsidRDefault="00F768B0" w:rsidP="00C83E03">
            <w:pPr>
              <w:jc w:val="center"/>
            </w:pPr>
          </w:p>
        </w:tc>
        <w:tc>
          <w:tcPr>
            <w:tcW w:w="1190" w:type="dxa"/>
            <w:gridSpan w:val="2"/>
            <w:tcBorders>
              <w:top w:val="nil"/>
              <w:left w:val="nil"/>
              <w:bottom w:val="single" w:sz="4" w:space="0" w:color="auto"/>
              <w:right w:val="single" w:sz="4" w:space="0" w:color="auto"/>
            </w:tcBorders>
            <w:shd w:val="clear" w:color="auto" w:fill="auto"/>
            <w:vAlign w:val="center"/>
            <w:hideMark/>
          </w:tcPr>
          <w:p w:rsidR="00F768B0" w:rsidRPr="00884D10" w:rsidRDefault="00F768B0" w:rsidP="00C83E03">
            <w:pPr>
              <w:jc w:val="center"/>
            </w:pPr>
          </w:p>
        </w:tc>
      </w:tr>
      <w:tr w:rsidR="00F768B0" w:rsidRPr="00884D10" w:rsidTr="00C83E03">
        <w:trPr>
          <w:trHeight w:val="300"/>
          <w:jc w:val="center"/>
        </w:trPr>
        <w:tc>
          <w:tcPr>
            <w:tcW w:w="1256" w:type="dxa"/>
            <w:tcBorders>
              <w:top w:val="nil"/>
              <w:left w:val="single" w:sz="4" w:space="0" w:color="auto"/>
              <w:bottom w:val="single" w:sz="4" w:space="0" w:color="auto"/>
              <w:right w:val="single" w:sz="4" w:space="0" w:color="auto"/>
            </w:tcBorders>
            <w:vAlign w:val="center"/>
          </w:tcPr>
          <w:p w:rsidR="00F768B0" w:rsidRPr="00884D10" w:rsidRDefault="00F768B0" w:rsidP="00C83E03">
            <w:pPr>
              <w:jc w:val="center"/>
              <w:rPr>
                <w:b/>
                <w:bCs/>
                <w:color w:val="000000"/>
              </w:rPr>
            </w:pPr>
            <w:r w:rsidRPr="00884D10">
              <w:rPr>
                <w:b/>
                <w:bCs/>
                <w:color w:val="000000"/>
              </w:rPr>
              <w:t>SH</w:t>
            </w:r>
          </w:p>
        </w:tc>
        <w:tc>
          <w:tcPr>
            <w:tcW w:w="1256" w:type="dxa"/>
            <w:tcBorders>
              <w:top w:val="nil"/>
              <w:left w:val="single" w:sz="4" w:space="0" w:color="auto"/>
              <w:bottom w:val="single" w:sz="4" w:space="0" w:color="auto"/>
              <w:right w:val="single" w:sz="4" w:space="0" w:color="auto"/>
            </w:tcBorders>
            <w:shd w:val="clear" w:color="auto" w:fill="auto"/>
            <w:vAlign w:val="center"/>
            <w:hideMark/>
          </w:tcPr>
          <w:p w:rsidR="00F768B0" w:rsidRPr="00884D10" w:rsidRDefault="00F768B0" w:rsidP="00C83E03">
            <w:pPr>
              <w:jc w:val="center"/>
            </w:pPr>
          </w:p>
        </w:tc>
        <w:tc>
          <w:tcPr>
            <w:tcW w:w="1190" w:type="dxa"/>
            <w:tcBorders>
              <w:top w:val="single" w:sz="4" w:space="0" w:color="auto"/>
              <w:left w:val="nil"/>
              <w:bottom w:val="single" w:sz="4" w:space="0" w:color="auto"/>
              <w:right w:val="single" w:sz="4" w:space="0" w:color="auto"/>
            </w:tcBorders>
            <w:vAlign w:val="center"/>
          </w:tcPr>
          <w:p w:rsidR="00F768B0" w:rsidRPr="00884D10" w:rsidRDefault="00F768B0" w:rsidP="00C83E03">
            <w:pPr>
              <w:jc w:val="center"/>
            </w:pPr>
          </w:p>
        </w:tc>
        <w:tc>
          <w:tcPr>
            <w:tcW w:w="1190" w:type="dxa"/>
            <w:tcBorders>
              <w:top w:val="single" w:sz="4" w:space="0" w:color="auto"/>
              <w:left w:val="single" w:sz="4" w:space="0" w:color="auto"/>
              <w:bottom w:val="single" w:sz="4" w:space="0" w:color="auto"/>
              <w:right w:val="single" w:sz="4" w:space="0" w:color="auto"/>
            </w:tcBorders>
            <w:vAlign w:val="center"/>
          </w:tcPr>
          <w:p w:rsidR="00F768B0" w:rsidRPr="00884D10" w:rsidRDefault="00F768B0" w:rsidP="00C83E03">
            <w:pPr>
              <w:jc w:val="center"/>
            </w:pPr>
          </w:p>
        </w:tc>
        <w:tc>
          <w:tcPr>
            <w:tcW w:w="1190" w:type="dxa"/>
            <w:gridSpan w:val="2"/>
            <w:tcBorders>
              <w:top w:val="nil"/>
              <w:left w:val="nil"/>
              <w:bottom w:val="single" w:sz="4" w:space="0" w:color="auto"/>
              <w:right w:val="single" w:sz="4" w:space="0" w:color="auto"/>
            </w:tcBorders>
            <w:shd w:val="clear" w:color="auto" w:fill="auto"/>
            <w:vAlign w:val="center"/>
            <w:hideMark/>
          </w:tcPr>
          <w:p w:rsidR="00F768B0" w:rsidRPr="00884D10" w:rsidRDefault="00F768B0" w:rsidP="00C83E03">
            <w:pPr>
              <w:jc w:val="center"/>
            </w:pPr>
          </w:p>
        </w:tc>
      </w:tr>
    </w:tbl>
    <w:p w:rsidR="00F768B0" w:rsidRPr="00884D10" w:rsidRDefault="00F768B0" w:rsidP="00F768B0">
      <w:pPr>
        <w:jc w:val="center"/>
        <w:rPr>
          <w:iCs/>
        </w:rPr>
      </w:pPr>
    </w:p>
    <w:p w:rsidR="00F768B0" w:rsidRPr="00884D10" w:rsidRDefault="00F768B0" w:rsidP="00F768B0">
      <w:pPr>
        <w:rPr>
          <w:b/>
        </w:rPr>
      </w:pPr>
      <w:r w:rsidRPr="00884D10">
        <w:rPr>
          <w:b/>
        </w:rPr>
        <w:t>Table 22: Emissions by gas by vegetation class by fire season (tonnes)</w:t>
      </w:r>
    </w:p>
    <w:p w:rsidR="00F768B0" w:rsidRPr="00884D10" w:rsidRDefault="00F768B0" w:rsidP="00F768B0">
      <w:pPr>
        <w:rPr>
          <w:b/>
        </w:rPr>
      </w:pPr>
    </w:p>
    <w:tbl>
      <w:tblPr>
        <w:tblW w:w="6082" w:type="dxa"/>
        <w:jc w:val="center"/>
        <w:tblLook w:val="04A0" w:firstRow="1" w:lastRow="0" w:firstColumn="1" w:lastColumn="0" w:noHBand="0" w:noVBand="1"/>
      </w:tblPr>
      <w:tblGrid>
        <w:gridCol w:w="1323"/>
        <w:gridCol w:w="1237"/>
        <w:gridCol w:w="1173"/>
        <w:gridCol w:w="1176"/>
        <w:gridCol w:w="1165"/>
        <w:gridCol w:w="8"/>
      </w:tblGrid>
      <w:tr w:rsidR="00F768B0" w:rsidRPr="00884D10" w:rsidTr="00C83E03">
        <w:trPr>
          <w:gridAfter w:val="1"/>
          <w:wAfter w:w="8" w:type="dxa"/>
          <w:trHeight w:val="600"/>
          <w:jc w:val="center"/>
        </w:trPr>
        <w:tc>
          <w:tcPr>
            <w:tcW w:w="1323" w:type="dxa"/>
            <w:vMerge w:val="restart"/>
            <w:tcBorders>
              <w:top w:val="single" w:sz="4" w:space="0" w:color="auto"/>
              <w:left w:val="single" w:sz="4" w:space="0" w:color="auto"/>
              <w:right w:val="single" w:sz="4" w:space="0" w:color="auto"/>
            </w:tcBorders>
            <w:vAlign w:val="center"/>
          </w:tcPr>
          <w:p w:rsidR="00F768B0" w:rsidRPr="00884D10" w:rsidRDefault="00F768B0" w:rsidP="00C83E03">
            <w:pPr>
              <w:jc w:val="center"/>
              <w:rPr>
                <w:b/>
                <w:bCs/>
                <w:color w:val="000000"/>
              </w:rPr>
            </w:pPr>
            <w:r w:rsidRPr="00884D10">
              <w:rPr>
                <w:b/>
                <w:bCs/>
                <w:color w:val="000000"/>
              </w:rPr>
              <w:t>Vegetation class</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768B0" w:rsidRPr="00884D10" w:rsidRDefault="00F768B0" w:rsidP="00C83E03">
            <w:pPr>
              <w:jc w:val="center"/>
              <w:rPr>
                <w:b/>
                <w:bCs/>
                <w:color w:val="000000"/>
              </w:rPr>
            </w:pPr>
            <w:r w:rsidRPr="00884D10">
              <w:rPr>
                <w:b/>
                <w:bCs/>
                <w:color w:val="000000"/>
              </w:rPr>
              <w:t>Gas (CH</w:t>
            </w:r>
            <w:r w:rsidRPr="00884D10">
              <w:rPr>
                <w:b/>
                <w:bCs/>
                <w:color w:val="000000"/>
                <w:vertAlign w:val="subscript"/>
              </w:rPr>
              <w:t>4</w:t>
            </w:r>
            <w:r w:rsidRPr="00884D10">
              <w:rPr>
                <w:b/>
                <w:bCs/>
                <w:color w:val="000000"/>
              </w:rPr>
              <w:t>)</w:t>
            </w:r>
          </w:p>
        </w:tc>
        <w:tc>
          <w:tcPr>
            <w:tcW w:w="2341" w:type="dxa"/>
            <w:gridSpan w:val="2"/>
            <w:tcBorders>
              <w:top w:val="single" w:sz="4" w:space="0" w:color="auto"/>
              <w:left w:val="single" w:sz="4" w:space="0" w:color="auto"/>
              <w:bottom w:val="single" w:sz="4" w:space="0" w:color="auto"/>
              <w:right w:val="single" w:sz="4" w:space="0" w:color="auto"/>
            </w:tcBorders>
            <w:vAlign w:val="center"/>
          </w:tcPr>
          <w:p w:rsidR="00F768B0" w:rsidRPr="00884D10" w:rsidRDefault="00F768B0" w:rsidP="00C83E03">
            <w:pPr>
              <w:jc w:val="center"/>
              <w:rPr>
                <w:b/>
                <w:bCs/>
                <w:color w:val="000000"/>
              </w:rPr>
            </w:pPr>
            <w:r w:rsidRPr="00884D10">
              <w:rPr>
                <w:b/>
                <w:bCs/>
                <w:color w:val="000000"/>
              </w:rPr>
              <w:t>Gas (N</w:t>
            </w:r>
            <w:r w:rsidRPr="00884D10">
              <w:rPr>
                <w:b/>
                <w:bCs/>
                <w:color w:val="000000"/>
                <w:vertAlign w:val="subscript"/>
              </w:rPr>
              <w:t>2</w:t>
            </w:r>
            <w:r w:rsidRPr="00884D10">
              <w:rPr>
                <w:b/>
                <w:bCs/>
                <w:color w:val="000000"/>
              </w:rPr>
              <w:t>O)</w:t>
            </w:r>
          </w:p>
        </w:tc>
      </w:tr>
      <w:tr w:rsidR="00F768B0" w:rsidRPr="00884D10" w:rsidTr="00C83E03">
        <w:trPr>
          <w:trHeight w:val="300"/>
          <w:jc w:val="center"/>
        </w:trPr>
        <w:tc>
          <w:tcPr>
            <w:tcW w:w="1323" w:type="dxa"/>
            <w:vMerge/>
            <w:tcBorders>
              <w:left w:val="single" w:sz="4" w:space="0" w:color="auto"/>
              <w:bottom w:val="single" w:sz="4" w:space="0" w:color="auto"/>
              <w:right w:val="single" w:sz="4" w:space="0" w:color="auto"/>
            </w:tcBorders>
            <w:vAlign w:val="center"/>
          </w:tcPr>
          <w:p w:rsidR="00F768B0" w:rsidRPr="00884D10" w:rsidRDefault="00F768B0" w:rsidP="00C83E03">
            <w:pPr>
              <w:jc w:val="center"/>
              <w:rPr>
                <w:b/>
                <w:bCs/>
                <w:color w:val="000000"/>
              </w:rPr>
            </w:pPr>
          </w:p>
        </w:tc>
        <w:tc>
          <w:tcPr>
            <w:tcW w:w="1237" w:type="dxa"/>
            <w:tcBorders>
              <w:top w:val="nil"/>
              <w:left w:val="single" w:sz="4" w:space="0" w:color="auto"/>
              <w:bottom w:val="single" w:sz="4" w:space="0" w:color="auto"/>
              <w:right w:val="single" w:sz="4" w:space="0" w:color="auto"/>
            </w:tcBorders>
            <w:shd w:val="clear" w:color="auto" w:fill="auto"/>
            <w:vAlign w:val="center"/>
          </w:tcPr>
          <w:p w:rsidR="00F768B0" w:rsidRPr="00884D10" w:rsidRDefault="00F768B0" w:rsidP="00C83E03">
            <w:pPr>
              <w:jc w:val="center"/>
              <w:rPr>
                <w:b/>
                <w:bCs/>
                <w:color w:val="000000"/>
              </w:rPr>
            </w:pPr>
            <w:r w:rsidRPr="00884D10">
              <w:rPr>
                <w:b/>
                <w:bCs/>
                <w:color w:val="000000"/>
              </w:rPr>
              <w:t>EDS</w:t>
            </w:r>
          </w:p>
        </w:tc>
        <w:tc>
          <w:tcPr>
            <w:tcW w:w="1173" w:type="dxa"/>
            <w:tcBorders>
              <w:top w:val="single" w:sz="4" w:space="0" w:color="auto"/>
              <w:left w:val="nil"/>
              <w:bottom w:val="single" w:sz="4" w:space="0" w:color="auto"/>
              <w:right w:val="single" w:sz="4" w:space="0" w:color="auto"/>
            </w:tcBorders>
            <w:vAlign w:val="center"/>
          </w:tcPr>
          <w:p w:rsidR="00F768B0" w:rsidRPr="00884D10" w:rsidRDefault="00F768B0" w:rsidP="00C83E03">
            <w:pPr>
              <w:jc w:val="center"/>
              <w:rPr>
                <w:b/>
                <w:bCs/>
                <w:color w:val="000000"/>
              </w:rPr>
            </w:pPr>
            <w:r w:rsidRPr="00884D10">
              <w:rPr>
                <w:b/>
                <w:bCs/>
                <w:color w:val="000000"/>
              </w:rPr>
              <w:t>LDS</w:t>
            </w:r>
          </w:p>
        </w:tc>
        <w:tc>
          <w:tcPr>
            <w:tcW w:w="1176" w:type="dxa"/>
            <w:tcBorders>
              <w:top w:val="single" w:sz="4" w:space="0" w:color="auto"/>
              <w:left w:val="single" w:sz="4" w:space="0" w:color="auto"/>
              <w:bottom w:val="single" w:sz="4" w:space="0" w:color="auto"/>
              <w:right w:val="single" w:sz="4" w:space="0" w:color="auto"/>
            </w:tcBorders>
            <w:vAlign w:val="center"/>
          </w:tcPr>
          <w:p w:rsidR="00F768B0" w:rsidRPr="00884D10" w:rsidRDefault="00F768B0" w:rsidP="00C83E03">
            <w:pPr>
              <w:jc w:val="center"/>
              <w:rPr>
                <w:b/>
                <w:bCs/>
                <w:color w:val="000000"/>
              </w:rPr>
            </w:pPr>
            <w:r w:rsidRPr="00884D10">
              <w:rPr>
                <w:b/>
                <w:bCs/>
                <w:color w:val="000000"/>
              </w:rPr>
              <w:t>EDS</w:t>
            </w:r>
          </w:p>
        </w:tc>
        <w:tc>
          <w:tcPr>
            <w:tcW w:w="1173" w:type="dxa"/>
            <w:gridSpan w:val="2"/>
            <w:tcBorders>
              <w:top w:val="nil"/>
              <w:left w:val="nil"/>
              <w:bottom w:val="single" w:sz="4" w:space="0" w:color="auto"/>
              <w:right w:val="single" w:sz="4" w:space="0" w:color="auto"/>
            </w:tcBorders>
            <w:shd w:val="clear" w:color="auto" w:fill="auto"/>
            <w:vAlign w:val="center"/>
          </w:tcPr>
          <w:p w:rsidR="00F768B0" w:rsidRPr="00884D10" w:rsidRDefault="00F768B0" w:rsidP="00C83E03">
            <w:pPr>
              <w:jc w:val="center"/>
              <w:rPr>
                <w:b/>
                <w:bCs/>
                <w:color w:val="000000"/>
              </w:rPr>
            </w:pPr>
            <w:r w:rsidRPr="00884D10">
              <w:rPr>
                <w:b/>
                <w:bCs/>
                <w:color w:val="000000"/>
              </w:rPr>
              <w:t>LDS</w:t>
            </w:r>
          </w:p>
        </w:tc>
      </w:tr>
      <w:tr w:rsidR="00F768B0" w:rsidRPr="00884D10" w:rsidTr="00C83E03">
        <w:trPr>
          <w:trHeight w:val="300"/>
          <w:jc w:val="center"/>
        </w:trPr>
        <w:tc>
          <w:tcPr>
            <w:tcW w:w="1323" w:type="dxa"/>
            <w:tcBorders>
              <w:top w:val="nil"/>
              <w:left w:val="single" w:sz="4" w:space="0" w:color="auto"/>
              <w:bottom w:val="single" w:sz="4" w:space="0" w:color="auto"/>
              <w:right w:val="single" w:sz="4" w:space="0" w:color="auto"/>
            </w:tcBorders>
            <w:vAlign w:val="center"/>
          </w:tcPr>
          <w:p w:rsidR="00F768B0" w:rsidRPr="00884D10" w:rsidRDefault="00F768B0" w:rsidP="00C83E03">
            <w:pPr>
              <w:jc w:val="center"/>
              <w:rPr>
                <w:b/>
                <w:bCs/>
                <w:color w:val="000000"/>
              </w:rPr>
            </w:pPr>
            <w:r w:rsidRPr="00884D10">
              <w:rPr>
                <w:b/>
                <w:bCs/>
                <w:color w:val="000000"/>
              </w:rPr>
              <w:t>EOF</w:t>
            </w:r>
          </w:p>
        </w:tc>
        <w:tc>
          <w:tcPr>
            <w:tcW w:w="1237" w:type="dxa"/>
            <w:tcBorders>
              <w:top w:val="nil"/>
              <w:left w:val="single" w:sz="4" w:space="0" w:color="auto"/>
              <w:bottom w:val="single" w:sz="4" w:space="0" w:color="auto"/>
              <w:right w:val="single" w:sz="4" w:space="0" w:color="auto"/>
            </w:tcBorders>
            <w:shd w:val="clear" w:color="auto" w:fill="auto"/>
            <w:vAlign w:val="center"/>
          </w:tcPr>
          <w:p w:rsidR="00F768B0" w:rsidRPr="00884D10" w:rsidRDefault="00F768B0" w:rsidP="00C83E03">
            <w:pPr>
              <w:jc w:val="center"/>
            </w:pPr>
          </w:p>
        </w:tc>
        <w:tc>
          <w:tcPr>
            <w:tcW w:w="1173" w:type="dxa"/>
            <w:tcBorders>
              <w:top w:val="single" w:sz="4" w:space="0" w:color="auto"/>
              <w:left w:val="nil"/>
              <w:bottom w:val="single" w:sz="4" w:space="0" w:color="auto"/>
              <w:right w:val="single" w:sz="4" w:space="0" w:color="auto"/>
            </w:tcBorders>
            <w:vAlign w:val="center"/>
          </w:tcPr>
          <w:p w:rsidR="00F768B0" w:rsidRPr="00884D10" w:rsidRDefault="00F768B0" w:rsidP="00C83E03">
            <w:pPr>
              <w:jc w:val="center"/>
            </w:pPr>
          </w:p>
        </w:tc>
        <w:tc>
          <w:tcPr>
            <w:tcW w:w="1176" w:type="dxa"/>
            <w:tcBorders>
              <w:top w:val="single" w:sz="4" w:space="0" w:color="auto"/>
              <w:left w:val="single" w:sz="4" w:space="0" w:color="auto"/>
              <w:bottom w:val="single" w:sz="4" w:space="0" w:color="auto"/>
              <w:right w:val="single" w:sz="4" w:space="0" w:color="auto"/>
            </w:tcBorders>
            <w:vAlign w:val="center"/>
          </w:tcPr>
          <w:p w:rsidR="00F768B0" w:rsidRPr="00884D10" w:rsidRDefault="00F768B0" w:rsidP="00C83E03">
            <w:pPr>
              <w:jc w:val="center"/>
            </w:pPr>
          </w:p>
        </w:tc>
        <w:tc>
          <w:tcPr>
            <w:tcW w:w="1173" w:type="dxa"/>
            <w:gridSpan w:val="2"/>
            <w:tcBorders>
              <w:top w:val="nil"/>
              <w:left w:val="nil"/>
              <w:bottom w:val="single" w:sz="4" w:space="0" w:color="auto"/>
              <w:right w:val="single" w:sz="4" w:space="0" w:color="auto"/>
            </w:tcBorders>
            <w:shd w:val="clear" w:color="auto" w:fill="auto"/>
            <w:vAlign w:val="center"/>
          </w:tcPr>
          <w:p w:rsidR="00F768B0" w:rsidRPr="00884D10" w:rsidRDefault="00F768B0" w:rsidP="00C83E03">
            <w:pPr>
              <w:jc w:val="center"/>
            </w:pPr>
          </w:p>
        </w:tc>
      </w:tr>
      <w:tr w:rsidR="00F768B0" w:rsidRPr="00884D10" w:rsidTr="00C83E03">
        <w:trPr>
          <w:trHeight w:val="300"/>
          <w:jc w:val="center"/>
        </w:trPr>
        <w:tc>
          <w:tcPr>
            <w:tcW w:w="1323" w:type="dxa"/>
            <w:tcBorders>
              <w:top w:val="nil"/>
              <w:left w:val="single" w:sz="4" w:space="0" w:color="auto"/>
              <w:bottom w:val="single" w:sz="4" w:space="0" w:color="auto"/>
              <w:right w:val="single" w:sz="4" w:space="0" w:color="auto"/>
            </w:tcBorders>
            <w:vAlign w:val="center"/>
          </w:tcPr>
          <w:p w:rsidR="00F768B0" w:rsidRPr="00884D10" w:rsidRDefault="00F768B0" w:rsidP="00C83E03">
            <w:pPr>
              <w:jc w:val="center"/>
              <w:rPr>
                <w:rFonts w:ascii="Arial" w:hAnsi="Arial"/>
                <w:b/>
                <w:bCs/>
                <w:color w:val="000000"/>
              </w:rPr>
            </w:pPr>
            <w:r w:rsidRPr="00884D10">
              <w:rPr>
                <w:b/>
                <w:bCs/>
                <w:color w:val="000000"/>
              </w:rPr>
              <w:t>EW</w:t>
            </w:r>
          </w:p>
        </w:tc>
        <w:tc>
          <w:tcPr>
            <w:tcW w:w="1237" w:type="dxa"/>
            <w:tcBorders>
              <w:top w:val="nil"/>
              <w:left w:val="single" w:sz="4" w:space="0" w:color="auto"/>
              <w:bottom w:val="single" w:sz="4" w:space="0" w:color="auto"/>
              <w:right w:val="single" w:sz="4" w:space="0" w:color="auto"/>
            </w:tcBorders>
            <w:shd w:val="clear" w:color="auto" w:fill="auto"/>
            <w:vAlign w:val="center"/>
          </w:tcPr>
          <w:p w:rsidR="00F768B0" w:rsidRPr="00884D10" w:rsidRDefault="00F768B0" w:rsidP="00C83E03">
            <w:pPr>
              <w:jc w:val="center"/>
            </w:pPr>
          </w:p>
        </w:tc>
        <w:tc>
          <w:tcPr>
            <w:tcW w:w="1173" w:type="dxa"/>
            <w:tcBorders>
              <w:top w:val="single" w:sz="4" w:space="0" w:color="auto"/>
              <w:left w:val="nil"/>
              <w:bottom w:val="single" w:sz="4" w:space="0" w:color="auto"/>
              <w:right w:val="single" w:sz="4" w:space="0" w:color="auto"/>
            </w:tcBorders>
            <w:vAlign w:val="center"/>
          </w:tcPr>
          <w:p w:rsidR="00F768B0" w:rsidRPr="00884D10" w:rsidRDefault="00F768B0" w:rsidP="00C83E03">
            <w:pPr>
              <w:jc w:val="center"/>
            </w:pPr>
          </w:p>
        </w:tc>
        <w:tc>
          <w:tcPr>
            <w:tcW w:w="1176" w:type="dxa"/>
            <w:tcBorders>
              <w:top w:val="single" w:sz="4" w:space="0" w:color="auto"/>
              <w:left w:val="single" w:sz="4" w:space="0" w:color="auto"/>
              <w:bottom w:val="single" w:sz="4" w:space="0" w:color="auto"/>
              <w:right w:val="single" w:sz="4" w:space="0" w:color="auto"/>
            </w:tcBorders>
            <w:vAlign w:val="center"/>
          </w:tcPr>
          <w:p w:rsidR="00F768B0" w:rsidRPr="00884D10" w:rsidRDefault="00F768B0" w:rsidP="00C83E03">
            <w:pPr>
              <w:jc w:val="center"/>
            </w:pPr>
          </w:p>
        </w:tc>
        <w:tc>
          <w:tcPr>
            <w:tcW w:w="1173" w:type="dxa"/>
            <w:gridSpan w:val="2"/>
            <w:tcBorders>
              <w:top w:val="nil"/>
              <w:left w:val="nil"/>
              <w:bottom w:val="single" w:sz="4" w:space="0" w:color="auto"/>
              <w:right w:val="single" w:sz="4" w:space="0" w:color="auto"/>
            </w:tcBorders>
            <w:shd w:val="clear" w:color="auto" w:fill="auto"/>
            <w:vAlign w:val="center"/>
          </w:tcPr>
          <w:p w:rsidR="00F768B0" w:rsidRPr="00884D10" w:rsidRDefault="00F768B0" w:rsidP="00C83E03">
            <w:pPr>
              <w:jc w:val="center"/>
            </w:pPr>
          </w:p>
        </w:tc>
      </w:tr>
      <w:tr w:rsidR="00F768B0" w:rsidRPr="00884D10" w:rsidTr="00C83E03">
        <w:trPr>
          <w:trHeight w:val="300"/>
          <w:jc w:val="center"/>
        </w:trPr>
        <w:tc>
          <w:tcPr>
            <w:tcW w:w="1323" w:type="dxa"/>
            <w:tcBorders>
              <w:top w:val="nil"/>
              <w:left w:val="single" w:sz="4" w:space="0" w:color="auto"/>
              <w:bottom w:val="single" w:sz="4" w:space="0" w:color="auto"/>
              <w:right w:val="single" w:sz="4" w:space="0" w:color="auto"/>
            </w:tcBorders>
            <w:vAlign w:val="center"/>
          </w:tcPr>
          <w:p w:rsidR="00F768B0" w:rsidRPr="00884D10" w:rsidRDefault="00F768B0" w:rsidP="00C83E03">
            <w:pPr>
              <w:jc w:val="center"/>
              <w:rPr>
                <w:b/>
                <w:bCs/>
                <w:color w:val="000000"/>
              </w:rPr>
            </w:pPr>
            <w:r w:rsidRPr="00884D10">
              <w:rPr>
                <w:b/>
                <w:bCs/>
                <w:color w:val="000000"/>
              </w:rPr>
              <w:t>SW</w:t>
            </w:r>
          </w:p>
        </w:tc>
        <w:tc>
          <w:tcPr>
            <w:tcW w:w="1237" w:type="dxa"/>
            <w:tcBorders>
              <w:top w:val="nil"/>
              <w:left w:val="single" w:sz="4" w:space="0" w:color="auto"/>
              <w:bottom w:val="single" w:sz="4" w:space="0" w:color="auto"/>
              <w:right w:val="single" w:sz="4" w:space="0" w:color="auto"/>
            </w:tcBorders>
            <w:shd w:val="clear" w:color="auto" w:fill="auto"/>
            <w:vAlign w:val="center"/>
          </w:tcPr>
          <w:p w:rsidR="00F768B0" w:rsidRPr="00884D10" w:rsidRDefault="00F768B0" w:rsidP="00C83E03">
            <w:pPr>
              <w:jc w:val="center"/>
            </w:pPr>
          </w:p>
        </w:tc>
        <w:tc>
          <w:tcPr>
            <w:tcW w:w="1173" w:type="dxa"/>
            <w:tcBorders>
              <w:top w:val="single" w:sz="4" w:space="0" w:color="auto"/>
              <w:left w:val="nil"/>
              <w:bottom w:val="single" w:sz="4" w:space="0" w:color="auto"/>
              <w:right w:val="single" w:sz="4" w:space="0" w:color="auto"/>
            </w:tcBorders>
            <w:vAlign w:val="center"/>
          </w:tcPr>
          <w:p w:rsidR="00F768B0" w:rsidRPr="00884D10" w:rsidRDefault="00F768B0" w:rsidP="00C83E03">
            <w:pPr>
              <w:jc w:val="center"/>
            </w:pPr>
          </w:p>
        </w:tc>
        <w:tc>
          <w:tcPr>
            <w:tcW w:w="1176" w:type="dxa"/>
            <w:tcBorders>
              <w:top w:val="single" w:sz="4" w:space="0" w:color="auto"/>
              <w:left w:val="single" w:sz="4" w:space="0" w:color="auto"/>
              <w:bottom w:val="single" w:sz="4" w:space="0" w:color="auto"/>
              <w:right w:val="single" w:sz="4" w:space="0" w:color="auto"/>
            </w:tcBorders>
            <w:vAlign w:val="center"/>
          </w:tcPr>
          <w:p w:rsidR="00F768B0" w:rsidRPr="00884D10" w:rsidRDefault="00F768B0" w:rsidP="00C83E03">
            <w:pPr>
              <w:jc w:val="center"/>
            </w:pPr>
          </w:p>
        </w:tc>
        <w:tc>
          <w:tcPr>
            <w:tcW w:w="1173" w:type="dxa"/>
            <w:gridSpan w:val="2"/>
            <w:tcBorders>
              <w:top w:val="nil"/>
              <w:left w:val="nil"/>
              <w:bottom w:val="single" w:sz="4" w:space="0" w:color="auto"/>
              <w:right w:val="single" w:sz="4" w:space="0" w:color="auto"/>
            </w:tcBorders>
            <w:shd w:val="clear" w:color="auto" w:fill="auto"/>
            <w:vAlign w:val="center"/>
          </w:tcPr>
          <w:p w:rsidR="00F768B0" w:rsidRPr="00884D10" w:rsidRDefault="00F768B0" w:rsidP="00C83E03">
            <w:pPr>
              <w:jc w:val="center"/>
            </w:pPr>
          </w:p>
        </w:tc>
      </w:tr>
      <w:tr w:rsidR="00F768B0" w:rsidRPr="00884D10" w:rsidTr="00C83E03">
        <w:trPr>
          <w:trHeight w:val="300"/>
          <w:jc w:val="center"/>
        </w:trPr>
        <w:tc>
          <w:tcPr>
            <w:tcW w:w="1323" w:type="dxa"/>
            <w:tcBorders>
              <w:top w:val="nil"/>
              <w:left w:val="single" w:sz="4" w:space="0" w:color="auto"/>
              <w:bottom w:val="single" w:sz="4" w:space="0" w:color="auto"/>
              <w:right w:val="single" w:sz="4" w:space="0" w:color="auto"/>
            </w:tcBorders>
            <w:vAlign w:val="center"/>
          </w:tcPr>
          <w:p w:rsidR="00F768B0" w:rsidRPr="00884D10" w:rsidRDefault="00F768B0" w:rsidP="00C83E03">
            <w:pPr>
              <w:jc w:val="center"/>
              <w:rPr>
                <w:b/>
                <w:bCs/>
                <w:color w:val="000000"/>
              </w:rPr>
            </w:pPr>
            <w:r w:rsidRPr="00884D10">
              <w:rPr>
                <w:b/>
                <w:bCs/>
                <w:color w:val="000000"/>
              </w:rPr>
              <w:t>SH</w:t>
            </w:r>
          </w:p>
        </w:tc>
        <w:tc>
          <w:tcPr>
            <w:tcW w:w="1237" w:type="dxa"/>
            <w:tcBorders>
              <w:top w:val="nil"/>
              <w:left w:val="single" w:sz="4" w:space="0" w:color="auto"/>
              <w:bottom w:val="single" w:sz="4" w:space="0" w:color="auto"/>
              <w:right w:val="single" w:sz="4" w:space="0" w:color="auto"/>
            </w:tcBorders>
            <w:shd w:val="clear" w:color="auto" w:fill="auto"/>
            <w:vAlign w:val="center"/>
          </w:tcPr>
          <w:p w:rsidR="00F768B0" w:rsidRPr="00884D10" w:rsidRDefault="00F768B0" w:rsidP="00C83E03">
            <w:pPr>
              <w:jc w:val="center"/>
            </w:pPr>
          </w:p>
        </w:tc>
        <w:tc>
          <w:tcPr>
            <w:tcW w:w="1173" w:type="dxa"/>
            <w:tcBorders>
              <w:top w:val="single" w:sz="4" w:space="0" w:color="auto"/>
              <w:left w:val="nil"/>
              <w:bottom w:val="single" w:sz="4" w:space="0" w:color="auto"/>
              <w:right w:val="single" w:sz="4" w:space="0" w:color="auto"/>
            </w:tcBorders>
            <w:vAlign w:val="center"/>
          </w:tcPr>
          <w:p w:rsidR="00F768B0" w:rsidRPr="00884D10" w:rsidRDefault="00F768B0" w:rsidP="00C83E03">
            <w:pPr>
              <w:jc w:val="center"/>
            </w:pPr>
          </w:p>
        </w:tc>
        <w:tc>
          <w:tcPr>
            <w:tcW w:w="1176" w:type="dxa"/>
            <w:tcBorders>
              <w:top w:val="single" w:sz="4" w:space="0" w:color="auto"/>
              <w:left w:val="single" w:sz="4" w:space="0" w:color="auto"/>
              <w:bottom w:val="single" w:sz="4" w:space="0" w:color="auto"/>
              <w:right w:val="single" w:sz="4" w:space="0" w:color="auto"/>
            </w:tcBorders>
            <w:vAlign w:val="center"/>
          </w:tcPr>
          <w:p w:rsidR="00F768B0" w:rsidRPr="00884D10" w:rsidRDefault="00F768B0" w:rsidP="00C83E03">
            <w:pPr>
              <w:jc w:val="center"/>
            </w:pPr>
          </w:p>
        </w:tc>
        <w:tc>
          <w:tcPr>
            <w:tcW w:w="1173" w:type="dxa"/>
            <w:gridSpan w:val="2"/>
            <w:tcBorders>
              <w:top w:val="nil"/>
              <w:left w:val="nil"/>
              <w:bottom w:val="single" w:sz="4" w:space="0" w:color="auto"/>
              <w:right w:val="single" w:sz="4" w:space="0" w:color="auto"/>
            </w:tcBorders>
            <w:shd w:val="clear" w:color="auto" w:fill="auto"/>
            <w:vAlign w:val="center"/>
          </w:tcPr>
          <w:p w:rsidR="00F768B0" w:rsidRPr="00884D10" w:rsidRDefault="00F768B0" w:rsidP="00C83E03">
            <w:pPr>
              <w:jc w:val="center"/>
            </w:pPr>
          </w:p>
        </w:tc>
      </w:tr>
      <w:tr w:rsidR="00F768B0" w:rsidRPr="00884D10" w:rsidTr="00C83E03">
        <w:trPr>
          <w:trHeight w:val="300"/>
          <w:jc w:val="center"/>
        </w:trPr>
        <w:tc>
          <w:tcPr>
            <w:tcW w:w="1323" w:type="dxa"/>
            <w:tcBorders>
              <w:top w:val="double" w:sz="4" w:space="0" w:color="auto"/>
              <w:left w:val="single" w:sz="4" w:space="0" w:color="auto"/>
              <w:bottom w:val="triple" w:sz="4" w:space="0" w:color="auto"/>
              <w:right w:val="single" w:sz="4" w:space="0" w:color="auto"/>
            </w:tcBorders>
            <w:vAlign w:val="center"/>
          </w:tcPr>
          <w:p w:rsidR="00F768B0" w:rsidRPr="00884D10" w:rsidRDefault="00F768B0" w:rsidP="00C83E03">
            <w:pPr>
              <w:jc w:val="center"/>
              <w:rPr>
                <w:b/>
                <w:bCs/>
                <w:color w:val="000000"/>
              </w:rPr>
            </w:pPr>
            <w:r w:rsidRPr="00884D10">
              <w:rPr>
                <w:b/>
                <w:bCs/>
                <w:color w:val="000000"/>
              </w:rPr>
              <w:t>Total (fire season)</w:t>
            </w:r>
          </w:p>
        </w:tc>
        <w:tc>
          <w:tcPr>
            <w:tcW w:w="1237" w:type="dxa"/>
            <w:tcBorders>
              <w:top w:val="double" w:sz="4" w:space="0" w:color="auto"/>
              <w:left w:val="single" w:sz="4" w:space="0" w:color="auto"/>
              <w:bottom w:val="triple" w:sz="4" w:space="0" w:color="auto"/>
              <w:right w:val="single" w:sz="4" w:space="0" w:color="auto"/>
            </w:tcBorders>
            <w:shd w:val="clear" w:color="auto" w:fill="auto"/>
            <w:vAlign w:val="center"/>
          </w:tcPr>
          <w:p w:rsidR="00F768B0" w:rsidRPr="00884D10" w:rsidRDefault="00F768B0" w:rsidP="00C83E03">
            <w:pPr>
              <w:jc w:val="center"/>
            </w:pPr>
          </w:p>
        </w:tc>
        <w:tc>
          <w:tcPr>
            <w:tcW w:w="1173" w:type="dxa"/>
            <w:tcBorders>
              <w:top w:val="double" w:sz="4" w:space="0" w:color="auto"/>
              <w:left w:val="nil"/>
              <w:bottom w:val="triple" w:sz="4" w:space="0" w:color="auto"/>
              <w:right w:val="single" w:sz="4" w:space="0" w:color="auto"/>
            </w:tcBorders>
            <w:vAlign w:val="center"/>
          </w:tcPr>
          <w:p w:rsidR="00F768B0" w:rsidRPr="00884D10" w:rsidRDefault="00F768B0" w:rsidP="00C83E03">
            <w:pPr>
              <w:jc w:val="center"/>
            </w:pPr>
          </w:p>
        </w:tc>
        <w:tc>
          <w:tcPr>
            <w:tcW w:w="1176" w:type="dxa"/>
            <w:tcBorders>
              <w:top w:val="double" w:sz="4" w:space="0" w:color="auto"/>
              <w:left w:val="single" w:sz="4" w:space="0" w:color="auto"/>
              <w:bottom w:val="triple" w:sz="4" w:space="0" w:color="auto"/>
              <w:right w:val="single" w:sz="4" w:space="0" w:color="auto"/>
            </w:tcBorders>
            <w:vAlign w:val="center"/>
          </w:tcPr>
          <w:p w:rsidR="00F768B0" w:rsidRPr="00884D10" w:rsidRDefault="00F768B0" w:rsidP="00C83E03">
            <w:pPr>
              <w:jc w:val="center"/>
            </w:pPr>
          </w:p>
        </w:tc>
        <w:tc>
          <w:tcPr>
            <w:tcW w:w="1173" w:type="dxa"/>
            <w:gridSpan w:val="2"/>
            <w:tcBorders>
              <w:top w:val="double" w:sz="4" w:space="0" w:color="auto"/>
              <w:left w:val="nil"/>
              <w:bottom w:val="triple" w:sz="4" w:space="0" w:color="auto"/>
              <w:right w:val="single" w:sz="4" w:space="0" w:color="auto"/>
            </w:tcBorders>
            <w:shd w:val="clear" w:color="auto" w:fill="auto"/>
            <w:vAlign w:val="center"/>
          </w:tcPr>
          <w:p w:rsidR="00F768B0" w:rsidRPr="00884D10" w:rsidRDefault="00F768B0" w:rsidP="00C83E03">
            <w:pPr>
              <w:jc w:val="center"/>
            </w:pPr>
          </w:p>
        </w:tc>
      </w:tr>
      <w:tr w:rsidR="00F768B0" w:rsidRPr="00884D10" w:rsidTr="00C83E03">
        <w:trPr>
          <w:trHeight w:val="300"/>
          <w:jc w:val="center"/>
        </w:trPr>
        <w:tc>
          <w:tcPr>
            <w:tcW w:w="1323" w:type="dxa"/>
            <w:tcBorders>
              <w:top w:val="triple" w:sz="4" w:space="0" w:color="auto"/>
              <w:left w:val="single" w:sz="4" w:space="0" w:color="auto"/>
              <w:bottom w:val="single" w:sz="4" w:space="0" w:color="auto"/>
              <w:right w:val="single" w:sz="4" w:space="0" w:color="auto"/>
            </w:tcBorders>
            <w:vAlign w:val="center"/>
          </w:tcPr>
          <w:p w:rsidR="00F768B0" w:rsidRPr="00884D10" w:rsidRDefault="00F768B0" w:rsidP="00C83E03">
            <w:pPr>
              <w:jc w:val="center"/>
              <w:rPr>
                <w:b/>
                <w:bCs/>
                <w:color w:val="000000"/>
              </w:rPr>
            </w:pPr>
            <w:r w:rsidRPr="00884D10">
              <w:rPr>
                <w:b/>
                <w:bCs/>
                <w:color w:val="000000"/>
              </w:rPr>
              <w:t>Total (Gas)</w:t>
            </w:r>
          </w:p>
        </w:tc>
        <w:tc>
          <w:tcPr>
            <w:tcW w:w="2410" w:type="dxa"/>
            <w:gridSpan w:val="2"/>
            <w:tcBorders>
              <w:top w:val="triple" w:sz="4" w:space="0" w:color="auto"/>
              <w:left w:val="single" w:sz="4" w:space="0" w:color="auto"/>
              <w:bottom w:val="single" w:sz="4" w:space="0" w:color="auto"/>
              <w:right w:val="single" w:sz="4" w:space="0" w:color="auto"/>
            </w:tcBorders>
            <w:shd w:val="clear" w:color="auto" w:fill="auto"/>
            <w:vAlign w:val="center"/>
          </w:tcPr>
          <w:p w:rsidR="00F768B0" w:rsidRPr="00884D10" w:rsidRDefault="00F768B0" w:rsidP="00C83E03">
            <w:pPr>
              <w:jc w:val="center"/>
            </w:pPr>
          </w:p>
        </w:tc>
        <w:tc>
          <w:tcPr>
            <w:tcW w:w="2349" w:type="dxa"/>
            <w:gridSpan w:val="3"/>
            <w:tcBorders>
              <w:top w:val="triple" w:sz="4" w:space="0" w:color="auto"/>
              <w:left w:val="single" w:sz="4" w:space="0" w:color="auto"/>
              <w:bottom w:val="single" w:sz="4" w:space="0" w:color="auto"/>
              <w:right w:val="single" w:sz="4" w:space="0" w:color="auto"/>
            </w:tcBorders>
            <w:vAlign w:val="center"/>
          </w:tcPr>
          <w:p w:rsidR="00F768B0" w:rsidRPr="00884D10" w:rsidRDefault="00F768B0" w:rsidP="00C83E03">
            <w:pPr>
              <w:jc w:val="center"/>
            </w:pPr>
          </w:p>
        </w:tc>
      </w:tr>
    </w:tbl>
    <w:p w:rsidR="00F768B0" w:rsidRPr="00884D10" w:rsidRDefault="00F768B0" w:rsidP="00F768B0">
      <w:pPr>
        <w:jc w:val="center"/>
        <w:rPr>
          <w:b/>
        </w:rPr>
      </w:pPr>
    </w:p>
    <w:p w:rsidR="00F768B0" w:rsidRPr="00884D10" w:rsidRDefault="00F768B0" w:rsidP="00F768B0">
      <w:pPr>
        <w:jc w:val="center"/>
        <w:rPr>
          <w:b/>
        </w:rPr>
      </w:pPr>
    </w:p>
    <w:p w:rsidR="00F768B0" w:rsidRPr="00884D10" w:rsidRDefault="00F768B0" w:rsidP="00F768B0">
      <w:pPr>
        <w:jc w:val="center"/>
        <w:rPr>
          <w:b/>
        </w:rPr>
      </w:pPr>
    </w:p>
    <w:p w:rsidR="00F768B0" w:rsidRPr="00884D10" w:rsidRDefault="00F768B0" w:rsidP="00F768B0">
      <w:pPr>
        <w:keepNext/>
        <w:jc w:val="center"/>
        <w:rPr>
          <w:b/>
        </w:rPr>
      </w:pPr>
      <w:r w:rsidRPr="00884D10">
        <w:rPr>
          <w:b/>
        </w:rPr>
        <w:lastRenderedPageBreak/>
        <w:t>Table 23: Total annual emissions (tonnes CO</w:t>
      </w:r>
      <w:r w:rsidRPr="00884D10">
        <w:rPr>
          <w:b/>
          <w:vertAlign w:val="subscript"/>
        </w:rPr>
        <w:t>2</w:t>
      </w:r>
      <w:r w:rsidRPr="00884D10">
        <w:rPr>
          <w:b/>
        </w:rPr>
        <w:t>-e)</w:t>
      </w:r>
    </w:p>
    <w:p w:rsidR="00F768B0" w:rsidRPr="00884D10" w:rsidRDefault="00F768B0" w:rsidP="00F768B0">
      <w:pPr>
        <w:keepNext/>
        <w:jc w:val="center"/>
        <w:rPr>
          <w:b/>
        </w:rPr>
      </w:pPr>
    </w:p>
    <w:tbl>
      <w:tblPr>
        <w:tblW w:w="5920" w:type="dxa"/>
        <w:jc w:val="center"/>
        <w:tblInd w:w="-1031" w:type="dxa"/>
        <w:tblLook w:val="04A0" w:firstRow="1" w:lastRow="0" w:firstColumn="1" w:lastColumn="0" w:noHBand="0" w:noVBand="1"/>
      </w:tblPr>
      <w:tblGrid>
        <w:gridCol w:w="1072"/>
        <w:gridCol w:w="2472"/>
        <w:gridCol w:w="1216"/>
        <w:gridCol w:w="1160"/>
      </w:tblGrid>
      <w:tr w:rsidR="00F768B0" w:rsidRPr="00884D10" w:rsidTr="00C83E03">
        <w:trPr>
          <w:trHeight w:val="600"/>
          <w:jc w:val="center"/>
        </w:trPr>
        <w:tc>
          <w:tcPr>
            <w:tcW w:w="1072" w:type="dxa"/>
            <w:tcBorders>
              <w:top w:val="single" w:sz="4" w:space="0" w:color="auto"/>
              <w:left w:val="single" w:sz="4" w:space="0" w:color="auto"/>
              <w:bottom w:val="single" w:sz="4" w:space="0" w:color="auto"/>
              <w:right w:val="single" w:sz="4" w:space="0" w:color="auto"/>
            </w:tcBorders>
          </w:tcPr>
          <w:p w:rsidR="00F768B0" w:rsidRPr="00884D10" w:rsidRDefault="00F768B0" w:rsidP="00C83E03">
            <w:pPr>
              <w:keepNext/>
              <w:rPr>
                <w:b/>
                <w:bCs/>
                <w:color w:val="000000"/>
              </w:rPr>
            </w:pPr>
          </w:p>
        </w:tc>
        <w:tc>
          <w:tcPr>
            <w:tcW w:w="24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68B0" w:rsidRPr="00884D10" w:rsidRDefault="00F768B0" w:rsidP="00C83E03">
            <w:pPr>
              <w:keepNext/>
              <w:jc w:val="center"/>
              <w:rPr>
                <w:b/>
                <w:bCs/>
                <w:color w:val="000000"/>
              </w:rPr>
            </w:pPr>
            <w:r w:rsidRPr="00884D10">
              <w:rPr>
                <w:b/>
                <w:bCs/>
                <w:color w:val="000000"/>
              </w:rPr>
              <w:t>GWP</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F768B0" w:rsidRPr="00884D10" w:rsidRDefault="00F768B0" w:rsidP="00C83E03">
            <w:pPr>
              <w:keepNext/>
              <w:jc w:val="center"/>
              <w:rPr>
                <w:b/>
                <w:bCs/>
                <w:color w:val="000000"/>
              </w:rPr>
            </w:pPr>
            <w:r w:rsidRPr="00884D10">
              <w:rPr>
                <w:b/>
                <w:bCs/>
                <w:color w:val="000000"/>
              </w:rPr>
              <w:t>E</w:t>
            </w:r>
          </w:p>
        </w:tc>
        <w:tc>
          <w:tcPr>
            <w:tcW w:w="1160" w:type="dxa"/>
            <w:tcBorders>
              <w:top w:val="single" w:sz="4" w:space="0" w:color="auto"/>
              <w:left w:val="single" w:sz="4" w:space="0" w:color="auto"/>
              <w:bottom w:val="single" w:sz="4" w:space="0" w:color="auto"/>
              <w:right w:val="single" w:sz="4" w:space="0" w:color="auto"/>
            </w:tcBorders>
            <w:vAlign w:val="center"/>
          </w:tcPr>
          <w:p w:rsidR="00F768B0" w:rsidRPr="00884D10" w:rsidRDefault="00F768B0" w:rsidP="00C83E03">
            <w:pPr>
              <w:keepNext/>
              <w:jc w:val="center"/>
              <w:rPr>
                <w:b/>
                <w:bCs/>
                <w:color w:val="000000"/>
              </w:rPr>
            </w:pPr>
            <w:r w:rsidRPr="00884D10">
              <w:rPr>
                <w:b/>
                <w:bCs/>
                <w:color w:val="000000"/>
              </w:rPr>
              <w:t>E</w:t>
            </w:r>
            <w:r w:rsidRPr="00884D10">
              <w:rPr>
                <w:b/>
                <w:bCs/>
                <w:color w:val="000000"/>
                <w:vertAlign w:val="subscript"/>
              </w:rPr>
              <w:t>CO</w:t>
            </w:r>
            <w:r w:rsidRPr="00884D10">
              <w:rPr>
                <w:rFonts w:ascii="Times New Roman Bold" w:hAnsi="Times New Roman Bold"/>
                <w:b/>
                <w:bCs/>
                <w:color w:val="000000"/>
                <w:position w:val="-2"/>
                <w:vertAlign w:val="subscript"/>
              </w:rPr>
              <w:t>2</w:t>
            </w:r>
            <w:r w:rsidRPr="00884D10">
              <w:rPr>
                <w:b/>
                <w:bCs/>
                <w:color w:val="000000"/>
              </w:rPr>
              <w:t>-</w:t>
            </w:r>
            <w:r w:rsidRPr="00884D10">
              <w:rPr>
                <w:b/>
                <w:bCs/>
                <w:color w:val="000000"/>
                <w:vertAlign w:val="subscript"/>
              </w:rPr>
              <w:t>e</w:t>
            </w:r>
          </w:p>
        </w:tc>
      </w:tr>
      <w:tr w:rsidR="00F768B0" w:rsidRPr="00884D10" w:rsidTr="00C83E03">
        <w:trPr>
          <w:trHeight w:val="453"/>
          <w:jc w:val="center"/>
        </w:trPr>
        <w:tc>
          <w:tcPr>
            <w:tcW w:w="1072" w:type="dxa"/>
            <w:tcBorders>
              <w:top w:val="single" w:sz="4" w:space="0" w:color="auto"/>
              <w:left w:val="single" w:sz="4" w:space="0" w:color="auto"/>
              <w:bottom w:val="single" w:sz="4" w:space="0" w:color="auto"/>
              <w:right w:val="single" w:sz="4" w:space="0" w:color="auto"/>
            </w:tcBorders>
          </w:tcPr>
          <w:p w:rsidR="00F768B0" w:rsidRPr="00884D10" w:rsidRDefault="00F768B0" w:rsidP="00C83E03">
            <w:pPr>
              <w:keepNext/>
              <w:rPr>
                <w:b/>
                <w:bCs/>
                <w:color w:val="000000"/>
              </w:rPr>
            </w:pPr>
            <w:r w:rsidRPr="00884D10">
              <w:rPr>
                <w:b/>
                <w:bCs/>
                <w:color w:val="000000"/>
              </w:rPr>
              <w:t>CH</w:t>
            </w:r>
            <w:r w:rsidRPr="00884D10">
              <w:rPr>
                <w:b/>
                <w:bCs/>
                <w:color w:val="000000"/>
                <w:vertAlign w:val="subscript"/>
              </w:rPr>
              <w:t>4</w:t>
            </w:r>
          </w:p>
        </w:tc>
        <w:tc>
          <w:tcPr>
            <w:tcW w:w="2472" w:type="dxa"/>
            <w:tcBorders>
              <w:top w:val="nil"/>
              <w:left w:val="single" w:sz="4" w:space="0" w:color="auto"/>
              <w:bottom w:val="single" w:sz="4" w:space="0" w:color="auto"/>
              <w:right w:val="single" w:sz="4" w:space="0" w:color="auto"/>
            </w:tcBorders>
            <w:shd w:val="clear" w:color="auto" w:fill="auto"/>
            <w:hideMark/>
          </w:tcPr>
          <w:p w:rsidR="00F768B0" w:rsidRPr="00884D10" w:rsidRDefault="00F768B0" w:rsidP="00C83E03">
            <w:pPr>
              <w:keepNext/>
            </w:pPr>
            <w:r w:rsidRPr="00884D10">
              <w:t xml:space="preserve">Value as specified in regulation 2.02 of the </w:t>
            </w:r>
            <w:r w:rsidRPr="00884D10">
              <w:rPr>
                <w:iCs/>
              </w:rPr>
              <w:t>NGER Regulations</w:t>
            </w:r>
          </w:p>
        </w:tc>
        <w:tc>
          <w:tcPr>
            <w:tcW w:w="1216" w:type="dxa"/>
            <w:tcBorders>
              <w:top w:val="single" w:sz="4" w:space="0" w:color="auto"/>
              <w:left w:val="nil"/>
              <w:bottom w:val="single" w:sz="4" w:space="0" w:color="auto"/>
              <w:right w:val="single" w:sz="4" w:space="0" w:color="auto"/>
            </w:tcBorders>
          </w:tcPr>
          <w:p w:rsidR="00F768B0" w:rsidRPr="00884D10" w:rsidRDefault="00F768B0" w:rsidP="00C83E03">
            <w:pPr>
              <w:keepNext/>
            </w:pPr>
          </w:p>
        </w:tc>
        <w:tc>
          <w:tcPr>
            <w:tcW w:w="1160" w:type="dxa"/>
            <w:tcBorders>
              <w:top w:val="single" w:sz="4" w:space="0" w:color="auto"/>
              <w:left w:val="single" w:sz="4" w:space="0" w:color="auto"/>
              <w:bottom w:val="single" w:sz="4" w:space="0" w:color="auto"/>
              <w:right w:val="single" w:sz="4" w:space="0" w:color="auto"/>
            </w:tcBorders>
          </w:tcPr>
          <w:p w:rsidR="00F768B0" w:rsidRPr="00884D10" w:rsidRDefault="00F768B0" w:rsidP="00C83E03">
            <w:pPr>
              <w:keepNext/>
            </w:pPr>
          </w:p>
        </w:tc>
      </w:tr>
      <w:tr w:rsidR="00F768B0" w:rsidRPr="00884D10" w:rsidTr="00C83E03">
        <w:trPr>
          <w:trHeight w:val="300"/>
          <w:jc w:val="center"/>
        </w:trPr>
        <w:tc>
          <w:tcPr>
            <w:tcW w:w="1072" w:type="dxa"/>
            <w:tcBorders>
              <w:top w:val="nil"/>
              <w:left w:val="single" w:sz="4" w:space="0" w:color="auto"/>
              <w:bottom w:val="single" w:sz="4" w:space="0" w:color="auto"/>
              <w:right w:val="single" w:sz="4" w:space="0" w:color="auto"/>
            </w:tcBorders>
          </w:tcPr>
          <w:p w:rsidR="00F768B0" w:rsidRPr="00884D10" w:rsidRDefault="00F768B0" w:rsidP="00C83E03">
            <w:pPr>
              <w:keepNext/>
              <w:rPr>
                <w:b/>
                <w:bCs/>
                <w:color w:val="000000"/>
              </w:rPr>
            </w:pPr>
            <w:r w:rsidRPr="00884D10">
              <w:rPr>
                <w:b/>
                <w:bCs/>
                <w:color w:val="000000"/>
              </w:rPr>
              <w:t>N</w:t>
            </w:r>
            <w:r w:rsidRPr="00884D10">
              <w:rPr>
                <w:b/>
                <w:bCs/>
                <w:color w:val="000000"/>
                <w:vertAlign w:val="subscript"/>
              </w:rPr>
              <w:t>2</w:t>
            </w:r>
            <w:r w:rsidRPr="00884D10">
              <w:rPr>
                <w:b/>
                <w:bCs/>
                <w:color w:val="000000"/>
              </w:rPr>
              <w:t>0</w:t>
            </w:r>
          </w:p>
        </w:tc>
        <w:tc>
          <w:tcPr>
            <w:tcW w:w="2472" w:type="dxa"/>
            <w:tcBorders>
              <w:top w:val="nil"/>
              <w:left w:val="single" w:sz="4" w:space="0" w:color="auto"/>
              <w:bottom w:val="single" w:sz="4" w:space="0" w:color="auto"/>
              <w:right w:val="single" w:sz="4" w:space="0" w:color="auto"/>
            </w:tcBorders>
            <w:shd w:val="clear" w:color="auto" w:fill="auto"/>
            <w:hideMark/>
          </w:tcPr>
          <w:p w:rsidR="00F768B0" w:rsidRPr="00884D10" w:rsidRDefault="00F768B0" w:rsidP="00C83E03">
            <w:pPr>
              <w:keepNext/>
            </w:pPr>
            <w:r w:rsidRPr="00884D10">
              <w:t xml:space="preserve">Value as specified in regulation 2.02 of the </w:t>
            </w:r>
            <w:r w:rsidRPr="00884D10">
              <w:rPr>
                <w:iCs/>
              </w:rPr>
              <w:t>NGER Regulations</w:t>
            </w:r>
          </w:p>
        </w:tc>
        <w:tc>
          <w:tcPr>
            <w:tcW w:w="1216" w:type="dxa"/>
            <w:tcBorders>
              <w:top w:val="single" w:sz="4" w:space="0" w:color="auto"/>
              <w:left w:val="nil"/>
              <w:bottom w:val="single" w:sz="4" w:space="0" w:color="auto"/>
              <w:right w:val="single" w:sz="4" w:space="0" w:color="auto"/>
            </w:tcBorders>
          </w:tcPr>
          <w:p w:rsidR="00F768B0" w:rsidRPr="00884D10" w:rsidRDefault="00F768B0" w:rsidP="00C83E03">
            <w:pPr>
              <w:keepNext/>
            </w:pPr>
          </w:p>
        </w:tc>
        <w:tc>
          <w:tcPr>
            <w:tcW w:w="1160" w:type="dxa"/>
            <w:tcBorders>
              <w:top w:val="single" w:sz="4" w:space="0" w:color="auto"/>
              <w:left w:val="single" w:sz="4" w:space="0" w:color="auto"/>
              <w:bottom w:val="single" w:sz="4" w:space="0" w:color="auto"/>
              <w:right w:val="single" w:sz="4" w:space="0" w:color="auto"/>
            </w:tcBorders>
          </w:tcPr>
          <w:p w:rsidR="00F768B0" w:rsidRPr="00884D10" w:rsidRDefault="00F768B0" w:rsidP="00C83E03">
            <w:pPr>
              <w:keepNext/>
            </w:pPr>
          </w:p>
        </w:tc>
      </w:tr>
      <w:tr w:rsidR="00F768B0" w:rsidRPr="00884D10" w:rsidTr="00C83E03">
        <w:trPr>
          <w:trHeight w:val="300"/>
          <w:jc w:val="center"/>
        </w:trPr>
        <w:tc>
          <w:tcPr>
            <w:tcW w:w="1072" w:type="dxa"/>
            <w:tcBorders>
              <w:top w:val="nil"/>
              <w:left w:val="single" w:sz="4" w:space="0" w:color="auto"/>
              <w:bottom w:val="single" w:sz="4" w:space="0" w:color="auto"/>
              <w:right w:val="single" w:sz="4" w:space="0" w:color="auto"/>
            </w:tcBorders>
          </w:tcPr>
          <w:p w:rsidR="00F768B0" w:rsidRPr="00884D10" w:rsidRDefault="00F768B0" w:rsidP="00C83E03">
            <w:pPr>
              <w:keepNext/>
              <w:rPr>
                <w:b/>
                <w:bCs/>
                <w:color w:val="000000"/>
              </w:rPr>
            </w:pPr>
            <w:r w:rsidRPr="00884D10">
              <w:rPr>
                <w:b/>
                <w:bCs/>
                <w:color w:val="000000"/>
              </w:rPr>
              <w:t>Total</w:t>
            </w:r>
          </w:p>
        </w:tc>
        <w:tc>
          <w:tcPr>
            <w:tcW w:w="2472" w:type="dxa"/>
            <w:tcBorders>
              <w:top w:val="single" w:sz="4" w:space="0" w:color="auto"/>
              <w:left w:val="single" w:sz="4" w:space="0" w:color="auto"/>
              <w:bottom w:val="single" w:sz="4" w:space="0" w:color="auto"/>
              <w:right w:val="single" w:sz="4" w:space="0" w:color="auto"/>
              <w:tr2bl w:val="single" w:sz="4" w:space="0" w:color="auto"/>
            </w:tcBorders>
            <w:shd w:val="clear" w:color="auto" w:fill="auto"/>
            <w:hideMark/>
          </w:tcPr>
          <w:p w:rsidR="00F768B0" w:rsidRPr="00884D10" w:rsidRDefault="00F768B0" w:rsidP="00C83E03">
            <w:pPr>
              <w:keepNext/>
            </w:pPr>
          </w:p>
        </w:tc>
        <w:tc>
          <w:tcPr>
            <w:tcW w:w="1216" w:type="dxa"/>
            <w:tcBorders>
              <w:top w:val="single" w:sz="4" w:space="0" w:color="auto"/>
              <w:left w:val="nil"/>
              <w:bottom w:val="single" w:sz="4" w:space="0" w:color="auto"/>
              <w:right w:val="single" w:sz="4" w:space="0" w:color="auto"/>
              <w:tr2bl w:val="single" w:sz="4" w:space="0" w:color="auto"/>
            </w:tcBorders>
          </w:tcPr>
          <w:p w:rsidR="00F768B0" w:rsidRPr="00884D10" w:rsidRDefault="00F768B0" w:rsidP="00C83E03">
            <w:pPr>
              <w:keepNext/>
            </w:pPr>
          </w:p>
        </w:tc>
        <w:tc>
          <w:tcPr>
            <w:tcW w:w="1160" w:type="dxa"/>
            <w:tcBorders>
              <w:top w:val="single" w:sz="4" w:space="0" w:color="auto"/>
              <w:left w:val="single" w:sz="4" w:space="0" w:color="auto"/>
              <w:bottom w:val="single" w:sz="4" w:space="0" w:color="auto"/>
              <w:right w:val="single" w:sz="4" w:space="0" w:color="auto"/>
            </w:tcBorders>
            <w:shd w:val="clear" w:color="auto" w:fill="auto"/>
          </w:tcPr>
          <w:p w:rsidR="00F768B0" w:rsidRPr="00884D10" w:rsidRDefault="00F768B0" w:rsidP="00C83E03">
            <w:pPr>
              <w:keepNext/>
            </w:pPr>
          </w:p>
        </w:tc>
      </w:tr>
    </w:tbl>
    <w:p w:rsidR="00F768B0" w:rsidRPr="00884D10" w:rsidRDefault="00F768B0" w:rsidP="00F768B0"/>
    <w:p w:rsidR="00F768B0" w:rsidRPr="00884D10" w:rsidRDefault="00F768B0" w:rsidP="00F768B0">
      <w:pPr>
        <w:jc w:val="center"/>
        <w:rPr>
          <w:b/>
        </w:rPr>
      </w:pPr>
      <w:r w:rsidRPr="00884D10">
        <w:rPr>
          <w:b/>
        </w:rPr>
        <w:t>Table 24: Project baseline (tonnes CO</w:t>
      </w:r>
      <w:r w:rsidRPr="00884D10">
        <w:rPr>
          <w:b/>
          <w:vertAlign w:val="subscript"/>
        </w:rPr>
        <w:t>2</w:t>
      </w:r>
      <w:r w:rsidRPr="00884D10">
        <w:rPr>
          <w:b/>
        </w:rPr>
        <w:t>-e)</w:t>
      </w:r>
    </w:p>
    <w:p w:rsidR="00F768B0" w:rsidRPr="00884D10" w:rsidRDefault="00F768B0" w:rsidP="00F768B0">
      <w:pPr>
        <w:jc w:val="center"/>
        <w:rPr>
          <w:b/>
        </w:rPr>
      </w:pPr>
    </w:p>
    <w:tbl>
      <w:tblPr>
        <w:tblW w:w="3948" w:type="dxa"/>
        <w:jc w:val="center"/>
        <w:tblLook w:val="04A0" w:firstRow="1" w:lastRow="0" w:firstColumn="1" w:lastColumn="0" w:noHBand="0" w:noVBand="1"/>
      </w:tblPr>
      <w:tblGrid>
        <w:gridCol w:w="1758"/>
        <w:gridCol w:w="2190"/>
      </w:tblGrid>
      <w:tr w:rsidR="00F768B0" w:rsidRPr="00884D10" w:rsidTr="00C83E03">
        <w:trPr>
          <w:trHeight w:val="600"/>
          <w:jc w:val="center"/>
        </w:trPr>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F768B0" w:rsidRPr="00884D10" w:rsidRDefault="00F768B0" w:rsidP="00C83E03">
            <w:pPr>
              <w:jc w:val="center"/>
              <w:rPr>
                <w:b/>
                <w:bCs/>
                <w:color w:val="000000"/>
              </w:rPr>
            </w:pPr>
            <w:r w:rsidRPr="00884D10">
              <w:rPr>
                <w:b/>
                <w:bCs/>
                <w:color w:val="000000"/>
              </w:rPr>
              <w:t>Baseline year</w:t>
            </w:r>
          </w:p>
        </w:tc>
        <w:tc>
          <w:tcPr>
            <w:tcW w:w="2190" w:type="dxa"/>
            <w:tcBorders>
              <w:top w:val="single" w:sz="4" w:space="0" w:color="auto"/>
              <w:left w:val="nil"/>
              <w:bottom w:val="single" w:sz="4" w:space="0" w:color="auto"/>
              <w:right w:val="single" w:sz="4" w:space="0" w:color="auto"/>
            </w:tcBorders>
            <w:shd w:val="clear" w:color="auto" w:fill="auto"/>
            <w:vAlign w:val="center"/>
          </w:tcPr>
          <w:p w:rsidR="00F768B0" w:rsidRPr="00884D10" w:rsidRDefault="00F768B0" w:rsidP="00C83E03">
            <w:pPr>
              <w:jc w:val="center"/>
              <w:rPr>
                <w:b/>
                <w:bCs/>
                <w:color w:val="000000"/>
              </w:rPr>
            </w:pPr>
            <w:r w:rsidRPr="00884D10">
              <w:rPr>
                <w:b/>
                <w:bCs/>
                <w:color w:val="000000"/>
              </w:rPr>
              <w:t>Annual</w:t>
            </w:r>
          </w:p>
          <w:p w:rsidR="00F768B0" w:rsidRPr="00884D10" w:rsidRDefault="00F768B0" w:rsidP="00C83E03">
            <w:pPr>
              <w:jc w:val="center"/>
              <w:rPr>
                <w:b/>
                <w:bCs/>
                <w:color w:val="000000"/>
              </w:rPr>
            </w:pPr>
            <w:r w:rsidRPr="00884D10">
              <w:rPr>
                <w:b/>
                <w:bCs/>
                <w:color w:val="000000"/>
              </w:rPr>
              <w:t>Emissions</w:t>
            </w:r>
          </w:p>
          <w:p w:rsidR="00F768B0" w:rsidRPr="00884D10" w:rsidRDefault="00F768B0" w:rsidP="00C83E03">
            <w:pPr>
              <w:jc w:val="center"/>
              <w:rPr>
                <w:b/>
                <w:bCs/>
                <w:color w:val="000000"/>
              </w:rPr>
            </w:pPr>
            <w:r w:rsidRPr="00884D10">
              <w:rPr>
                <w:b/>
                <w:bCs/>
                <w:color w:val="000000"/>
              </w:rPr>
              <w:t>(E</w:t>
            </w:r>
            <w:r w:rsidRPr="00884D10">
              <w:rPr>
                <w:b/>
                <w:bCs/>
                <w:color w:val="000000"/>
                <w:vertAlign w:val="subscript"/>
              </w:rPr>
              <w:t>CO</w:t>
            </w:r>
            <w:r w:rsidRPr="00884D10">
              <w:rPr>
                <w:rFonts w:ascii="Times New Roman Bold" w:hAnsi="Times New Roman Bold"/>
                <w:b/>
                <w:bCs/>
                <w:color w:val="000000"/>
                <w:position w:val="-2"/>
                <w:vertAlign w:val="subscript"/>
              </w:rPr>
              <w:t>2</w:t>
            </w:r>
            <w:r w:rsidRPr="00884D10">
              <w:rPr>
                <w:b/>
                <w:bCs/>
                <w:color w:val="000000"/>
              </w:rPr>
              <w:t>-</w:t>
            </w:r>
            <w:r w:rsidRPr="00884D10">
              <w:rPr>
                <w:b/>
                <w:bCs/>
                <w:color w:val="000000"/>
                <w:vertAlign w:val="subscript"/>
              </w:rPr>
              <w:t>e</w:t>
            </w:r>
            <w:r w:rsidRPr="00884D10">
              <w:rPr>
                <w:b/>
                <w:bCs/>
                <w:color w:val="000000"/>
              </w:rPr>
              <w:t>)</w:t>
            </w:r>
          </w:p>
        </w:tc>
      </w:tr>
      <w:tr w:rsidR="00F768B0" w:rsidRPr="00884D10" w:rsidTr="00C83E03">
        <w:trPr>
          <w:trHeight w:val="300"/>
          <w:jc w:val="center"/>
        </w:trPr>
        <w:tc>
          <w:tcPr>
            <w:tcW w:w="1758" w:type="dxa"/>
            <w:tcBorders>
              <w:top w:val="nil"/>
              <w:left w:val="single" w:sz="4" w:space="0" w:color="auto"/>
              <w:bottom w:val="single" w:sz="4" w:space="0" w:color="auto"/>
              <w:right w:val="single" w:sz="4" w:space="0" w:color="auto"/>
            </w:tcBorders>
            <w:shd w:val="clear" w:color="auto" w:fill="auto"/>
            <w:vAlign w:val="center"/>
          </w:tcPr>
          <w:p w:rsidR="00F768B0" w:rsidRPr="00884D10" w:rsidRDefault="00F768B0" w:rsidP="00C83E03">
            <w:pPr>
              <w:jc w:val="center"/>
              <w:rPr>
                <w:b/>
                <w:bCs/>
                <w:color w:val="000000"/>
              </w:rPr>
            </w:pPr>
            <w:r w:rsidRPr="00884D10">
              <w:rPr>
                <w:b/>
                <w:bCs/>
                <w:color w:val="000000"/>
              </w:rPr>
              <w:t>y-10</w:t>
            </w:r>
          </w:p>
        </w:tc>
        <w:tc>
          <w:tcPr>
            <w:tcW w:w="2190" w:type="dxa"/>
            <w:tcBorders>
              <w:top w:val="nil"/>
              <w:left w:val="nil"/>
              <w:bottom w:val="single" w:sz="4" w:space="0" w:color="auto"/>
              <w:right w:val="single" w:sz="4" w:space="0" w:color="auto"/>
            </w:tcBorders>
            <w:shd w:val="clear" w:color="auto" w:fill="auto"/>
            <w:vAlign w:val="center"/>
          </w:tcPr>
          <w:p w:rsidR="00F768B0" w:rsidRPr="00884D10" w:rsidRDefault="00F768B0" w:rsidP="00C83E03">
            <w:pPr>
              <w:jc w:val="center"/>
              <w:rPr>
                <w:color w:val="000000"/>
              </w:rPr>
            </w:pPr>
          </w:p>
        </w:tc>
      </w:tr>
      <w:tr w:rsidR="00F768B0" w:rsidRPr="00884D10" w:rsidTr="00C83E03">
        <w:trPr>
          <w:trHeight w:val="300"/>
          <w:jc w:val="center"/>
        </w:trPr>
        <w:tc>
          <w:tcPr>
            <w:tcW w:w="1758" w:type="dxa"/>
            <w:tcBorders>
              <w:top w:val="nil"/>
              <w:left w:val="single" w:sz="4" w:space="0" w:color="auto"/>
              <w:bottom w:val="single" w:sz="4" w:space="0" w:color="auto"/>
              <w:right w:val="single" w:sz="4" w:space="0" w:color="auto"/>
            </w:tcBorders>
            <w:shd w:val="clear" w:color="auto" w:fill="auto"/>
            <w:vAlign w:val="center"/>
          </w:tcPr>
          <w:p w:rsidR="00F768B0" w:rsidRPr="00884D10" w:rsidRDefault="00F768B0" w:rsidP="00C83E03">
            <w:pPr>
              <w:jc w:val="center"/>
              <w:rPr>
                <w:b/>
                <w:bCs/>
                <w:color w:val="000000"/>
              </w:rPr>
            </w:pPr>
            <w:r w:rsidRPr="00884D10">
              <w:rPr>
                <w:b/>
                <w:bCs/>
                <w:color w:val="000000"/>
              </w:rPr>
              <w:t>y-9</w:t>
            </w:r>
          </w:p>
        </w:tc>
        <w:tc>
          <w:tcPr>
            <w:tcW w:w="2190" w:type="dxa"/>
            <w:tcBorders>
              <w:top w:val="nil"/>
              <w:left w:val="nil"/>
              <w:bottom w:val="single" w:sz="4" w:space="0" w:color="auto"/>
              <w:right w:val="single" w:sz="4" w:space="0" w:color="auto"/>
            </w:tcBorders>
            <w:shd w:val="clear" w:color="auto" w:fill="auto"/>
            <w:vAlign w:val="center"/>
          </w:tcPr>
          <w:p w:rsidR="00F768B0" w:rsidRPr="00884D10" w:rsidRDefault="00F768B0" w:rsidP="00C83E03">
            <w:pPr>
              <w:jc w:val="center"/>
              <w:rPr>
                <w:color w:val="000000"/>
              </w:rPr>
            </w:pPr>
          </w:p>
        </w:tc>
      </w:tr>
      <w:tr w:rsidR="00F768B0" w:rsidRPr="00884D10" w:rsidTr="00C83E03">
        <w:trPr>
          <w:trHeight w:val="300"/>
          <w:jc w:val="center"/>
        </w:trPr>
        <w:tc>
          <w:tcPr>
            <w:tcW w:w="1758" w:type="dxa"/>
            <w:tcBorders>
              <w:top w:val="nil"/>
              <w:left w:val="single" w:sz="4" w:space="0" w:color="auto"/>
              <w:bottom w:val="single" w:sz="4" w:space="0" w:color="auto"/>
              <w:right w:val="single" w:sz="4" w:space="0" w:color="auto"/>
            </w:tcBorders>
            <w:shd w:val="clear" w:color="auto" w:fill="auto"/>
            <w:vAlign w:val="center"/>
          </w:tcPr>
          <w:p w:rsidR="00F768B0" w:rsidRPr="00884D10" w:rsidRDefault="00F768B0" w:rsidP="00C83E03">
            <w:pPr>
              <w:jc w:val="center"/>
              <w:rPr>
                <w:b/>
                <w:bCs/>
                <w:color w:val="000000"/>
              </w:rPr>
            </w:pPr>
            <w:r w:rsidRPr="00884D10">
              <w:rPr>
                <w:b/>
                <w:bCs/>
                <w:color w:val="000000"/>
              </w:rPr>
              <w:t>y-8</w:t>
            </w:r>
          </w:p>
        </w:tc>
        <w:tc>
          <w:tcPr>
            <w:tcW w:w="2190" w:type="dxa"/>
            <w:tcBorders>
              <w:top w:val="nil"/>
              <w:left w:val="nil"/>
              <w:bottom w:val="single" w:sz="4" w:space="0" w:color="auto"/>
              <w:right w:val="single" w:sz="4" w:space="0" w:color="auto"/>
            </w:tcBorders>
            <w:shd w:val="clear" w:color="auto" w:fill="auto"/>
            <w:vAlign w:val="center"/>
          </w:tcPr>
          <w:p w:rsidR="00F768B0" w:rsidRPr="00884D10" w:rsidRDefault="00F768B0" w:rsidP="00C83E03">
            <w:pPr>
              <w:jc w:val="center"/>
              <w:rPr>
                <w:color w:val="000000"/>
              </w:rPr>
            </w:pPr>
          </w:p>
        </w:tc>
      </w:tr>
      <w:tr w:rsidR="00F768B0" w:rsidRPr="00884D10" w:rsidTr="00C83E03">
        <w:trPr>
          <w:trHeight w:val="300"/>
          <w:jc w:val="center"/>
        </w:trPr>
        <w:tc>
          <w:tcPr>
            <w:tcW w:w="1758" w:type="dxa"/>
            <w:tcBorders>
              <w:top w:val="nil"/>
              <w:left w:val="single" w:sz="4" w:space="0" w:color="auto"/>
              <w:bottom w:val="single" w:sz="4" w:space="0" w:color="auto"/>
              <w:right w:val="single" w:sz="4" w:space="0" w:color="auto"/>
            </w:tcBorders>
            <w:shd w:val="clear" w:color="auto" w:fill="auto"/>
            <w:vAlign w:val="center"/>
          </w:tcPr>
          <w:p w:rsidR="00F768B0" w:rsidRPr="00884D10" w:rsidRDefault="00F768B0" w:rsidP="00C83E03">
            <w:pPr>
              <w:jc w:val="center"/>
              <w:rPr>
                <w:b/>
                <w:bCs/>
                <w:color w:val="000000"/>
              </w:rPr>
            </w:pPr>
            <w:r w:rsidRPr="00884D10">
              <w:rPr>
                <w:b/>
                <w:bCs/>
                <w:color w:val="000000"/>
              </w:rPr>
              <w:t>y-7</w:t>
            </w:r>
          </w:p>
        </w:tc>
        <w:tc>
          <w:tcPr>
            <w:tcW w:w="2190" w:type="dxa"/>
            <w:tcBorders>
              <w:top w:val="nil"/>
              <w:left w:val="nil"/>
              <w:bottom w:val="single" w:sz="4" w:space="0" w:color="auto"/>
              <w:right w:val="single" w:sz="4" w:space="0" w:color="auto"/>
            </w:tcBorders>
            <w:shd w:val="clear" w:color="auto" w:fill="auto"/>
            <w:vAlign w:val="center"/>
          </w:tcPr>
          <w:p w:rsidR="00F768B0" w:rsidRPr="00884D10" w:rsidRDefault="00F768B0" w:rsidP="00C83E03">
            <w:pPr>
              <w:jc w:val="center"/>
              <w:rPr>
                <w:color w:val="000000"/>
              </w:rPr>
            </w:pPr>
          </w:p>
        </w:tc>
      </w:tr>
      <w:tr w:rsidR="00F768B0" w:rsidRPr="00884D10" w:rsidTr="00C83E03">
        <w:trPr>
          <w:trHeight w:val="300"/>
          <w:jc w:val="center"/>
        </w:trPr>
        <w:tc>
          <w:tcPr>
            <w:tcW w:w="1758" w:type="dxa"/>
            <w:tcBorders>
              <w:top w:val="nil"/>
              <w:left w:val="single" w:sz="4" w:space="0" w:color="auto"/>
              <w:bottom w:val="single" w:sz="4" w:space="0" w:color="auto"/>
              <w:right w:val="single" w:sz="4" w:space="0" w:color="auto"/>
            </w:tcBorders>
            <w:shd w:val="clear" w:color="auto" w:fill="auto"/>
            <w:vAlign w:val="center"/>
          </w:tcPr>
          <w:p w:rsidR="00F768B0" w:rsidRPr="00884D10" w:rsidRDefault="00F768B0" w:rsidP="00C83E03">
            <w:pPr>
              <w:jc w:val="center"/>
              <w:rPr>
                <w:b/>
                <w:bCs/>
                <w:color w:val="000000"/>
              </w:rPr>
            </w:pPr>
            <w:r w:rsidRPr="00884D10">
              <w:rPr>
                <w:b/>
                <w:bCs/>
                <w:color w:val="000000"/>
              </w:rPr>
              <w:t>y-6</w:t>
            </w:r>
          </w:p>
        </w:tc>
        <w:tc>
          <w:tcPr>
            <w:tcW w:w="2190" w:type="dxa"/>
            <w:tcBorders>
              <w:top w:val="nil"/>
              <w:left w:val="nil"/>
              <w:bottom w:val="single" w:sz="4" w:space="0" w:color="auto"/>
              <w:right w:val="single" w:sz="4" w:space="0" w:color="auto"/>
            </w:tcBorders>
            <w:shd w:val="clear" w:color="auto" w:fill="auto"/>
            <w:vAlign w:val="center"/>
          </w:tcPr>
          <w:p w:rsidR="00F768B0" w:rsidRPr="00884D10" w:rsidRDefault="00F768B0" w:rsidP="00C83E03">
            <w:pPr>
              <w:jc w:val="center"/>
              <w:rPr>
                <w:color w:val="000000"/>
              </w:rPr>
            </w:pPr>
          </w:p>
        </w:tc>
      </w:tr>
      <w:tr w:rsidR="00F768B0" w:rsidRPr="00884D10" w:rsidTr="00C83E03">
        <w:trPr>
          <w:trHeight w:val="300"/>
          <w:jc w:val="center"/>
        </w:trPr>
        <w:tc>
          <w:tcPr>
            <w:tcW w:w="1758" w:type="dxa"/>
            <w:tcBorders>
              <w:top w:val="nil"/>
              <w:left w:val="single" w:sz="4" w:space="0" w:color="auto"/>
              <w:bottom w:val="single" w:sz="4" w:space="0" w:color="auto"/>
              <w:right w:val="single" w:sz="4" w:space="0" w:color="auto"/>
            </w:tcBorders>
            <w:shd w:val="clear" w:color="auto" w:fill="auto"/>
            <w:vAlign w:val="center"/>
          </w:tcPr>
          <w:p w:rsidR="00F768B0" w:rsidRPr="00884D10" w:rsidRDefault="00F768B0" w:rsidP="00C83E03">
            <w:pPr>
              <w:jc w:val="center"/>
              <w:rPr>
                <w:b/>
                <w:bCs/>
                <w:color w:val="000000"/>
              </w:rPr>
            </w:pPr>
            <w:r w:rsidRPr="00884D10">
              <w:rPr>
                <w:b/>
                <w:bCs/>
                <w:color w:val="000000"/>
              </w:rPr>
              <w:t>y-5</w:t>
            </w:r>
          </w:p>
        </w:tc>
        <w:tc>
          <w:tcPr>
            <w:tcW w:w="2190" w:type="dxa"/>
            <w:tcBorders>
              <w:top w:val="nil"/>
              <w:left w:val="nil"/>
              <w:bottom w:val="single" w:sz="4" w:space="0" w:color="auto"/>
              <w:right w:val="single" w:sz="4" w:space="0" w:color="auto"/>
            </w:tcBorders>
            <w:shd w:val="clear" w:color="auto" w:fill="auto"/>
            <w:vAlign w:val="center"/>
          </w:tcPr>
          <w:p w:rsidR="00F768B0" w:rsidRPr="00884D10" w:rsidRDefault="00F768B0" w:rsidP="00C83E03">
            <w:pPr>
              <w:jc w:val="center"/>
              <w:rPr>
                <w:color w:val="000000"/>
              </w:rPr>
            </w:pPr>
          </w:p>
        </w:tc>
      </w:tr>
      <w:tr w:rsidR="00F768B0" w:rsidRPr="00884D10" w:rsidTr="00C83E03">
        <w:trPr>
          <w:trHeight w:val="300"/>
          <w:jc w:val="center"/>
        </w:trPr>
        <w:tc>
          <w:tcPr>
            <w:tcW w:w="1758" w:type="dxa"/>
            <w:tcBorders>
              <w:top w:val="nil"/>
              <w:left w:val="single" w:sz="4" w:space="0" w:color="auto"/>
              <w:bottom w:val="single" w:sz="4" w:space="0" w:color="auto"/>
              <w:right w:val="single" w:sz="4" w:space="0" w:color="auto"/>
            </w:tcBorders>
            <w:shd w:val="clear" w:color="auto" w:fill="auto"/>
            <w:vAlign w:val="center"/>
          </w:tcPr>
          <w:p w:rsidR="00F768B0" w:rsidRPr="00884D10" w:rsidRDefault="00F768B0" w:rsidP="00C83E03">
            <w:pPr>
              <w:jc w:val="center"/>
              <w:rPr>
                <w:b/>
                <w:bCs/>
                <w:color w:val="000000"/>
              </w:rPr>
            </w:pPr>
            <w:r w:rsidRPr="00884D10">
              <w:rPr>
                <w:b/>
                <w:bCs/>
                <w:color w:val="000000"/>
              </w:rPr>
              <w:t>y-4</w:t>
            </w:r>
          </w:p>
        </w:tc>
        <w:tc>
          <w:tcPr>
            <w:tcW w:w="2190" w:type="dxa"/>
            <w:tcBorders>
              <w:top w:val="nil"/>
              <w:left w:val="nil"/>
              <w:bottom w:val="single" w:sz="4" w:space="0" w:color="auto"/>
              <w:right w:val="single" w:sz="4" w:space="0" w:color="auto"/>
            </w:tcBorders>
            <w:shd w:val="clear" w:color="auto" w:fill="auto"/>
            <w:vAlign w:val="center"/>
          </w:tcPr>
          <w:p w:rsidR="00F768B0" w:rsidRPr="00884D10" w:rsidRDefault="00F768B0" w:rsidP="00C83E03">
            <w:pPr>
              <w:jc w:val="center"/>
              <w:rPr>
                <w:color w:val="000000"/>
              </w:rPr>
            </w:pPr>
          </w:p>
        </w:tc>
      </w:tr>
      <w:tr w:rsidR="00F768B0" w:rsidRPr="00884D10" w:rsidTr="00C83E03">
        <w:trPr>
          <w:trHeight w:val="300"/>
          <w:jc w:val="center"/>
        </w:trPr>
        <w:tc>
          <w:tcPr>
            <w:tcW w:w="1758" w:type="dxa"/>
            <w:tcBorders>
              <w:top w:val="nil"/>
              <w:left w:val="single" w:sz="4" w:space="0" w:color="auto"/>
              <w:bottom w:val="single" w:sz="4" w:space="0" w:color="auto"/>
              <w:right w:val="single" w:sz="4" w:space="0" w:color="auto"/>
            </w:tcBorders>
            <w:shd w:val="clear" w:color="auto" w:fill="auto"/>
            <w:vAlign w:val="center"/>
          </w:tcPr>
          <w:p w:rsidR="00F768B0" w:rsidRPr="00884D10" w:rsidRDefault="00F768B0" w:rsidP="00C83E03">
            <w:pPr>
              <w:jc w:val="center"/>
              <w:rPr>
                <w:b/>
                <w:bCs/>
                <w:color w:val="000000"/>
              </w:rPr>
            </w:pPr>
            <w:r w:rsidRPr="00884D10">
              <w:rPr>
                <w:b/>
                <w:bCs/>
                <w:color w:val="000000"/>
              </w:rPr>
              <w:t>y-3</w:t>
            </w:r>
          </w:p>
        </w:tc>
        <w:tc>
          <w:tcPr>
            <w:tcW w:w="2190" w:type="dxa"/>
            <w:tcBorders>
              <w:top w:val="nil"/>
              <w:left w:val="nil"/>
              <w:bottom w:val="single" w:sz="4" w:space="0" w:color="auto"/>
              <w:right w:val="single" w:sz="4" w:space="0" w:color="auto"/>
            </w:tcBorders>
            <w:shd w:val="clear" w:color="auto" w:fill="auto"/>
            <w:vAlign w:val="center"/>
          </w:tcPr>
          <w:p w:rsidR="00F768B0" w:rsidRPr="00884D10" w:rsidRDefault="00F768B0" w:rsidP="00C83E03">
            <w:pPr>
              <w:jc w:val="center"/>
              <w:rPr>
                <w:color w:val="000000"/>
              </w:rPr>
            </w:pPr>
          </w:p>
        </w:tc>
      </w:tr>
      <w:tr w:rsidR="00F768B0" w:rsidRPr="00884D10" w:rsidTr="00C83E03">
        <w:trPr>
          <w:trHeight w:val="300"/>
          <w:jc w:val="center"/>
        </w:trPr>
        <w:tc>
          <w:tcPr>
            <w:tcW w:w="1758" w:type="dxa"/>
            <w:tcBorders>
              <w:top w:val="nil"/>
              <w:left w:val="single" w:sz="4" w:space="0" w:color="auto"/>
              <w:bottom w:val="single" w:sz="4" w:space="0" w:color="auto"/>
              <w:right w:val="single" w:sz="4" w:space="0" w:color="auto"/>
            </w:tcBorders>
            <w:shd w:val="clear" w:color="auto" w:fill="auto"/>
            <w:vAlign w:val="center"/>
          </w:tcPr>
          <w:p w:rsidR="00F768B0" w:rsidRPr="00884D10" w:rsidRDefault="00F768B0" w:rsidP="00C83E03">
            <w:pPr>
              <w:jc w:val="center"/>
              <w:rPr>
                <w:b/>
                <w:bCs/>
                <w:color w:val="000000"/>
              </w:rPr>
            </w:pPr>
            <w:r w:rsidRPr="00884D10">
              <w:rPr>
                <w:b/>
                <w:bCs/>
                <w:color w:val="000000"/>
              </w:rPr>
              <w:t>y-2</w:t>
            </w:r>
          </w:p>
        </w:tc>
        <w:tc>
          <w:tcPr>
            <w:tcW w:w="2190" w:type="dxa"/>
            <w:tcBorders>
              <w:top w:val="nil"/>
              <w:left w:val="nil"/>
              <w:bottom w:val="single" w:sz="4" w:space="0" w:color="auto"/>
              <w:right w:val="single" w:sz="4" w:space="0" w:color="auto"/>
            </w:tcBorders>
            <w:shd w:val="clear" w:color="auto" w:fill="auto"/>
            <w:vAlign w:val="center"/>
          </w:tcPr>
          <w:p w:rsidR="00F768B0" w:rsidRPr="00884D10" w:rsidRDefault="00F768B0" w:rsidP="00C83E03">
            <w:pPr>
              <w:jc w:val="center"/>
              <w:rPr>
                <w:color w:val="000000"/>
              </w:rPr>
            </w:pPr>
          </w:p>
        </w:tc>
      </w:tr>
      <w:tr w:rsidR="00F768B0" w:rsidRPr="00884D10" w:rsidTr="00C83E03">
        <w:trPr>
          <w:trHeight w:val="300"/>
          <w:jc w:val="center"/>
        </w:trPr>
        <w:tc>
          <w:tcPr>
            <w:tcW w:w="1758" w:type="dxa"/>
            <w:tcBorders>
              <w:top w:val="nil"/>
              <w:left w:val="single" w:sz="4" w:space="0" w:color="auto"/>
              <w:bottom w:val="single" w:sz="4" w:space="0" w:color="auto"/>
              <w:right w:val="single" w:sz="4" w:space="0" w:color="auto"/>
            </w:tcBorders>
            <w:shd w:val="clear" w:color="auto" w:fill="auto"/>
            <w:vAlign w:val="center"/>
          </w:tcPr>
          <w:p w:rsidR="00F768B0" w:rsidRPr="00884D10" w:rsidRDefault="00F768B0" w:rsidP="00C83E03">
            <w:pPr>
              <w:jc w:val="center"/>
              <w:rPr>
                <w:b/>
                <w:bCs/>
                <w:color w:val="000000"/>
              </w:rPr>
            </w:pPr>
            <w:r w:rsidRPr="00884D10">
              <w:rPr>
                <w:b/>
                <w:bCs/>
                <w:color w:val="000000"/>
              </w:rPr>
              <w:t>y-1</w:t>
            </w:r>
          </w:p>
        </w:tc>
        <w:tc>
          <w:tcPr>
            <w:tcW w:w="2190" w:type="dxa"/>
            <w:tcBorders>
              <w:top w:val="nil"/>
              <w:left w:val="nil"/>
              <w:bottom w:val="single" w:sz="4" w:space="0" w:color="auto"/>
              <w:right w:val="single" w:sz="4" w:space="0" w:color="auto"/>
            </w:tcBorders>
            <w:shd w:val="clear" w:color="auto" w:fill="auto"/>
            <w:vAlign w:val="center"/>
          </w:tcPr>
          <w:p w:rsidR="00F768B0" w:rsidRPr="00884D10" w:rsidRDefault="00F768B0" w:rsidP="00C83E03">
            <w:pPr>
              <w:jc w:val="center"/>
              <w:rPr>
                <w:color w:val="000000"/>
              </w:rPr>
            </w:pPr>
          </w:p>
        </w:tc>
      </w:tr>
      <w:tr w:rsidR="00F768B0" w:rsidRPr="00884D10" w:rsidTr="00C83E03">
        <w:trPr>
          <w:trHeight w:val="300"/>
          <w:jc w:val="center"/>
        </w:trPr>
        <w:tc>
          <w:tcPr>
            <w:tcW w:w="1758" w:type="dxa"/>
            <w:tcBorders>
              <w:top w:val="nil"/>
              <w:left w:val="single" w:sz="4" w:space="0" w:color="auto"/>
              <w:bottom w:val="single" w:sz="4" w:space="0" w:color="auto"/>
              <w:right w:val="single" w:sz="4" w:space="0" w:color="auto"/>
            </w:tcBorders>
            <w:shd w:val="clear" w:color="auto" w:fill="auto"/>
            <w:vAlign w:val="center"/>
          </w:tcPr>
          <w:p w:rsidR="00F768B0" w:rsidRPr="00884D10" w:rsidRDefault="00F768B0" w:rsidP="00C83E03">
            <w:pPr>
              <w:jc w:val="center"/>
              <w:rPr>
                <w:b/>
                <w:bCs/>
                <w:color w:val="000000"/>
              </w:rPr>
            </w:pPr>
            <w:r w:rsidRPr="00884D10">
              <w:rPr>
                <w:b/>
                <w:bCs/>
                <w:color w:val="000000"/>
              </w:rPr>
              <w:t>Total</w:t>
            </w:r>
          </w:p>
        </w:tc>
        <w:tc>
          <w:tcPr>
            <w:tcW w:w="2190" w:type="dxa"/>
            <w:tcBorders>
              <w:top w:val="nil"/>
              <w:left w:val="nil"/>
              <w:bottom w:val="single" w:sz="4" w:space="0" w:color="auto"/>
              <w:right w:val="single" w:sz="4" w:space="0" w:color="auto"/>
            </w:tcBorders>
            <w:shd w:val="clear" w:color="auto" w:fill="auto"/>
            <w:vAlign w:val="center"/>
          </w:tcPr>
          <w:p w:rsidR="00F768B0" w:rsidRPr="00884D10" w:rsidRDefault="00F768B0" w:rsidP="00C83E03">
            <w:pPr>
              <w:jc w:val="center"/>
              <w:rPr>
                <w:color w:val="000000"/>
              </w:rPr>
            </w:pPr>
          </w:p>
        </w:tc>
      </w:tr>
      <w:tr w:rsidR="00F768B0" w:rsidRPr="00884D10" w:rsidTr="00C83E03">
        <w:trPr>
          <w:trHeight w:val="300"/>
          <w:jc w:val="center"/>
        </w:trPr>
        <w:tc>
          <w:tcPr>
            <w:tcW w:w="1758" w:type="dxa"/>
            <w:tcBorders>
              <w:top w:val="nil"/>
              <w:left w:val="single" w:sz="4" w:space="0" w:color="auto"/>
              <w:bottom w:val="single" w:sz="4" w:space="0" w:color="auto"/>
              <w:right w:val="single" w:sz="4" w:space="0" w:color="auto"/>
            </w:tcBorders>
            <w:shd w:val="clear" w:color="auto" w:fill="auto"/>
            <w:vAlign w:val="center"/>
          </w:tcPr>
          <w:p w:rsidR="00F768B0" w:rsidRPr="00884D10" w:rsidRDefault="00F768B0" w:rsidP="00C83E03">
            <w:pPr>
              <w:jc w:val="center"/>
              <w:rPr>
                <w:b/>
                <w:bCs/>
                <w:color w:val="000000"/>
              </w:rPr>
            </w:pPr>
            <w:r w:rsidRPr="00884D10">
              <w:rPr>
                <w:b/>
                <w:bCs/>
                <w:color w:val="000000"/>
              </w:rPr>
              <w:t xml:space="preserve">Average (project baseline, </w:t>
            </w:r>
            <w:r w:rsidRPr="00884D10">
              <w:rPr>
                <w:b/>
              </w:rPr>
              <w:t>E</w:t>
            </w:r>
            <w:r w:rsidRPr="00884D10">
              <w:rPr>
                <w:b/>
                <w:vertAlign w:val="subscript"/>
              </w:rPr>
              <w:t>BL</w:t>
            </w:r>
            <w:r w:rsidRPr="00884D10">
              <w:rPr>
                <w:b/>
              </w:rPr>
              <w:t>CO</w:t>
            </w:r>
            <w:r w:rsidRPr="00884D10">
              <w:rPr>
                <w:b/>
                <w:vertAlign w:val="subscript"/>
              </w:rPr>
              <w:t>2</w:t>
            </w:r>
            <w:r w:rsidRPr="00884D10">
              <w:rPr>
                <w:b/>
              </w:rPr>
              <w:t>-e)</w:t>
            </w:r>
          </w:p>
        </w:tc>
        <w:tc>
          <w:tcPr>
            <w:tcW w:w="2190" w:type="dxa"/>
            <w:tcBorders>
              <w:top w:val="nil"/>
              <w:left w:val="nil"/>
              <w:bottom w:val="single" w:sz="4" w:space="0" w:color="auto"/>
              <w:right w:val="single" w:sz="4" w:space="0" w:color="auto"/>
            </w:tcBorders>
            <w:shd w:val="clear" w:color="auto" w:fill="auto"/>
            <w:vAlign w:val="center"/>
          </w:tcPr>
          <w:p w:rsidR="00F768B0" w:rsidRPr="00884D10" w:rsidRDefault="00F768B0" w:rsidP="00C83E03">
            <w:pPr>
              <w:jc w:val="center"/>
              <w:rPr>
                <w:color w:val="000000"/>
              </w:rPr>
            </w:pPr>
          </w:p>
        </w:tc>
      </w:tr>
    </w:tbl>
    <w:p w:rsidR="00F768B0" w:rsidRPr="00884D10" w:rsidRDefault="00F768B0" w:rsidP="00F768B0">
      <w:pPr>
        <w:widowControl w:val="0"/>
        <w:ind w:right="238"/>
        <w:rPr>
          <w:iCs/>
        </w:rPr>
      </w:pPr>
    </w:p>
    <w:p w:rsidR="00F768B0" w:rsidRPr="00884D10" w:rsidRDefault="00F768B0" w:rsidP="00F768B0">
      <w:pPr>
        <w:jc w:val="center"/>
        <w:rPr>
          <w:b/>
        </w:rPr>
      </w:pPr>
    </w:p>
    <w:p w:rsidR="00F768B0" w:rsidRPr="00884D10" w:rsidRDefault="00F768B0" w:rsidP="00F768B0">
      <w:pPr>
        <w:jc w:val="center"/>
        <w:rPr>
          <w:b/>
        </w:rPr>
      </w:pPr>
    </w:p>
    <w:p w:rsidR="00F768B0" w:rsidRPr="00884D10" w:rsidRDefault="00F768B0" w:rsidP="00F768B0">
      <w:pPr>
        <w:jc w:val="center"/>
        <w:rPr>
          <w:b/>
        </w:rPr>
      </w:pPr>
    </w:p>
    <w:p w:rsidR="00F768B0" w:rsidRPr="00884D10" w:rsidRDefault="00F768B0" w:rsidP="00F768B0">
      <w:pPr>
        <w:jc w:val="center"/>
        <w:rPr>
          <w:b/>
        </w:rPr>
      </w:pPr>
    </w:p>
    <w:p w:rsidR="00F768B0" w:rsidRPr="00884D10" w:rsidRDefault="00F768B0" w:rsidP="00F768B0">
      <w:pPr>
        <w:jc w:val="center"/>
        <w:rPr>
          <w:b/>
        </w:rPr>
      </w:pPr>
    </w:p>
    <w:p w:rsidR="00F768B0" w:rsidRPr="00884D10" w:rsidRDefault="00F768B0" w:rsidP="00F768B0">
      <w:pPr>
        <w:jc w:val="center"/>
        <w:rPr>
          <w:b/>
        </w:rPr>
      </w:pPr>
    </w:p>
    <w:p w:rsidR="00F768B0" w:rsidRPr="00884D10" w:rsidRDefault="00F768B0" w:rsidP="00F768B0">
      <w:pPr>
        <w:jc w:val="center"/>
        <w:rPr>
          <w:b/>
        </w:rPr>
      </w:pPr>
    </w:p>
    <w:p w:rsidR="00F768B0" w:rsidRDefault="00F768B0" w:rsidP="00F768B0">
      <w:pPr>
        <w:jc w:val="center"/>
        <w:rPr>
          <w:b/>
        </w:rPr>
      </w:pPr>
    </w:p>
    <w:p w:rsidR="005F6C34" w:rsidRDefault="005F6C34" w:rsidP="00F768B0">
      <w:pPr>
        <w:jc w:val="center"/>
        <w:rPr>
          <w:b/>
        </w:rPr>
      </w:pPr>
    </w:p>
    <w:p w:rsidR="005F6C34" w:rsidRPr="00884D10" w:rsidRDefault="005F6C34" w:rsidP="00F768B0">
      <w:pPr>
        <w:jc w:val="center"/>
        <w:rPr>
          <w:b/>
        </w:rPr>
      </w:pPr>
    </w:p>
    <w:p w:rsidR="00F768B0" w:rsidRPr="00884D10" w:rsidRDefault="00F768B0" w:rsidP="00F768B0">
      <w:pPr>
        <w:jc w:val="center"/>
        <w:rPr>
          <w:b/>
        </w:rPr>
      </w:pPr>
      <w:r w:rsidRPr="00884D10">
        <w:rPr>
          <w:b/>
        </w:rPr>
        <w:t>Table 25: Annual emissions from fire (tonnes CO</w:t>
      </w:r>
      <w:r w:rsidRPr="00884D10">
        <w:rPr>
          <w:b/>
          <w:vertAlign w:val="subscript"/>
        </w:rPr>
        <w:t>2</w:t>
      </w:r>
      <w:r w:rsidRPr="00884D10">
        <w:rPr>
          <w:b/>
        </w:rPr>
        <w:t>-e)</w:t>
      </w:r>
    </w:p>
    <w:p w:rsidR="00F768B0" w:rsidRPr="00884D10" w:rsidRDefault="00F768B0" w:rsidP="00F768B0">
      <w:pPr>
        <w:jc w:val="center"/>
        <w:rPr>
          <w:b/>
        </w:rPr>
      </w:pPr>
    </w:p>
    <w:tbl>
      <w:tblPr>
        <w:tblW w:w="3431" w:type="dxa"/>
        <w:jc w:val="center"/>
        <w:tblLook w:val="04A0" w:firstRow="1" w:lastRow="0" w:firstColumn="1" w:lastColumn="0" w:noHBand="0" w:noVBand="1"/>
      </w:tblPr>
      <w:tblGrid>
        <w:gridCol w:w="1256"/>
        <w:gridCol w:w="2175"/>
      </w:tblGrid>
      <w:tr w:rsidR="00F768B0" w:rsidRPr="00884D10" w:rsidTr="00C83E03">
        <w:trPr>
          <w:trHeight w:val="600"/>
          <w:jc w:val="center"/>
        </w:trPr>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F768B0" w:rsidRPr="00884D10" w:rsidRDefault="00F768B0" w:rsidP="00C83E03">
            <w:pPr>
              <w:jc w:val="center"/>
              <w:rPr>
                <w:b/>
                <w:bCs/>
                <w:color w:val="000000"/>
              </w:rPr>
            </w:pPr>
            <w:r w:rsidRPr="00884D10">
              <w:rPr>
                <w:b/>
                <w:bCs/>
                <w:color w:val="000000"/>
              </w:rPr>
              <w:t>Year</w:t>
            </w:r>
          </w:p>
        </w:tc>
        <w:tc>
          <w:tcPr>
            <w:tcW w:w="2175" w:type="dxa"/>
            <w:tcBorders>
              <w:top w:val="single" w:sz="4" w:space="0" w:color="auto"/>
              <w:left w:val="nil"/>
              <w:bottom w:val="single" w:sz="4" w:space="0" w:color="auto"/>
              <w:right w:val="single" w:sz="4" w:space="0" w:color="auto"/>
            </w:tcBorders>
            <w:shd w:val="clear" w:color="auto" w:fill="auto"/>
            <w:vAlign w:val="center"/>
          </w:tcPr>
          <w:p w:rsidR="00F768B0" w:rsidRPr="00884D10" w:rsidRDefault="00F768B0" w:rsidP="00C83E03">
            <w:pPr>
              <w:spacing w:before="240"/>
              <w:jc w:val="center"/>
              <w:rPr>
                <w:b/>
                <w:bCs/>
                <w:color w:val="000000"/>
              </w:rPr>
            </w:pPr>
            <w:r w:rsidRPr="00884D10">
              <w:rPr>
                <w:b/>
                <w:bCs/>
                <w:color w:val="000000"/>
              </w:rPr>
              <w:t>Annual project emissions (</w:t>
            </w:r>
            <w:r w:rsidRPr="00884D10">
              <w:rPr>
                <w:b/>
              </w:rPr>
              <w:t>E</w:t>
            </w:r>
            <w:r w:rsidRPr="00884D10">
              <w:rPr>
                <w:b/>
                <w:vertAlign w:val="subscript"/>
              </w:rPr>
              <w:t>fire</w:t>
            </w:r>
            <w:r w:rsidRPr="00884D10">
              <w:rPr>
                <w:b/>
              </w:rPr>
              <w:t>CO</w:t>
            </w:r>
            <w:r w:rsidRPr="00884D10">
              <w:rPr>
                <w:b/>
                <w:vertAlign w:val="subscript"/>
              </w:rPr>
              <w:t>2</w:t>
            </w:r>
            <w:r w:rsidRPr="00884D10">
              <w:rPr>
                <w:b/>
              </w:rPr>
              <w:t>-e)</w:t>
            </w:r>
          </w:p>
        </w:tc>
      </w:tr>
      <w:tr w:rsidR="00F768B0" w:rsidRPr="00884D10" w:rsidTr="00C83E03">
        <w:trPr>
          <w:trHeight w:val="600"/>
          <w:jc w:val="center"/>
        </w:trPr>
        <w:tc>
          <w:tcPr>
            <w:tcW w:w="1256" w:type="dxa"/>
            <w:tcBorders>
              <w:top w:val="single" w:sz="4" w:space="0" w:color="auto"/>
              <w:left w:val="single" w:sz="4" w:space="0" w:color="auto"/>
              <w:bottom w:val="single" w:sz="4" w:space="0" w:color="auto"/>
              <w:right w:val="single" w:sz="4" w:space="0" w:color="auto"/>
            </w:tcBorders>
            <w:shd w:val="clear" w:color="auto" w:fill="auto"/>
            <w:vAlign w:val="bottom"/>
          </w:tcPr>
          <w:p w:rsidR="00F768B0" w:rsidRPr="00884D10" w:rsidRDefault="00F768B0" w:rsidP="00C83E03">
            <w:pPr>
              <w:rPr>
                <w:b/>
                <w:bCs/>
                <w:color w:val="000000"/>
              </w:rPr>
            </w:pPr>
          </w:p>
        </w:tc>
        <w:tc>
          <w:tcPr>
            <w:tcW w:w="2175" w:type="dxa"/>
            <w:tcBorders>
              <w:top w:val="single" w:sz="4" w:space="0" w:color="auto"/>
              <w:left w:val="nil"/>
              <w:bottom w:val="single" w:sz="4" w:space="0" w:color="auto"/>
              <w:right w:val="single" w:sz="4" w:space="0" w:color="auto"/>
            </w:tcBorders>
            <w:shd w:val="clear" w:color="auto" w:fill="auto"/>
            <w:vAlign w:val="bottom"/>
          </w:tcPr>
          <w:p w:rsidR="00F768B0" w:rsidRPr="00884D10" w:rsidRDefault="00F768B0" w:rsidP="00C83E03">
            <w:pPr>
              <w:rPr>
                <w:b/>
                <w:bCs/>
                <w:color w:val="000000"/>
              </w:rPr>
            </w:pPr>
          </w:p>
        </w:tc>
      </w:tr>
    </w:tbl>
    <w:p w:rsidR="00F768B0" w:rsidRPr="00884D10" w:rsidRDefault="00F768B0" w:rsidP="00F768B0">
      <w:pPr>
        <w:widowControl w:val="0"/>
        <w:ind w:right="238"/>
        <w:rPr>
          <w:iCs/>
        </w:rPr>
      </w:pPr>
    </w:p>
    <w:p w:rsidR="00F768B0" w:rsidRPr="00884D10" w:rsidRDefault="00F768B0" w:rsidP="00F768B0">
      <w:pPr>
        <w:jc w:val="center"/>
        <w:rPr>
          <w:b/>
        </w:rPr>
      </w:pPr>
      <w:r w:rsidRPr="00884D10">
        <w:rPr>
          <w:b/>
        </w:rPr>
        <w:t>Table 26: Emissions from fuel use (tonnes CO</w:t>
      </w:r>
      <w:r w:rsidRPr="00884D10">
        <w:rPr>
          <w:b/>
          <w:vertAlign w:val="subscript"/>
        </w:rPr>
        <w:t>2</w:t>
      </w:r>
      <w:r w:rsidRPr="00884D10">
        <w:rPr>
          <w:b/>
        </w:rPr>
        <w:t>-e)</w:t>
      </w:r>
    </w:p>
    <w:p w:rsidR="00F768B0" w:rsidRPr="00884D10" w:rsidRDefault="00F768B0" w:rsidP="00F768B0">
      <w:pPr>
        <w:jc w:val="center"/>
        <w:rPr>
          <w:b/>
        </w:rPr>
      </w:pPr>
    </w:p>
    <w:tbl>
      <w:tblPr>
        <w:tblW w:w="5177" w:type="dxa"/>
        <w:jc w:val="center"/>
        <w:tblInd w:w="-285" w:type="dxa"/>
        <w:tblLook w:val="04A0" w:firstRow="1" w:lastRow="0" w:firstColumn="1" w:lastColumn="0" w:noHBand="0" w:noVBand="1"/>
      </w:tblPr>
      <w:tblGrid>
        <w:gridCol w:w="1540"/>
        <w:gridCol w:w="1213"/>
        <w:gridCol w:w="1180"/>
        <w:gridCol w:w="1244"/>
      </w:tblGrid>
      <w:tr w:rsidR="00F768B0" w:rsidRPr="00884D10" w:rsidTr="00C83E03">
        <w:trPr>
          <w:trHeight w:val="600"/>
          <w:jc w:val="center"/>
        </w:trPr>
        <w:tc>
          <w:tcPr>
            <w:tcW w:w="1540" w:type="dxa"/>
            <w:tcBorders>
              <w:top w:val="single" w:sz="4" w:space="0" w:color="auto"/>
              <w:left w:val="single" w:sz="4" w:space="0" w:color="auto"/>
              <w:bottom w:val="single" w:sz="4" w:space="0" w:color="auto"/>
              <w:right w:val="single" w:sz="4" w:space="0" w:color="auto"/>
            </w:tcBorders>
          </w:tcPr>
          <w:p w:rsidR="00F768B0" w:rsidRPr="00884D10" w:rsidRDefault="00F768B0" w:rsidP="00C83E03">
            <w:pPr>
              <w:rPr>
                <w:b/>
                <w:bCs/>
                <w:color w:val="000000"/>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68B0" w:rsidRPr="00884D10" w:rsidRDefault="00F768B0" w:rsidP="00C83E03">
            <w:pPr>
              <w:jc w:val="center"/>
              <w:rPr>
                <w:b/>
                <w:bCs/>
                <w:color w:val="000000"/>
              </w:rPr>
            </w:pPr>
            <w:r w:rsidRPr="00884D10">
              <w:rPr>
                <w:b/>
                <w:bCs/>
                <w:color w:val="000000"/>
              </w:rPr>
              <w:t>Fuel type</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F768B0" w:rsidRPr="00884D10" w:rsidRDefault="00F768B0" w:rsidP="00C83E03">
            <w:pPr>
              <w:rPr>
                <w:b/>
                <w:bCs/>
                <w:color w:val="000000"/>
              </w:rPr>
            </w:pPr>
            <w:r w:rsidRPr="00884D10">
              <w:rPr>
                <w:b/>
                <w:bCs/>
                <w:color w:val="000000"/>
              </w:rPr>
              <w:t>Amount used (litres)</w:t>
            </w:r>
          </w:p>
        </w:tc>
        <w:tc>
          <w:tcPr>
            <w:tcW w:w="1244" w:type="dxa"/>
            <w:tcBorders>
              <w:top w:val="single" w:sz="4" w:space="0" w:color="auto"/>
              <w:left w:val="nil"/>
              <w:bottom w:val="single" w:sz="4" w:space="0" w:color="auto"/>
              <w:right w:val="single" w:sz="4" w:space="0" w:color="auto"/>
            </w:tcBorders>
          </w:tcPr>
          <w:p w:rsidR="00F768B0" w:rsidRPr="00884D10" w:rsidRDefault="00F768B0" w:rsidP="00C83E03">
            <w:pPr>
              <w:rPr>
                <w:b/>
                <w:bCs/>
                <w:color w:val="000000"/>
              </w:rPr>
            </w:pPr>
            <w:r w:rsidRPr="00884D10">
              <w:rPr>
                <w:b/>
                <w:bCs/>
                <w:color w:val="000000"/>
              </w:rPr>
              <w:t>Emissions from fuel use</w:t>
            </w:r>
          </w:p>
        </w:tc>
      </w:tr>
      <w:tr w:rsidR="00F768B0" w:rsidRPr="00884D10" w:rsidTr="00C83E03">
        <w:trPr>
          <w:trHeight w:val="600"/>
          <w:jc w:val="center"/>
        </w:trPr>
        <w:tc>
          <w:tcPr>
            <w:tcW w:w="1540" w:type="dxa"/>
            <w:tcBorders>
              <w:top w:val="single" w:sz="4" w:space="0" w:color="auto"/>
              <w:left w:val="single" w:sz="4" w:space="0" w:color="auto"/>
              <w:bottom w:val="single" w:sz="4" w:space="0" w:color="auto"/>
              <w:right w:val="single" w:sz="4" w:space="0" w:color="auto"/>
            </w:tcBorders>
            <w:vAlign w:val="center"/>
          </w:tcPr>
          <w:p w:rsidR="00F768B0" w:rsidRPr="00884D10" w:rsidRDefault="00F768B0" w:rsidP="00C83E03">
            <w:pPr>
              <w:jc w:val="center"/>
              <w:rPr>
                <w:b/>
                <w:bCs/>
                <w:color w:val="000000"/>
              </w:rPr>
            </w:pPr>
            <w:r w:rsidRPr="00884D10">
              <w:rPr>
                <w:b/>
                <w:bCs/>
                <w:color w:val="000000"/>
              </w:rPr>
              <w:t>Source a</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68B0" w:rsidRPr="00884D10" w:rsidRDefault="00F768B0" w:rsidP="00C83E03">
            <w:pPr>
              <w:rPr>
                <w:b/>
                <w:bCs/>
                <w:color w:val="000000"/>
              </w:rPr>
            </w:pP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F768B0" w:rsidRPr="00884D10" w:rsidRDefault="00F768B0" w:rsidP="00C83E03">
            <w:pPr>
              <w:rPr>
                <w:b/>
                <w:bCs/>
                <w:color w:val="000000"/>
              </w:rPr>
            </w:pPr>
          </w:p>
        </w:tc>
        <w:tc>
          <w:tcPr>
            <w:tcW w:w="1244" w:type="dxa"/>
            <w:tcBorders>
              <w:top w:val="single" w:sz="4" w:space="0" w:color="auto"/>
              <w:left w:val="nil"/>
              <w:bottom w:val="single" w:sz="4" w:space="0" w:color="auto"/>
              <w:right w:val="single" w:sz="4" w:space="0" w:color="auto"/>
            </w:tcBorders>
          </w:tcPr>
          <w:p w:rsidR="00F768B0" w:rsidRPr="00884D10" w:rsidRDefault="00F768B0" w:rsidP="00C83E03">
            <w:pPr>
              <w:rPr>
                <w:b/>
                <w:bCs/>
                <w:color w:val="000000"/>
              </w:rPr>
            </w:pPr>
          </w:p>
        </w:tc>
      </w:tr>
      <w:tr w:rsidR="00F768B0" w:rsidRPr="00884D10" w:rsidTr="00C83E03">
        <w:trPr>
          <w:trHeight w:val="600"/>
          <w:jc w:val="center"/>
        </w:trPr>
        <w:tc>
          <w:tcPr>
            <w:tcW w:w="1540" w:type="dxa"/>
            <w:tcBorders>
              <w:top w:val="single" w:sz="4" w:space="0" w:color="auto"/>
              <w:left w:val="single" w:sz="4" w:space="0" w:color="auto"/>
              <w:bottom w:val="single" w:sz="4" w:space="0" w:color="auto"/>
              <w:right w:val="single" w:sz="4" w:space="0" w:color="auto"/>
            </w:tcBorders>
            <w:vAlign w:val="center"/>
          </w:tcPr>
          <w:p w:rsidR="00F768B0" w:rsidRPr="00884D10" w:rsidRDefault="00F768B0" w:rsidP="00C83E03">
            <w:pPr>
              <w:jc w:val="center"/>
              <w:rPr>
                <w:b/>
                <w:bCs/>
                <w:color w:val="000000"/>
              </w:rPr>
            </w:pPr>
            <w:r w:rsidRPr="00884D10">
              <w:rPr>
                <w:b/>
                <w:bCs/>
                <w:color w:val="000000"/>
              </w:rPr>
              <w:t>Source b</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68B0" w:rsidRPr="00884D10" w:rsidRDefault="00F768B0" w:rsidP="00C83E03">
            <w:pPr>
              <w:rPr>
                <w:b/>
                <w:bCs/>
                <w:color w:val="000000"/>
              </w:rPr>
            </w:pP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F768B0" w:rsidRPr="00884D10" w:rsidRDefault="00F768B0" w:rsidP="00C83E03">
            <w:pPr>
              <w:rPr>
                <w:b/>
                <w:bCs/>
                <w:color w:val="000000"/>
              </w:rPr>
            </w:pPr>
          </w:p>
        </w:tc>
        <w:tc>
          <w:tcPr>
            <w:tcW w:w="1244" w:type="dxa"/>
            <w:tcBorders>
              <w:top w:val="single" w:sz="4" w:space="0" w:color="auto"/>
              <w:left w:val="nil"/>
              <w:bottom w:val="single" w:sz="4" w:space="0" w:color="auto"/>
              <w:right w:val="single" w:sz="4" w:space="0" w:color="auto"/>
            </w:tcBorders>
          </w:tcPr>
          <w:p w:rsidR="00F768B0" w:rsidRPr="00884D10" w:rsidRDefault="00F768B0" w:rsidP="00C83E03">
            <w:pPr>
              <w:rPr>
                <w:b/>
                <w:bCs/>
                <w:color w:val="000000"/>
              </w:rPr>
            </w:pPr>
          </w:p>
        </w:tc>
      </w:tr>
      <w:tr w:rsidR="00F768B0" w:rsidRPr="00884D10" w:rsidTr="00C83E03">
        <w:trPr>
          <w:trHeight w:val="600"/>
          <w:jc w:val="center"/>
        </w:trPr>
        <w:tc>
          <w:tcPr>
            <w:tcW w:w="1540" w:type="dxa"/>
            <w:tcBorders>
              <w:top w:val="single" w:sz="4" w:space="0" w:color="auto"/>
              <w:left w:val="single" w:sz="4" w:space="0" w:color="auto"/>
              <w:bottom w:val="single" w:sz="4" w:space="0" w:color="auto"/>
              <w:right w:val="single" w:sz="4" w:space="0" w:color="auto"/>
            </w:tcBorders>
          </w:tcPr>
          <w:p w:rsidR="00F768B0" w:rsidRPr="00884D10" w:rsidRDefault="00F768B0" w:rsidP="00C83E03">
            <w:pPr>
              <w:rPr>
                <w:b/>
                <w:bCs/>
                <w:color w:val="000000"/>
              </w:rPr>
            </w:pPr>
            <w:r w:rsidRPr="00884D10">
              <w:rPr>
                <w:b/>
                <w:bCs/>
                <w:color w:val="000000"/>
              </w:rPr>
              <w:t>Total (</w:t>
            </w:r>
            <w:r w:rsidRPr="00884D10">
              <w:rPr>
                <w:b/>
              </w:rPr>
              <w:t>E</w:t>
            </w:r>
            <w:r w:rsidRPr="00884D10">
              <w:rPr>
                <w:b/>
                <w:vertAlign w:val="subscript"/>
              </w:rPr>
              <w:t>fuel</w:t>
            </w:r>
            <w:r w:rsidRPr="00884D10">
              <w:rPr>
                <w:b/>
              </w:rPr>
              <w:t>CO</w:t>
            </w:r>
            <w:r w:rsidRPr="00884D10">
              <w:rPr>
                <w:b/>
                <w:vertAlign w:val="subscript"/>
              </w:rPr>
              <w:t>2</w:t>
            </w:r>
            <w:r w:rsidRPr="00884D10">
              <w:rPr>
                <w:b/>
              </w:rPr>
              <w:t>-e)</w:t>
            </w:r>
          </w:p>
        </w:tc>
        <w:tc>
          <w:tcPr>
            <w:tcW w:w="121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bottom"/>
            <w:hideMark/>
          </w:tcPr>
          <w:p w:rsidR="00F768B0" w:rsidRPr="00884D10" w:rsidRDefault="00F768B0" w:rsidP="00C83E03">
            <w:pPr>
              <w:rPr>
                <w:b/>
                <w:bCs/>
                <w:color w:val="000000"/>
              </w:rPr>
            </w:pPr>
          </w:p>
        </w:tc>
        <w:tc>
          <w:tcPr>
            <w:tcW w:w="1180" w:type="dxa"/>
            <w:tcBorders>
              <w:top w:val="single" w:sz="4" w:space="0" w:color="auto"/>
              <w:left w:val="nil"/>
              <w:bottom w:val="single" w:sz="4" w:space="0" w:color="auto"/>
              <w:right w:val="single" w:sz="4" w:space="0" w:color="auto"/>
              <w:tr2bl w:val="single" w:sz="4" w:space="0" w:color="auto"/>
            </w:tcBorders>
            <w:shd w:val="clear" w:color="auto" w:fill="auto"/>
            <w:vAlign w:val="bottom"/>
            <w:hideMark/>
          </w:tcPr>
          <w:p w:rsidR="00F768B0" w:rsidRPr="00884D10" w:rsidRDefault="00F768B0" w:rsidP="00C83E03">
            <w:pPr>
              <w:rPr>
                <w:b/>
                <w:bCs/>
                <w:color w:val="000000"/>
              </w:rPr>
            </w:pPr>
          </w:p>
        </w:tc>
        <w:tc>
          <w:tcPr>
            <w:tcW w:w="1244" w:type="dxa"/>
            <w:tcBorders>
              <w:top w:val="single" w:sz="4" w:space="0" w:color="auto"/>
              <w:left w:val="nil"/>
              <w:bottom w:val="single" w:sz="4" w:space="0" w:color="auto"/>
              <w:right w:val="single" w:sz="4" w:space="0" w:color="auto"/>
            </w:tcBorders>
            <w:shd w:val="clear" w:color="auto" w:fill="auto"/>
          </w:tcPr>
          <w:p w:rsidR="00F768B0" w:rsidRPr="00884D10" w:rsidRDefault="00F768B0" w:rsidP="00C83E03">
            <w:pPr>
              <w:rPr>
                <w:b/>
                <w:bCs/>
                <w:color w:val="000000"/>
              </w:rPr>
            </w:pPr>
          </w:p>
        </w:tc>
      </w:tr>
    </w:tbl>
    <w:p w:rsidR="00F768B0" w:rsidRPr="00884D10" w:rsidRDefault="00F768B0" w:rsidP="00F768B0">
      <w:pPr>
        <w:widowControl w:val="0"/>
        <w:ind w:right="238"/>
        <w:rPr>
          <w:iCs/>
        </w:rPr>
      </w:pPr>
    </w:p>
    <w:p w:rsidR="00F768B0" w:rsidRPr="00884D10" w:rsidRDefault="00F768B0" w:rsidP="00F768B0">
      <w:pPr>
        <w:jc w:val="center"/>
        <w:rPr>
          <w:b/>
        </w:rPr>
      </w:pPr>
      <w:r w:rsidRPr="00884D10">
        <w:rPr>
          <w:b/>
        </w:rPr>
        <w:t>Table 27: Annual project emissions (tonnes CO</w:t>
      </w:r>
      <w:r w:rsidRPr="00884D10">
        <w:rPr>
          <w:b/>
          <w:vertAlign w:val="subscript"/>
        </w:rPr>
        <w:t>2</w:t>
      </w:r>
      <w:r w:rsidRPr="00884D10">
        <w:rPr>
          <w:b/>
        </w:rPr>
        <w:t>-e)</w:t>
      </w:r>
    </w:p>
    <w:p w:rsidR="00F768B0" w:rsidRPr="00884D10" w:rsidRDefault="00F768B0" w:rsidP="00F768B0">
      <w:pPr>
        <w:jc w:val="center"/>
        <w:rPr>
          <w:b/>
        </w:rPr>
      </w:pPr>
    </w:p>
    <w:tbl>
      <w:tblPr>
        <w:tblW w:w="3231" w:type="dxa"/>
        <w:jc w:val="center"/>
        <w:tblLook w:val="04A0" w:firstRow="1" w:lastRow="0" w:firstColumn="1" w:lastColumn="0" w:noHBand="0" w:noVBand="1"/>
      </w:tblPr>
      <w:tblGrid>
        <w:gridCol w:w="1256"/>
        <w:gridCol w:w="1975"/>
      </w:tblGrid>
      <w:tr w:rsidR="00F768B0" w:rsidRPr="00884D10" w:rsidTr="00C83E03">
        <w:trPr>
          <w:trHeight w:val="600"/>
          <w:jc w:val="center"/>
        </w:trPr>
        <w:tc>
          <w:tcPr>
            <w:tcW w:w="12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68B0" w:rsidRPr="00884D10" w:rsidRDefault="00F768B0" w:rsidP="00C83E03">
            <w:pPr>
              <w:rPr>
                <w:b/>
                <w:bCs/>
                <w:color w:val="000000"/>
              </w:rPr>
            </w:pPr>
            <w:r w:rsidRPr="00884D10">
              <w:rPr>
                <w:b/>
                <w:bCs/>
                <w:color w:val="000000"/>
              </w:rPr>
              <w:t>Year</w:t>
            </w:r>
          </w:p>
        </w:tc>
        <w:tc>
          <w:tcPr>
            <w:tcW w:w="1975" w:type="dxa"/>
            <w:tcBorders>
              <w:top w:val="single" w:sz="4" w:space="0" w:color="auto"/>
              <w:left w:val="nil"/>
              <w:bottom w:val="single" w:sz="4" w:space="0" w:color="auto"/>
              <w:right w:val="single" w:sz="4" w:space="0" w:color="auto"/>
            </w:tcBorders>
            <w:shd w:val="clear" w:color="auto" w:fill="auto"/>
            <w:vAlign w:val="bottom"/>
            <w:hideMark/>
          </w:tcPr>
          <w:p w:rsidR="00F768B0" w:rsidRPr="00884D10" w:rsidRDefault="00F768B0" w:rsidP="00C83E03">
            <w:pPr>
              <w:rPr>
                <w:b/>
                <w:bCs/>
                <w:color w:val="000000"/>
              </w:rPr>
            </w:pPr>
            <w:r w:rsidRPr="00884D10">
              <w:rPr>
                <w:b/>
                <w:bCs/>
                <w:color w:val="000000"/>
              </w:rPr>
              <w:t>Total annual</w:t>
            </w:r>
          </w:p>
          <w:p w:rsidR="00F768B0" w:rsidRPr="00884D10" w:rsidRDefault="00F768B0" w:rsidP="00C83E03">
            <w:pPr>
              <w:rPr>
                <w:b/>
                <w:bCs/>
                <w:color w:val="000000"/>
              </w:rPr>
            </w:pPr>
            <w:r w:rsidRPr="00884D10">
              <w:rPr>
                <w:b/>
                <w:bCs/>
                <w:color w:val="000000"/>
              </w:rPr>
              <w:t>Emissions (</w:t>
            </w:r>
            <w:r w:rsidRPr="00884D10">
              <w:rPr>
                <w:b/>
              </w:rPr>
              <w:t>E</w:t>
            </w:r>
            <w:r w:rsidRPr="00884D10">
              <w:rPr>
                <w:b/>
                <w:vertAlign w:val="subscript"/>
              </w:rPr>
              <w:t>total</w:t>
            </w:r>
            <w:r w:rsidRPr="00884D10">
              <w:rPr>
                <w:b/>
              </w:rPr>
              <w:t>CO</w:t>
            </w:r>
            <w:r w:rsidRPr="00884D10">
              <w:rPr>
                <w:b/>
                <w:vertAlign w:val="subscript"/>
              </w:rPr>
              <w:t>2</w:t>
            </w:r>
            <w:r w:rsidRPr="00884D10">
              <w:rPr>
                <w:b/>
              </w:rPr>
              <w:t>-e)</w:t>
            </w:r>
          </w:p>
        </w:tc>
      </w:tr>
      <w:tr w:rsidR="00F768B0" w:rsidRPr="00884D10" w:rsidTr="00C83E03">
        <w:trPr>
          <w:trHeight w:val="600"/>
          <w:jc w:val="center"/>
        </w:trPr>
        <w:tc>
          <w:tcPr>
            <w:tcW w:w="12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68B0" w:rsidRPr="00884D10" w:rsidRDefault="00F768B0" w:rsidP="00C83E03">
            <w:pPr>
              <w:rPr>
                <w:b/>
                <w:bCs/>
                <w:color w:val="000000"/>
              </w:rPr>
            </w:pPr>
          </w:p>
        </w:tc>
        <w:tc>
          <w:tcPr>
            <w:tcW w:w="1975" w:type="dxa"/>
            <w:tcBorders>
              <w:top w:val="single" w:sz="4" w:space="0" w:color="auto"/>
              <w:left w:val="nil"/>
              <w:bottom w:val="single" w:sz="4" w:space="0" w:color="auto"/>
              <w:right w:val="single" w:sz="4" w:space="0" w:color="auto"/>
            </w:tcBorders>
            <w:shd w:val="clear" w:color="auto" w:fill="auto"/>
            <w:vAlign w:val="bottom"/>
            <w:hideMark/>
          </w:tcPr>
          <w:p w:rsidR="00F768B0" w:rsidRPr="00884D10" w:rsidRDefault="00F768B0" w:rsidP="00C83E03">
            <w:pPr>
              <w:rPr>
                <w:b/>
                <w:bCs/>
                <w:color w:val="000000"/>
              </w:rPr>
            </w:pPr>
          </w:p>
        </w:tc>
      </w:tr>
    </w:tbl>
    <w:p w:rsidR="00F768B0" w:rsidRPr="00884D10" w:rsidRDefault="00F768B0" w:rsidP="00F768B0">
      <w:pPr>
        <w:widowControl w:val="0"/>
        <w:ind w:right="238"/>
        <w:rPr>
          <w:iCs/>
        </w:rPr>
      </w:pPr>
    </w:p>
    <w:p w:rsidR="00F768B0" w:rsidRPr="00884D10" w:rsidRDefault="00F768B0" w:rsidP="00F768B0">
      <w:pPr>
        <w:jc w:val="center"/>
        <w:rPr>
          <w:b/>
        </w:rPr>
      </w:pPr>
      <w:r w:rsidRPr="00884D10">
        <w:rPr>
          <w:b/>
        </w:rPr>
        <w:t>Table 28: Net annual project abatement (tonnes CO</w:t>
      </w:r>
      <w:r w:rsidRPr="00884D10">
        <w:rPr>
          <w:b/>
          <w:vertAlign w:val="subscript"/>
        </w:rPr>
        <w:t>2</w:t>
      </w:r>
      <w:r w:rsidRPr="00884D10">
        <w:rPr>
          <w:b/>
        </w:rPr>
        <w:t>-e)</w:t>
      </w:r>
    </w:p>
    <w:p w:rsidR="00F768B0" w:rsidRPr="00884D10" w:rsidRDefault="00F768B0" w:rsidP="00F768B0">
      <w:pPr>
        <w:jc w:val="center"/>
        <w:rPr>
          <w:b/>
        </w:rPr>
      </w:pPr>
    </w:p>
    <w:tbl>
      <w:tblPr>
        <w:tblW w:w="2844" w:type="dxa"/>
        <w:jc w:val="center"/>
        <w:tblLook w:val="04A0" w:firstRow="1" w:lastRow="0" w:firstColumn="1" w:lastColumn="0" w:noHBand="0" w:noVBand="1"/>
      </w:tblPr>
      <w:tblGrid>
        <w:gridCol w:w="1223"/>
        <w:gridCol w:w="1621"/>
      </w:tblGrid>
      <w:tr w:rsidR="00F768B0" w:rsidRPr="00884D10" w:rsidTr="00C83E03">
        <w:trPr>
          <w:trHeight w:val="600"/>
          <w:jc w:val="center"/>
        </w:trPr>
        <w:tc>
          <w:tcPr>
            <w:tcW w:w="1223" w:type="dxa"/>
            <w:tcBorders>
              <w:top w:val="single" w:sz="4" w:space="0" w:color="auto"/>
              <w:left w:val="single" w:sz="4" w:space="0" w:color="auto"/>
              <w:bottom w:val="single" w:sz="4" w:space="0" w:color="auto"/>
              <w:right w:val="single" w:sz="4" w:space="0" w:color="auto"/>
            </w:tcBorders>
            <w:shd w:val="clear" w:color="auto" w:fill="auto"/>
            <w:vAlign w:val="bottom"/>
          </w:tcPr>
          <w:p w:rsidR="00F768B0" w:rsidRPr="00884D10" w:rsidRDefault="00F768B0" w:rsidP="00C83E03">
            <w:pPr>
              <w:rPr>
                <w:b/>
                <w:bCs/>
                <w:color w:val="000000"/>
              </w:rPr>
            </w:pPr>
            <w:r w:rsidRPr="00884D10">
              <w:rPr>
                <w:b/>
                <w:bCs/>
                <w:color w:val="000000"/>
              </w:rPr>
              <w:t>Year</w:t>
            </w:r>
          </w:p>
        </w:tc>
        <w:tc>
          <w:tcPr>
            <w:tcW w:w="1621" w:type="dxa"/>
            <w:tcBorders>
              <w:top w:val="single" w:sz="4" w:space="0" w:color="auto"/>
              <w:left w:val="nil"/>
              <w:bottom w:val="single" w:sz="4" w:space="0" w:color="auto"/>
              <w:right w:val="single" w:sz="4" w:space="0" w:color="auto"/>
            </w:tcBorders>
            <w:shd w:val="clear" w:color="auto" w:fill="auto"/>
            <w:vAlign w:val="bottom"/>
          </w:tcPr>
          <w:p w:rsidR="00F768B0" w:rsidRPr="00884D10" w:rsidRDefault="00F768B0" w:rsidP="00C83E03">
            <w:pPr>
              <w:rPr>
                <w:b/>
                <w:bCs/>
                <w:color w:val="000000"/>
              </w:rPr>
            </w:pPr>
            <w:r w:rsidRPr="00884D10">
              <w:rPr>
                <w:b/>
                <w:bCs/>
                <w:color w:val="000000"/>
              </w:rPr>
              <w:t>Net annual project abatement (</w:t>
            </w:r>
            <w:r w:rsidRPr="00884D10">
              <w:rPr>
                <w:b/>
              </w:rPr>
              <w:t>A</w:t>
            </w:r>
            <w:r w:rsidRPr="00884D10">
              <w:rPr>
                <w:b/>
                <w:vertAlign w:val="subscript"/>
              </w:rPr>
              <w:t>net</w:t>
            </w:r>
            <w:r w:rsidRPr="00884D10">
              <w:rPr>
                <w:b/>
              </w:rPr>
              <w:t>CO</w:t>
            </w:r>
            <w:r w:rsidRPr="00884D10">
              <w:rPr>
                <w:b/>
                <w:vertAlign w:val="subscript"/>
              </w:rPr>
              <w:t>2</w:t>
            </w:r>
            <w:r w:rsidRPr="00884D10">
              <w:rPr>
                <w:b/>
              </w:rPr>
              <w:t>-e)</w:t>
            </w:r>
          </w:p>
        </w:tc>
      </w:tr>
      <w:tr w:rsidR="00F768B0" w:rsidRPr="00884D10" w:rsidTr="00C83E03">
        <w:trPr>
          <w:trHeight w:val="600"/>
          <w:jc w:val="center"/>
        </w:trPr>
        <w:tc>
          <w:tcPr>
            <w:tcW w:w="1223" w:type="dxa"/>
            <w:tcBorders>
              <w:top w:val="single" w:sz="4" w:space="0" w:color="auto"/>
              <w:left w:val="single" w:sz="4" w:space="0" w:color="auto"/>
              <w:bottom w:val="single" w:sz="4" w:space="0" w:color="auto"/>
              <w:right w:val="single" w:sz="4" w:space="0" w:color="auto"/>
            </w:tcBorders>
            <w:shd w:val="clear" w:color="auto" w:fill="auto"/>
            <w:vAlign w:val="bottom"/>
          </w:tcPr>
          <w:p w:rsidR="00F768B0" w:rsidRPr="00884D10" w:rsidRDefault="00F768B0" w:rsidP="00C83E03">
            <w:pPr>
              <w:rPr>
                <w:b/>
                <w:bCs/>
                <w:color w:val="000000"/>
              </w:rPr>
            </w:pPr>
          </w:p>
        </w:tc>
        <w:tc>
          <w:tcPr>
            <w:tcW w:w="1621" w:type="dxa"/>
            <w:tcBorders>
              <w:top w:val="single" w:sz="4" w:space="0" w:color="auto"/>
              <w:left w:val="nil"/>
              <w:bottom w:val="single" w:sz="4" w:space="0" w:color="auto"/>
              <w:right w:val="single" w:sz="4" w:space="0" w:color="auto"/>
            </w:tcBorders>
            <w:shd w:val="clear" w:color="auto" w:fill="auto"/>
            <w:vAlign w:val="bottom"/>
          </w:tcPr>
          <w:p w:rsidR="00F768B0" w:rsidRPr="00884D10" w:rsidRDefault="00F768B0" w:rsidP="00C83E03">
            <w:pPr>
              <w:rPr>
                <w:b/>
                <w:bCs/>
                <w:color w:val="000000"/>
              </w:rPr>
            </w:pPr>
          </w:p>
        </w:tc>
      </w:tr>
    </w:tbl>
    <w:p w:rsidR="00F768B0" w:rsidRPr="00884D10" w:rsidRDefault="00F768B0" w:rsidP="00F768B0">
      <w:pPr>
        <w:widowControl w:val="0"/>
        <w:ind w:right="238"/>
        <w:rPr>
          <w:iCs/>
        </w:rPr>
      </w:pPr>
    </w:p>
    <w:p w:rsidR="00F768B0" w:rsidRPr="00884D10" w:rsidRDefault="00F768B0" w:rsidP="00F768B0">
      <w:pPr>
        <w:ind w:left="993" w:hanging="993"/>
        <w:rPr>
          <w:rStyle w:val="CharSectno"/>
          <w:b/>
        </w:rPr>
      </w:pPr>
      <w:r w:rsidRPr="00884D10">
        <w:br w:type="page"/>
      </w:r>
      <w:r w:rsidRPr="00884D10">
        <w:rPr>
          <w:rStyle w:val="CharSectno"/>
          <w:b/>
        </w:rPr>
        <w:lastRenderedPageBreak/>
        <w:t>Form 2</w:t>
      </w:r>
      <w:r w:rsidRPr="00884D10">
        <w:rPr>
          <w:rStyle w:val="CharSectno"/>
          <w:b/>
        </w:rPr>
        <w:tab/>
        <w:t>Record of Calculations for Offsets Reports</w:t>
      </w:r>
    </w:p>
    <w:p w:rsidR="00F768B0" w:rsidRPr="00884D10" w:rsidRDefault="00F768B0" w:rsidP="00F768B0">
      <w:pPr>
        <w:pStyle w:val="R2"/>
        <w:ind w:left="0" w:firstLine="0"/>
        <w:jc w:val="left"/>
        <w:rPr>
          <w:i/>
        </w:rPr>
      </w:pPr>
      <w:r w:rsidRPr="00884D10">
        <w:rPr>
          <w:i/>
        </w:rPr>
        <w:t>The results of calculations prescribed by Part 4 must be recorded in the following tables and be provided in the offsets report for the first reporting period and subsequent reporting periods.</w:t>
      </w:r>
    </w:p>
    <w:p w:rsidR="00F768B0" w:rsidRPr="00884D10" w:rsidRDefault="00F768B0" w:rsidP="00F768B0">
      <w:pPr>
        <w:rPr>
          <w:iCs/>
        </w:rPr>
      </w:pPr>
    </w:p>
    <w:p w:rsidR="00F768B0" w:rsidRPr="00884D10" w:rsidRDefault="00F768B0" w:rsidP="00F768B0">
      <w:pPr>
        <w:jc w:val="center"/>
        <w:rPr>
          <w:b/>
        </w:rPr>
      </w:pPr>
      <w:r w:rsidRPr="00884D10">
        <w:rPr>
          <w:b/>
        </w:rPr>
        <w:t>Table 9: Start of the LDS for project region</w:t>
      </w:r>
    </w:p>
    <w:p w:rsidR="00F768B0" w:rsidRPr="00884D10" w:rsidRDefault="00F768B0" w:rsidP="00F768B0">
      <w:pPr>
        <w:jc w:val="center"/>
        <w:rPr>
          <w:b/>
        </w:rPr>
      </w:pPr>
    </w:p>
    <w:tbl>
      <w:tblPr>
        <w:tblW w:w="3089" w:type="dxa"/>
        <w:jc w:val="center"/>
        <w:tblLook w:val="04A0" w:firstRow="1" w:lastRow="0" w:firstColumn="1" w:lastColumn="0" w:noHBand="0" w:noVBand="1"/>
      </w:tblPr>
      <w:tblGrid>
        <w:gridCol w:w="1256"/>
        <w:gridCol w:w="1833"/>
      </w:tblGrid>
      <w:tr w:rsidR="00F768B0" w:rsidRPr="00884D10" w:rsidTr="00C83E03">
        <w:trPr>
          <w:trHeight w:val="600"/>
          <w:jc w:val="center"/>
        </w:trPr>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F768B0" w:rsidRPr="00884D10" w:rsidRDefault="00F768B0" w:rsidP="00C83E03">
            <w:pPr>
              <w:jc w:val="center"/>
              <w:rPr>
                <w:b/>
                <w:bCs/>
                <w:color w:val="000000"/>
              </w:rPr>
            </w:pPr>
            <w:r w:rsidRPr="00884D10">
              <w:rPr>
                <w:b/>
                <w:bCs/>
                <w:color w:val="000000"/>
              </w:rPr>
              <w:t>Year</w:t>
            </w:r>
          </w:p>
        </w:tc>
        <w:tc>
          <w:tcPr>
            <w:tcW w:w="1833" w:type="dxa"/>
            <w:tcBorders>
              <w:top w:val="single" w:sz="4" w:space="0" w:color="auto"/>
              <w:left w:val="nil"/>
              <w:bottom w:val="single" w:sz="4" w:space="0" w:color="auto"/>
              <w:right w:val="single" w:sz="4" w:space="0" w:color="auto"/>
            </w:tcBorders>
            <w:shd w:val="clear" w:color="auto" w:fill="auto"/>
            <w:vAlign w:val="center"/>
          </w:tcPr>
          <w:p w:rsidR="00F768B0" w:rsidRPr="00884D10" w:rsidRDefault="00F768B0" w:rsidP="00C83E03">
            <w:pPr>
              <w:jc w:val="center"/>
              <w:rPr>
                <w:b/>
                <w:bCs/>
                <w:color w:val="000000"/>
              </w:rPr>
            </w:pPr>
            <w:r w:rsidRPr="00884D10">
              <w:rPr>
                <w:b/>
                <w:bCs/>
                <w:color w:val="000000"/>
              </w:rPr>
              <w:t>Month that represents the start of the LDS</w:t>
            </w:r>
          </w:p>
        </w:tc>
      </w:tr>
      <w:tr w:rsidR="00F768B0" w:rsidRPr="00884D10" w:rsidTr="00C83E03">
        <w:trPr>
          <w:trHeight w:val="600"/>
          <w:jc w:val="center"/>
        </w:trPr>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F768B0" w:rsidRPr="00884D10" w:rsidRDefault="00F768B0" w:rsidP="00C83E03">
            <w:pPr>
              <w:jc w:val="center"/>
              <w:rPr>
                <w:b/>
                <w:bCs/>
                <w:color w:val="000000"/>
              </w:rPr>
            </w:pPr>
          </w:p>
        </w:tc>
        <w:tc>
          <w:tcPr>
            <w:tcW w:w="1833" w:type="dxa"/>
            <w:tcBorders>
              <w:top w:val="single" w:sz="4" w:space="0" w:color="auto"/>
              <w:left w:val="nil"/>
              <w:bottom w:val="single" w:sz="4" w:space="0" w:color="auto"/>
              <w:right w:val="single" w:sz="4" w:space="0" w:color="auto"/>
            </w:tcBorders>
            <w:shd w:val="clear" w:color="auto" w:fill="auto"/>
            <w:vAlign w:val="center"/>
          </w:tcPr>
          <w:p w:rsidR="00F768B0" w:rsidRPr="00884D10" w:rsidRDefault="00F768B0" w:rsidP="00C83E03">
            <w:pPr>
              <w:jc w:val="center"/>
              <w:rPr>
                <w:b/>
                <w:bCs/>
                <w:color w:val="000000"/>
              </w:rPr>
            </w:pPr>
          </w:p>
        </w:tc>
      </w:tr>
    </w:tbl>
    <w:p w:rsidR="00F768B0" w:rsidRPr="00884D10" w:rsidRDefault="00F768B0" w:rsidP="00F768B0">
      <w:pPr>
        <w:widowControl w:val="0"/>
        <w:ind w:right="238"/>
        <w:rPr>
          <w:iCs/>
        </w:rPr>
      </w:pPr>
    </w:p>
    <w:p w:rsidR="00F768B0" w:rsidRPr="00884D10" w:rsidRDefault="00F768B0" w:rsidP="00F768B0">
      <w:pPr>
        <w:jc w:val="center"/>
        <w:rPr>
          <w:b/>
        </w:rPr>
      </w:pPr>
      <w:r w:rsidRPr="00884D10">
        <w:rPr>
          <w:b/>
        </w:rPr>
        <w:t>Table 11: Area burnt by fire season and vegetation class (ha)</w:t>
      </w:r>
    </w:p>
    <w:p w:rsidR="00F768B0" w:rsidRPr="00884D10" w:rsidRDefault="00F768B0" w:rsidP="00F768B0">
      <w:pPr>
        <w:jc w:val="center"/>
        <w:rPr>
          <w:b/>
        </w:rPr>
      </w:pPr>
    </w:p>
    <w:tbl>
      <w:tblPr>
        <w:tblW w:w="3702" w:type="dxa"/>
        <w:jc w:val="center"/>
        <w:tblLook w:val="04A0" w:firstRow="1" w:lastRow="0" w:firstColumn="1" w:lastColumn="0" w:noHBand="0" w:noVBand="1"/>
      </w:tblPr>
      <w:tblGrid>
        <w:gridCol w:w="1323"/>
        <w:gridCol w:w="1220"/>
        <w:gridCol w:w="1159"/>
      </w:tblGrid>
      <w:tr w:rsidR="00F768B0" w:rsidRPr="00884D10" w:rsidTr="00C83E03">
        <w:trPr>
          <w:trHeight w:val="600"/>
          <w:jc w:val="center"/>
        </w:trPr>
        <w:tc>
          <w:tcPr>
            <w:tcW w:w="1256" w:type="dxa"/>
            <w:vMerge w:val="restart"/>
            <w:tcBorders>
              <w:top w:val="single" w:sz="4" w:space="0" w:color="auto"/>
              <w:left w:val="single" w:sz="4" w:space="0" w:color="auto"/>
              <w:right w:val="single" w:sz="4" w:space="0" w:color="auto"/>
            </w:tcBorders>
            <w:vAlign w:val="center"/>
          </w:tcPr>
          <w:p w:rsidR="00F768B0" w:rsidRPr="00884D10" w:rsidRDefault="00F768B0" w:rsidP="00C83E03">
            <w:pPr>
              <w:jc w:val="center"/>
              <w:rPr>
                <w:b/>
                <w:bCs/>
                <w:color w:val="000000"/>
              </w:rPr>
            </w:pPr>
            <w:r w:rsidRPr="00884D10">
              <w:rPr>
                <w:b/>
                <w:bCs/>
                <w:color w:val="000000"/>
              </w:rPr>
              <w:t>Vegetation class</w:t>
            </w:r>
          </w:p>
        </w:tc>
        <w:tc>
          <w:tcPr>
            <w:tcW w:w="24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768B0" w:rsidRPr="00884D10" w:rsidRDefault="00F768B0" w:rsidP="00C83E03">
            <w:pPr>
              <w:jc w:val="center"/>
              <w:rPr>
                <w:b/>
                <w:bCs/>
                <w:color w:val="000000"/>
              </w:rPr>
            </w:pPr>
            <w:r w:rsidRPr="00884D10">
              <w:rPr>
                <w:b/>
                <w:bCs/>
                <w:color w:val="000000"/>
              </w:rPr>
              <w:t>Fire season</w:t>
            </w:r>
          </w:p>
        </w:tc>
      </w:tr>
      <w:tr w:rsidR="00F768B0" w:rsidRPr="00884D10" w:rsidTr="00C83E03">
        <w:trPr>
          <w:trHeight w:val="300"/>
          <w:jc w:val="center"/>
        </w:trPr>
        <w:tc>
          <w:tcPr>
            <w:tcW w:w="1256" w:type="dxa"/>
            <w:vMerge/>
            <w:tcBorders>
              <w:left w:val="single" w:sz="4" w:space="0" w:color="auto"/>
              <w:bottom w:val="single" w:sz="4" w:space="0" w:color="auto"/>
              <w:right w:val="single" w:sz="4" w:space="0" w:color="auto"/>
            </w:tcBorders>
            <w:vAlign w:val="center"/>
          </w:tcPr>
          <w:p w:rsidR="00F768B0" w:rsidRPr="00884D10" w:rsidRDefault="00F768B0" w:rsidP="00C83E03">
            <w:pPr>
              <w:jc w:val="center"/>
              <w:rPr>
                <w:b/>
                <w:bCs/>
                <w:color w:val="000000"/>
              </w:rPr>
            </w:pPr>
          </w:p>
        </w:tc>
        <w:tc>
          <w:tcPr>
            <w:tcW w:w="1256" w:type="dxa"/>
            <w:tcBorders>
              <w:top w:val="nil"/>
              <w:left w:val="single" w:sz="4" w:space="0" w:color="auto"/>
              <w:bottom w:val="single" w:sz="4" w:space="0" w:color="auto"/>
              <w:right w:val="single" w:sz="4" w:space="0" w:color="auto"/>
            </w:tcBorders>
            <w:shd w:val="clear" w:color="auto" w:fill="auto"/>
            <w:vAlign w:val="center"/>
          </w:tcPr>
          <w:p w:rsidR="00F768B0" w:rsidRPr="00884D10" w:rsidRDefault="00F768B0" w:rsidP="00C83E03">
            <w:pPr>
              <w:jc w:val="center"/>
              <w:rPr>
                <w:b/>
                <w:bCs/>
                <w:color w:val="000000"/>
              </w:rPr>
            </w:pPr>
            <w:r w:rsidRPr="00884D10">
              <w:rPr>
                <w:b/>
                <w:bCs/>
                <w:color w:val="000000"/>
              </w:rPr>
              <w:t>EDS</w:t>
            </w:r>
          </w:p>
        </w:tc>
        <w:tc>
          <w:tcPr>
            <w:tcW w:w="1190" w:type="dxa"/>
            <w:tcBorders>
              <w:top w:val="nil"/>
              <w:left w:val="nil"/>
              <w:bottom w:val="single" w:sz="4" w:space="0" w:color="auto"/>
              <w:right w:val="single" w:sz="4" w:space="0" w:color="auto"/>
            </w:tcBorders>
            <w:shd w:val="clear" w:color="auto" w:fill="auto"/>
            <w:vAlign w:val="center"/>
          </w:tcPr>
          <w:p w:rsidR="00F768B0" w:rsidRPr="00884D10" w:rsidRDefault="00F768B0" w:rsidP="00C83E03">
            <w:pPr>
              <w:jc w:val="center"/>
              <w:rPr>
                <w:b/>
                <w:bCs/>
                <w:color w:val="000000"/>
              </w:rPr>
            </w:pPr>
            <w:r w:rsidRPr="00884D10">
              <w:rPr>
                <w:b/>
                <w:bCs/>
                <w:color w:val="000000"/>
              </w:rPr>
              <w:t>LDS</w:t>
            </w:r>
          </w:p>
        </w:tc>
      </w:tr>
      <w:tr w:rsidR="00F768B0" w:rsidRPr="00884D10" w:rsidTr="00C83E03">
        <w:trPr>
          <w:trHeight w:val="300"/>
          <w:jc w:val="center"/>
        </w:trPr>
        <w:tc>
          <w:tcPr>
            <w:tcW w:w="1256" w:type="dxa"/>
            <w:tcBorders>
              <w:top w:val="nil"/>
              <w:left w:val="single" w:sz="4" w:space="0" w:color="auto"/>
              <w:bottom w:val="single" w:sz="4" w:space="0" w:color="auto"/>
              <w:right w:val="single" w:sz="4" w:space="0" w:color="auto"/>
            </w:tcBorders>
            <w:vAlign w:val="center"/>
          </w:tcPr>
          <w:p w:rsidR="00F768B0" w:rsidRPr="00884D10" w:rsidRDefault="00F768B0" w:rsidP="00C83E03">
            <w:pPr>
              <w:jc w:val="center"/>
              <w:rPr>
                <w:b/>
                <w:bCs/>
                <w:color w:val="000000"/>
              </w:rPr>
            </w:pPr>
            <w:r w:rsidRPr="00884D10">
              <w:rPr>
                <w:b/>
                <w:bCs/>
                <w:color w:val="000000"/>
              </w:rPr>
              <w:t>EOF</w:t>
            </w:r>
          </w:p>
        </w:tc>
        <w:tc>
          <w:tcPr>
            <w:tcW w:w="1256" w:type="dxa"/>
            <w:tcBorders>
              <w:top w:val="nil"/>
              <w:left w:val="single" w:sz="4" w:space="0" w:color="auto"/>
              <w:bottom w:val="single" w:sz="4" w:space="0" w:color="auto"/>
              <w:right w:val="single" w:sz="4" w:space="0" w:color="auto"/>
            </w:tcBorders>
            <w:shd w:val="clear" w:color="auto" w:fill="auto"/>
            <w:vAlign w:val="center"/>
          </w:tcPr>
          <w:p w:rsidR="00F768B0" w:rsidRPr="00884D10" w:rsidRDefault="00F768B0" w:rsidP="00C83E03">
            <w:pPr>
              <w:jc w:val="center"/>
            </w:pPr>
          </w:p>
        </w:tc>
        <w:tc>
          <w:tcPr>
            <w:tcW w:w="1190" w:type="dxa"/>
            <w:tcBorders>
              <w:top w:val="nil"/>
              <w:left w:val="nil"/>
              <w:bottom w:val="single" w:sz="4" w:space="0" w:color="auto"/>
              <w:right w:val="single" w:sz="4" w:space="0" w:color="auto"/>
            </w:tcBorders>
            <w:shd w:val="clear" w:color="auto" w:fill="auto"/>
            <w:vAlign w:val="center"/>
          </w:tcPr>
          <w:p w:rsidR="00F768B0" w:rsidRPr="00884D10" w:rsidRDefault="00F768B0" w:rsidP="00C83E03">
            <w:pPr>
              <w:jc w:val="center"/>
            </w:pPr>
          </w:p>
        </w:tc>
      </w:tr>
      <w:tr w:rsidR="00F768B0" w:rsidRPr="00884D10" w:rsidTr="00C83E03">
        <w:trPr>
          <w:trHeight w:val="300"/>
          <w:jc w:val="center"/>
        </w:trPr>
        <w:tc>
          <w:tcPr>
            <w:tcW w:w="1256" w:type="dxa"/>
            <w:tcBorders>
              <w:top w:val="nil"/>
              <w:left w:val="single" w:sz="4" w:space="0" w:color="auto"/>
              <w:bottom w:val="single" w:sz="4" w:space="0" w:color="auto"/>
              <w:right w:val="single" w:sz="4" w:space="0" w:color="auto"/>
            </w:tcBorders>
            <w:vAlign w:val="center"/>
          </w:tcPr>
          <w:p w:rsidR="00F768B0" w:rsidRPr="00884D10" w:rsidRDefault="00F768B0" w:rsidP="00C83E03">
            <w:pPr>
              <w:jc w:val="center"/>
              <w:rPr>
                <w:b/>
                <w:bCs/>
                <w:color w:val="000000"/>
              </w:rPr>
            </w:pPr>
            <w:r w:rsidRPr="00884D10">
              <w:rPr>
                <w:b/>
                <w:bCs/>
                <w:color w:val="000000"/>
              </w:rPr>
              <w:t>EW</w:t>
            </w:r>
          </w:p>
        </w:tc>
        <w:tc>
          <w:tcPr>
            <w:tcW w:w="1256" w:type="dxa"/>
            <w:tcBorders>
              <w:top w:val="nil"/>
              <w:left w:val="single" w:sz="4" w:space="0" w:color="auto"/>
              <w:bottom w:val="single" w:sz="4" w:space="0" w:color="auto"/>
              <w:right w:val="single" w:sz="4" w:space="0" w:color="auto"/>
            </w:tcBorders>
            <w:shd w:val="clear" w:color="auto" w:fill="auto"/>
            <w:vAlign w:val="center"/>
          </w:tcPr>
          <w:p w:rsidR="00F768B0" w:rsidRPr="00884D10" w:rsidRDefault="00F768B0" w:rsidP="00C83E03">
            <w:pPr>
              <w:jc w:val="center"/>
            </w:pPr>
          </w:p>
        </w:tc>
        <w:tc>
          <w:tcPr>
            <w:tcW w:w="1190" w:type="dxa"/>
            <w:tcBorders>
              <w:top w:val="nil"/>
              <w:left w:val="nil"/>
              <w:bottom w:val="single" w:sz="4" w:space="0" w:color="auto"/>
              <w:right w:val="single" w:sz="4" w:space="0" w:color="auto"/>
            </w:tcBorders>
            <w:shd w:val="clear" w:color="auto" w:fill="auto"/>
            <w:vAlign w:val="center"/>
          </w:tcPr>
          <w:p w:rsidR="00F768B0" w:rsidRPr="00884D10" w:rsidRDefault="00F768B0" w:rsidP="00C83E03">
            <w:pPr>
              <w:jc w:val="center"/>
            </w:pPr>
          </w:p>
        </w:tc>
      </w:tr>
      <w:tr w:rsidR="00F768B0" w:rsidRPr="00884D10" w:rsidTr="00C83E03">
        <w:trPr>
          <w:trHeight w:val="300"/>
          <w:jc w:val="center"/>
        </w:trPr>
        <w:tc>
          <w:tcPr>
            <w:tcW w:w="1256" w:type="dxa"/>
            <w:tcBorders>
              <w:top w:val="nil"/>
              <w:left w:val="single" w:sz="4" w:space="0" w:color="auto"/>
              <w:bottom w:val="single" w:sz="4" w:space="0" w:color="auto"/>
              <w:right w:val="single" w:sz="4" w:space="0" w:color="auto"/>
            </w:tcBorders>
            <w:vAlign w:val="center"/>
          </w:tcPr>
          <w:p w:rsidR="00F768B0" w:rsidRPr="00884D10" w:rsidRDefault="00F768B0" w:rsidP="00C83E03">
            <w:pPr>
              <w:jc w:val="center"/>
              <w:rPr>
                <w:b/>
                <w:bCs/>
                <w:color w:val="000000"/>
              </w:rPr>
            </w:pPr>
            <w:r w:rsidRPr="00884D10">
              <w:rPr>
                <w:b/>
                <w:bCs/>
                <w:color w:val="000000"/>
              </w:rPr>
              <w:t>SW</w:t>
            </w:r>
          </w:p>
        </w:tc>
        <w:tc>
          <w:tcPr>
            <w:tcW w:w="1256" w:type="dxa"/>
            <w:tcBorders>
              <w:top w:val="nil"/>
              <w:left w:val="single" w:sz="4" w:space="0" w:color="auto"/>
              <w:bottom w:val="single" w:sz="4" w:space="0" w:color="auto"/>
              <w:right w:val="single" w:sz="4" w:space="0" w:color="auto"/>
            </w:tcBorders>
            <w:shd w:val="clear" w:color="auto" w:fill="auto"/>
            <w:vAlign w:val="center"/>
          </w:tcPr>
          <w:p w:rsidR="00F768B0" w:rsidRPr="00884D10" w:rsidRDefault="00F768B0" w:rsidP="00C83E03">
            <w:pPr>
              <w:jc w:val="center"/>
            </w:pPr>
          </w:p>
        </w:tc>
        <w:tc>
          <w:tcPr>
            <w:tcW w:w="1190" w:type="dxa"/>
            <w:tcBorders>
              <w:top w:val="nil"/>
              <w:left w:val="nil"/>
              <w:bottom w:val="single" w:sz="4" w:space="0" w:color="auto"/>
              <w:right w:val="single" w:sz="4" w:space="0" w:color="auto"/>
            </w:tcBorders>
            <w:shd w:val="clear" w:color="auto" w:fill="auto"/>
            <w:vAlign w:val="center"/>
          </w:tcPr>
          <w:p w:rsidR="00F768B0" w:rsidRPr="00884D10" w:rsidRDefault="00F768B0" w:rsidP="00C83E03">
            <w:pPr>
              <w:jc w:val="center"/>
            </w:pPr>
          </w:p>
        </w:tc>
      </w:tr>
      <w:tr w:rsidR="00F768B0" w:rsidRPr="00884D10" w:rsidTr="00C83E03">
        <w:trPr>
          <w:trHeight w:val="300"/>
          <w:jc w:val="center"/>
        </w:trPr>
        <w:tc>
          <w:tcPr>
            <w:tcW w:w="1256" w:type="dxa"/>
            <w:tcBorders>
              <w:top w:val="nil"/>
              <w:left w:val="single" w:sz="4" w:space="0" w:color="auto"/>
              <w:bottom w:val="single" w:sz="4" w:space="0" w:color="auto"/>
              <w:right w:val="single" w:sz="4" w:space="0" w:color="auto"/>
            </w:tcBorders>
            <w:vAlign w:val="center"/>
          </w:tcPr>
          <w:p w:rsidR="00F768B0" w:rsidRPr="00884D10" w:rsidRDefault="00F768B0" w:rsidP="00C83E03">
            <w:pPr>
              <w:jc w:val="center"/>
              <w:rPr>
                <w:b/>
                <w:bCs/>
                <w:color w:val="000000"/>
              </w:rPr>
            </w:pPr>
            <w:r w:rsidRPr="00884D10">
              <w:rPr>
                <w:b/>
                <w:bCs/>
                <w:color w:val="000000"/>
              </w:rPr>
              <w:t>SH</w:t>
            </w:r>
          </w:p>
        </w:tc>
        <w:tc>
          <w:tcPr>
            <w:tcW w:w="1256" w:type="dxa"/>
            <w:tcBorders>
              <w:top w:val="nil"/>
              <w:left w:val="single" w:sz="4" w:space="0" w:color="auto"/>
              <w:bottom w:val="single" w:sz="4" w:space="0" w:color="auto"/>
              <w:right w:val="single" w:sz="4" w:space="0" w:color="auto"/>
            </w:tcBorders>
            <w:shd w:val="clear" w:color="auto" w:fill="auto"/>
            <w:vAlign w:val="center"/>
          </w:tcPr>
          <w:p w:rsidR="00F768B0" w:rsidRPr="00884D10" w:rsidRDefault="00F768B0" w:rsidP="00C83E03">
            <w:pPr>
              <w:jc w:val="center"/>
            </w:pPr>
          </w:p>
        </w:tc>
        <w:tc>
          <w:tcPr>
            <w:tcW w:w="1190" w:type="dxa"/>
            <w:tcBorders>
              <w:top w:val="nil"/>
              <w:left w:val="nil"/>
              <w:bottom w:val="single" w:sz="4" w:space="0" w:color="auto"/>
              <w:right w:val="single" w:sz="4" w:space="0" w:color="auto"/>
            </w:tcBorders>
            <w:shd w:val="clear" w:color="auto" w:fill="auto"/>
            <w:vAlign w:val="center"/>
          </w:tcPr>
          <w:p w:rsidR="00F768B0" w:rsidRPr="00884D10" w:rsidRDefault="00F768B0" w:rsidP="00C83E03">
            <w:pPr>
              <w:jc w:val="center"/>
            </w:pPr>
          </w:p>
        </w:tc>
      </w:tr>
    </w:tbl>
    <w:p w:rsidR="00F768B0" w:rsidRPr="00884D10" w:rsidRDefault="00F768B0" w:rsidP="00F768B0">
      <w:pPr>
        <w:widowControl w:val="0"/>
        <w:ind w:right="238"/>
        <w:rPr>
          <w:iCs/>
        </w:rPr>
      </w:pPr>
    </w:p>
    <w:p w:rsidR="00F768B0" w:rsidRPr="00884D10" w:rsidRDefault="00F768B0" w:rsidP="00F768B0">
      <w:pPr>
        <w:jc w:val="center"/>
        <w:rPr>
          <w:b/>
        </w:rPr>
      </w:pPr>
      <w:r w:rsidRPr="00884D10">
        <w:rPr>
          <w:b/>
        </w:rPr>
        <w:t>Table 22: Emissions by gas by vegetation class by fire season (tonnes)</w:t>
      </w:r>
    </w:p>
    <w:p w:rsidR="00F768B0" w:rsidRPr="00884D10" w:rsidRDefault="00F768B0" w:rsidP="00F768B0">
      <w:pPr>
        <w:jc w:val="center"/>
        <w:rPr>
          <w:b/>
        </w:rPr>
      </w:pPr>
    </w:p>
    <w:tbl>
      <w:tblPr>
        <w:tblW w:w="6082" w:type="dxa"/>
        <w:jc w:val="center"/>
        <w:tblLook w:val="04A0" w:firstRow="1" w:lastRow="0" w:firstColumn="1" w:lastColumn="0" w:noHBand="0" w:noVBand="1"/>
      </w:tblPr>
      <w:tblGrid>
        <w:gridCol w:w="1323"/>
        <w:gridCol w:w="1237"/>
        <w:gridCol w:w="1173"/>
        <w:gridCol w:w="1176"/>
        <w:gridCol w:w="1165"/>
        <w:gridCol w:w="8"/>
      </w:tblGrid>
      <w:tr w:rsidR="00F768B0" w:rsidRPr="00884D10" w:rsidTr="00C83E03">
        <w:trPr>
          <w:gridAfter w:val="1"/>
          <w:wAfter w:w="8" w:type="dxa"/>
          <w:trHeight w:val="600"/>
          <w:jc w:val="center"/>
        </w:trPr>
        <w:tc>
          <w:tcPr>
            <w:tcW w:w="1323" w:type="dxa"/>
            <w:vMerge w:val="restart"/>
            <w:tcBorders>
              <w:top w:val="single" w:sz="4" w:space="0" w:color="auto"/>
              <w:left w:val="single" w:sz="4" w:space="0" w:color="auto"/>
              <w:right w:val="single" w:sz="4" w:space="0" w:color="auto"/>
            </w:tcBorders>
            <w:vAlign w:val="center"/>
          </w:tcPr>
          <w:p w:rsidR="00F768B0" w:rsidRPr="00884D10" w:rsidRDefault="00F768B0" w:rsidP="00C83E03">
            <w:pPr>
              <w:jc w:val="center"/>
              <w:rPr>
                <w:b/>
                <w:bCs/>
                <w:color w:val="000000"/>
              </w:rPr>
            </w:pPr>
            <w:r w:rsidRPr="00884D10">
              <w:rPr>
                <w:b/>
                <w:bCs/>
                <w:color w:val="000000"/>
              </w:rPr>
              <w:t>Vegetation class</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768B0" w:rsidRPr="00884D10" w:rsidRDefault="00F768B0" w:rsidP="00C83E03">
            <w:pPr>
              <w:jc w:val="center"/>
              <w:rPr>
                <w:b/>
                <w:bCs/>
                <w:color w:val="000000"/>
              </w:rPr>
            </w:pPr>
            <w:r w:rsidRPr="00884D10">
              <w:rPr>
                <w:b/>
                <w:bCs/>
                <w:color w:val="000000"/>
              </w:rPr>
              <w:t>Gas (CH</w:t>
            </w:r>
            <w:r w:rsidRPr="00884D10">
              <w:rPr>
                <w:b/>
                <w:bCs/>
                <w:color w:val="000000"/>
                <w:vertAlign w:val="subscript"/>
              </w:rPr>
              <w:t>4</w:t>
            </w:r>
            <w:r w:rsidRPr="00884D10">
              <w:rPr>
                <w:b/>
                <w:bCs/>
                <w:color w:val="000000"/>
              </w:rPr>
              <w:t>)</w:t>
            </w:r>
          </w:p>
        </w:tc>
        <w:tc>
          <w:tcPr>
            <w:tcW w:w="2341" w:type="dxa"/>
            <w:gridSpan w:val="2"/>
            <w:tcBorders>
              <w:top w:val="single" w:sz="4" w:space="0" w:color="auto"/>
              <w:left w:val="single" w:sz="4" w:space="0" w:color="auto"/>
              <w:bottom w:val="single" w:sz="4" w:space="0" w:color="auto"/>
              <w:right w:val="single" w:sz="4" w:space="0" w:color="auto"/>
            </w:tcBorders>
            <w:vAlign w:val="center"/>
          </w:tcPr>
          <w:p w:rsidR="00F768B0" w:rsidRPr="00884D10" w:rsidRDefault="00F768B0" w:rsidP="00C83E03">
            <w:pPr>
              <w:jc w:val="center"/>
              <w:rPr>
                <w:b/>
                <w:bCs/>
                <w:color w:val="000000"/>
              </w:rPr>
            </w:pPr>
            <w:r w:rsidRPr="00884D10">
              <w:rPr>
                <w:b/>
                <w:bCs/>
                <w:color w:val="000000"/>
              </w:rPr>
              <w:t>Gas (N</w:t>
            </w:r>
            <w:r w:rsidRPr="00884D10">
              <w:rPr>
                <w:b/>
                <w:bCs/>
                <w:color w:val="000000"/>
                <w:vertAlign w:val="subscript"/>
              </w:rPr>
              <w:t>2</w:t>
            </w:r>
            <w:r w:rsidRPr="00884D10">
              <w:rPr>
                <w:b/>
                <w:bCs/>
                <w:color w:val="000000"/>
              </w:rPr>
              <w:t>O)</w:t>
            </w:r>
          </w:p>
        </w:tc>
      </w:tr>
      <w:tr w:rsidR="00F768B0" w:rsidRPr="00884D10" w:rsidTr="00C83E03">
        <w:trPr>
          <w:trHeight w:val="300"/>
          <w:jc w:val="center"/>
        </w:trPr>
        <w:tc>
          <w:tcPr>
            <w:tcW w:w="1323" w:type="dxa"/>
            <w:vMerge/>
            <w:tcBorders>
              <w:left w:val="single" w:sz="4" w:space="0" w:color="auto"/>
              <w:bottom w:val="single" w:sz="4" w:space="0" w:color="auto"/>
              <w:right w:val="single" w:sz="4" w:space="0" w:color="auto"/>
            </w:tcBorders>
            <w:vAlign w:val="center"/>
          </w:tcPr>
          <w:p w:rsidR="00F768B0" w:rsidRPr="00884D10" w:rsidRDefault="00F768B0" w:rsidP="00C83E03">
            <w:pPr>
              <w:jc w:val="center"/>
              <w:rPr>
                <w:b/>
                <w:bCs/>
                <w:color w:val="000000"/>
              </w:rPr>
            </w:pPr>
          </w:p>
        </w:tc>
        <w:tc>
          <w:tcPr>
            <w:tcW w:w="1237" w:type="dxa"/>
            <w:tcBorders>
              <w:top w:val="nil"/>
              <w:left w:val="single" w:sz="4" w:space="0" w:color="auto"/>
              <w:bottom w:val="single" w:sz="4" w:space="0" w:color="auto"/>
              <w:right w:val="single" w:sz="4" w:space="0" w:color="auto"/>
            </w:tcBorders>
            <w:shd w:val="clear" w:color="auto" w:fill="auto"/>
            <w:vAlign w:val="center"/>
          </w:tcPr>
          <w:p w:rsidR="00F768B0" w:rsidRPr="00884D10" w:rsidRDefault="00F768B0" w:rsidP="00C83E03">
            <w:pPr>
              <w:jc w:val="center"/>
              <w:rPr>
                <w:b/>
                <w:bCs/>
                <w:color w:val="000000"/>
              </w:rPr>
            </w:pPr>
            <w:r w:rsidRPr="00884D10">
              <w:rPr>
                <w:b/>
                <w:bCs/>
                <w:color w:val="000000"/>
              </w:rPr>
              <w:t>EDS</w:t>
            </w:r>
          </w:p>
        </w:tc>
        <w:tc>
          <w:tcPr>
            <w:tcW w:w="1173" w:type="dxa"/>
            <w:tcBorders>
              <w:top w:val="single" w:sz="4" w:space="0" w:color="auto"/>
              <w:left w:val="nil"/>
              <w:bottom w:val="single" w:sz="4" w:space="0" w:color="auto"/>
              <w:right w:val="single" w:sz="4" w:space="0" w:color="auto"/>
            </w:tcBorders>
            <w:vAlign w:val="center"/>
          </w:tcPr>
          <w:p w:rsidR="00F768B0" w:rsidRPr="00884D10" w:rsidRDefault="00F768B0" w:rsidP="00C83E03">
            <w:pPr>
              <w:jc w:val="center"/>
              <w:rPr>
                <w:b/>
                <w:bCs/>
                <w:color w:val="000000"/>
              </w:rPr>
            </w:pPr>
            <w:r w:rsidRPr="00884D10">
              <w:rPr>
                <w:b/>
                <w:bCs/>
                <w:color w:val="000000"/>
              </w:rPr>
              <w:t>LDS</w:t>
            </w:r>
          </w:p>
        </w:tc>
        <w:tc>
          <w:tcPr>
            <w:tcW w:w="1176" w:type="dxa"/>
            <w:tcBorders>
              <w:top w:val="single" w:sz="4" w:space="0" w:color="auto"/>
              <w:left w:val="single" w:sz="4" w:space="0" w:color="auto"/>
              <w:bottom w:val="single" w:sz="4" w:space="0" w:color="auto"/>
              <w:right w:val="single" w:sz="4" w:space="0" w:color="auto"/>
            </w:tcBorders>
            <w:vAlign w:val="center"/>
          </w:tcPr>
          <w:p w:rsidR="00F768B0" w:rsidRPr="00884D10" w:rsidRDefault="00F768B0" w:rsidP="00C83E03">
            <w:pPr>
              <w:jc w:val="center"/>
              <w:rPr>
                <w:b/>
                <w:bCs/>
                <w:color w:val="000000"/>
              </w:rPr>
            </w:pPr>
            <w:r w:rsidRPr="00884D10">
              <w:rPr>
                <w:b/>
                <w:bCs/>
                <w:color w:val="000000"/>
              </w:rPr>
              <w:t>EDS</w:t>
            </w:r>
          </w:p>
        </w:tc>
        <w:tc>
          <w:tcPr>
            <w:tcW w:w="1173" w:type="dxa"/>
            <w:gridSpan w:val="2"/>
            <w:tcBorders>
              <w:top w:val="nil"/>
              <w:left w:val="nil"/>
              <w:bottom w:val="single" w:sz="4" w:space="0" w:color="auto"/>
              <w:right w:val="single" w:sz="4" w:space="0" w:color="auto"/>
            </w:tcBorders>
            <w:shd w:val="clear" w:color="auto" w:fill="auto"/>
            <w:vAlign w:val="bottom"/>
          </w:tcPr>
          <w:p w:rsidR="00F768B0" w:rsidRPr="00884D10" w:rsidRDefault="00F768B0" w:rsidP="00C83E03">
            <w:pPr>
              <w:rPr>
                <w:b/>
                <w:bCs/>
                <w:color w:val="000000"/>
              </w:rPr>
            </w:pPr>
            <w:r w:rsidRPr="00884D10">
              <w:rPr>
                <w:b/>
                <w:bCs/>
                <w:color w:val="000000"/>
              </w:rPr>
              <w:t>LDS</w:t>
            </w:r>
          </w:p>
        </w:tc>
      </w:tr>
      <w:tr w:rsidR="00F768B0" w:rsidRPr="00884D10" w:rsidTr="00C83E03">
        <w:trPr>
          <w:trHeight w:val="300"/>
          <w:jc w:val="center"/>
        </w:trPr>
        <w:tc>
          <w:tcPr>
            <w:tcW w:w="1323" w:type="dxa"/>
            <w:tcBorders>
              <w:top w:val="nil"/>
              <w:left w:val="single" w:sz="4" w:space="0" w:color="auto"/>
              <w:bottom w:val="single" w:sz="4" w:space="0" w:color="auto"/>
              <w:right w:val="single" w:sz="4" w:space="0" w:color="auto"/>
            </w:tcBorders>
            <w:vAlign w:val="center"/>
          </w:tcPr>
          <w:p w:rsidR="00F768B0" w:rsidRPr="00884D10" w:rsidRDefault="00F768B0" w:rsidP="00C83E03">
            <w:pPr>
              <w:jc w:val="center"/>
              <w:rPr>
                <w:b/>
                <w:bCs/>
                <w:color w:val="000000"/>
              </w:rPr>
            </w:pPr>
            <w:r w:rsidRPr="00884D10">
              <w:rPr>
                <w:b/>
                <w:bCs/>
                <w:color w:val="000000"/>
              </w:rPr>
              <w:t>EOF</w:t>
            </w:r>
          </w:p>
        </w:tc>
        <w:tc>
          <w:tcPr>
            <w:tcW w:w="1237" w:type="dxa"/>
            <w:tcBorders>
              <w:top w:val="nil"/>
              <w:left w:val="single" w:sz="4" w:space="0" w:color="auto"/>
              <w:bottom w:val="single" w:sz="4" w:space="0" w:color="auto"/>
              <w:right w:val="single" w:sz="4" w:space="0" w:color="auto"/>
            </w:tcBorders>
            <w:shd w:val="clear" w:color="auto" w:fill="auto"/>
            <w:vAlign w:val="center"/>
          </w:tcPr>
          <w:p w:rsidR="00F768B0" w:rsidRPr="00884D10" w:rsidRDefault="00F768B0" w:rsidP="00C83E03">
            <w:pPr>
              <w:jc w:val="center"/>
            </w:pPr>
          </w:p>
        </w:tc>
        <w:tc>
          <w:tcPr>
            <w:tcW w:w="1173" w:type="dxa"/>
            <w:tcBorders>
              <w:top w:val="single" w:sz="4" w:space="0" w:color="auto"/>
              <w:left w:val="nil"/>
              <w:bottom w:val="single" w:sz="4" w:space="0" w:color="auto"/>
              <w:right w:val="single" w:sz="4" w:space="0" w:color="auto"/>
            </w:tcBorders>
            <w:vAlign w:val="center"/>
          </w:tcPr>
          <w:p w:rsidR="00F768B0" w:rsidRPr="00884D10" w:rsidRDefault="00F768B0" w:rsidP="00C83E03">
            <w:pPr>
              <w:jc w:val="center"/>
            </w:pPr>
          </w:p>
        </w:tc>
        <w:tc>
          <w:tcPr>
            <w:tcW w:w="1176" w:type="dxa"/>
            <w:tcBorders>
              <w:top w:val="single" w:sz="4" w:space="0" w:color="auto"/>
              <w:left w:val="single" w:sz="4" w:space="0" w:color="auto"/>
              <w:bottom w:val="single" w:sz="4" w:space="0" w:color="auto"/>
              <w:right w:val="single" w:sz="4" w:space="0" w:color="auto"/>
            </w:tcBorders>
            <w:vAlign w:val="center"/>
          </w:tcPr>
          <w:p w:rsidR="00F768B0" w:rsidRPr="00884D10" w:rsidRDefault="00F768B0" w:rsidP="00C83E03">
            <w:pPr>
              <w:jc w:val="center"/>
            </w:pPr>
          </w:p>
        </w:tc>
        <w:tc>
          <w:tcPr>
            <w:tcW w:w="1173" w:type="dxa"/>
            <w:gridSpan w:val="2"/>
            <w:tcBorders>
              <w:top w:val="nil"/>
              <w:left w:val="nil"/>
              <w:bottom w:val="single" w:sz="4" w:space="0" w:color="auto"/>
              <w:right w:val="single" w:sz="4" w:space="0" w:color="auto"/>
            </w:tcBorders>
            <w:shd w:val="clear" w:color="auto" w:fill="auto"/>
          </w:tcPr>
          <w:p w:rsidR="00F768B0" w:rsidRPr="00884D10" w:rsidRDefault="00F768B0" w:rsidP="00C83E03"/>
        </w:tc>
      </w:tr>
      <w:tr w:rsidR="00F768B0" w:rsidRPr="00884D10" w:rsidTr="00C83E03">
        <w:trPr>
          <w:trHeight w:val="300"/>
          <w:jc w:val="center"/>
        </w:trPr>
        <w:tc>
          <w:tcPr>
            <w:tcW w:w="1323" w:type="dxa"/>
            <w:tcBorders>
              <w:top w:val="nil"/>
              <w:left w:val="single" w:sz="4" w:space="0" w:color="auto"/>
              <w:bottom w:val="single" w:sz="4" w:space="0" w:color="auto"/>
              <w:right w:val="single" w:sz="4" w:space="0" w:color="auto"/>
            </w:tcBorders>
            <w:vAlign w:val="center"/>
          </w:tcPr>
          <w:p w:rsidR="00F768B0" w:rsidRPr="00884D10" w:rsidRDefault="00F768B0" w:rsidP="00C83E03">
            <w:pPr>
              <w:jc w:val="center"/>
              <w:rPr>
                <w:b/>
                <w:bCs/>
                <w:color w:val="000000"/>
              </w:rPr>
            </w:pPr>
            <w:r w:rsidRPr="00884D10">
              <w:rPr>
                <w:b/>
                <w:bCs/>
                <w:color w:val="000000"/>
              </w:rPr>
              <w:t>EW</w:t>
            </w:r>
          </w:p>
        </w:tc>
        <w:tc>
          <w:tcPr>
            <w:tcW w:w="1237" w:type="dxa"/>
            <w:tcBorders>
              <w:top w:val="nil"/>
              <w:left w:val="single" w:sz="4" w:space="0" w:color="auto"/>
              <w:bottom w:val="single" w:sz="4" w:space="0" w:color="auto"/>
              <w:right w:val="single" w:sz="4" w:space="0" w:color="auto"/>
            </w:tcBorders>
            <w:shd w:val="clear" w:color="auto" w:fill="auto"/>
            <w:vAlign w:val="center"/>
          </w:tcPr>
          <w:p w:rsidR="00F768B0" w:rsidRPr="00884D10" w:rsidRDefault="00F768B0" w:rsidP="00C83E03">
            <w:pPr>
              <w:jc w:val="center"/>
            </w:pPr>
          </w:p>
        </w:tc>
        <w:tc>
          <w:tcPr>
            <w:tcW w:w="1173" w:type="dxa"/>
            <w:tcBorders>
              <w:top w:val="single" w:sz="4" w:space="0" w:color="auto"/>
              <w:left w:val="nil"/>
              <w:bottom w:val="single" w:sz="4" w:space="0" w:color="auto"/>
              <w:right w:val="single" w:sz="4" w:space="0" w:color="auto"/>
            </w:tcBorders>
            <w:vAlign w:val="center"/>
          </w:tcPr>
          <w:p w:rsidR="00F768B0" w:rsidRPr="00884D10" w:rsidRDefault="00F768B0" w:rsidP="00C83E03">
            <w:pPr>
              <w:jc w:val="center"/>
            </w:pPr>
          </w:p>
        </w:tc>
        <w:tc>
          <w:tcPr>
            <w:tcW w:w="1176" w:type="dxa"/>
            <w:tcBorders>
              <w:top w:val="single" w:sz="4" w:space="0" w:color="auto"/>
              <w:left w:val="single" w:sz="4" w:space="0" w:color="auto"/>
              <w:bottom w:val="single" w:sz="4" w:space="0" w:color="auto"/>
              <w:right w:val="single" w:sz="4" w:space="0" w:color="auto"/>
            </w:tcBorders>
            <w:vAlign w:val="center"/>
          </w:tcPr>
          <w:p w:rsidR="00F768B0" w:rsidRPr="00884D10" w:rsidRDefault="00F768B0" w:rsidP="00C83E03">
            <w:pPr>
              <w:jc w:val="center"/>
            </w:pPr>
          </w:p>
        </w:tc>
        <w:tc>
          <w:tcPr>
            <w:tcW w:w="1173" w:type="dxa"/>
            <w:gridSpan w:val="2"/>
            <w:tcBorders>
              <w:top w:val="nil"/>
              <w:left w:val="nil"/>
              <w:bottom w:val="single" w:sz="4" w:space="0" w:color="auto"/>
              <w:right w:val="single" w:sz="4" w:space="0" w:color="auto"/>
            </w:tcBorders>
            <w:shd w:val="clear" w:color="auto" w:fill="auto"/>
          </w:tcPr>
          <w:p w:rsidR="00F768B0" w:rsidRPr="00884D10" w:rsidRDefault="00F768B0" w:rsidP="00C83E03"/>
        </w:tc>
      </w:tr>
      <w:tr w:rsidR="00F768B0" w:rsidRPr="00884D10" w:rsidTr="00C83E03">
        <w:trPr>
          <w:trHeight w:val="300"/>
          <w:jc w:val="center"/>
        </w:trPr>
        <w:tc>
          <w:tcPr>
            <w:tcW w:w="1323" w:type="dxa"/>
            <w:tcBorders>
              <w:top w:val="nil"/>
              <w:left w:val="single" w:sz="4" w:space="0" w:color="auto"/>
              <w:bottom w:val="single" w:sz="4" w:space="0" w:color="auto"/>
              <w:right w:val="single" w:sz="4" w:space="0" w:color="auto"/>
            </w:tcBorders>
            <w:vAlign w:val="center"/>
          </w:tcPr>
          <w:p w:rsidR="00F768B0" w:rsidRPr="00884D10" w:rsidRDefault="00F768B0" w:rsidP="00C83E03">
            <w:pPr>
              <w:jc w:val="center"/>
              <w:rPr>
                <w:b/>
                <w:bCs/>
                <w:color w:val="000000"/>
              </w:rPr>
            </w:pPr>
            <w:r w:rsidRPr="00884D10">
              <w:rPr>
                <w:b/>
                <w:bCs/>
                <w:color w:val="000000"/>
              </w:rPr>
              <w:t>SW</w:t>
            </w:r>
          </w:p>
        </w:tc>
        <w:tc>
          <w:tcPr>
            <w:tcW w:w="1237" w:type="dxa"/>
            <w:tcBorders>
              <w:top w:val="nil"/>
              <w:left w:val="single" w:sz="4" w:space="0" w:color="auto"/>
              <w:bottom w:val="single" w:sz="4" w:space="0" w:color="auto"/>
              <w:right w:val="single" w:sz="4" w:space="0" w:color="auto"/>
            </w:tcBorders>
            <w:shd w:val="clear" w:color="auto" w:fill="auto"/>
            <w:vAlign w:val="center"/>
          </w:tcPr>
          <w:p w:rsidR="00F768B0" w:rsidRPr="00884D10" w:rsidRDefault="00F768B0" w:rsidP="00C83E03">
            <w:pPr>
              <w:jc w:val="center"/>
            </w:pPr>
          </w:p>
        </w:tc>
        <w:tc>
          <w:tcPr>
            <w:tcW w:w="1173" w:type="dxa"/>
            <w:tcBorders>
              <w:top w:val="single" w:sz="4" w:space="0" w:color="auto"/>
              <w:left w:val="nil"/>
              <w:bottom w:val="single" w:sz="4" w:space="0" w:color="auto"/>
              <w:right w:val="single" w:sz="4" w:space="0" w:color="auto"/>
            </w:tcBorders>
            <w:vAlign w:val="center"/>
          </w:tcPr>
          <w:p w:rsidR="00F768B0" w:rsidRPr="00884D10" w:rsidRDefault="00F768B0" w:rsidP="00C83E03">
            <w:pPr>
              <w:jc w:val="center"/>
            </w:pPr>
          </w:p>
        </w:tc>
        <w:tc>
          <w:tcPr>
            <w:tcW w:w="1176" w:type="dxa"/>
            <w:tcBorders>
              <w:top w:val="single" w:sz="4" w:space="0" w:color="auto"/>
              <w:left w:val="single" w:sz="4" w:space="0" w:color="auto"/>
              <w:bottom w:val="single" w:sz="4" w:space="0" w:color="auto"/>
              <w:right w:val="single" w:sz="4" w:space="0" w:color="auto"/>
            </w:tcBorders>
            <w:vAlign w:val="center"/>
          </w:tcPr>
          <w:p w:rsidR="00F768B0" w:rsidRPr="00884D10" w:rsidRDefault="00F768B0" w:rsidP="00C83E03">
            <w:pPr>
              <w:jc w:val="center"/>
            </w:pPr>
          </w:p>
        </w:tc>
        <w:tc>
          <w:tcPr>
            <w:tcW w:w="1173" w:type="dxa"/>
            <w:gridSpan w:val="2"/>
            <w:tcBorders>
              <w:top w:val="nil"/>
              <w:left w:val="nil"/>
              <w:bottom w:val="single" w:sz="4" w:space="0" w:color="auto"/>
              <w:right w:val="single" w:sz="4" w:space="0" w:color="auto"/>
            </w:tcBorders>
            <w:shd w:val="clear" w:color="auto" w:fill="auto"/>
          </w:tcPr>
          <w:p w:rsidR="00F768B0" w:rsidRPr="00884D10" w:rsidRDefault="00F768B0" w:rsidP="00C83E03"/>
        </w:tc>
      </w:tr>
      <w:tr w:rsidR="00F768B0" w:rsidRPr="00884D10" w:rsidTr="00C83E03">
        <w:trPr>
          <w:trHeight w:val="300"/>
          <w:jc w:val="center"/>
        </w:trPr>
        <w:tc>
          <w:tcPr>
            <w:tcW w:w="1323" w:type="dxa"/>
            <w:tcBorders>
              <w:top w:val="nil"/>
              <w:left w:val="single" w:sz="4" w:space="0" w:color="auto"/>
              <w:bottom w:val="single" w:sz="4" w:space="0" w:color="auto"/>
              <w:right w:val="single" w:sz="4" w:space="0" w:color="auto"/>
            </w:tcBorders>
            <w:vAlign w:val="center"/>
          </w:tcPr>
          <w:p w:rsidR="00F768B0" w:rsidRPr="00884D10" w:rsidRDefault="00F768B0" w:rsidP="00C83E03">
            <w:pPr>
              <w:jc w:val="center"/>
              <w:rPr>
                <w:b/>
                <w:bCs/>
                <w:color w:val="000000"/>
              </w:rPr>
            </w:pPr>
            <w:r w:rsidRPr="00884D10">
              <w:rPr>
                <w:b/>
                <w:bCs/>
                <w:color w:val="000000"/>
              </w:rPr>
              <w:t>SH</w:t>
            </w:r>
          </w:p>
        </w:tc>
        <w:tc>
          <w:tcPr>
            <w:tcW w:w="1237" w:type="dxa"/>
            <w:tcBorders>
              <w:top w:val="nil"/>
              <w:left w:val="single" w:sz="4" w:space="0" w:color="auto"/>
              <w:bottom w:val="single" w:sz="4" w:space="0" w:color="auto"/>
              <w:right w:val="single" w:sz="4" w:space="0" w:color="auto"/>
            </w:tcBorders>
            <w:shd w:val="clear" w:color="auto" w:fill="auto"/>
            <w:vAlign w:val="center"/>
          </w:tcPr>
          <w:p w:rsidR="00F768B0" w:rsidRPr="00884D10" w:rsidRDefault="00F768B0" w:rsidP="00C83E03">
            <w:pPr>
              <w:jc w:val="center"/>
            </w:pPr>
          </w:p>
        </w:tc>
        <w:tc>
          <w:tcPr>
            <w:tcW w:w="1173" w:type="dxa"/>
            <w:tcBorders>
              <w:top w:val="single" w:sz="4" w:space="0" w:color="auto"/>
              <w:left w:val="nil"/>
              <w:bottom w:val="single" w:sz="4" w:space="0" w:color="auto"/>
              <w:right w:val="single" w:sz="4" w:space="0" w:color="auto"/>
            </w:tcBorders>
            <w:vAlign w:val="center"/>
          </w:tcPr>
          <w:p w:rsidR="00F768B0" w:rsidRPr="00884D10" w:rsidRDefault="00F768B0" w:rsidP="00C83E03">
            <w:pPr>
              <w:jc w:val="center"/>
            </w:pPr>
          </w:p>
        </w:tc>
        <w:tc>
          <w:tcPr>
            <w:tcW w:w="1176" w:type="dxa"/>
            <w:tcBorders>
              <w:top w:val="single" w:sz="4" w:space="0" w:color="auto"/>
              <w:left w:val="single" w:sz="4" w:space="0" w:color="auto"/>
              <w:bottom w:val="single" w:sz="4" w:space="0" w:color="auto"/>
              <w:right w:val="single" w:sz="4" w:space="0" w:color="auto"/>
            </w:tcBorders>
            <w:vAlign w:val="center"/>
          </w:tcPr>
          <w:p w:rsidR="00F768B0" w:rsidRPr="00884D10" w:rsidRDefault="00F768B0" w:rsidP="00C83E03">
            <w:pPr>
              <w:jc w:val="center"/>
            </w:pPr>
          </w:p>
        </w:tc>
        <w:tc>
          <w:tcPr>
            <w:tcW w:w="1173" w:type="dxa"/>
            <w:gridSpan w:val="2"/>
            <w:tcBorders>
              <w:top w:val="nil"/>
              <w:left w:val="nil"/>
              <w:bottom w:val="single" w:sz="4" w:space="0" w:color="auto"/>
              <w:right w:val="single" w:sz="4" w:space="0" w:color="auto"/>
            </w:tcBorders>
            <w:shd w:val="clear" w:color="auto" w:fill="auto"/>
          </w:tcPr>
          <w:p w:rsidR="00F768B0" w:rsidRPr="00884D10" w:rsidRDefault="00F768B0" w:rsidP="00C83E03"/>
        </w:tc>
      </w:tr>
      <w:tr w:rsidR="00F768B0" w:rsidRPr="00884D10" w:rsidTr="00C83E03">
        <w:trPr>
          <w:trHeight w:val="300"/>
          <w:jc w:val="center"/>
        </w:trPr>
        <w:tc>
          <w:tcPr>
            <w:tcW w:w="1323" w:type="dxa"/>
            <w:tcBorders>
              <w:top w:val="double" w:sz="4" w:space="0" w:color="auto"/>
              <w:left w:val="single" w:sz="4" w:space="0" w:color="auto"/>
              <w:bottom w:val="triple" w:sz="4" w:space="0" w:color="auto"/>
              <w:right w:val="single" w:sz="4" w:space="0" w:color="auto"/>
            </w:tcBorders>
            <w:vAlign w:val="center"/>
          </w:tcPr>
          <w:p w:rsidR="00F768B0" w:rsidRPr="00884D10" w:rsidRDefault="00F768B0" w:rsidP="00C83E03">
            <w:pPr>
              <w:jc w:val="center"/>
              <w:rPr>
                <w:b/>
                <w:bCs/>
                <w:color w:val="000000"/>
              </w:rPr>
            </w:pPr>
            <w:r w:rsidRPr="00884D10">
              <w:rPr>
                <w:b/>
                <w:bCs/>
                <w:color w:val="000000"/>
              </w:rPr>
              <w:t>Total (fire season)</w:t>
            </w:r>
          </w:p>
        </w:tc>
        <w:tc>
          <w:tcPr>
            <w:tcW w:w="1237" w:type="dxa"/>
            <w:tcBorders>
              <w:top w:val="double" w:sz="4" w:space="0" w:color="auto"/>
              <w:left w:val="single" w:sz="4" w:space="0" w:color="auto"/>
              <w:bottom w:val="triple" w:sz="4" w:space="0" w:color="auto"/>
              <w:right w:val="single" w:sz="4" w:space="0" w:color="auto"/>
            </w:tcBorders>
            <w:shd w:val="clear" w:color="auto" w:fill="auto"/>
            <w:vAlign w:val="center"/>
          </w:tcPr>
          <w:p w:rsidR="00F768B0" w:rsidRPr="00884D10" w:rsidRDefault="00F768B0" w:rsidP="00C83E03">
            <w:pPr>
              <w:jc w:val="center"/>
            </w:pPr>
          </w:p>
        </w:tc>
        <w:tc>
          <w:tcPr>
            <w:tcW w:w="1173" w:type="dxa"/>
            <w:tcBorders>
              <w:top w:val="double" w:sz="4" w:space="0" w:color="auto"/>
              <w:left w:val="nil"/>
              <w:bottom w:val="triple" w:sz="4" w:space="0" w:color="auto"/>
              <w:right w:val="single" w:sz="4" w:space="0" w:color="auto"/>
            </w:tcBorders>
            <w:vAlign w:val="center"/>
          </w:tcPr>
          <w:p w:rsidR="00F768B0" w:rsidRPr="00884D10" w:rsidRDefault="00F768B0" w:rsidP="00C83E03">
            <w:pPr>
              <w:jc w:val="center"/>
            </w:pPr>
          </w:p>
        </w:tc>
        <w:tc>
          <w:tcPr>
            <w:tcW w:w="1176" w:type="dxa"/>
            <w:tcBorders>
              <w:top w:val="double" w:sz="4" w:space="0" w:color="auto"/>
              <w:left w:val="single" w:sz="4" w:space="0" w:color="auto"/>
              <w:bottom w:val="triple" w:sz="4" w:space="0" w:color="auto"/>
              <w:right w:val="single" w:sz="4" w:space="0" w:color="auto"/>
            </w:tcBorders>
            <w:vAlign w:val="center"/>
          </w:tcPr>
          <w:p w:rsidR="00F768B0" w:rsidRPr="00884D10" w:rsidRDefault="00F768B0" w:rsidP="00C83E03">
            <w:pPr>
              <w:jc w:val="center"/>
            </w:pPr>
          </w:p>
        </w:tc>
        <w:tc>
          <w:tcPr>
            <w:tcW w:w="1173" w:type="dxa"/>
            <w:gridSpan w:val="2"/>
            <w:tcBorders>
              <w:top w:val="double" w:sz="4" w:space="0" w:color="auto"/>
              <w:left w:val="nil"/>
              <w:bottom w:val="triple" w:sz="4" w:space="0" w:color="auto"/>
              <w:right w:val="single" w:sz="4" w:space="0" w:color="auto"/>
            </w:tcBorders>
            <w:shd w:val="clear" w:color="auto" w:fill="auto"/>
          </w:tcPr>
          <w:p w:rsidR="00F768B0" w:rsidRPr="00884D10" w:rsidRDefault="00F768B0" w:rsidP="00C83E03"/>
        </w:tc>
      </w:tr>
      <w:tr w:rsidR="00F768B0" w:rsidRPr="00884D10" w:rsidTr="00C83E03">
        <w:trPr>
          <w:trHeight w:val="300"/>
          <w:jc w:val="center"/>
        </w:trPr>
        <w:tc>
          <w:tcPr>
            <w:tcW w:w="1323" w:type="dxa"/>
            <w:tcBorders>
              <w:top w:val="triple" w:sz="4" w:space="0" w:color="auto"/>
              <w:left w:val="single" w:sz="4" w:space="0" w:color="auto"/>
              <w:bottom w:val="single" w:sz="4" w:space="0" w:color="auto"/>
              <w:right w:val="single" w:sz="4" w:space="0" w:color="auto"/>
            </w:tcBorders>
            <w:vAlign w:val="center"/>
          </w:tcPr>
          <w:p w:rsidR="00F768B0" w:rsidRPr="00884D10" w:rsidRDefault="00F768B0" w:rsidP="00C83E03">
            <w:pPr>
              <w:jc w:val="center"/>
              <w:rPr>
                <w:b/>
                <w:bCs/>
                <w:color w:val="000000"/>
              </w:rPr>
            </w:pPr>
            <w:r w:rsidRPr="00884D10">
              <w:rPr>
                <w:b/>
                <w:bCs/>
                <w:color w:val="000000"/>
              </w:rPr>
              <w:t>Total (Gas)</w:t>
            </w:r>
          </w:p>
        </w:tc>
        <w:tc>
          <w:tcPr>
            <w:tcW w:w="2410" w:type="dxa"/>
            <w:gridSpan w:val="2"/>
            <w:tcBorders>
              <w:top w:val="triple" w:sz="4" w:space="0" w:color="auto"/>
              <w:left w:val="single" w:sz="4" w:space="0" w:color="auto"/>
              <w:bottom w:val="single" w:sz="4" w:space="0" w:color="auto"/>
              <w:right w:val="single" w:sz="4" w:space="0" w:color="auto"/>
            </w:tcBorders>
            <w:shd w:val="clear" w:color="auto" w:fill="auto"/>
            <w:vAlign w:val="center"/>
          </w:tcPr>
          <w:p w:rsidR="00F768B0" w:rsidRPr="00884D10" w:rsidRDefault="00F768B0" w:rsidP="00C83E03">
            <w:pPr>
              <w:jc w:val="center"/>
            </w:pPr>
          </w:p>
        </w:tc>
        <w:tc>
          <w:tcPr>
            <w:tcW w:w="2349" w:type="dxa"/>
            <w:gridSpan w:val="3"/>
            <w:tcBorders>
              <w:top w:val="triple" w:sz="4" w:space="0" w:color="auto"/>
              <w:left w:val="single" w:sz="4" w:space="0" w:color="auto"/>
              <w:bottom w:val="single" w:sz="4" w:space="0" w:color="auto"/>
              <w:right w:val="single" w:sz="4" w:space="0" w:color="auto"/>
            </w:tcBorders>
            <w:vAlign w:val="center"/>
          </w:tcPr>
          <w:p w:rsidR="00F768B0" w:rsidRPr="00884D10" w:rsidRDefault="00F768B0" w:rsidP="00C83E03">
            <w:pPr>
              <w:jc w:val="center"/>
            </w:pPr>
          </w:p>
        </w:tc>
      </w:tr>
    </w:tbl>
    <w:p w:rsidR="00F768B0" w:rsidRPr="00884D10" w:rsidRDefault="00F768B0" w:rsidP="00F768B0">
      <w:pPr>
        <w:rPr>
          <w:b/>
        </w:rPr>
      </w:pPr>
      <w:r w:rsidRPr="00884D10">
        <w:rPr>
          <w:b/>
        </w:rPr>
        <w:br w:type="page"/>
      </w:r>
    </w:p>
    <w:p w:rsidR="00F768B0" w:rsidRPr="00884D10" w:rsidRDefault="00F768B0" w:rsidP="00F768B0">
      <w:pPr>
        <w:jc w:val="center"/>
        <w:rPr>
          <w:b/>
        </w:rPr>
      </w:pPr>
    </w:p>
    <w:p w:rsidR="00F768B0" w:rsidRPr="00884D10" w:rsidRDefault="00F768B0" w:rsidP="00F768B0">
      <w:pPr>
        <w:jc w:val="center"/>
        <w:rPr>
          <w:b/>
        </w:rPr>
      </w:pPr>
      <w:r w:rsidRPr="00884D10">
        <w:rPr>
          <w:b/>
        </w:rPr>
        <w:t>Table 24: Project baseline (tonnes CO</w:t>
      </w:r>
      <w:r w:rsidRPr="00884D10">
        <w:rPr>
          <w:b/>
          <w:vertAlign w:val="subscript"/>
        </w:rPr>
        <w:t>2</w:t>
      </w:r>
      <w:r w:rsidRPr="00884D10">
        <w:rPr>
          <w:b/>
        </w:rPr>
        <w:t>-e)</w:t>
      </w:r>
    </w:p>
    <w:p w:rsidR="00F768B0" w:rsidRPr="00884D10" w:rsidRDefault="00F768B0" w:rsidP="00F768B0">
      <w:pPr>
        <w:jc w:val="center"/>
        <w:rPr>
          <w:b/>
        </w:rPr>
      </w:pPr>
    </w:p>
    <w:tbl>
      <w:tblPr>
        <w:tblW w:w="3948" w:type="dxa"/>
        <w:jc w:val="center"/>
        <w:tblLook w:val="04A0" w:firstRow="1" w:lastRow="0" w:firstColumn="1" w:lastColumn="0" w:noHBand="0" w:noVBand="1"/>
      </w:tblPr>
      <w:tblGrid>
        <w:gridCol w:w="1758"/>
        <w:gridCol w:w="2190"/>
      </w:tblGrid>
      <w:tr w:rsidR="00F768B0" w:rsidRPr="00884D10" w:rsidTr="00C83E03">
        <w:trPr>
          <w:trHeight w:val="600"/>
          <w:jc w:val="center"/>
        </w:trPr>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F768B0" w:rsidRPr="00884D10" w:rsidRDefault="00F768B0" w:rsidP="00C83E03">
            <w:pPr>
              <w:jc w:val="center"/>
              <w:rPr>
                <w:b/>
                <w:bCs/>
                <w:color w:val="000000"/>
              </w:rPr>
            </w:pPr>
            <w:r w:rsidRPr="00884D10">
              <w:rPr>
                <w:b/>
                <w:bCs/>
                <w:color w:val="000000"/>
              </w:rPr>
              <w:t>Baseline year</w:t>
            </w:r>
          </w:p>
        </w:tc>
        <w:tc>
          <w:tcPr>
            <w:tcW w:w="2190" w:type="dxa"/>
            <w:tcBorders>
              <w:top w:val="single" w:sz="4" w:space="0" w:color="auto"/>
              <w:left w:val="nil"/>
              <w:bottom w:val="single" w:sz="4" w:space="0" w:color="auto"/>
              <w:right w:val="single" w:sz="4" w:space="0" w:color="auto"/>
            </w:tcBorders>
            <w:shd w:val="clear" w:color="auto" w:fill="auto"/>
            <w:vAlign w:val="center"/>
          </w:tcPr>
          <w:p w:rsidR="00F768B0" w:rsidRPr="00884D10" w:rsidRDefault="00F768B0" w:rsidP="00C83E03">
            <w:pPr>
              <w:jc w:val="center"/>
              <w:rPr>
                <w:b/>
                <w:bCs/>
                <w:color w:val="000000"/>
              </w:rPr>
            </w:pPr>
            <w:r w:rsidRPr="00884D10">
              <w:rPr>
                <w:b/>
                <w:bCs/>
                <w:color w:val="000000"/>
              </w:rPr>
              <w:t>Annual</w:t>
            </w:r>
          </w:p>
          <w:p w:rsidR="00F768B0" w:rsidRPr="00884D10" w:rsidRDefault="00F768B0" w:rsidP="00C83E03">
            <w:pPr>
              <w:jc w:val="center"/>
              <w:rPr>
                <w:b/>
                <w:bCs/>
                <w:color w:val="000000"/>
              </w:rPr>
            </w:pPr>
            <w:r w:rsidRPr="00884D10">
              <w:rPr>
                <w:b/>
                <w:bCs/>
                <w:color w:val="000000"/>
              </w:rPr>
              <w:t>Emissions</w:t>
            </w:r>
          </w:p>
          <w:p w:rsidR="00F768B0" w:rsidRPr="00884D10" w:rsidRDefault="00F768B0" w:rsidP="00C83E03">
            <w:pPr>
              <w:jc w:val="center"/>
              <w:rPr>
                <w:b/>
                <w:bCs/>
                <w:color w:val="000000"/>
              </w:rPr>
            </w:pPr>
            <w:r w:rsidRPr="00884D10">
              <w:rPr>
                <w:b/>
                <w:bCs/>
                <w:color w:val="000000"/>
              </w:rPr>
              <w:t>(E</w:t>
            </w:r>
            <w:r w:rsidRPr="00884D10">
              <w:rPr>
                <w:b/>
                <w:bCs/>
                <w:color w:val="000000"/>
                <w:vertAlign w:val="subscript"/>
              </w:rPr>
              <w:t>CO</w:t>
            </w:r>
            <w:r w:rsidRPr="00884D10">
              <w:rPr>
                <w:rFonts w:ascii="Times New Roman Bold" w:hAnsi="Times New Roman Bold"/>
                <w:b/>
                <w:bCs/>
                <w:color w:val="000000"/>
                <w:position w:val="-2"/>
                <w:vertAlign w:val="subscript"/>
              </w:rPr>
              <w:t>2</w:t>
            </w:r>
            <w:r w:rsidRPr="00884D10">
              <w:rPr>
                <w:b/>
                <w:bCs/>
                <w:color w:val="000000"/>
              </w:rPr>
              <w:t>-</w:t>
            </w:r>
            <w:r w:rsidRPr="00884D10">
              <w:rPr>
                <w:b/>
                <w:bCs/>
                <w:color w:val="000000"/>
                <w:vertAlign w:val="subscript"/>
              </w:rPr>
              <w:t>e</w:t>
            </w:r>
            <w:r w:rsidRPr="00884D10">
              <w:rPr>
                <w:b/>
                <w:bCs/>
                <w:color w:val="000000"/>
              </w:rPr>
              <w:t>)</w:t>
            </w:r>
          </w:p>
        </w:tc>
      </w:tr>
      <w:tr w:rsidR="00F768B0" w:rsidRPr="00884D10" w:rsidTr="00C83E03">
        <w:trPr>
          <w:trHeight w:val="300"/>
          <w:jc w:val="center"/>
        </w:trPr>
        <w:tc>
          <w:tcPr>
            <w:tcW w:w="1758" w:type="dxa"/>
            <w:tcBorders>
              <w:top w:val="nil"/>
              <w:left w:val="single" w:sz="4" w:space="0" w:color="auto"/>
              <w:bottom w:val="single" w:sz="4" w:space="0" w:color="auto"/>
              <w:right w:val="single" w:sz="4" w:space="0" w:color="auto"/>
            </w:tcBorders>
            <w:shd w:val="clear" w:color="auto" w:fill="auto"/>
            <w:vAlign w:val="center"/>
          </w:tcPr>
          <w:p w:rsidR="00F768B0" w:rsidRPr="00884D10" w:rsidRDefault="00F768B0" w:rsidP="00C83E03">
            <w:pPr>
              <w:jc w:val="center"/>
              <w:rPr>
                <w:b/>
                <w:bCs/>
                <w:color w:val="000000"/>
              </w:rPr>
            </w:pPr>
            <w:r w:rsidRPr="00884D10">
              <w:rPr>
                <w:b/>
                <w:bCs/>
                <w:color w:val="000000"/>
              </w:rPr>
              <w:t>y-10</w:t>
            </w:r>
          </w:p>
        </w:tc>
        <w:tc>
          <w:tcPr>
            <w:tcW w:w="2190" w:type="dxa"/>
            <w:tcBorders>
              <w:top w:val="nil"/>
              <w:left w:val="nil"/>
              <w:bottom w:val="single" w:sz="4" w:space="0" w:color="auto"/>
              <w:right w:val="single" w:sz="4" w:space="0" w:color="auto"/>
            </w:tcBorders>
            <w:shd w:val="clear" w:color="auto" w:fill="auto"/>
            <w:vAlign w:val="center"/>
          </w:tcPr>
          <w:p w:rsidR="00F768B0" w:rsidRPr="00884D10" w:rsidRDefault="00F768B0" w:rsidP="00C83E03">
            <w:pPr>
              <w:jc w:val="center"/>
              <w:rPr>
                <w:color w:val="000000"/>
              </w:rPr>
            </w:pPr>
          </w:p>
        </w:tc>
      </w:tr>
      <w:tr w:rsidR="00F768B0" w:rsidRPr="00884D10" w:rsidTr="00C83E03">
        <w:trPr>
          <w:trHeight w:val="300"/>
          <w:jc w:val="center"/>
        </w:trPr>
        <w:tc>
          <w:tcPr>
            <w:tcW w:w="1758" w:type="dxa"/>
            <w:tcBorders>
              <w:top w:val="nil"/>
              <w:left w:val="single" w:sz="4" w:space="0" w:color="auto"/>
              <w:bottom w:val="single" w:sz="4" w:space="0" w:color="auto"/>
              <w:right w:val="single" w:sz="4" w:space="0" w:color="auto"/>
            </w:tcBorders>
            <w:shd w:val="clear" w:color="auto" w:fill="auto"/>
            <w:vAlign w:val="center"/>
          </w:tcPr>
          <w:p w:rsidR="00F768B0" w:rsidRPr="00884D10" w:rsidRDefault="00F768B0" w:rsidP="00C83E03">
            <w:pPr>
              <w:jc w:val="center"/>
              <w:rPr>
                <w:b/>
                <w:bCs/>
                <w:color w:val="000000"/>
              </w:rPr>
            </w:pPr>
            <w:r w:rsidRPr="00884D10">
              <w:rPr>
                <w:b/>
                <w:bCs/>
                <w:color w:val="000000"/>
              </w:rPr>
              <w:t>y-9</w:t>
            </w:r>
          </w:p>
        </w:tc>
        <w:tc>
          <w:tcPr>
            <w:tcW w:w="2190" w:type="dxa"/>
            <w:tcBorders>
              <w:top w:val="nil"/>
              <w:left w:val="nil"/>
              <w:bottom w:val="single" w:sz="4" w:space="0" w:color="auto"/>
              <w:right w:val="single" w:sz="4" w:space="0" w:color="auto"/>
            </w:tcBorders>
            <w:shd w:val="clear" w:color="auto" w:fill="auto"/>
            <w:vAlign w:val="center"/>
          </w:tcPr>
          <w:p w:rsidR="00F768B0" w:rsidRPr="00884D10" w:rsidRDefault="00F768B0" w:rsidP="00C83E03">
            <w:pPr>
              <w:jc w:val="center"/>
              <w:rPr>
                <w:color w:val="000000"/>
              </w:rPr>
            </w:pPr>
          </w:p>
        </w:tc>
      </w:tr>
      <w:tr w:rsidR="00F768B0" w:rsidRPr="00884D10" w:rsidTr="00C83E03">
        <w:trPr>
          <w:trHeight w:val="300"/>
          <w:jc w:val="center"/>
        </w:trPr>
        <w:tc>
          <w:tcPr>
            <w:tcW w:w="1758" w:type="dxa"/>
            <w:tcBorders>
              <w:top w:val="nil"/>
              <w:left w:val="single" w:sz="4" w:space="0" w:color="auto"/>
              <w:bottom w:val="single" w:sz="4" w:space="0" w:color="auto"/>
              <w:right w:val="single" w:sz="4" w:space="0" w:color="auto"/>
            </w:tcBorders>
            <w:shd w:val="clear" w:color="auto" w:fill="auto"/>
            <w:vAlign w:val="center"/>
          </w:tcPr>
          <w:p w:rsidR="00F768B0" w:rsidRPr="00884D10" w:rsidRDefault="00F768B0" w:rsidP="00C83E03">
            <w:pPr>
              <w:jc w:val="center"/>
              <w:rPr>
                <w:b/>
                <w:bCs/>
                <w:color w:val="000000"/>
              </w:rPr>
            </w:pPr>
            <w:r w:rsidRPr="00884D10">
              <w:rPr>
                <w:b/>
                <w:bCs/>
                <w:color w:val="000000"/>
              </w:rPr>
              <w:t>y-8</w:t>
            </w:r>
          </w:p>
        </w:tc>
        <w:tc>
          <w:tcPr>
            <w:tcW w:w="2190" w:type="dxa"/>
            <w:tcBorders>
              <w:top w:val="nil"/>
              <w:left w:val="nil"/>
              <w:bottom w:val="single" w:sz="4" w:space="0" w:color="auto"/>
              <w:right w:val="single" w:sz="4" w:space="0" w:color="auto"/>
            </w:tcBorders>
            <w:shd w:val="clear" w:color="auto" w:fill="auto"/>
            <w:vAlign w:val="center"/>
          </w:tcPr>
          <w:p w:rsidR="00F768B0" w:rsidRPr="00884D10" w:rsidRDefault="00F768B0" w:rsidP="00C83E03">
            <w:pPr>
              <w:jc w:val="center"/>
              <w:rPr>
                <w:color w:val="000000"/>
              </w:rPr>
            </w:pPr>
          </w:p>
        </w:tc>
      </w:tr>
      <w:tr w:rsidR="00F768B0" w:rsidRPr="00884D10" w:rsidTr="00C83E03">
        <w:trPr>
          <w:trHeight w:val="300"/>
          <w:jc w:val="center"/>
        </w:trPr>
        <w:tc>
          <w:tcPr>
            <w:tcW w:w="1758" w:type="dxa"/>
            <w:tcBorders>
              <w:top w:val="nil"/>
              <w:left w:val="single" w:sz="4" w:space="0" w:color="auto"/>
              <w:bottom w:val="single" w:sz="4" w:space="0" w:color="auto"/>
              <w:right w:val="single" w:sz="4" w:space="0" w:color="auto"/>
            </w:tcBorders>
            <w:shd w:val="clear" w:color="auto" w:fill="auto"/>
            <w:vAlign w:val="center"/>
          </w:tcPr>
          <w:p w:rsidR="00F768B0" w:rsidRPr="00884D10" w:rsidRDefault="00F768B0" w:rsidP="00C83E03">
            <w:pPr>
              <w:jc w:val="center"/>
              <w:rPr>
                <w:b/>
                <w:bCs/>
                <w:color w:val="000000"/>
              </w:rPr>
            </w:pPr>
            <w:r w:rsidRPr="00884D10">
              <w:rPr>
                <w:b/>
                <w:bCs/>
                <w:color w:val="000000"/>
              </w:rPr>
              <w:t>y-7</w:t>
            </w:r>
          </w:p>
        </w:tc>
        <w:tc>
          <w:tcPr>
            <w:tcW w:w="2190" w:type="dxa"/>
            <w:tcBorders>
              <w:top w:val="nil"/>
              <w:left w:val="nil"/>
              <w:bottom w:val="single" w:sz="4" w:space="0" w:color="auto"/>
              <w:right w:val="single" w:sz="4" w:space="0" w:color="auto"/>
            </w:tcBorders>
            <w:shd w:val="clear" w:color="auto" w:fill="auto"/>
            <w:vAlign w:val="center"/>
          </w:tcPr>
          <w:p w:rsidR="00F768B0" w:rsidRPr="00884D10" w:rsidRDefault="00F768B0" w:rsidP="00C83E03">
            <w:pPr>
              <w:jc w:val="center"/>
              <w:rPr>
                <w:color w:val="000000"/>
              </w:rPr>
            </w:pPr>
          </w:p>
        </w:tc>
      </w:tr>
      <w:tr w:rsidR="00F768B0" w:rsidRPr="00884D10" w:rsidTr="00C83E03">
        <w:trPr>
          <w:trHeight w:val="300"/>
          <w:jc w:val="center"/>
        </w:trPr>
        <w:tc>
          <w:tcPr>
            <w:tcW w:w="1758" w:type="dxa"/>
            <w:tcBorders>
              <w:top w:val="nil"/>
              <w:left w:val="single" w:sz="4" w:space="0" w:color="auto"/>
              <w:bottom w:val="single" w:sz="4" w:space="0" w:color="auto"/>
              <w:right w:val="single" w:sz="4" w:space="0" w:color="auto"/>
            </w:tcBorders>
            <w:shd w:val="clear" w:color="auto" w:fill="auto"/>
            <w:vAlign w:val="center"/>
          </w:tcPr>
          <w:p w:rsidR="00F768B0" w:rsidRPr="00884D10" w:rsidRDefault="00F768B0" w:rsidP="00C83E03">
            <w:pPr>
              <w:jc w:val="center"/>
              <w:rPr>
                <w:b/>
                <w:bCs/>
                <w:color w:val="000000"/>
              </w:rPr>
            </w:pPr>
            <w:r w:rsidRPr="00884D10">
              <w:rPr>
                <w:b/>
                <w:bCs/>
                <w:color w:val="000000"/>
              </w:rPr>
              <w:t>y-6</w:t>
            </w:r>
          </w:p>
        </w:tc>
        <w:tc>
          <w:tcPr>
            <w:tcW w:w="2190" w:type="dxa"/>
            <w:tcBorders>
              <w:top w:val="nil"/>
              <w:left w:val="nil"/>
              <w:bottom w:val="single" w:sz="4" w:space="0" w:color="auto"/>
              <w:right w:val="single" w:sz="4" w:space="0" w:color="auto"/>
            </w:tcBorders>
            <w:shd w:val="clear" w:color="auto" w:fill="auto"/>
            <w:vAlign w:val="center"/>
          </w:tcPr>
          <w:p w:rsidR="00F768B0" w:rsidRPr="00884D10" w:rsidRDefault="00F768B0" w:rsidP="00C83E03">
            <w:pPr>
              <w:jc w:val="center"/>
              <w:rPr>
                <w:color w:val="000000"/>
              </w:rPr>
            </w:pPr>
          </w:p>
        </w:tc>
      </w:tr>
      <w:tr w:rsidR="00F768B0" w:rsidRPr="00884D10" w:rsidTr="00C83E03">
        <w:trPr>
          <w:trHeight w:val="300"/>
          <w:jc w:val="center"/>
        </w:trPr>
        <w:tc>
          <w:tcPr>
            <w:tcW w:w="1758" w:type="dxa"/>
            <w:tcBorders>
              <w:top w:val="nil"/>
              <w:left w:val="single" w:sz="4" w:space="0" w:color="auto"/>
              <w:bottom w:val="single" w:sz="4" w:space="0" w:color="auto"/>
              <w:right w:val="single" w:sz="4" w:space="0" w:color="auto"/>
            </w:tcBorders>
            <w:shd w:val="clear" w:color="auto" w:fill="auto"/>
            <w:vAlign w:val="center"/>
          </w:tcPr>
          <w:p w:rsidR="00F768B0" w:rsidRPr="00884D10" w:rsidRDefault="00F768B0" w:rsidP="00C83E03">
            <w:pPr>
              <w:jc w:val="center"/>
              <w:rPr>
                <w:b/>
                <w:bCs/>
                <w:color w:val="000000"/>
              </w:rPr>
            </w:pPr>
            <w:r w:rsidRPr="00884D10">
              <w:rPr>
                <w:b/>
                <w:bCs/>
                <w:color w:val="000000"/>
              </w:rPr>
              <w:t>y-5</w:t>
            </w:r>
          </w:p>
        </w:tc>
        <w:tc>
          <w:tcPr>
            <w:tcW w:w="2190" w:type="dxa"/>
            <w:tcBorders>
              <w:top w:val="nil"/>
              <w:left w:val="nil"/>
              <w:bottom w:val="single" w:sz="4" w:space="0" w:color="auto"/>
              <w:right w:val="single" w:sz="4" w:space="0" w:color="auto"/>
            </w:tcBorders>
            <w:shd w:val="clear" w:color="auto" w:fill="auto"/>
            <w:vAlign w:val="center"/>
          </w:tcPr>
          <w:p w:rsidR="00F768B0" w:rsidRPr="00884D10" w:rsidRDefault="00F768B0" w:rsidP="00C83E03">
            <w:pPr>
              <w:jc w:val="center"/>
              <w:rPr>
                <w:color w:val="000000"/>
              </w:rPr>
            </w:pPr>
          </w:p>
        </w:tc>
      </w:tr>
      <w:tr w:rsidR="00F768B0" w:rsidRPr="00884D10" w:rsidTr="00C83E03">
        <w:trPr>
          <w:trHeight w:val="300"/>
          <w:jc w:val="center"/>
        </w:trPr>
        <w:tc>
          <w:tcPr>
            <w:tcW w:w="1758" w:type="dxa"/>
            <w:tcBorders>
              <w:top w:val="nil"/>
              <w:left w:val="single" w:sz="4" w:space="0" w:color="auto"/>
              <w:bottom w:val="single" w:sz="4" w:space="0" w:color="auto"/>
              <w:right w:val="single" w:sz="4" w:space="0" w:color="auto"/>
            </w:tcBorders>
            <w:shd w:val="clear" w:color="auto" w:fill="auto"/>
            <w:vAlign w:val="center"/>
          </w:tcPr>
          <w:p w:rsidR="00F768B0" w:rsidRPr="00884D10" w:rsidRDefault="00F768B0" w:rsidP="00C83E03">
            <w:pPr>
              <w:jc w:val="center"/>
              <w:rPr>
                <w:b/>
                <w:bCs/>
                <w:color w:val="000000"/>
              </w:rPr>
            </w:pPr>
            <w:r w:rsidRPr="00884D10">
              <w:rPr>
                <w:b/>
                <w:bCs/>
                <w:color w:val="000000"/>
              </w:rPr>
              <w:t>y-4</w:t>
            </w:r>
          </w:p>
        </w:tc>
        <w:tc>
          <w:tcPr>
            <w:tcW w:w="2190" w:type="dxa"/>
            <w:tcBorders>
              <w:top w:val="nil"/>
              <w:left w:val="nil"/>
              <w:bottom w:val="single" w:sz="4" w:space="0" w:color="auto"/>
              <w:right w:val="single" w:sz="4" w:space="0" w:color="auto"/>
            </w:tcBorders>
            <w:shd w:val="clear" w:color="auto" w:fill="auto"/>
            <w:vAlign w:val="center"/>
          </w:tcPr>
          <w:p w:rsidR="00F768B0" w:rsidRPr="00884D10" w:rsidRDefault="00F768B0" w:rsidP="00C83E03">
            <w:pPr>
              <w:jc w:val="center"/>
              <w:rPr>
                <w:color w:val="000000"/>
              </w:rPr>
            </w:pPr>
          </w:p>
        </w:tc>
      </w:tr>
      <w:tr w:rsidR="00F768B0" w:rsidRPr="00884D10" w:rsidTr="00C83E03">
        <w:trPr>
          <w:trHeight w:val="300"/>
          <w:jc w:val="center"/>
        </w:trPr>
        <w:tc>
          <w:tcPr>
            <w:tcW w:w="1758" w:type="dxa"/>
            <w:tcBorders>
              <w:top w:val="nil"/>
              <w:left w:val="single" w:sz="4" w:space="0" w:color="auto"/>
              <w:bottom w:val="single" w:sz="4" w:space="0" w:color="auto"/>
              <w:right w:val="single" w:sz="4" w:space="0" w:color="auto"/>
            </w:tcBorders>
            <w:shd w:val="clear" w:color="auto" w:fill="auto"/>
            <w:vAlign w:val="center"/>
          </w:tcPr>
          <w:p w:rsidR="00F768B0" w:rsidRPr="00884D10" w:rsidRDefault="00F768B0" w:rsidP="00C83E03">
            <w:pPr>
              <w:jc w:val="center"/>
              <w:rPr>
                <w:b/>
                <w:bCs/>
                <w:color w:val="000000"/>
              </w:rPr>
            </w:pPr>
            <w:r w:rsidRPr="00884D10">
              <w:rPr>
                <w:b/>
                <w:bCs/>
                <w:color w:val="000000"/>
              </w:rPr>
              <w:t>y-3</w:t>
            </w:r>
          </w:p>
        </w:tc>
        <w:tc>
          <w:tcPr>
            <w:tcW w:w="2190" w:type="dxa"/>
            <w:tcBorders>
              <w:top w:val="nil"/>
              <w:left w:val="nil"/>
              <w:bottom w:val="single" w:sz="4" w:space="0" w:color="auto"/>
              <w:right w:val="single" w:sz="4" w:space="0" w:color="auto"/>
            </w:tcBorders>
            <w:shd w:val="clear" w:color="auto" w:fill="auto"/>
            <w:vAlign w:val="center"/>
          </w:tcPr>
          <w:p w:rsidR="00F768B0" w:rsidRPr="00884D10" w:rsidRDefault="00F768B0" w:rsidP="00C83E03">
            <w:pPr>
              <w:jc w:val="center"/>
              <w:rPr>
                <w:color w:val="000000"/>
              </w:rPr>
            </w:pPr>
          </w:p>
        </w:tc>
      </w:tr>
      <w:tr w:rsidR="00F768B0" w:rsidRPr="00884D10" w:rsidTr="00C83E03">
        <w:trPr>
          <w:trHeight w:val="300"/>
          <w:jc w:val="center"/>
        </w:trPr>
        <w:tc>
          <w:tcPr>
            <w:tcW w:w="1758" w:type="dxa"/>
            <w:tcBorders>
              <w:top w:val="nil"/>
              <w:left w:val="single" w:sz="4" w:space="0" w:color="auto"/>
              <w:bottom w:val="single" w:sz="4" w:space="0" w:color="auto"/>
              <w:right w:val="single" w:sz="4" w:space="0" w:color="auto"/>
            </w:tcBorders>
            <w:shd w:val="clear" w:color="auto" w:fill="auto"/>
            <w:vAlign w:val="center"/>
          </w:tcPr>
          <w:p w:rsidR="00F768B0" w:rsidRPr="00884D10" w:rsidRDefault="00F768B0" w:rsidP="00C83E03">
            <w:pPr>
              <w:jc w:val="center"/>
              <w:rPr>
                <w:b/>
                <w:bCs/>
                <w:color w:val="000000"/>
              </w:rPr>
            </w:pPr>
            <w:r w:rsidRPr="00884D10">
              <w:rPr>
                <w:b/>
                <w:bCs/>
                <w:color w:val="000000"/>
              </w:rPr>
              <w:t>y-2</w:t>
            </w:r>
          </w:p>
        </w:tc>
        <w:tc>
          <w:tcPr>
            <w:tcW w:w="2190" w:type="dxa"/>
            <w:tcBorders>
              <w:top w:val="nil"/>
              <w:left w:val="nil"/>
              <w:bottom w:val="single" w:sz="4" w:space="0" w:color="auto"/>
              <w:right w:val="single" w:sz="4" w:space="0" w:color="auto"/>
            </w:tcBorders>
            <w:shd w:val="clear" w:color="auto" w:fill="auto"/>
            <w:vAlign w:val="center"/>
          </w:tcPr>
          <w:p w:rsidR="00F768B0" w:rsidRPr="00884D10" w:rsidRDefault="00F768B0" w:rsidP="00C83E03">
            <w:pPr>
              <w:jc w:val="center"/>
              <w:rPr>
                <w:color w:val="000000"/>
              </w:rPr>
            </w:pPr>
          </w:p>
        </w:tc>
      </w:tr>
      <w:tr w:rsidR="00F768B0" w:rsidRPr="00884D10" w:rsidTr="00C83E03">
        <w:trPr>
          <w:trHeight w:val="300"/>
          <w:jc w:val="center"/>
        </w:trPr>
        <w:tc>
          <w:tcPr>
            <w:tcW w:w="1758" w:type="dxa"/>
            <w:tcBorders>
              <w:top w:val="nil"/>
              <w:left w:val="single" w:sz="4" w:space="0" w:color="auto"/>
              <w:bottom w:val="single" w:sz="4" w:space="0" w:color="auto"/>
              <w:right w:val="single" w:sz="4" w:space="0" w:color="auto"/>
            </w:tcBorders>
            <w:shd w:val="clear" w:color="auto" w:fill="auto"/>
            <w:vAlign w:val="center"/>
          </w:tcPr>
          <w:p w:rsidR="00F768B0" w:rsidRPr="00884D10" w:rsidRDefault="00F768B0" w:rsidP="00C83E03">
            <w:pPr>
              <w:jc w:val="center"/>
              <w:rPr>
                <w:b/>
                <w:bCs/>
                <w:color w:val="000000"/>
              </w:rPr>
            </w:pPr>
            <w:r w:rsidRPr="00884D10">
              <w:rPr>
                <w:b/>
                <w:bCs/>
                <w:color w:val="000000"/>
              </w:rPr>
              <w:t>y-1</w:t>
            </w:r>
          </w:p>
        </w:tc>
        <w:tc>
          <w:tcPr>
            <w:tcW w:w="2190" w:type="dxa"/>
            <w:tcBorders>
              <w:top w:val="nil"/>
              <w:left w:val="nil"/>
              <w:bottom w:val="single" w:sz="4" w:space="0" w:color="auto"/>
              <w:right w:val="single" w:sz="4" w:space="0" w:color="auto"/>
            </w:tcBorders>
            <w:shd w:val="clear" w:color="auto" w:fill="auto"/>
            <w:vAlign w:val="center"/>
          </w:tcPr>
          <w:p w:rsidR="00F768B0" w:rsidRPr="00884D10" w:rsidRDefault="00F768B0" w:rsidP="00C83E03">
            <w:pPr>
              <w:jc w:val="center"/>
              <w:rPr>
                <w:color w:val="000000"/>
              </w:rPr>
            </w:pPr>
          </w:p>
        </w:tc>
      </w:tr>
      <w:tr w:rsidR="00F768B0" w:rsidRPr="00884D10" w:rsidTr="00C83E03">
        <w:trPr>
          <w:trHeight w:val="300"/>
          <w:jc w:val="center"/>
        </w:trPr>
        <w:tc>
          <w:tcPr>
            <w:tcW w:w="1758" w:type="dxa"/>
            <w:tcBorders>
              <w:top w:val="nil"/>
              <w:left w:val="single" w:sz="4" w:space="0" w:color="auto"/>
              <w:bottom w:val="single" w:sz="4" w:space="0" w:color="auto"/>
              <w:right w:val="single" w:sz="4" w:space="0" w:color="auto"/>
            </w:tcBorders>
            <w:shd w:val="clear" w:color="auto" w:fill="auto"/>
            <w:vAlign w:val="center"/>
          </w:tcPr>
          <w:p w:rsidR="00F768B0" w:rsidRPr="00884D10" w:rsidRDefault="00F768B0" w:rsidP="00C83E03">
            <w:pPr>
              <w:jc w:val="center"/>
              <w:rPr>
                <w:b/>
                <w:bCs/>
                <w:color w:val="000000"/>
              </w:rPr>
            </w:pPr>
            <w:r w:rsidRPr="00884D10">
              <w:rPr>
                <w:b/>
                <w:bCs/>
                <w:color w:val="000000"/>
              </w:rPr>
              <w:t>Total</w:t>
            </w:r>
          </w:p>
        </w:tc>
        <w:tc>
          <w:tcPr>
            <w:tcW w:w="2190" w:type="dxa"/>
            <w:tcBorders>
              <w:top w:val="nil"/>
              <w:left w:val="nil"/>
              <w:bottom w:val="single" w:sz="4" w:space="0" w:color="auto"/>
              <w:right w:val="single" w:sz="4" w:space="0" w:color="auto"/>
            </w:tcBorders>
            <w:shd w:val="clear" w:color="auto" w:fill="auto"/>
            <w:vAlign w:val="center"/>
          </w:tcPr>
          <w:p w:rsidR="00F768B0" w:rsidRPr="00884D10" w:rsidRDefault="00F768B0" w:rsidP="00C83E03">
            <w:pPr>
              <w:jc w:val="center"/>
              <w:rPr>
                <w:color w:val="000000"/>
              </w:rPr>
            </w:pPr>
          </w:p>
        </w:tc>
      </w:tr>
      <w:tr w:rsidR="00F768B0" w:rsidRPr="00884D10" w:rsidTr="00C83E03">
        <w:trPr>
          <w:trHeight w:val="300"/>
          <w:jc w:val="center"/>
        </w:trPr>
        <w:tc>
          <w:tcPr>
            <w:tcW w:w="1758" w:type="dxa"/>
            <w:tcBorders>
              <w:top w:val="nil"/>
              <w:left w:val="single" w:sz="4" w:space="0" w:color="auto"/>
              <w:bottom w:val="single" w:sz="4" w:space="0" w:color="auto"/>
              <w:right w:val="single" w:sz="4" w:space="0" w:color="auto"/>
            </w:tcBorders>
            <w:shd w:val="clear" w:color="auto" w:fill="auto"/>
            <w:vAlign w:val="center"/>
          </w:tcPr>
          <w:p w:rsidR="00F768B0" w:rsidRPr="00884D10" w:rsidRDefault="00F768B0" w:rsidP="00C83E03">
            <w:pPr>
              <w:jc w:val="center"/>
              <w:rPr>
                <w:b/>
                <w:bCs/>
                <w:color w:val="000000"/>
              </w:rPr>
            </w:pPr>
            <w:r w:rsidRPr="00884D10">
              <w:rPr>
                <w:b/>
                <w:bCs/>
                <w:color w:val="000000"/>
              </w:rPr>
              <w:t xml:space="preserve">Average (project baseline, </w:t>
            </w:r>
            <w:r w:rsidRPr="00884D10">
              <w:rPr>
                <w:b/>
              </w:rPr>
              <w:t>E</w:t>
            </w:r>
            <w:r w:rsidRPr="00884D10">
              <w:rPr>
                <w:b/>
                <w:vertAlign w:val="subscript"/>
              </w:rPr>
              <w:t>BL</w:t>
            </w:r>
            <w:r w:rsidRPr="00884D10">
              <w:rPr>
                <w:b/>
              </w:rPr>
              <w:t>CO</w:t>
            </w:r>
            <w:r w:rsidRPr="00884D10">
              <w:rPr>
                <w:b/>
                <w:vertAlign w:val="subscript"/>
              </w:rPr>
              <w:t>2</w:t>
            </w:r>
            <w:r w:rsidRPr="00884D10">
              <w:rPr>
                <w:b/>
              </w:rPr>
              <w:t>-e)</w:t>
            </w:r>
          </w:p>
        </w:tc>
        <w:tc>
          <w:tcPr>
            <w:tcW w:w="2190" w:type="dxa"/>
            <w:tcBorders>
              <w:top w:val="nil"/>
              <w:left w:val="nil"/>
              <w:bottom w:val="single" w:sz="4" w:space="0" w:color="auto"/>
              <w:right w:val="single" w:sz="4" w:space="0" w:color="auto"/>
            </w:tcBorders>
            <w:shd w:val="clear" w:color="auto" w:fill="auto"/>
            <w:vAlign w:val="center"/>
          </w:tcPr>
          <w:p w:rsidR="00F768B0" w:rsidRPr="00884D10" w:rsidRDefault="00F768B0" w:rsidP="00C83E03">
            <w:pPr>
              <w:jc w:val="center"/>
              <w:rPr>
                <w:color w:val="000000"/>
              </w:rPr>
            </w:pPr>
          </w:p>
        </w:tc>
      </w:tr>
    </w:tbl>
    <w:p w:rsidR="00F768B0" w:rsidRPr="00884D10" w:rsidRDefault="00F768B0" w:rsidP="00F768B0">
      <w:pPr>
        <w:widowControl w:val="0"/>
        <w:ind w:right="238"/>
        <w:rPr>
          <w:iCs/>
        </w:rPr>
      </w:pPr>
    </w:p>
    <w:p w:rsidR="00F768B0" w:rsidRPr="00884D10" w:rsidRDefault="00F768B0" w:rsidP="00F768B0">
      <w:pPr>
        <w:jc w:val="center"/>
        <w:rPr>
          <w:b/>
        </w:rPr>
      </w:pPr>
      <w:r w:rsidRPr="00884D10">
        <w:rPr>
          <w:b/>
        </w:rPr>
        <w:t>Table 25: Annual emissions from fire (tonnes CO</w:t>
      </w:r>
      <w:r w:rsidRPr="00884D10">
        <w:rPr>
          <w:b/>
          <w:vertAlign w:val="subscript"/>
        </w:rPr>
        <w:t>2</w:t>
      </w:r>
      <w:r w:rsidRPr="00884D10">
        <w:rPr>
          <w:b/>
        </w:rPr>
        <w:t>-e)</w:t>
      </w:r>
    </w:p>
    <w:p w:rsidR="00F768B0" w:rsidRPr="00884D10" w:rsidRDefault="00F768B0" w:rsidP="00F768B0">
      <w:pPr>
        <w:jc w:val="center"/>
        <w:rPr>
          <w:b/>
        </w:rPr>
      </w:pPr>
    </w:p>
    <w:tbl>
      <w:tblPr>
        <w:tblW w:w="3431" w:type="dxa"/>
        <w:jc w:val="center"/>
        <w:tblLook w:val="04A0" w:firstRow="1" w:lastRow="0" w:firstColumn="1" w:lastColumn="0" w:noHBand="0" w:noVBand="1"/>
      </w:tblPr>
      <w:tblGrid>
        <w:gridCol w:w="1256"/>
        <w:gridCol w:w="2175"/>
      </w:tblGrid>
      <w:tr w:rsidR="00F768B0" w:rsidRPr="00884D10" w:rsidTr="00C83E03">
        <w:trPr>
          <w:trHeight w:val="600"/>
          <w:jc w:val="center"/>
        </w:trPr>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F768B0" w:rsidRPr="00884D10" w:rsidRDefault="00F768B0" w:rsidP="00C83E03">
            <w:pPr>
              <w:jc w:val="center"/>
              <w:rPr>
                <w:b/>
                <w:bCs/>
                <w:color w:val="000000"/>
              </w:rPr>
            </w:pPr>
            <w:r w:rsidRPr="00884D10">
              <w:rPr>
                <w:b/>
                <w:bCs/>
                <w:color w:val="000000"/>
              </w:rPr>
              <w:t>Year</w:t>
            </w:r>
          </w:p>
        </w:tc>
        <w:tc>
          <w:tcPr>
            <w:tcW w:w="2175" w:type="dxa"/>
            <w:tcBorders>
              <w:top w:val="single" w:sz="4" w:space="0" w:color="auto"/>
              <w:left w:val="nil"/>
              <w:bottom w:val="single" w:sz="4" w:space="0" w:color="auto"/>
              <w:right w:val="single" w:sz="4" w:space="0" w:color="auto"/>
            </w:tcBorders>
            <w:shd w:val="clear" w:color="auto" w:fill="auto"/>
            <w:vAlign w:val="center"/>
          </w:tcPr>
          <w:p w:rsidR="00F768B0" w:rsidRPr="00884D10" w:rsidRDefault="00F768B0" w:rsidP="00C83E03">
            <w:pPr>
              <w:spacing w:before="240"/>
              <w:jc w:val="center"/>
              <w:rPr>
                <w:b/>
                <w:bCs/>
                <w:color w:val="000000"/>
              </w:rPr>
            </w:pPr>
            <w:r w:rsidRPr="00884D10">
              <w:rPr>
                <w:b/>
                <w:bCs/>
                <w:color w:val="000000"/>
              </w:rPr>
              <w:t>Annual project emissions (</w:t>
            </w:r>
            <w:r w:rsidRPr="00884D10">
              <w:rPr>
                <w:b/>
              </w:rPr>
              <w:t>E</w:t>
            </w:r>
            <w:r w:rsidRPr="00884D10">
              <w:rPr>
                <w:b/>
                <w:vertAlign w:val="subscript"/>
              </w:rPr>
              <w:t>fire</w:t>
            </w:r>
            <w:r w:rsidRPr="00884D10">
              <w:rPr>
                <w:b/>
              </w:rPr>
              <w:t>CO</w:t>
            </w:r>
            <w:r w:rsidRPr="00884D10">
              <w:rPr>
                <w:b/>
                <w:vertAlign w:val="subscript"/>
              </w:rPr>
              <w:t>2</w:t>
            </w:r>
            <w:r w:rsidRPr="00884D10">
              <w:rPr>
                <w:b/>
              </w:rPr>
              <w:t>-e)</w:t>
            </w:r>
          </w:p>
        </w:tc>
      </w:tr>
      <w:tr w:rsidR="00F768B0" w:rsidRPr="00884D10" w:rsidTr="00C83E03">
        <w:trPr>
          <w:trHeight w:val="600"/>
          <w:jc w:val="center"/>
        </w:trPr>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F768B0" w:rsidRPr="00884D10" w:rsidRDefault="00F768B0" w:rsidP="00C83E03">
            <w:pPr>
              <w:jc w:val="center"/>
              <w:rPr>
                <w:b/>
                <w:bCs/>
                <w:color w:val="000000"/>
              </w:rPr>
            </w:pPr>
          </w:p>
        </w:tc>
        <w:tc>
          <w:tcPr>
            <w:tcW w:w="2175" w:type="dxa"/>
            <w:tcBorders>
              <w:top w:val="single" w:sz="4" w:space="0" w:color="auto"/>
              <w:left w:val="nil"/>
              <w:bottom w:val="single" w:sz="4" w:space="0" w:color="auto"/>
              <w:right w:val="single" w:sz="4" w:space="0" w:color="auto"/>
            </w:tcBorders>
            <w:shd w:val="clear" w:color="auto" w:fill="auto"/>
            <w:vAlign w:val="center"/>
          </w:tcPr>
          <w:p w:rsidR="00F768B0" w:rsidRPr="00884D10" w:rsidRDefault="00F768B0" w:rsidP="00C83E03">
            <w:pPr>
              <w:jc w:val="center"/>
              <w:rPr>
                <w:b/>
                <w:bCs/>
                <w:color w:val="000000"/>
              </w:rPr>
            </w:pPr>
          </w:p>
        </w:tc>
      </w:tr>
    </w:tbl>
    <w:p w:rsidR="00F768B0" w:rsidRPr="00884D10" w:rsidRDefault="00F768B0" w:rsidP="00F768B0">
      <w:pPr>
        <w:widowControl w:val="0"/>
        <w:ind w:right="238"/>
        <w:rPr>
          <w:iCs/>
        </w:rPr>
      </w:pPr>
    </w:p>
    <w:p w:rsidR="00F768B0" w:rsidRPr="00884D10" w:rsidRDefault="00F768B0" w:rsidP="00F768B0">
      <w:pPr>
        <w:jc w:val="center"/>
        <w:rPr>
          <w:b/>
        </w:rPr>
      </w:pPr>
      <w:r w:rsidRPr="00884D10">
        <w:rPr>
          <w:b/>
        </w:rPr>
        <w:t>Table 28: Net annual project abatement (tonnes CO</w:t>
      </w:r>
      <w:r w:rsidRPr="00884D10">
        <w:rPr>
          <w:b/>
          <w:vertAlign w:val="subscript"/>
        </w:rPr>
        <w:t>2</w:t>
      </w:r>
      <w:r w:rsidRPr="00884D10">
        <w:rPr>
          <w:b/>
        </w:rPr>
        <w:t>-e)</w:t>
      </w:r>
    </w:p>
    <w:p w:rsidR="00F768B0" w:rsidRPr="00884D10" w:rsidRDefault="00F768B0" w:rsidP="00F768B0">
      <w:pPr>
        <w:jc w:val="center"/>
        <w:rPr>
          <w:b/>
        </w:rPr>
      </w:pPr>
    </w:p>
    <w:tbl>
      <w:tblPr>
        <w:tblW w:w="2844" w:type="dxa"/>
        <w:jc w:val="center"/>
        <w:tblLook w:val="04A0" w:firstRow="1" w:lastRow="0" w:firstColumn="1" w:lastColumn="0" w:noHBand="0" w:noVBand="1"/>
      </w:tblPr>
      <w:tblGrid>
        <w:gridCol w:w="1223"/>
        <w:gridCol w:w="1621"/>
      </w:tblGrid>
      <w:tr w:rsidR="00F768B0" w:rsidRPr="00884D10" w:rsidTr="00C83E03">
        <w:trPr>
          <w:trHeight w:val="600"/>
          <w:jc w:val="center"/>
        </w:trPr>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F768B0" w:rsidRPr="00884D10" w:rsidRDefault="00F768B0" w:rsidP="00C83E03">
            <w:pPr>
              <w:jc w:val="center"/>
              <w:rPr>
                <w:b/>
                <w:bCs/>
                <w:color w:val="000000"/>
              </w:rPr>
            </w:pPr>
            <w:r w:rsidRPr="00884D10">
              <w:rPr>
                <w:b/>
                <w:bCs/>
                <w:color w:val="000000"/>
              </w:rPr>
              <w:t>Year</w:t>
            </w:r>
          </w:p>
        </w:tc>
        <w:tc>
          <w:tcPr>
            <w:tcW w:w="1621" w:type="dxa"/>
            <w:tcBorders>
              <w:top w:val="single" w:sz="4" w:space="0" w:color="auto"/>
              <w:left w:val="nil"/>
              <w:bottom w:val="single" w:sz="4" w:space="0" w:color="auto"/>
              <w:right w:val="single" w:sz="4" w:space="0" w:color="auto"/>
            </w:tcBorders>
            <w:shd w:val="clear" w:color="auto" w:fill="auto"/>
            <w:vAlign w:val="center"/>
          </w:tcPr>
          <w:p w:rsidR="00F768B0" w:rsidRPr="00884D10" w:rsidRDefault="00F768B0" w:rsidP="00C83E03">
            <w:pPr>
              <w:jc w:val="center"/>
              <w:rPr>
                <w:b/>
                <w:bCs/>
                <w:color w:val="000000"/>
              </w:rPr>
            </w:pPr>
            <w:r w:rsidRPr="00884D10">
              <w:rPr>
                <w:b/>
                <w:bCs/>
                <w:color w:val="000000"/>
              </w:rPr>
              <w:t>Net annual project abatement (</w:t>
            </w:r>
            <w:r w:rsidRPr="00884D10">
              <w:rPr>
                <w:b/>
              </w:rPr>
              <w:t>A</w:t>
            </w:r>
            <w:r w:rsidRPr="00884D10">
              <w:rPr>
                <w:b/>
                <w:vertAlign w:val="subscript"/>
              </w:rPr>
              <w:t>net</w:t>
            </w:r>
            <w:r w:rsidRPr="00884D10">
              <w:rPr>
                <w:b/>
              </w:rPr>
              <w:t>CO</w:t>
            </w:r>
            <w:r w:rsidRPr="00884D10">
              <w:rPr>
                <w:b/>
                <w:vertAlign w:val="subscript"/>
              </w:rPr>
              <w:t>2</w:t>
            </w:r>
            <w:r w:rsidRPr="00884D10">
              <w:rPr>
                <w:b/>
              </w:rPr>
              <w:t>-e)</w:t>
            </w:r>
          </w:p>
        </w:tc>
      </w:tr>
      <w:tr w:rsidR="00F768B0" w:rsidRPr="00884D10" w:rsidTr="00C83E03">
        <w:trPr>
          <w:trHeight w:val="600"/>
          <w:jc w:val="center"/>
        </w:trPr>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F768B0" w:rsidRPr="00884D10" w:rsidRDefault="00F768B0" w:rsidP="00C83E03">
            <w:pPr>
              <w:jc w:val="center"/>
              <w:rPr>
                <w:b/>
                <w:bCs/>
                <w:color w:val="000000"/>
              </w:rPr>
            </w:pPr>
          </w:p>
        </w:tc>
        <w:tc>
          <w:tcPr>
            <w:tcW w:w="1621" w:type="dxa"/>
            <w:tcBorders>
              <w:top w:val="single" w:sz="4" w:space="0" w:color="auto"/>
              <w:left w:val="nil"/>
              <w:bottom w:val="single" w:sz="4" w:space="0" w:color="auto"/>
              <w:right w:val="single" w:sz="4" w:space="0" w:color="auto"/>
            </w:tcBorders>
            <w:shd w:val="clear" w:color="auto" w:fill="auto"/>
            <w:vAlign w:val="center"/>
          </w:tcPr>
          <w:p w:rsidR="00F768B0" w:rsidRPr="00884D10" w:rsidRDefault="00F768B0" w:rsidP="00C83E03">
            <w:pPr>
              <w:jc w:val="center"/>
              <w:rPr>
                <w:b/>
                <w:bCs/>
                <w:color w:val="000000"/>
              </w:rPr>
            </w:pPr>
          </w:p>
        </w:tc>
      </w:tr>
    </w:tbl>
    <w:p w:rsidR="005F6C34" w:rsidRDefault="005F6C34" w:rsidP="00F768B0">
      <w:pPr>
        <w:pStyle w:val="NoteEnd"/>
        <w:pBdr>
          <w:top w:val="single" w:sz="4" w:space="3" w:color="auto"/>
        </w:pBdr>
        <w:spacing w:before="480"/>
        <w:ind w:left="0" w:firstLine="0"/>
        <w:rPr>
          <w:rFonts w:ascii="Arial" w:hAnsi="Arial"/>
          <w:b/>
          <w:sz w:val="24"/>
        </w:rPr>
      </w:pPr>
    </w:p>
    <w:p w:rsidR="00F768B0" w:rsidRPr="00884D10" w:rsidRDefault="00F768B0" w:rsidP="00F768B0">
      <w:pPr>
        <w:pStyle w:val="NoteEnd"/>
        <w:pBdr>
          <w:top w:val="single" w:sz="4" w:space="3" w:color="auto"/>
        </w:pBdr>
        <w:spacing w:before="480"/>
        <w:ind w:left="0" w:firstLine="0"/>
        <w:rPr>
          <w:rFonts w:ascii="Arial" w:hAnsi="Arial"/>
          <w:b/>
          <w:sz w:val="24"/>
        </w:rPr>
      </w:pPr>
      <w:r w:rsidRPr="00884D10">
        <w:rPr>
          <w:rFonts w:ascii="Arial" w:hAnsi="Arial"/>
          <w:b/>
          <w:sz w:val="24"/>
        </w:rPr>
        <w:lastRenderedPageBreak/>
        <w:t>Note</w:t>
      </w:r>
    </w:p>
    <w:p w:rsidR="00F768B0" w:rsidRPr="00FA05A6" w:rsidRDefault="00F768B0" w:rsidP="00F768B0">
      <w:pPr>
        <w:pStyle w:val="NoteEnd"/>
      </w:pPr>
      <w:r w:rsidRPr="00884D10">
        <w:t>1.</w:t>
      </w:r>
      <w:r w:rsidRPr="00884D10">
        <w:tab/>
        <w:t xml:space="preserve">All legislative instruments and compilations are registered on the Federal Register of Legislative Instruments kept under the </w:t>
      </w:r>
      <w:r w:rsidRPr="00884D10">
        <w:rPr>
          <w:i/>
        </w:rPr>
        <w:t xml:space="preserve">Legislative Instruments Act 2003. </w:t>
      </w:r>
      <w:r w:rsidRPr="00884D10">
        <w:t xml:space="preserve">See </w:t>
      </w:r>
      <w:r w:rsidRPr="00884D10">
        <w:rPr>
          <w:u w:val="single"/>
        </w:rPr>
        <w:t>http://www.frli.gov.au</w:t>
      </w:r>
      <w:r w:rsidRPr="00884D10">
        <w:t>.</w:t>
      </w:r>
    </w:p>
    <w:p w:rsidR="005E089C" w:rsidRPr="00F768B0" w:rsidRDefault="005E089C" w:rsidP="00F768B0"/>
    <w:sectPr w:rsidR="005E089C" w:rsidRPr="00F768B0" w:rsidSect="00D55828">
      <w:headerReference w:type="default" r:id="rId11"/>
      <w:footerReference w:type="default" r:id="rId12"/>
      <w:pgSz w:w="11906" w:h="16838"/>
      <w:pgMar w:top="1440" w:right="1440" w:bottom="1440" w:left="1440" w:header="708" w:footer="708"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1">
      <wne:macro wne:macroName="TEMPLATEPROJECT.N_AUTONUMBERED_PARAGRAPHS.N_1_CHAPTER_HEADING"/>
    </wne:keymap>
    <wne:keymap wne:kcmPrimary="0432">
      <wne:macro wne:macroName="TEMPLATEPROJECT.N_AUTONUMBERED_PARAGRAPHS.N_2_PART_HEADING"/>
    </wne:keymap>
    <wne:keymap wne:kcmPrimary="0433">
      <wne:macro wne:macroName="TEMPLATEPROJECT.N_AUTONUMBERED_PARAGRAPHS.N_3_DIVISION_HEADING"/>
    </wne:keymap>
    <wne:keymap wne:kcmPrimary="0434">
      <wne:macro wne:macroName="TEMPLATEPROJECT.N_AUTONUMBERED_PARAGRAPHS.N_4_SUBDIVISION_HEADING"/>
    </wne:keymap>
    <wne:keymap wne:kcmPrimary="0435">
      <wne:macro wne:macroName="TEMPLATEPROJECT.N_AUTONUMBERED_PARAGRAPHS.N_5_SECTION_HEADING"/>
    </wne:keymap>
    <wne:keymap wne:kcmPrimary="0436">
      <wne:macro wne:macroName="TEMPLATEPROJECT.U_UNNUMBERED_PARAGRAPHS.U_SUBSECTION_HEADING"/>
    </wne:keymap>
    <wne:keymap wne:kcmPrimary="0441">
      <wne:macro wne:macroName="TEMPLATEPROJECT.U_UNNUMBERED_PARAGRAPHS.U_UNDIVIDED_SECTION_TEXT"/>
    </wne:keymap>
    <wne:keymap wne:kcmPrimary="0444">
      <wne:macro wne:macroName="TEMPLATEPROJECT.U_UNNUMBERED_PARAGRAPHS.U_DEFINITION"/>
    </wne:keymap>
    <wne:keymap wne:kcmPrimary="0445">
      <wne:macro wne:macroName="TEMPLATEPROJECT.N_AUTONUMBERED_PARAGRAPHS.N_7_PARAGRAPH"/>
    </wne:keymap>
    <wne:keymap wne:kcmPrimary="044E" wne:kcmSecondary="0044">
      <wne:macro wne:macroName="TEMPLATEPROJECT.U_UNNUMBERED_PARAGRAPHS.U_DRAFTERS_NOTE"/>
    </wne:keymap>
    <wne:keymap wne:kcmPrimary="044E" wne:kcmSecondary="0045">
      <wne:macro wne:macroName="TEMPLATEPROJECT.U_UNNUMBERED_PARAGRAPHS.U_PARAGRAPH_NOTE"/>
    </wne:keymap>
    <wne:keymap wne:kcmPrimary="044E" wne:kcmSecondary="0047">
      <wne:macro wne:macroName="NORMAL.NEWMACROS.TEMPORARY_COMMENT"/>
    </wne:keymap>
    <wne:keymap wne:kcmPrimary="044E" wne:kcmSecondary="0051">
      <wne:macro wne:macroName="TEMPLATEPROJECT.U_UNNUMBERED_PARAGRAPHS.U_SECTION_NOTE"/>
    </wne:keymap>
    <wne:keymap wne:kcmPrimary="044E" wne:kcmSecondary="0052">
      <wne:macro wne:macroName="TEMPLATEPROJECT.U_UNNUMBERED_PARAGRAPHS.U_SUBPARAGRAPH_NOTE"/>
    </wne:keymap>
    <wne:keymap wne:kcmPrimary="044E" wne:kcmSecondary="0057">
      <wne:macro wne:macroName="TEMPLATEPROJECT.U_UNNUMBERED_PARAGRAPHS.U_SUBSECTION_NOTE"/>
    </wne:keymap>
    <wne:keymap wne:kcmPrimary="044E" wne:kcmSecondary="0058">
      <wne:macro wne:macroName="TEMPLATEPROJECT.MAIN_FORMAT_AND_NUMBERS.X_REFERENCES"/>
    </wne:keymap>
    <wne:keymap wne:kcmPrimary="044F" wne:kcmSecondary="004E">
      <wne:macro wne:macroName="TEMPLATEPROJECT.FIX_UP_MAIN_NUMBERING.J_FIX_UP_MAIN_NUMBERING"/>
    </wne:keymap>
    <wne:keymap wne:kcmPrimary="044F" wne:kcmSecondary="0050">
      <wne:macro wne:macroName="TEMPLATEPROJECT.C_CLEANUP_MACROS.C_PREPARE_FOR_CLIENT"/>
    </wne:keymap>
    <wne:keymap wne:kcmPrimary="044F" wne:kcmSecondary="0054">
      <wne:macro wne:macroName="TEMPLATEPROJECT.TABLE_OF_CONTENTS.TABLE_OF_CONTENTS"/>
    </wne:keymap>
    <wne:keymap wne:kcmPrimary="0450" wne:kcmSecondary="0045">
      <wne:macro wne:macroName="TEMPLATEPROJECT.U_UNNUMBERED_PARAGRAPHS.U_PARAGRAPH_NOTE_PARA"/>
    </wne:keymap>
    <wne:keymap wne:kcmPrimary="0450" wne:kcmSecondary="0051">
      <wne:macro wne:macroName="TEMPLATEPROJECT.U_UNNUMBERED_PARAGRAPHS.U_SECTION_NOTE_PARA"/>
    </wne:keymap>
    <wne:keymap wne:kcmPrimary="0450" wne:kcmSecondary="0057">
      <wne:macro wne:macroName="TEMPLATEPROJECT.U_UNNUMBERED_PARAGRAPHS.U_SUBSECTION_NOTE_PARA"/>
    </wne:keymap>
    <wne:keymap wne:kcmPrimary="0451">
      <wne:macro wne:macroName="TEMPLATEPROJECT.N_AUTONUMBERED_PARAGRAPHS.N_5_SECTION_HEADING"/>
    </wne:keymap>
    <wne:keymap wne:kcmPrimary="0452">
      <wne:macro wne:macroName="TEMPLATEPROJECT.N_AUTONUMBERED_PARAGRAPHS.N_8_SUB_PARAGRAPH"/>
    </wne:keymap>
    <wne:keymap wne:kcmPrimary="0453">
      <wne:macro wne:macroName="TEMPLATEPROJECT.N_AUTONUMBERED_PARAGRAPHS.N_1_SCHEDULE_HEADING"/>
    </wne:keymap>
    <wne:keymap wne:kcmPrimary="0454">
      <wne:macro wne:macroName="TEMPLATEPROJECT.N_AUTONUMBERED_PARAGRAPHS.N_9_SUBSUB_PARAGRAPH"/>
    </wne:keymap>
    <wne:keymap wne:kcmPrimary="0457">
      <wne:macro wne:macroName="TEMPLATEPROJECT.N_AUTONUMBERED_PARAGRAPHS.N_6_SUBSECTION_TEXT"/>
    </wne:keymap>
    <wne:keymap wne:kcmPrimary="045A" wne:kcmSecondary="0031">
      <wne:acd wne:acdName="acd9"/>
    </wne:keymap>
    <wne:keymap wne:kcmPrimary="045A" wne:kcmSecondary="0032">
      <wne:acd wne:acdName="acd11"/>
    </wne:keymap>
    <wne:keymap wne:kcmPrimary="045A" wne:kcmSecondary="0033">
      <wne:acd wne:acdName="acd13"/>
    </wne:keymap>
    <wne:keymap wne:kcmPrimary="045A" wne:kcmSecondary="0034">
      <wne:acd wne:acdName="acd12"/>
    </wne:keymap>
    <wne:keymap wne:kcmPrimary="045A" wne:kcmSecondary="0035">
      <wne:acd wne:acdName="acd0"/>
    </wne:keymap>
    <wne:keymap wne:kcmPrimary="045A" wne:kcmSecondary="0037">
      <wne:acd wne:acdName="acd14"/>
    </wne:keymap>
    <wne:keymap wne:kcmPrimary="045A" wne:kcmSecondary="0044">
      <wne:acd wne:acdName="acd17"/>
    </wne:keymap>
    <wne:keymap wne:kcmPrimary="045A" wne:kcmSecondary="0045">
      <wne:acd wne:acdName="acd15"/>
    </wne:keymap>
    <wne:keymap wne:kcmPrimary="045A" wne:kcmSecondary="0052">
      <wne:acd wne:acdName="acd16"/>
    </wne:keymap>
    <wne:keymap wne:kcmPrimary="045A" wne:kcmSecondary="0054">
      <wne:acd wne:acdName="acd19"/>
    </wne:keymap>
    <wne:keymap wne:kcmPrimary="1058">
      <wne:macro wne:macroName="TEMPLATEPROJECT.C_CLEANUP_MACROS.C_SET_NUMBERED_PARAS_TO_OUR_STYLES"/>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Manifest>
  </wne:toolbars>
  <wne:acds>
    <wne:acd wne:argValue="AgBoADUAXwBTAGUAYwB0AGkAbwBuAA==" wne:acdName="acd0" wne:fciIndexBasedOn="0065"/>
    <wne:acd wne:acdName="acd1" wne:fciIndexBasedOn="0065"/>
    <wne:acd wne:acdName="acd2" wne:fciIndexBasedOn="0065"/>
    <wne:acd wne:acdName="acd3" wne:fciIndexBasedOn="0065"/>
    <wne:acd wne:acdName="acd4" wne:fciIndexBasedOn="0065"/>
    <wne:acd wne:acdName="acd5" wne:fciIndexBasedOn="0065"/>
    <wne:acd wne:acdName="acd6" wne:fciIndexBasedOn="0065"/>
    <wne:acd wne:acdName="acd7" wne:fciIndexBasedOn="0065"/>
    <wne:acd wne:acdName="acd8" wne:fciIndexBasedOn="0065"/>
    <wne:acd wne:argValue="AgBoADEAXwBDAGgAXwBTAGMAaAA=" wne:acdName="acd9" wne:fciIndexBasedOn="0065"/>
    <wne:acd wne:acdName="acd10" wne:fciIndexBasedOn="0065"/>
    <wne:acd wne:argValue="AgBoADIAXwBQAGEAcgB0AA==" wne:acdName="acd11" wne:fciIndexBasedOn="0065"/>
    <wne:acd wne:argValue="AgBoADQAXwBTAHUAYgBkAGkAdgA=" wne:acdName="acd12" wne:fciIndexBasedOn="0065"/>
    <wne:acd wne:argValue="AgBoADMAXwBEAGkAdgA=" wne:acdName="acd13" wne:fciIndexBasedOn="0065"/>
    <wne:acd wne:argValue="AgBoADcAXwBFAHgAYQBtAHAAbABlAA==" wne:acdName="acd14" wne:fciIndexBasedOn="0065"/>
    <wne:acd wne:argValue="AgB0AF8AUABhAHIAYQA=" wne:acdName="acd15" wne:fciIndexBasedOn="0065"/>
    <wne:acd wne:argValue="AgB0AF8AUwB1AGIAcABhAHIAYQA=" wne:acdName="acd16" wne:fciIndexBasedOn="0065"/>
    <wne:acd wne:argValue="AgB0AF8ARABlAGYAbgA=" wne:acdName="acd17" wne:fciIndexBasedOn="0065"/>
    <wne:acd wne:acdName="acd18" wne:fciIndexBasedOn="0065"/>
    <wne:acd wne:argValue="AgB0AF8AUwB1AGIAcwB1AGIA" wne:acdName="acd1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6A7" w:rsidRDefault="001276A7" w:rsidP="00CD349A">
      <w:r>
        <w:separator/>
      </w:r>
    </w:p>
  </w:endnote>
  <w:endnote w:type="continuationSeparator" w:id="0">
    <w:p w:rsidR="001276A7" w:rsidRDefault="001276A7" w:rsidP="00CD3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6A7" w:rsidRDefault="001276A7" w:rsidP="00D55828">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1276A7" w:rsidTr="005E089C">
      <w:tc>
        <w:tcPr>
          <w:tcW w:w="1134" w:type="dxa"/>
        </w:tcPr>
        <w:p w:rsidR="001276A7" w:rsidRDefault="001276A7" w:rsidP="005E089C">
          <w:pPr>
            <w:spacing w:line="240" w:lineRule="exact"/>
          </w:pPr>
        </w:p>
      </w:tc>
      <w:tc>
        <w:tcPr>
          <w:tcW w:w="6095" w:type="dxa"/>
        </w:tcPr>
        <w:p w:rsidR="001276A7" w:rsidRPr="004F5D6D" w:rsidRDefault="001276A7" w:rsidP="000338C0">
          <w:pPr>
            <w:pStyle w:val="FooterCitation"/>
          </w:pPr>
          <w:r w:rsidRPr="00335777">
            <w:t>Carbon Credits (Carbon Farming Initiative) (</w:t>
          </w:r>
          <w:r w:rsidRPr="00884D10">
            <w:t xml:space="preserve">Reduction of Greenhouse Gas Emissions through Early Dry Season </w:t>
          </w:r>
          <w:proofErr w:type="spellStart"/>
          <w:r w:rsidRPr="00884D10">
            <w:t>Savanna</w:t>
          </w:r>
          <w:proofErr w:type="spellEnd"/>
          <w:r w:rsidRPr="00884D10">
            <w:t xml:space="preserve"> </w:t>
          </w:r>
          <w:r w:rsidRPr="00884D10">
            <w:br/>
            <w:t>Burning—1.1</w:t>
          </w:r>
          <w:r w:rsidRPr="00335777">
            <w:t>) Methodology Determination 2013</w:t>
          </w:r>
        </w:p>
      </w:tc>
      <w:tc>
        <w:tcPr>
          <w:tcW w:w="1134" w:type="dxa"/>
        </w:tcPr>
        <w:p w:rsidR="001276A7" w:rsidRPr="003D7214" w:rsidRDefault="001276A7" w:rsidP="005E089C">
          <w:pPr>
            <w:spacing w:line="240" w:lineRule="exact"/>
            <w:jc w:val="right"/>
            <w:rPr>
              <w:rStyle w:val="PageNumber"/>
              <w:rFonts w:cs="Arial"/>
              <w:szCs w:val="22"/>
            </w:rPr>
          </w:pPr>
          <w:r w:rsidRPr="003D7214">
            <w:rPr>
              <w:rStyle w:val="PageNumber"/>
              <w:rFonts w:cs="Arial"/>
              <w:szCs w:val="22"/>
            </w:rPr>
            <w:fldChar w:fldCharType="begin"/>
          </w:r>
          <w:r w:rsidRPr="003D7214">
            <w:rPr>
              <w:rStyle w:val="PageNumber"/>
              <w:rFonts w:cs="Arial"/>
              <w:szCs w:val="22"/>
            </w:rPr>
            <w:instrText xml:space="preserve">PAGE  </w:instrText>
          </w:r>
          <w:r w:rsidRPr="003D7214">
            <w:rPr>
              <w:rStyle w:val="PageNumber"/>
              <w:rFonts w:cs="Arial"/>
              <w:szCs w:val="22"/>
            </w:rPr>
            <w:fldChar w:fldCharType="separate"/>
          </w:r>
          <w:r w:rsidR="00D70AFE">
            <w:rPr>
              <w:rStyle w:val="PageNumber"/>
              <w:rFonts w:cs="Arial"/>
              <w:noProof/>
              <w:szCs w:val="22"/>
            </w:rPr>
            <w:t>41</w:t>
          </w:r>
          <w:r w:rsidRPr="003D7214">
            <w:rPr>
              <w:rStyle w:val="PageNumber"/>
              <w:rFonts w:cs="Arial"/>
              <w:szCs w:val="22"/>
            </w:rPr>
            <w:fldChar w:fldCharType="end"/>
          </w:r>
        </w:p>
      </w:tc>
    </w:tr>
  </w:tbl>
  <w:p w:rsidR="001276A7" w:rsidRPr="00D55828" w:rsidRDefault="001276A7" w:rsidP="00D558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6A7" w:rsidRDefault="001276A7" w:rsidP="00CD349A">
      <w:r>
        <w:separator/>
      </w:r>
    </w:p>
  </w:footnote>
  <w:footnote w:type="continuationSeparator" w:id="0">
    <w:p w:rsidR="001276A7" w:rsidRDefault="001276A7" w:rsidP="00CD34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6914"/>
      <w:gridCol w:w="1471"/>
    </w:tblGrid>
    <w:tr w:rsidR="001276A7" w:rsidTr="005E089C">
      <w:tc>
        <w:tcPr>
          <w:tcW w:w="6914" w:type="dxa"/>
        </w:tcPr>
        <w:p w:rsidR="001276A7" w:rsidRDefault="001276A7" w:rsidP="005E089C">
          <w:pPr>
            <w:pStyle w:val="HeaderLiteOdd"/>
            <w:tabs>
              <w:tab w:val="clear" w:pos="3969"/>
              <w:tab w:val="clear" w:pos="8505"/>
              <w:tab w:val="left" w:pos="1418"/>
            </w:tabs>
            <w:jc w:val="left"/>
          </w:pPr>
          <w:r>
            <w:fldChar w:fldCharType="begin"/>
          </w:r>
          <w:r>
            <w:instrText xml:space="preserve"> IF </w:instrText>
          </w:r>
          <w:r>
            <w:fldChar w:fldCharType="begin"/>
          </w:r>
          <w:r>
            <w:instrText xml:space="preserve"> STYLEREF  "HC"  \* MERGEFORMAT </w:instrText>
          </w:r>
          <w:r>
            <w:fldChar w:fldCharType="separate"/>
          </w:r>
          <w:r w:rsidR="00D70AFE">
            <w:rPr>
              <w:b/>
              <w:bCs/>
              <w:noProof/>
              <w:lang w:val="en-US"/>
            </w:rPr>
            <w:instrText>Error! No text of specified style in document.</w:instrText>
          </w:r>
          <w:r>
            <w:rPr>
              <w:noProof/>
            </w:rPr>
            <w:fldChar w:fldCharType="end"/>
          </w:r>
          <w:r>
            <w:instrText xml:space="preserve"> &lt;&gt; "Error*"</w:instrText>
          </w:r>
          <w:r>
            <w:fldChar w:fldCharType="begin"/>
          </w:r>
          <w:r>
            <w:instrText xml:space="preserve"> STYLEREF  "HC"  \* MERGEFORMAT </w:instrText>
          </w:r>
          <w:r>
            <w:rPr>
              <w:noProof/>
            </w:rPr>
            <w:fldChar w:fldCharType="end"/>
          </w:r>
          <w:r>
            <w:instrText xml:space="preserve"> \* MERGEFORMAT </w:instrText>
          </w:r>
          <w:r>
            <w:fldChar w:fldCharType="end"/>
          </w:r>
          <w:r>
            <w:br/>
          </w:r>
          <w:r>
            <w:fldChar w:fldCharType="begin"/>
          </w:r>
          <w:r>
            <w:instrText xml:space="preserve"> IF </w:instrText>
          </w:r>
          <w:r>
            <w:fldChar w:fldCharType="begin"/>
          </w:r>
          <w:r>
            <w:instrText xml:space="preserve"> STYLEREF  "HP"  \* MERGEFORMAT </w:instrText>
          </w:r>
          <w:r>
            <w:fldChar w:fldCharType="separate"/>
          </w:r>
          <w:r w:rsidR="00D70AFE">
            <w:rPr>
              <w:b/>
              <w:bCs/>
              <w:noProof/>
              <w:lang w:val="en-US"/>
            </w:rPr>
            <w:instrText>Error! No text of specified style in document.</w:instrText>
          </w:r>
          <w:r>
            <w:rPr>
              <w:noProof/>
            </w:rPr>
            <w:fldChar w:fldCharType="end"/>
          </w:r>
          <w:r>
            <w:instrText xml:space="preserve"> &lt;&gt; "Error*"</w:instrText>
          </w:r>
          <w:fldSimple w:instr=" STYLEREF  &quot;HP&quot;  \* MERGEFORMAT ">
            <w:r>
              <w:rPr>
                <w:noProof/>
              </w:rPr>
              <w:instrText xml:space="preserve">Part </w:instrText>
            </w:r>
            <w:r>
              <w:rPr>
                <w:noProof/>
              </w:rPr>
              <w:tab/>
              <w:instrText>Monitoring, record-keeping and reporting requirements</w:instrText>
            </w:r>
          </w:fldSimple>
          <w:r>
            <w:instrText xml:space="preserve"> \* MERGEFORMAT </w:instrText>
          </w:r>
          <w:r>
            <w:fldChar w:fldCharType="end"/>
          </w:r>
          <w:r>
            <w:br/>
          </w:r>
          <w:r>
            <w:fldChar w:fldCharType="begin"/>
          </w:r>
          <w:r>
            <w:instrText xml:space="preserve"> IF </w:instrText>
          </w:r>
          <w:r>
            <w:fldChar w:fldCharType="begin"/>
          </w:r>
          <w:r>
            <w:instrText xml:space="preserve"> STYLEREF  "HD"  \* MERGEFORMAT </w:instrText>
          </w:r>
          <w:r>
            <w:fldChar w:fldCharType="separate"/>
          </w:r>
          <w:r w:rsidR="00D70AFE">
            <w:rPr>
              <w:b/>
              <w:bCs/>
              <w:noProof/>
              <w:lang w:val="en-US"/>
            </w:rPr>
            <w:instrText>Error! No text of specified style in document.</w:instrText>
          </w:r>
          <w:r>
            <w:rPr>
              <w:noProof/>
            </w:rPr>
            <w:fldChar w:fldCharType="end"/>
          </w:r>
          <w:r>
            <w:instrText xml:space="preserve"> &lt;&gt; "Error*"</w:instrText>
          </w:r>
          <w:fldSimple w:instr=" STYLEREF  &quot;HD&quot;  \* MERGEFORMAT ">
            <w:r>
              <w:rPr>
                <w:noProof/>
              </w:rPr>
              <w:instrText xml:space="preserve">Division </w:instrText>
            </w:r>
            <w:r>
              <w:rPr>
                <w:noProof/>
              </w:rPr>
              <w:tab/>
              <w:instrText>General</w:instrText>
            </w:r>
          </w:fldSimple>
          <w:r>
            <w:instrText xml:space="preserve"> \* MERGEFORMAT </w:instrText>
          </w:r>
          <w:r>
            <w:fldChar w:fldCharType="end"/>
          </w:r>
          <w:r>
            <w:br/>
          </w:r>
        </w:p>
      </w:tc>
      <w:tc>
        <w:tcPr>
          <w:tcW w:w="1471" w:type="dxa"/>
        </w:tcPr>
        <w:p w:rsidR="001276A7" w:rsidRDefault="001276A7" w:rsidP="005E089C">
          <w:pPr>
            <w:pStyle w:val="HeaderLiteOdd"/>
          </w:pPr>
        </w:p>
      </w:tc>
    </w:tr>
    <w:tr w:rsidR="001276A7" w:rsidTr="005E089C">
      <w:tc>
        <w:tcPr>
          <w:tcW w:w="6914" w:type="dxa"/>
        </w:tcPr>
        <w:p w:rsidR="001276A7" w:rsidRDefault="001276A7" w:rsidP="005E089C">
          <w:pPr>
            <w:pStyle w:val="HeaderLiteOdd"/>
            <w:jc w:val="left"/>
          </w:pPr>
        </w:p>
      </w:tc>
      <w:tc>
        <w:tcPr>
          <w:tcW w:w="1471" w:type="dxa"/>
        </w:tcPr>
        <w:p w:rsidR="001276A7" w:rsidRDefault="001276A7" w:rsidP="005E089C">
          <w:pPr>
            <w:pStyle w:val="HeaderLiteOdd"/>
          </w:pPr>
        </w:p>
      </w:tc>
    </w:tr>
    <w:tr w:rsidR="001276A7" w:rsidTr="005E089C">
      <w:tc>
        <w:tcPr>
          <w:tcW w:w="8385" w:type="dxa"/>
          <w:gridSpan w:val="2"/>
          <w:tcBorders>
            <w:bottom w:val="single" w:sz="4" w:space="0" w:color="auto"/>
          </w:tcBorders>
        </w:tcPr>
        <w:p w:rsidR="001276A7" w:rsidRDefault="001276A7" w:rsidP="005E089C">
          <w:pPr>
            <w:pStyle w:val="HeaderBoldOdd"/>
          </w:pPr>
        </w:p>
      </w:tc>
    </w:tr>
  </w:tbl>
  <w:p w:rsidR="001276A7" w:rsidRDefault="001276A7" w:rsidP="00D5582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134D6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E60E57B6"/>
    <w:lvl w:ilvl="0">
      <w:start w:val="1"/>
      <w:numFmt w:val="decimal"/>
      <w:lvlText w:val="%1."/>
      <w:lvlJc w:val="left"/>
      <w:pPr>
        <w:tabs>
          <w:tab w:val="num" w:pos="1492"/>
        </w:tabs>
        <w:ind w:left="1492" w:hanging="360"/>
      </w:pPr>
    </w:lvl>
  </w:abstractNum>
  <w:abstractNum w:abstractNumId="2">
    <w:nsid w:val="FFFFFF7D"/>
    <w:multiLevelType w:val="singleLevel"/>
    <w:tmpl w:val="EFCAC7DC"/>
    <w:lvl w:ilvl="0">
      <w:start w:val="1"/>
      <w:numFmt w:val="decimal"/>
      <w:lvlText w:val="%1."/>
      <w:lvlJc w:val="left"/>
      <w:pPr>
        <w:tabs>
          <w:tab w:val="num" w:pos="1209"/>
        </w:tabs>
        <w:ind w:left="1209" w:hanging="360"/>
      </w:pPr>
    </w:lvl>
  </w:abstractNum>
  <w:abstractNum w:abstractNumId="3">
    <w:nsid w:val="FFFFFF7E"/>
    <w:multiLevelType w:val="singleLevel"/>
    <w:tmpl w:val="B7EC71CA"/>
    <w:lvl w:ilvl="0">
      <w:start w:val="1"/>
      <w:numFmt w:val="decimal"/>
      <w:lvlText w:val="%1."/>
      <w:lvlJc w:val="left"/>
      <w:pPr>
        <w:tabs>
          <w:tab w:val="num" w:pos="926"/>
        </w:tabs>
        <w:ind w:left="926" w:hanging="360"/>
      </w:pPr>
    </w:lvl>
  </w:abstractNum>
  <w:abstractNum w:abstractNumId="4">
    <w:nsid w:val="FFFFFF7F"/>
    <w:multiLevelType w:val="singleLevel"/>
    <w:tmpl w:val="A90229CA"/>
    <w:lvl w:ilvl="0">
      <w:start w:val="1"/>
      <w:numFmt w:val="decimal"/>
      <w:lvlText w:val="%1."/>
      <w:lvlJc w:val="left"/>
      <w:pPr>
        <w:tabs>
          <w:tab w:val="num" w:pos="643"/>
        </w:tabs>
        <w:ind w:left="643" w:hanging="360"/>
      </w:pPr>
    </w:lvl>
  </w:abstractNum>
  <w:abstractNum w:abstractNumId="5">
    <w:nsid w:val="FFFFFF80"/>
    <w:multiLevelType w:val="singleLevel"/>
    <w:tmpl w:val="AE3E0FA0"/>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6518B97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DF02EDB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96828F2"/>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59A6B502"/>
    <w:lvl w:ilvl="0">
      <w:start w:val="1"/>
      <w:numFmt w:val="decimal"/>
      <w:lvlText w:val="%1."/>
      <w:lvlJc w:val="left"/>
      <w:pPr>
        <w:tabs>
          <w:tab w:val="num" w:pos="360"/>
        </w:tabs>
        <w:ind w:left="360" w:hanging="360"/>
      </w:pPr>
    </w:lvl>
  </w:abstractNum>
  <w:abstractNum w:abstractNumId="10">
    <w:nsid w:val="FFFFFF89"/>
    <w:multiLevelType w:val="singleLevel"/>
    <w:tmpl w:val="C26C5F88"/>
    <w:lvl w:ilvl="0">
      <w:start w:val="1"/>
      <w:numFmt w:val="bullet"/>
      <w:lvlText w:val=""/>
      <w:lvlJc w:val="left"/>
      <w:pPr>
        <w:tabs>
          <w:tab w:val="num" w:pos="360"/>
        </w:tabs>
        <w:ind w:left="360" w:hanging="360"/>
      </w:pPr>
      <w:rPr>
        <w:rFonts w:ascii="Symbol" w:hAnsi="Symbol" w:hint="default"/>
      </w:rPr>
    </w:lvl>
  </w:abstractNum>
  <w:abstractNum w:abstractNumId="11">
    <w:nsid w:val="01B11C5E"/>
    <w:multiLevelType w:val="multilevel"/>
    <w:tmpl w:val="3E10787A"/>
    <w:lvl w:ilvl="0">
      <w:start w:val="1"/>
      <w:numFmt w:val="decimal"/>
      <w:lvlText w:val="%1"/>
      <w:lvlJc w:val="left"/>
      <w:pPr>
        <w:ind w:left="0" w:firstLine="0"/>
      </w:pPr>
      <w:rPr>
        <w:rFonts w:cs="Times New Roman"/>
      </w:rPr>
    </w:lvl>
    <w:lvl w:ilvl="1">
      <w:start w:val="1"/>
      <w:numFmt w:val="decimal"/>
      <w:lvlRestart w:val="0"/>
      <w:lvlText w:val="%2"/>
      <w:lvlJc w:val="left"/>
      <w:pPr>
        <w:ind w:left="0" w:firstLine="0"/>
      </w:pPr>
      <w:rPr>
        <w:rFonts w:cs="Times New Roman"/>
      </w:rPr>
    </w:lvl>
    <w:lvl w:ilvl="2">
      <w:start w:val="1"/>
      <w:numFmt w:val="decimal"/>
      <w:lvlText w:val="%2.%3"/>
      <w:lvlJc w:val="left"/>
      <w:pPr>
        <w:ind w:left="0" w:firstLine="0"/>
      </w:pPr>
      <w:rPr>
        <w:rFonts w:cs="Times New Roman"/>
      </w:rPr>
    </w:lvl>
    <w:lvl w:ilvl="3">
      <w:start w:val="1"/>
      <w:numFmt w:val="decimal"/>
      <w:lvlText w:val="%2.%3.%4"/>
      <w:lvlJc w:val="left"/>
      <w:pPr>
        <w:ind w:left="1440" w:hanging="1440"/>
      </w:pPr>
      <w:rPr>
        <w:rFonts w:cs="Times New Roman"/>
      </w:rPr>
    </w:lvl>
    <w:lvl w:ilvl="4">
      <w:start w:val="1"/>
      <w:numFmt w:val="decimal"/>
      <w:lvlRestart w:val="2"/>
      <w:lvlText w:val="%2.%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lowerLetter"/>
      <w:lvlText w:val="(%7)"/>
      <w:lvlJc w:val="left"/>
      <w:pPr>
        <w:ind w:left="0" w:firstLine="0"/>
      </w:pPr>
      <w:rPr>
        <w:rFonts w:cs="Times New Roman"/>
      </w:rPr>
    </w:lvl>
    <w:lvl w:ilvl="7">
      <w:start w:val="1"/>
      <w:numFmt w:val="lowerRoman"/>
      <w:lvlText w:val="(%8)"/>
      <w:lvlJc w:val="left"/>
      <w:pPr>
        <w:ind w:left="0" w:firstLine="0"/>
      </w:pPr>
      <w:rPr>
        <w:rFonts w:cs="Times New Roman"/>
      </w:rPr>
    </w:lvl>
    <w:lvl w:ilvl="8">
      <w:start w:val="1"/>
      <w:numFmt w:val="upperLetter"/>
      <w:lvlText w:val="(%9)"/>
      <w:lvlJc w:val="left"/>
      <w:pPr>
        <w:ind w:left="0" w:firstLine="0"/>
      </w:pPr>
      <w:rPr>
        <w:rFonts w:cs="Times New Roman"/>
      </w:rPr>
    </w:lvl>
  </w:abstractNum>
  <w:abstractNum w:abstractNumId="12">
    <w:nsid w:val="08F42685"/>
    <w:multiLevelType w:val="hybridMultilevel"/>
    <w:tmpl w:val="9FB4232C"/>
    <w:lvl w:ilvl="0" w:tplc="423696D4">
      <w:start w:val="1"/>
      <w:numFmt w:val="lowerLetter"/>
      <w:lvlText w:val="(%1)"/>
      <w:lvlJc w:val="left"/>
      <w:pPr>
        <w:ind w:left="1684" w:hanging="360"/>
      </w:pPr>
      <w:rPr>
        <w:rFonts w:cs="Times New Roman" w:hint="default"/>
      </w:rPr>
    </w:lvl>
    <w:lvl w:ilvl="1" w:tplc="0C090019">
      <w:start w:val="1"/>
      <w:numFmt w:val="lowerLetter"/>
      <w:lvlText w:val="%2."/>
      <w:lvlJc w:val="left"/>
      <w:pPr>
        <w:ind w:left="2404" w:hanging="360"/>
      </w:pPr>
      <w:rPr>
        <w:rFonts w:cs="Times New Roman"/>
      </w:rPr>
    </w:lvl>
    <w:lvl w:ilvl="2" w:tplc="0C09001B" w:tentative="1">
      <w:start w:val="1"/>
      <w:numFmt w:val="lowerRoman"/>
      <w:lvlText w:val="%3."/>
      <w:lvlJc w:val="right"/>
      <w:pPr>
        <w:ind w:left="3124" w:hanging="180"/>
      </w:pPr>
      <w:rPr>
        <w:rFonts w:cs="Times New Roman"/>
      </w:rPr>
    </w:lvl>
    <w:lvl w:ilvl="3" w:tplc="0C09000F" w:tentative="1">
      <w:start w:val="1"/>
      <w:numFmt w:val="decimal"/>
      <w:lvlText w:val="%4."/>
      <w:lvlJc w:val="left"/>
      <w:pPr>
        <w:ind w:left="3844" w:hanging="360"/>
      </w:pPr>
      <w:rPr>
        <w:rFonts w:cs="Times New Roman"/>
      </w:rPr>
    </w:lvl>
    <w:lvl w:ilvl="4" w:tplc="0C090019" w:tentative="1">
      <w:start w:val="1"/>
      <w:numFmt w:val="lowerLetter"/>
      <w:lvlText w:val="%5."/>
      <w:lvlJc w:val="left"/>
      <w:pPr>
        <w:ind w:left="4564" w:hanging="360"/>
      </w:pPr>
      <w:rPr>
        <w:rFonts w:cs="Times New Roman"/>
      </w:rPr>
    </w:lvl>
    <w:lvl w:ilvl="5" w:tplc="0C09001B" w:tentative="1">
      <w:start w:val="1"/>
      <w:numFmt w:val="lowerRoman"/>
      <w:lvlText w:val="%6."/>
      <w:lvlJc w:val="right"/>
      <w:pPr>
        <w:ind w:left="5284" w:hanging="180"/>
      </w:pPr>
      <w:rPr>
        <w:rFonts w:cs="Times New Roman"/>
      </w:rPr>
    </w:lvl>
    <w:lvl w:ilvl="6" w:tplc="0C09000F" w:tentative="1">
      <w:start w:val="1"/>
      <w:numFmt w:val="decimal"/>
      <w:lvlText w:val="%7."/>
      <w:lvlJc w:val="left"/>
      <w:pPr>
        <w:ind w:left="6004" w:hanging="360"/>
      </w:pPr>
      <w:rPr>
        <w:rFonts w:cs="Times New Roman"/>
      </w:rPr>
    </w:lvl>
    <w:lvl w:ilvl="7" w:tplc="0C090019" w:tentative="1">
      <w:start w:val="1"/>
      <w:numFmt w:val="lowerLetter"/>
      <w:lvlText w:val="%8."/>
      <w:lvlJc w:val="left"/>
      <w:pPr>
        <w:ind w:left="6724" w:hanging="360"/>
      </w:pPr>
      <w:rPr>
        <w:rFonts w:cs="Times New Roman"/>
      </w:rPr>
    </w:lvl>
    <w:lvl w:ilvl="8" w:tplc="0C09001B" w:tentative="1">
      <w:start w:val="1"/>
      <w:numFmt w:val="lowerRoman"/>
      <w:lvlText w:val="%9."/>
      <w:lvlJc w:val="right"/>
      <w:pPr>
        <w:ind w:left="7444" w:hanging="180"/>
      </w:pPr>
      <w:rPr>
        <w:rFonts w:cs="Times New Roman"/>
      </w:rPr>
    </w:lvl>
  </w:abstractNum>
  <w:abstractNum w:abstractNumId="13">
    <w:nsid w:val="0A0D356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0A452B22"/>
    <w:multiLevelType w:val="multilevel"/>
    <w:tmpl w:val="D868CB18"/>
    <w:lvl w:ilvl="0">
      <w:start w:val="1"/>
      <w:numFmt w:val="decimal"/>
      <w:lvlText w:val="(%1)"/>
      <w:lvlJc w:val="left"/>
      <w:pPr>
        <w:ind w:left="360" w:hanging="360"/>
      </w:pPr>
      <w:rPr>
        <w:rFonts w:cs="Times New Roman" w:hint="default"/>
      </w:rPr>
    </w:lvl>
    <w:lvl w:ilvl="1">
      <w:start w:val="3"/>
      <w:numFmt w:val="decimal"/>
      <w:lvlText w:val="PA.%2."/>
      <w:lvlJc w:val="left"/>
      <w:pPr>
        <w:ind w:left="502" w:hanging="360"/>
      </w:pPr>
      <w:rPr>
        <w:rFonts w:hint="default"/>
        <w:b/>
      </w:rPr>
    </w:lvl>
    <w:lvl w:ilvl="2">
      <w:start w:val="1"/>
      <w:numFmt w:val="decimal"/>
      <w:lvlText w:val="(%3)"/>
      <w:lvlJc w:val="left"/>
      <w:pPr>
        <w:ind w:left="720" w:hanging="720"/>
      </w:pPr>
      <w:rPr>
        <w:rFonts w:cs="Times New Roman" w:hint="default"/>
      </w:rPr>
    </w:lvl>
    <w:lvl w:ilvl="3">
      <w:start w:val="1"/>
      <w:numFmt w:val="lowerLetter"/>
      <w:lvlText w:val="(%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D6629DA"/>
    <w:multiLevelType w:val="multilevel"/>
    <w:tmpl w:val="0C09001F"/>
    <w:name w:val="main numbering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0AC4426"/>
    <w:multiLevelType w:val="hybridMultilevel"/>
    <w:tmpl w:val="6EB0D282"/>
    <w:lvl w:ilvl="0" w:tplc="0C090001">
      <w:start w:val="1"/>
      <w:numFmt w:val="bullet"/>
      <w:lvlText w:val=""/>
      <w:lvlJc w:val="left"/>
      <w:pPr>
        <w:ind w:left="3840" w:hanging="720"/>
      </w:pPr>
      <w:rPr>
        <w:rFonts w:ascii="Symbol" w:hAnsi="Symbol" w:hint="default"/>
      </w:rPr>
    </w:lvl>
    <w:lvl w:ilvl="1" w:tplc="0C090015">
      <w:start w:val="1"/>
      <w:numFmt w:val="upperLetter"/>
      <w:lvlText w:val="%2."/>
      <w:lvlJc w:val="left"/>
      <w:pPr>
        <w:ind w:left="4200" w:hanging="360"/>
      </w:pPr>
    </w:lvl>
    <w:lvl w:ilvl="2" w:tplc="3AF05602">
      <w:start w:val="1"/>
      <w:numFmt w:val="lowerRoman"/>
      <w:lvlText w:val="(%3)"/>
      <w:lvlJc w:val="right"/>
      <w:pPr>
        <w:ind w:left="4920" w:hanging="180"/>
      </w:pPr>
      <w:rPr>
        <w:rFonts w:hint="default"/>
      </w:rPr>
    </w:lvl>
    <w:lvl w:ilvl="3" w:tplc="0C09000F">
      <w:start w:val="1"/>
      <w:numFmt w:val="decimal"/>
      <w:lvlText w:val="%4."/>
      <w:lvlJc w:val="left"/>
      <w:pPr>
        <w:ind w:left="5640" w:hanging="360"/>
      </w:pPr>
    </w:lvl>
    <w:lvl w:ilvl="4" w:tplc="0C090019">
      <w:start w:val="1"/>
      <w:numFmt w:val="lowerLetter"/>
      <w:lvlText w:val="%5."/>
      <w:lvlJc w:val="left"/>
      <w:pPr>
        <w:ind w:left="6360" w:hanging="360"/>
      </w:pPr>
    </w:lvl>
    <w:lvl w:ilvl="5" w:tplc="0C09001B">
      <w:start w:val="1"/>
      <w:numFmt w:val="lowerRoman"/>
      <w:lvlText w:val="%6."/>
      <w:lvlJc w:val="right"/>
      <w:pPr>
        <w:ind w:left="7080" w:hanging="180"/>
      </w:pPr>
    </w:lvl>
    <w:lvl w:ilvl="6" w:tplc="0C09000F">
      <w:start w:val="1"/>
      <w:numFmt w:val="decimal"/>
      <w:lvlText w:val="%7."/>
      <w:lvlJc w:val="left"/>
      <w:pPr>
        <w:ind w:left="7800" w:hanging="360"/>
      </w:pPr>
    </w:lvl>
    <w:lvl w:ilvl="7" w:tplc="0C090019">
      <w:start w:val="1"/>
      <w:numFmt w:val="lowerLetter"/>
      <w:lvlText w:val="%8."/>
      <w:lvlJc w:val="left"/>
      <w:pPr>
        <w:ind w:left="8520" w:hanging="360"/>
      </w:pPr>
    </w:lvl>
    <w:lvl w:ilvl="8" w:tplc="0C09001B">
      <w:start w:val="1"/>
      <w:numFmt w:val="lowerRoman"/>
      <w:lvlText w:val="%9."/>
      <w:lvlJc w:val="right"/>
      <w:pPr>
        <w:ind w:left="9240" w:hanging="180"/>
      </w:pPr>
    </w:lvl>
  </w:abstractNum>
  <w:abstractNum w:abstractNumId="17">
    <w:nsid w:val="11592BF5"/>
    <w:multiLevelType w:val="hybridMultilevel"/>
    <w:tmpl w:val="8D163170"/>
    <w:lvl w:ilvl="0" w:tplc="2F0085AC">
      <w:start w:val="1"/>
      <w:numFmt w:val="lowerLetter"/>
      <w:lvlText w:val="(%1)"/>
      <w:lvlJc w:val="left"/>
      <w:pPr>
        <w:ind w:left="2064" w:hanging="360"/>
      </w:pPr>
      <w:rPr>
        <w:rFonts w:hint="default"/>
      </w:rPr>
    </w:lvl>
    <w:lvl w:ilvl="1" w:tplc="0C090019" w:tentative="1">
      <w:start w:val="1"/>
      <w:numFmt w:val="lowerLetter"/>
      <w:lvlText w:val="%2."/>
      <w:lvlJc w:val="left"/>
      <w:pPr>
        <w:ind w:left="2784" w:hanging="360"/>
      </w:pPr>
    </w:lvl>
    <w:lvl w:ilvl="2" w:tplc="0C09001B" w:tentative="1">
      <w:start w:val="1"/>
      <w:numFmt w:val="lowerRoman"/>
      <w:lvlText w:val="%3."/>
      <w:lvlJc w:val="right"/>
      <w:pPr>
        <w:ind w:left="3504" w:hanging="180"/>
      </w:pPr>
    </w:lvl>
    <w:lvl w:ilvl="3" w:tplc="0C09000F" w:tentative="1">
      <w:start w:val="1"/>
      <w:numFmt w:val="decimal"/>
      <w:lvlText w:val="%4."/>
      <w:lvlJc w:val="left"/>
      <w:pPr>
        <w:ind w:left="4224" w:hanging="360"/>
      </w:pPr>
    </w:lvl>
    <w:lvl w:ilvl="4" w:tplc="0C090019" w:tentative="1">
      <w:start w:val="1"/>
      <w:numFmt w:val="lowerLetter"/>
      <w:lvlText w:val="%5."/>
      <w:lvlJc w:val="left"/>
      <w:pPr>
        <w:ind w:left="4944" w:hanging="360"/>
      </w:pPr>
    </w:lvl>
    <w:lvl w:ilvl="5" w:tplc="0C09001B" w:tentative="1">
      <w:start w:val="1"/>
      <w:numFmt w:val="lowerRoman"/>
      <w:lvlText w:val="%6."/>
      <w:lvlJc w:val="right"/>
      <w:pPr>
        <w:ind w:left="5664" w:hanging="180"/>
      </w:pPr>
    </w:lvl>
    <w:lvl w:ilvl="6" w:tplc="0C09000F" w:tentative="1">
      <w:start w:val="1"/>
      <w:numFmt w:val="decimal"/>
      <w:lvlText w:val="%7."/>
      <w:lvlJc w:val="left"/>
      <w:pPr>
        <w:ind w:left="6384" w:hanging="360"/>
      </w:pPr>
    </w:lvl>
    <w:lvl w:ilvl="7" w:tplc="0C090019" w:tentative="1">
      <w:start w:val="1"/>
      <w:numFmt w:val="lowerLetter"/>
      <w:lvlText w:val="%8."/>
      <w:lvlJc w:val="left"/>
      <w:pPr>
        <w:ind w:left="7104" w:hanging="360"/>
      </w:pPr>
    </w:lvl>
    <w:lvl w:ilvl="8" w:tplc="0C09001B" w:tentative="1">
      <w:start w:val="1"/>
      <w:numFmt w:val="lowerRoman"/>
      <w:lvlText w:val="%9."/>
      <w:lvlJc w:val="right"/>
      <w:pPr>
        <w:ind w:left="7824" w:hanging="180"/>
      </w:pPr>
    </w:lvl>
  </w:abstractNum>
  <w:abstractNum w:abstractNumId="18">
    <w:nsid w:val="11B17281"/>
    <w:multiLevelType w:val="multilevel"/>
    <w:tmpl w:val="D33EA9EE"/>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9">
    <w:nsid w:val="12615813"/>
    <w:multiLevelType w:val="hybridMultilevel"/>
    <w:tmpl w:val="2DC654AE"/>
    <w:lvl w:ilvl="0" w:tplc="64CC83A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64CC83A2">
      <w:start w:val="1"/>
      <w:numFmt w:val="bullet"/>
      <w:lvlText w:val="-"/>
      <w:lvlJc w:val="left"/>
      <w:pPr>
        <w:ind w:left="2160" w:hanging="360"/>
      </w:pPr>
      <w:rPr>
        <w:rFonts w:ascii="Courier New" w:hAnsi="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14537B56"/>
    <w:multiLevelType w:val="hybridMultilevel"/>
    <w:tmpl w:val="407C5FE6"/>
    <w:lvl w:ilvl="0" w:tplc="0C090001">
      <w:start w:val="1"/>
      <w:numFmt w:val="bullet"/>
      <w:lvlText w:val=""/>
      <w:lvlJc w:val="left"/>
      <w:pPr>
        <w:ind w:left="2418" w:hanging="360"/>
      </w:pPr>
      <w:rPr>
        <w:rFonts w:ascii="Symbol" w:hAnsi="Symbol" w:hint="default"/>
      </w:rPr>
    </w:lvl>
    <w:lvl w:ilvl="1" w:tplc="0C090003" w:tentative="1">
      <w:start w:val="1"/>
      <w:numFmt w:val="bullet"/>
      <w:lvlText w:val="o"/>
      <w:lvlJc w:val="left"/>
      <w:pPr>
        <w:ind w:left="3138" w:hanging="360"/>
      </w:pPr>
      <w:rPr>
        <w:rFonts w:ascii="Courier New" w:hAnsi="Courier New" w:cs="Courier New" w:hint="default"/>
      </w:rPr>
    </w:lvl>
    <w:lvl w:ilvl="2" w:tplc="0C090005" w:tentative="1">
      <w:start w:val="1"/>
      <w:numFmt w:val="bullet"/>
      <w:lvlText w:val=""/>
      <w:lvlJc w:val="left"/>
      <w:pPr>
        <w:ind w:left="3858" w:hanging="360"/>
      </w:pPr>
      <w:rPr>
        <w:rFonts w:ascii="Wingdings" w:hAnsi="Wingdings" w:hint="default"/>
      </w:rPr>
    </w:lvl>
    <w:lvl w:ilvl="3" w:tplc="0C090001" w:tentative="1">
      <w:start w:val="1"/>
      <w:numFmt w:val="bullet"/>
      <w:lvlText w:val=""/>
      <w:lvlJc w:val="left"/>
      <w:pPr>
        <w:ind w:left="4578" w:hanging="360"/>
      </w:pPr>
      <w:rPr>
        <w:rFonts w:ascii="Symbol" w:hAnsi="Symbol" w:hint="default"/>
      </w:rPr>
    </w:lvl>
    <w:lvl w:ilvl="4" w:tplc="0C090003" w:tentative="1">
      <w:start w:val="1"/>
      <w:numFmt w:val="bullet"/>
      <w:lvlText w:val="o"/>
      <w:lvlJc w:val="left"/>
      <w:pPr>
        <w:ind w:left="5298" w:hanging="360"/>
      </w:pPr>
      <w:rPr>
        <w:rFonts w:ascii="Courier New" w:hAnsi="Courier New" w:cs="Courier New" w:hint="default"/>
      </w:rPr>
    </w:lvl>
    <w:lvl w:ilvl="5" w:tplc="0C090005" w:tentative="1">
      <w:start w:val="1"/>
      <w:numFmt w:val="bullet"/>
      <w:lvlText w:val=""/>
      <w:lvlJc w:val="left"/>
      <w:pPr>
        <w:ind w:left="6018" w:hanging="360"/>
      </w:pPr>
      <w:rPr>
        <w:rFonts w:ascii="Wingdings" w:hAnsi="Wingdings" w:hint="default"/>
      </w:rPr>
    </w:lvl>
    <w:lvl w:ilvl="6" w:tplc="0C090001" w:tentative="1">
      <w:start w:val="1"/>
      <w:numFmt w:val="bullet"/>
      <w:lvlText w:val=""/>
      <w:lvlJc w:val="left"/>
      <w:pPr>
        <w:ind w:left="6738" w:hanging="360"/>
      </w:pPr>
      <w:rPr>
        <w:rFonts w:ascii="Symbol" w:hAnsi="Symbol" w:hint="default"/>
      </w:rPr>
    </w:lvl>
    <w:lvl w:ilvl="7" w:tplc="0C090003" w:tentative="1">
      <w:start w:val="1"/>
      <w:numFmt w:val="bullet"/>
      <w:lvlText w:val="o"/>
      <w:lvlJc w:val="left"/>
      <w:pPr>
        <w:ind w:left="7458" w:hanging="360"/>
      </w:pPr>
      <w:rPr>
        <w:rFonts w:ascii="Courier New" w:hAnsi="Courier New" w:cs="Courier New" w:hint="default"/>
      </w:rPr>
    </w:lvl>
    <w:lvl w:ilvl="8" w:tplc="0C090005" w:tentative="1">
      <w:start w:val="1"/>
      <w:numFmt w:val="bullet"/>
      <w:lvlText w:val=""/>
      <w:lvlJc w:val="left"/>
      <w:pPr>
        <w:ind w:left="8178" w:hanging="360"/>
      </w:pPr>
      <w:rPr>
        <w:rFonts w:ascii="Wingdings" w:hAnsi="Wingdings" w:hint="default"/>
      </w:rPr>
    </w:lvl>
  </w:abstractNum>
  <w:abstractNum w:abstractNumId="21">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21EF0895"/>
    <w:multiLevelType w:val="hybridMultilevel"/>
    <w:tmpl w:val="594C3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24FE4E24"/>
    <w:multiLevelType w:val="hybridMultilevel"/>
    <w:tmpl w:val="E4D0C69C"/>
    <w:lvl w:ilvl="0" w:tplc="AB94CA8C">
      <w:start w:val="1"/>
      <w:numFmt w:val="lowerLetter"/>
      <w:lvlText w:val="(%1)"/>
      <w:lvlJc w:val="left"/>
      <w:pPr>
        <w:ind w:left="1324" w:hanging="36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24">
    <w:nsid w:val="252F2400"/>
    <w:multiLevelType w:val="hybridMultilevel"/>
    <w:tmpl w:val="FD9AC962"/>
    <w:lvl w:ilvl="0" w:tplc="A8D46982">
      <w:start w:val="1"/>
      <w:numFmt w:val="lowerLetter"/>
      <w:lvlText w:val="(%1)"/>
      <w:lvlJc w:val="left"/>
      <w:pPr>
        <w:ind w:left="1684" w:hanging="360"/>
      </w:pPr>
      <w:rPr>
        <w:rFonts w:hint="default"/>
      </w:r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25">
    <w:nsid w:val="2B25609B"/>
    <w:multiLevelType w:val="multilevel"/>
    <w:tmpl w:val="7174DE74"/>
    <w:lvl w:ilvl="0">
      <w:start w:val="1"/>
      <w:numFmt w:val="decimal"/>
      <w:lvlText w:val="(%1)"/>
      <w:lvlJc w:val="left"/>
      <w:pPr>
        <w:ind w:left="360" w:hanging="360"/>
      </w:pPr>
      <w:rPr>
        <w:rFonts w:cs="Times New Roman" w:hint="default"/>
      </w:rPr>
    </w:lvl>
    <w:lvl w:ilvl="1">
      <w:start w:val="1"/>
      <w:numFmt w:val="decimal"/>
      <w:lvlText w:val="4.%2"/>
      <w:lvlJc w:val="left"/>
      <w:pPr>
        <w:ind w:left="502" w:hanging="360"/>
      </w:pPr>
      <w:rPr>
        <w:rFonts w:hint="default"/>
        <w:b/>
      </w:rPr>
    </w:lvl>
    <w:lvl w:ilvl="2">
      <w:start w:val="1"/>
      <w:numFmt w:val="decimal"/>
      <w:lvlText w:val="(%3)"/>
      <w:lvlJc w:val="left"/>
      <w:pPr>
        <w:ind w:left="720" w:hanging="720"/>
      </w:pPr>
      <w:rPr>
        <w:rFonts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38A3023A"/>
    <w:multiLevelType w:val="hybridMultilevel"/>
    <w:tmpl w:val="940C00D8"/>
    <w:lvl w:ilvl="0" w:tplc="5BDC773C">
      <w:start w:val="1"/>
      <w:numFmt w:val="lowerLetter"/>
      <w:lvlText w:val="(%1)"/>
      <w:lvlJc w:val="left"/>
      <w:pPr>
        <w:ind w:left="1704" w:hanging="444"/>
      </w:pPr>
      <w:rPr>
        <w:rFonts w:hint="default"/>
      </w:rPr>
    </w:lvl>
    <w:lvl w:ilvl="1" w:tplc="0C090019" w:tentative="1">
      <w:start w:val="1"/>
      <w:numFmt w:val="lowerLetter"/>
      <w:lvlText w:val="%2."/>
      <w:lvlJc w:val="left"/>
      <w:pPr>
        <w:ind w:left="2340" w:hanging="360"/>
      </w:pPr>
    </w:lvl>
    <w:lvl w:ilvl="2" w:tplc="0C09001B" w:tentative="1">
      <w:start w:val="1"/>
      <w:numFmt w:val="lowerRoman"/>
      <w:lvlText w:val="%3."/>
      <w:lvlJc w:val="right"/>
      <w:pPr>
        <w:ind w:left="3060" w:hanging="180"/>
      </w:pPr>
    </w:lvl>
    <w:lvl w:ilvl="3" w:tplc="0C09000F" w:tentative="1">
      <w:start w:val="1"/>
      <w:numFmt w:val="decimal"/>
      <w:lvlText w:val="%4."/>
      <w:lvlJc w:val="left"/>
      <w:pPr>
        <w:ind w:left="3780" w:hanging="360"/>
      </w:pPr>
    </w:lvl>
    <w:lvl w:ilvl="4" w:tplc="0C090019" w:tentative="1">
      <w:start w:val="1"/>
      <w:numFmt w:val="lowerLetter"/>
      <w:lvlText w:val="%5."/>
      <w:lvlJc w:val="left"/>
      <w:pPr>
        <w:ind w:left="4500" w:hanging="360"/>
      </w:pPr>
    </w:lvl>
    <w:lvl w:ilvl="5" w:tplc="0C09001B" w:tentative="1">
      <w:start w:val="1"/>
      <w:numFmt w:val="lowerRoman"/>
      <w:lvlText w:val="%6."/>
      <w:lvlJc w:val="right"/>
      <w:pPr>
        <w:ind w:left="5220" w:hanging="180"/>
      </w:pPr>
    </w:lvl>
    <w:lvl w:ilvl="6" w:tplc="0C09000F" w:tentative="1">
      <w:start w:val="1"/>
      <w:numFmt w:val="decimal"/>
      <w:lvlText w:val="%7."/>
      <w:lvlJc w:val="left"/>
      <w:pPr>
        <w:ind w:left="5940" w:hanging="360"/>
      </w:pPr>
    </w:lvl>
    <w:lvl w:ilvl="7" w:tplc="0C090019" w:tentative="1">
      <w:start w:val="1"/>
      <w:numFmt w:val="lowerLetter"/>
      <w:lvlText w:val="%8."/>
      <w:lvlJc w:val="left"/>
      <w:pPr>
        <w:ind w:left="6660" w:hanging="360"/>
      </w:pPr>
    </w:lvl>
    <w:lvl w:ilvl="8" w:tplc="0C09001B" w:tentative="1">
      <w:start w:val="1"/>
      <w:numFmt w:val="lowerRoman"/>
      <w:lvlText w:val="%9."/>
      <w:lvlJc w:val="right"/>
      <w:pPr>
        <w:ind w:left="7380" w:hanging="180"/>
      </w:pPr>
    </w:lvl>
  </w:abstractNum>
  <w:abstractNum w:abstractNumId="27">
    <w:nsid w:val="39DA2B6F"/>
    <w:multiLevelType w:val="multilevel"/>
    <w:tmpl w:val="ED266EAC"/>
    <w:lvl w:ilvl="0">
      <w:start w:val="1"/>
      <w:numFmt w:val="decimal"/>
      <w:lvlText w:val="(%1)"/>
      <w:lvlJc w:val="left"/>
      <w:pPr>
        <w:ind w:left="360" w:hanging="360"/>
      </w:pPr>
      <w:rPr>
        <w:rFonts w:cs="Times New Roman" w:hint="default"/>
      </w:rPr>
    </w:lvl>
    <w:lvl w:ilvl="1">
      <w:start w:val="3"/>
      <w:numFmt w:val="decimal"/>
      <w:lvlText w:val="PA.%2."/>
      <w:lvlJc w:val="left"/>
      <w:pPr>
        <w:ind w:left="502" w:hanging="360"/>
      </w:pPr>
      <w:rPr>
        <w:rFonts w:hint="default"/>
        <w:b/>
      </w:rPr>
    </w:lvl>
    <w:lvl w:ilvl="2">
      <w:start w:val="1"/>
      <w:numFmt w:val="decimal"/>
      <w:lvlText w:val="(%3)"/>
      <w:lvlJc w:val="left"/>
      <w:pPr>
        <w:ind w:left="720" w:hanging="720"/>
      </w:pPr>
      <w:rPr>
        <w:rFonts w:cs="Times New Roman" w:hint="default"/>
      </w:rPr>
    </w:lvl>
    <w:lvl w:ilvl="3">
      <w:start w:val="1"/>
      <w:numFmt w:val="lowerLetter"/>
      <w:lvlText w:val="(%4)"/>
      <w:lvlJc w:val="left"/>
      <w:pPr>
        <w:ind w:left="720" w:hanging="720"/>
      </w:pPr>
      <w:rPr>
        <w:rFonts w:hint="default"/>
      </w:rPr>
    </w:lvl>
    <w:lvl w:ilvl="4">
      <w:start w:val="1"/>
      <w:numFmt w:val="lowerRoman"/>
      <w:lvlText w:val="(%5)"/>
      <w:lvlJc w:val="righ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3F7D631D"/>
    <w:multiLevelType w:val="hybridMultilevel"/>
    <w:tmpl w:val="29FE50C8"/>
    <w:lvl w:ilvl="0" w:tplc="67742ABA">
      <w:start w:val="1"/>
      <w:numFmt w:val="decimal"/>
      <w:lvlText w:val="(%1)"/>
      <w:lvlJc w:val="left"/>
      <w:pPr>
        <w:ind w:left="1353" w:hanging="360"/>
      </w:pPr>
      <w:rPr>
        <w:rFonts w:cs="Times New Roman" w:hint="default"/>
      </w:rPr>
    </w:lvl>
    <w:lvl w:ilvl="1" w:tplc="9A8EBCA0">
      <w:start w:val="1"/>
      <w:numFmt w:val="lowerLetter"/>
      <w:lvlText w:val="(%2)"/>
      <w:lvlJc w:val="left"/>
      <w:pPr>
        <w:tabs>
          <w:tab w:val="num" w:pos="1440"/>
        </w:tabs>
        <w:ind w:left="1440" w:hanging="360"/>
      </w:pPr>
      <w:rPr>
        <w:rFonts w:cs="Times New Roman" w:hint="default"/>
      </w:rPr>
    </w:lvl>
    <w:lvl w:ilvl="2" w:tplc="0C09001B">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0">
    <w:nsid w:val="447E5B26"/>
    <w:multiLevelType w:val="hybridMultilevel"/>
    <w:tmpl w:val="0A0E15B8"/>
    <w:lvl w:ilvl="0" w:tplc="67742ABA">
      <w:start w:val="1"/>
      <w:numFmt w:val="decimal"/>
      <w:lvlText w:val="(%1)"/>
      <w:lvlJc w:val="left"/>
      <w:pPr>
        <w:ind w:left="1353" w:hanging="360"/>
      </w:pPr>
      <w:rPr>
        <w:rFonts w:cs="Times New Roman" w:hint="default"/>
      </w:rPr>
    </w:lvl>
    <w:lvl w:ilvl="1" w:tplc="9A8EBCA0">
      <w:start w:val="1"/>
      <w:numFmt w:val="lowerLetter"/>
      <w:lvlText w:val="(%2)"/>
      <w:lvlJc w:val="left"/>
      <w:pPr>
        <w:tabs>
          <w:tab w:val="num" w:pos="1440"/>
        </w:tabs>
        <w:ind w:left="1440" w:hanging="360"/>
      </w:pPr>
      <w:rPr>
        <w:rFonts w:cs="Times New Roman" w:hint="default"/>
      </w:rPr>
    </w:lvl>
    <w:lvl w:ilvl="2" w:tplc="C96000F2">
      <w:start w:val="1"/>
      <w:numFmt w:val="lowerRoman"/>
      <w:lvlText w:val="(%3)"/>
      <w:lvlJc w:val="right"/>
      <w:pPr>
        <w:tabs>
          <w:tab w:val="num" w:pos="2160"/>
        </w:tabs>
        <w:ind w:left="2160" w:hanging="180"/>
      </w:pPr>
      <w:rPr>
        <w:rFonts w:hint="default"/>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1">
    <w:nsid w:val="4B5130B8"/>
    <w:multiLevelType w:val="multilevel"/>
    <w:tmpl w:val="0C09001F"/>
    <w:name w:val="main numbering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4CEB298A"/>
    <w:multiLevelType w:val="multilevel"/>
    <w:tmpl w:val="0C09001F"/>
    <w:name w:val="main numbering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4E4D1344"/>
    <w:multiLevelType w:val="hybridMultilevel"/>
    <w:tmpl w:val="8A60EB6C"/>
    <w:lvl w:ilvl="0" w:tplc="64CC83A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4F523846"/>
    <w:multiLevelType w:val="hybridMultilevel"/>
    <w:tmpl w:val="2676D830"/>
    <w:lvl w:ilvl="0" w:tplc="719A9BE2">
      <w:start w:val="1"/>
      <w:numFmt w:val="lowerLetter"/>
      <w:lvlText w:val="(%1)"/>
      <w:lvlJc w:val="left"/>
      <w:pPr>
        <w:ind w:left="1684" w:hanging="360"/>
      </w:pPr>
      <w:rPr>
        <w:rFonts w:hint="default"/>
      </w:rPr>
    </w:lvl>
    <w:lvl w:ilvl="1" w:tplc="719A9BE2">
      <w:start w:val="1"/>
      <w:numFmt w:val="lowerLetter"/>
      <w:lvlText w:val="(%2)"/>
      <w:lvlJc w:val="left"/>
      <w:pPr>
        <w:ind w:left="1440" w:hanging="360"/>
      </w:pPr>
      <w:rPr>
        <w:rFonts w:hint="default"/>
      </w:r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54FB5D34"/>
    <w:multiLevelType w:val="multilevel"/>
    <w:tmpl w:val="7B2E377C"/>
    <w:name w:val="main numbering"/>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decimal"/>
      <w:lvlText w:val="%2.%3.%4"/>
      <w:lvlJc w:val="left"/>
      <w:pPr>
        <w:ind w:left="1440" w:hanging="360"/>
      </w:pPr>
      <w:rPr>
        <w:rFonts w:hint="default"/>
      </w:rPr>
    </w:lvl>
    <w:lvl w:ilvl="4">
      <w:start w:val="1"/>
      <w:numFmt w:val="decimal"/>
      <w:lvlRestart w:val="2"/>
      <w:lvlText w:val="%2.%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upperLetter"/>
      <w:lvlText w:val="(%9)"/>
      <w:lvlJc w:val="left"/>
      <w:pPr>
        <w:ind w:left="3240" w:hanging="360"/>
      </w:pPr>
      <w:rPr>
        <w:rFonts w:hint="default"/>
      </w:rPr>
    </w:lvl>
  </w:abstractNum>
  <w:abstractNum w:abstractNumId="36">
    <w:nsid w:val="55A73502"/>
    <w:multiLevelType w:val="hybridMultilevel"/>
    <w:tmpl w:val="95348210"/>
    <w:lvl w:ilvl="0" w:tplc="423696D4">
      <w:start w:val="1"/>
      <w:numFmt w:val="lowerLetter"/>
      <w:lvlText w:val="(%1)"/>
      <w:lvlJc w:val="left"/>
      <w:pPr>
        <w:ind w:left="1684"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pStyle w:val="Heading6"/>
      <w:lvlText w:val="%6."/>
      <w:lvlJc w:val="right"/>
      <w:pPr>
        <w:tabs>
          <w:tab w:val="num" w:pos="4320"/>
        </w:tabs>
        <w:ind w:left="4320" w:hanging="180"/>
      </w:pPr>
      <w:rPr>
        <w:rFonts w:cs="Times New Roman"/>
      </w:rPr>
    </w:lvl>
    <w:lvl w:ilvl="6" w:tplc="0C09000F" w:tentative="1">
      <w:start w:val="1"/>
      <w:numFmt w:val="decimal"/>
      <w:pStyle w:val="Heading7"/>
      <w:lvlText w:val="%7."/>
      <w:lvlJc w:val="left"/>
      <w:pPr>
        <w:tabs>
          <w:tab w:val="num" w:pos="5040"/>
        </w:tabs>
        <w:ind w:left="5040" w:hanging="360"/>
      </w:pPr>
      <w:rPr>
        <w:rFonts w:cs="Times New Roman"/>
      </w:rPr>
    </w:lvl>
    <w:lvl w:ilvl="7" w:tplc="0C090019" w:tentative="1">
      <w:start w:val="1"/>
      <w:numFmt w:val="lowerLetter"/>
      <w:pStyle w:val="Heading8"/>
      <w:lvlText w:val="%8."/>
      <w:lvlJc w:val="left"/>
      <w:pPr>
        <w:tabs>
          <w:tab w:val="num" w:pos="5760"/>
        </w:tabs>
        <w:ind w:left="5760" w:hanging="360"/>
      </w:pPr>
      <w:rPr>
        <w:rFonts w:cs="Times New Roman"/>
      </w:rPr>
    </w:lvl>
    <w:lvl w:ilvl="8" w:tplc="0C09001B" w:tentative="1">
      <w:start w:val="1"/>
      <w:numFmt w:val="lowerRoman"/>
      <w:pStyle w:val="Heading9"/>
      <w:lvlText w:val="%9."/>
      <w:lvlJc w:val="right"/>
      <w:pPr>
        <w:tabs>
          <w:tab w:val="num" w:pos="6480"/>
        </w:tabs>
        <w:ind w:left="6480" w:hanging="180"/>
      </w:pPr>
      <w:rPr>
        <w:rFonts w:cs="Times New Roman"/>
      </w:rPr>
    </w:lvl>
  </w:abstractNum>
  <w:abstractNum w:abstractNumId="37">
    <w:nsid w:val="5D497FB5"/>
    <w:multiLevelType w:val="hybridMultilevel"/>
    <w:tmpl w:val="7EAABCAA"/>
    <w:lvl w:ilvl="0" w:tplc="80FA77BA">
      <w:start w:val="1"/>
      <w:numFmt w:val="lowerLetter"/>
      <w:lvlText w:val="(%1)"/>
      <w:lvlJc w:val="left"/>
      <w:pPr>
        <w:ind w:left="720" w:hanging="360"/>
      </w:pPr>
      <w:rPr>
        <w:rFonts w:hint="default"/>
        <w:b/>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662204B5"/>
    <w:multiLevelType w:val="hybridMultilevel"/>
    <w:tmpl w:val="A52E4E16"/>
    <w:lvl w:ilvl="0" w:tplc="719A9BE2">
      <w:start w:val="1"/>
      <w:numFmt w:val="lowerLetter"/>
      <w:lvlText w:val="(%1)"/>
      <w:lvlJc w:val="left"/>
      <w:pPr>
        <w:ind w:left="1684" w:hanging="360"/>
      </w:pPr>
      <w:rPr>
        <w:rFonts w:hint="default"/>
      </w:rPr>
    </w:lvl>
    <w:lvl w:ilvl="1" w:tplc="719A9BE2">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D370054"/>
    <w:multiLevelType w:val="hybridMultilevel"/>
    <w:tmpl w:val="64DA88B4"/>
    <w:lvl w:ilvl="0" w:tplc="6D780DB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nsid w:val="7DC96667"/>
    <w:multiLevelType w:val="hybridMultilevel"/>
    <w:tmpl w:val="E0747B30"/>
    <w:lvl w:ilvl="0" w:tplc="719A9BE2">
      <w:start w:val="1"/>
      <w:numFmt w:val="lowerLetter"/>
      <w:lvlText w:val="(%1)"/>
      <w:lvlJc w:val="left"/>
      <w:pPr>
        <w:ind w:left="2988" w:hanging="720"/>
      </w:pPr>
      <w:rPr>
        <w:rFonts w:hint="default"/>
      </w:rPr>
    </w:lvl>
    <w:lvl w:ilvl="1" w:tplc="0C090015">
      <w:start w:val="1"/>
      <w:numFmt w:val="upperLetter"/>
      <w:lvlText w:val="%2."/>
      <w:lvlJc w:val="left"/>
      <w:pPr>
        <w:ind w:left="3348" w:hanging="360"/>
      </w:pPr>
    </w:lvl>
    <w:lvl w:ilvl="2" w:tplc="3AF05602">
      <w:start w:val="1"/>
      <w:numFmt w:val="lowerRoman"/>
      <w:lvlText w:val="(%3)"/>
      <w:lvlJc w:val="right"/>
      <w:pPr>
        <w:ind w:left="4068" w:hanging="180"/>
      </w:pPr>
      <w:rPr>
        <w:rFonts w:hint="default"/>
      </w:rPr>
    </w:lvl>
    <w:lvl w:ilvl="3" w:tplc="0C09000F">
      <w:start w:val="1"/>
      <w:numFmt w:val="decimal"/>
      <w:lvlText w:val="%4."/>
      <w:lvlJc w:val="left"/>
      <w:pPr>
        <w:ind w:left="4788" w:hanging="360"/>
      </w:pPr>
    </w:lvl>
    <w:lvl w:ilvl="4" w:tplc="0C090019">
      <w:start w:val="1"/>
      <w:numFmt w:val="lowerLetter"/>
      <w:lvlText w:val="%5."/>
      <w:lvlJc w:val="left"/>
      <w:pPr>
        <w:ind w:left="5508" w:hanging="360"/>
      </w:pPr>
    </w:lvl>
    <w:lvl w:ilvl="5" w:tplc="0C09001B">
      <w:start w:val="1"/>
      <w:numFmt w:val="lowerRoman"/>
      <w:lvlText w:val="%6."/>
      <w:lvlJc w:val="right"/>
      <w:pPr>
        <w:ind w:left="6228" w:hanging="180"/>
      </w:pPr>
    </w:lvl>
    <w:lvl w:ilvl="6" w:tplc="0C09000F">
      <w:start w:val="1"/>
      <w:numFmt w:val="decimal"/>
      <w:lvlText w:val="%7."/>
      <w:lvlJc w:val="left"/>
      <w:pPr>
        <w:ind w:left="6948" w:hanging="360"/>
      </w:pPr>
    </w:lvl>
    <w:lvl w:ilvl="7" w:tplc="0C090019">
      <w:start w:val="1"/>
      <w:numFmt w:val="lowerLetter"/>
      <w:lvlText w:val="%8."/>
      <w:lvlJc w:val="left"/>
      <w:pPr>
        <w:ind w:left="7668" w:hanging="360"/>
      </w:pPr>
    </w:lvl>
    <w:lvl w:ilvl="8" w:tplc="0C09001B">
      <w:start w:val="1"/>
      <w:numFmt w:val="lowerRoman"/>
      <w:lvlText w:val="%9."/>
      <w:lvlJc w:val="right"/>
      <w:pPr>
        <w:ind w:left="8388" w:hanging="180"/>
      </w:pPr>
    </w:lvl>
  </w:abstractNum>
  <w:num w:numId="1">
    <w:abstractNumId w:val="35"/>
  </w:num>
  <w:num w:numId="2">
    <w:abstractNumId w:val="38"/>
  </w:num>
  <w:num w:numId="3">
    <w:abstractNumId w:val="24"/>
  </w:num>
  <w:num w:numId="4">
    <w:abstractNumId w:val="40"/>
  </w:num>
  <w:num w:numId="5">
    <w:abstractNumId w:val="16"/>
  </w:num>
  <w:num w:numId="6">
    <w:abstractNumId w:val="34"/>
  </w:num>
  <w:num w:numId="7">
    <w:abstractNumId w:val="36"/>
  </w:num>
  <w:num w:numId="8">
    <w:abstractNumId w:val="12"/>
  </w:num>
  <w:num w:numId="9">
    <w:abstractNumId w:val="5"/>
  </w:num>
  <w:num w:numId="10">
    <w:abstractNumId w:val="2"/>
  </w:num>
  <w:num w:numId="11">
    <w:abstractNumId w:val="15"/>
  </w:num>
  <w:num w:numId="12">
    <w:abstractNumId w:val="32"/>
  </w:num>
  <w:num w:numId="13">
    <w:abstractNumId w:val="31"/>
  </w:num>
  <w:num w:numId="14">
    <w:abstractNumId w:val="10"/>
  </w:num>
  <w:num w:numId="15">
    <w:abstractNumId w:val="8"/>
  </w:num>
  <w:num w:numId="16">
    <w:abstractNumId w:val="7"/>
  </w:num>
  <w:num w:numId="17">
    <w:abstractNumId w:val="6"/>
  </w:num>
  <w:num w:numId="18">
    <w:abstractNumId w:val="9"/>
  </w:num>
  <w:num w:numId="19">
    <w:abstractNumId w:val="4"/>
  </w:num>
  <w:num w:numId="20">
    <w:abstractNumId w:val="3"/>
  </w:num>
  <w:num w:numId="21">
    <w:abstractNumId w:val="1"/>
  </w:num>
  <w:num w:numId="22">
    <w:abstractNumId w:val="0"/>
  </w:num>
  <w:num w:numId="23">
    <w:abstractNumId w:val="28"/>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3"/>
  </w:num>
  <w:num w:numId="27">
    <w:abstractNumId w:val="21"/>
  </w:num>
  <w:num w:numId="28">
    <w:abstractNumId w:val="25"/>
  </w:num>
  <w:num w:numId="29">
    <w:abstractNumId w:val="14"/>
  </w:num>
  <w:num w:numId="30">
    <w:abstractNumId w:val="27"/>
  </w:num>
  <w:num w:numId="31">
    <w:abstractNumId w:val="29"/>
  </w:num>
  <w:num w:numId="32">
    <w:abstractNumId w:val="30"/>
  </w:num>
  <w:num w:numId="33">
    <w:abstractNumId w:val="26"/>
  </w:num>
  <w:num w:numId="34">
    <w:abstractNumId w:val="33"/>
  </w:num>
  <w:num w:numId="35">
    <w:abstractNumId w:val="19"/>
  </w:num>
  <w:num w:numId="36">
    <w:abstractNumId w:val="20"/>
  </w:num>
  <w:num w:numId="37">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37"/>
  </w:num>
  <w:num w:numId="40">
    <w:abstractNumId w:val="39"/>
  </w:num>
  <w:num w:numId="41">
    <w:abstractNumId w:val="17"/>
  </w:num>
  <w:num w:numId="42">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357"/>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687"/>
    <w:rsid w:val="00004C07"/>
    <w:rsid w:val="00015C8A"/>
    <w:rsid w:val="00020B4A"/>
    <w:rsid w:val="000338C0"/>
    <w:rsid w:val="000355DA"/>
    <w:rsid w:val="00047F86"/>
    <w:rsid w:val="00054D28"/>
    <w:rsid w:val="000617F0"/>
    <w:rsid w:val="000623AF"/>
    <w:rsid w:val="00067B4C"/>
    <w:rsid w:val="000719C5"/>
    <w:rsid w:val="00071ABA"/>
    <w:rsid w:val="00075201"/>
    <w:rsid w:val="00082C07"/>
    <w:rsid w:val="0009092D"/>
    <w:rsid w:val="0009245B"/>
    <w:rsid w:val="000943AE"/>
    <w:rsid w:val="00097721"/>
    <w:rsid w:val="000A1DD3"/>
    <w:rsid w:val="000A4395"/>
    <w:rsid w:val="000A4B73"/>
    <w:rsid w:val="000B10B3"/>
    <w:rsid w:val="000C3480"/>
    <w:rsid w:val="000C64D9"/>
    <w:rsid w:val="000C78B2"/>
    <w:rsid w:val="000D19CF"/>
    <w:rsid w:val="000D3FCA"/>
    <w:rsid w:val="000D52E8"/>
    <w:rsid w:val="000D7ADD"/>
    <w:rsid w:val="000E11BD"/>
    <w:rsid w:val="000E5DA5"/>
    <w:rsid w:val="000F25CE"/>
    <w:rsid w:val="000F268F"/>
    <w:rsid w:val="000F5EAB"/>
    <w:rsid w:val="001021CE"/>
    <w:rsid w:val="00103469"/>
    <w:rsid w:val="001039E3"/>
    <w:rsid w:val="00104E4D"/>
    <w:rsid w:val="001221B1"/>
    <w:rsid w:val="001276A7"/>
    <w:rsid w:val="00130233"/>
    <w:rsid w:val="001371A8"/>
    <w:rsid w:val="00146C6E"/>
    <w:rsid w:val="00154B52"/>
    <w:rsid w:val="00155A3F"/>
    <w:rsid w:val="00163585"/>
    <w:rsid w:val="001879A5"/>
    <w:rsid w:val="00190146"/>
    <w:rsid w:val="0019197B"/>
    <w:rsid w:val="0019262B"/>
    <w:rsid w:val="00196C56"/>
    <w:rsid w:val="001A1C92"/>
    <w:rsid w:val="001A79D4"/>
    <w:rsid w:val="001A7D69"/>
    <w:rsid w:val="001A7EF9"/>
    <w:rsid w:val="001B0EDE"/>
    <w:rsid w:val="001B0FDC"/>
    <w:rsid w:val="001B17B7"/>
    <w:rsid w:val="001B43F7"/>
    <w:rsid w:val="001C00EC"/>
    <w:rsid w:val="001C21EF"/>
    <w:rsid w:val="001C4586"/>
    <w:rsid w:val="001C46E5"/>
    <w:rsid w:val="001C53C5"/>
    <w:rsid w:val="001C5B60"/>
    <w:rsid w:val="001D10D2"/>
    <w:rsid w:val="001D343C"/>
    <w:rsid w:val="001E07D6"/>
    <w:rsid w:val="001E3621"/>
    <w:rsid w:val="001F0ECE"/>
    <w:rsid w:val="00200C99"/>
    <w:rsid w:val="00204FF5"/>
    <w:rsid w:val="0020602F"/>
    <w:rsid w:val="002079A5"/>
    <w:rsid w:val="002222C0"/>
    <w:rsid w:val="00226638"/>
    <w:rsid w:val="00240387"/>
    <w:rsid w:val="00240E72"/>
    <w:rsid w:val="00243060"/>
    <w:rsid w:val="00251AB0"/>
    <w:rsid w:val="00251FF0"/>
    <w:rsid w:val="0025248F"/>
    <w:rsid w:val="002613FD"/>
    <w:rsid w:val="002619A7"/>
    <w:rsid w:val="00266EC3"/>
    <w:rsid w:val="00274844"/>
    <w:rsid w:val="0028310D"/>
    <w:rsid w:val="0028435A"/>
    <w:rsid w:val="0028554D"/>
    <w:rsid w:val="002874AF"/>
    <w:rsid w:val="00294C36"/>
    <w:rsid w:val="00295FF1"/>
    <w:rsid w:val="00296B04"/>
    <w:rsid w:val="00296BB0"/>
    <w:rsid w:val="002A0734"/>
    <w:rsid w:val="002A23AC"/>
    <w:rsid w:val="002A3DFD"/>
    <w:rsid w:val="002A715D"/>
    <w:rsid w:val="002A792A"/>
    <w:rsid w:val="002B05DE"/>
    <w:rsid w:val="002B3FCD"/>
    <w:rsid w:val="002C2687"/>
    <w:rsid w:val="002C2F7B"/>
    <w:rsid w:val="002D46BC"/>
    <w:rsid w:val="002D6B77"/>
    <w:rsid w:val="002E5877"/>
    <w:rsid w:val="002F7D85"/>
    <w:rsid w:val="00305187"/>
    <w:rsid w:val="003141C8"/>
    <w:rsid w:val="00317F44"/>
    <w:rsid w:val="00320B41"/>
    <w:rsid w:val="003242D9"/>
    <w:rsid w:val="00325010"/>
    <w:rsid w:val="003279DC"/>
    <w:rsid w:val="003305B9"/>
    <w:rsid w:val="00335777"/>
    <w:rsid w:val="0033655F"/>
    <w:rsid w:val="00340A6B"/>
    <w:rsid w:val="00340F5E"/>
    <w:rsid w:val="00346CCC"/>
    <w:rsid w:val="00350190"/>
    <w:rsid w:val="0035089C"/>
    <w:rsid w:val="00357818"/>
    <w:rsid w:val="00357AB6"/>
    <w:rsid w:val="00357F0A"/>
    <w:rsid w:val="00360606"/>
    <w:rsid w:val="00361F86"/>
    <w:rsid w:val="003626B8"/>
    <w:rsid w:val="003650F0"/>
    <w:rsid w:val="0036690A"/>
    <w:rsid w:val="0036772E"/>
    <w:rsid w:val="00370FF3"/>
    <w:rsid w:val="00371133"/>
    <w:rsid w:val="00373147"/>
    <w:rsid w:val="0038655C"/>
    <w:rsid w:val="003873D6"/>
    <w:rsid w:val="0039720F"/>
    <w:rsid w:val="003A5389"/>
    <w:rsid w:val="003B3C38"/>
    <w:rsid w:val="003B533D"/>
    <w:rsid w:val="003B6049"/>
    <w:rsid w:val="003C1036"/>
    <w:rsid w:val="003C4005"/>
    <w:rsid w:val="003D1D52"/>
    <w:rsid w:val="003D3593"/>
    <w:rsid w:val="003E786A"/>
    <w:rsid w:val="00400062"/>
    <w:rsid w:val="004169E9"/>
    <w:rsid w:val="0042214C"/>
    <w:rsid w:val="004256EA"/>
    <w:rsid w:val="0042599E"/>
    <w:rsid w:val="00432C39"/>
    <w:rsid w:val="004331D3"/>
    <w:rsid w:val="00435274"/>
    <w:rsid w:val="004364BD"/>
    <w:rsid w:val="0044066B"/>
    <w:rsid w:val="00442743"/>
    <w:rsid w:val="004466D2"/>
    <w:rsid w:val="00454E8D"/>
    <w:rsid w:val="00460E1D"/>
    <w:rsid w:val="00461FEB"/>
    <w:rsid w:val="00470B08"/>
    <w:rsid w:val="0048041D"/>
    <w:rsid w:val="00481C41"/>
    <w:rsid w:val="004851AF"/>
    <w:rsid w:val="00491982"/>
    <w:rsid w:val="00492CF8"/>
    <w:rsid w:val="004A213D"/>
    <w:rsid w:val="004A2A6A"/>
    <w:rsid w:val="004A2EAA"/>
    <w:rsid w:val="004A3AA1"/>
    <w:rsid w:val="004A7023"/>
    <w:rsid w:val="004A7433"/>
    <w:rsid w:val="004B006F"/>
    <w:rsid w:val="004B25AF"/>
    <w:rsid w:val="004B27AD"/>
    <w:rsid w:val="004B5D4C"/>
    <w:rsid w:val="004B627A"/>
    <w:rsid w:val="004C5342"/>
    <w:rsid w:val="004C6301"/>
    <w:rsid w:val="004D7E06"/>
    <w:rsid w:val="004E23CA"/>
    <w:rsid w:val="004E460B"/>
    <w:rsid w:val="004E7320"/>
    <w:rsid w:val="004F142A"/>
    <w:rsid w:val="004F165A"/>
    <w:rsid w:val="005039D7"/>
    <w:rsid w:val="005067AB"/>
    <w:rsid w:val="0051675E"/>
    <w:rsid w:val="00521D2D"/>
    <w:rsid w:val="00523640"/>
    <w:rsid w:val="005278BD"/>
    <w:rsid w:val="00530A5F"/>
    <w:rsid w:val="00534890"/>
    <w:rsid w:val="00543F18"/>
    <w:rsid w:val="005442B8"/>
    <w:rsid w:val="005531AF"/>
    <w:rsid w:val="00560DF0"/>
    <w:rsid w:val="005624F6"/>
    <w:rsid w:val="0056795F"/>
    <w:rsid w:val="00572C6C"/>
    <w:rsid w:val="00576829"/>
    <w:rsid w:val="00585C2A"/>
    <w:rsid w:val="00594D8F"/>
    <w:rsid w:val="00597022"/>
    <w:rsid w:val="005A13BA"/>
    <w:rsid w:val="005A3D09"/>
    <w:rsid w:val="005B1198"/>
    <w:rsid w:val="005B524B"/>
    <w:rsid w:val="005B6638"/>
    <w:rsid w:val="005C5557"/>
    <w:rsid w:val="005D09BD"/>
    <w:rsid w:val="005D12B4"/>
    <w:rsid w:val="005D788F"/>
    <w:rsid w:val="005E089C"/>
    <w:rsid w:val="005E0B2B"/>
    <w:rsid w:val="005E1603"/>
    <w:rsid w:val="005E3EEB"/>
    <w:rsid w:val="005F3FA5"/>
    <w:rsid w:val="005F6C34"/>
    <w:rsid w:val="005F795E"/>
    <w:rsid w:val="00600BF1"/>
    <w:rsid w:val="00602B66"/>
    <w:rsid w:val="00603A21"/>
    <w:rsid w:val="00606666"/>
    <w:rsid w:val="006102EB"/>
    <w:rsid w:val="00612A92"/>
    <w:rsid w:val="00612F33"/>
    <w:rsid w:val="00614805"/>
    <w:rsid w:val="00616669"/>
    <w:rsid w:val="006178B2"/>
    <w:rsid w:val="0062110B"/>
    <w:rsid w:val="00625E25"/>
    <w:rsid w:val="00626222"/>
    <w:rsid w:val="00631BDD"/>
    <w:rsid w:val="00632F5C"/>
    <w:rsid w:val="006344C2"/>
    <w:rsid w:val="006369A7"/>
    <w:rsid w:val="00637766"/>
    <w:rsid w:val="006440BB"/>
    <w:rsid w:val="00645813"/>
    <w:rsid w:val="00651E79"/>
    <w:rsid w:val="00655E7E"/>
    <w:rsid w:val="00662CB5"/>
    <w:rsid w:val="0067627B"/>
    <w:rsid w:val="006765EF"/>
    <w:rsid w:val="006944F3"/>
    <w:rsid w:val="006A2D0F"/>
    <w:rsid w:val="006A43B6"/>
    <w:rsid w:val="006B3FF1"/>
    <w:rsid w:val="006B4F2C"/>
    <w:rsid w:val="006B66B1"/>
    <w:rsid w:val="006B6E9E"/>
    <w:rsid w:val="006C10EE"/>
    <w:rsid w:val="006C62F2"/>
    <w:rsid w:val="006D046D"/>
    <w:rsid w:val="006D2167"/>
    <w:rsid w:val="006D6E93"/>
    <w:rsid w:val="006E174A"/>
    <w:rsid w:val="006E675D"/>
    <w:rsid w:val="006E714B"/>
    <w:rsid w:val="006F1F26"/>
    <w:rsid w:val="00702A23"/>
    <w:rsid w:val="0070456A"/>
    <w:rsid w:val="00706322"/>
    <w:rsid w:val="00722780"/>
    <w:rsid w:val="00735A07"/>
    <w:rsid w:val="007479AC"/>
    <w:rsid w:val="00750E40"/>
    <w:rsid w:val="007525D0"/>
    <w:rsid w:val="00753CD8"/>
    <w:rsid w:val="007546F4"/>
    <w:rsid w:val="00757BB4"/>
    <w:rsid w:val="00765009"/>
    <w:rsid w:val="00775308"/>
    <w:rsid w:val="0077544D"/>
    <w:rsid w:val="007A4262"/>
    <w:rsid w:val="007A7093"/>
    <w:rsid w:val="007B5A3E"/>
    <w:rsid w:val="007B7298"/>
    <w:rsid w:val="007B77B4"/>
    <w:rsid w:val="007B7F82"/>
    <w:rsid w:val="007C6814"/>
    <w:rsid w:val="007D6B31"/>
    <w:rsid w:val="007D7984"/>
    <w:rsid w:val="007E3CC8"/>
    <w:rsid w:val="00802A8C"/>
    <w:rsid w:val="00802BCB"/>
    <w:rsid w:val="00803F1D"/>
    <w:rsid w:val="0081465A"/>
    <w:rsid w:val="00816173"/>
    <w:rsid w:val="008244C7"/>
    <w:rsid w:val="008248A3"/>
    <w:rsid w:val="00835479"/>
    <w:rsid w:val="00837783"/>
    <w:rsid w:val="00850C35"/>
    <w:rsid w:val="00862D1C"/>
    <w:rsid w:val="0086498C"/>
    <w:rsid w:val="00871EDB"/>
    <w:rsid w:val="00881315"/>
    <w:rsid w:val="00891268"/>
    <w:rsid w:val="0089138C"/>
    <w:rsid w:val="00891D99"/>
    <w:rsid w:val="008928D0"/>
    <w:rsid w:val="008A196F"/>
    <w:rsid w:val="008A6668"/>
    <w:rsid w:val="008B2D7D"/>
    <w:rsid w:val="008B2E01"/>
    <w:rsid w:val="008B3D92"/>
    <w:rsid w:val="008B70DB"/>
    <w:rsid w:val="008B79A2"/>
    <w:rsid w:val="008C232C"/>
    <w:rsid w:val="008C6398"/>
    <w:rsid w:val="008D4A5E"/>
    <w:rsid w:val="008E076A"/>
    <w:rsid w:val="008E5FE2"/>
    <w:rsid w:val="008E6498"/>
    <w:rsid w:val="008E675D"/>
    <w:rsid w:val="008E6A88"/>
    <w:rsid w:val="008E6F70"/>
    <w:rsid w:val="008F572A"/>
    <w:rsid w:val="009017C3"/>
    <w:rsid w:val="009062A3"/>
    <w:rsid w:val="00906CF9"/>
    <w:rsid w:val="00913C4C"/>
    <w:rsid w:val="009142CA"/>
    <w:rsid w:val="009157E5"/>
    <w:rsid w:val="00920A65"/>
    <w:rsid w:val="00924286"/>
    <w:rsid w:val="0093227F"/>
    <w:rsid w:val="00945768"/>
    <w:rsid w:val="0095528A"/>
    <w:rsid w:val="009621E7"/>
    <w:rsid w:val="00966897"/>
    <w:rsid w:val="00977226"/>
    <w:rsid w:val="00986743"/>
    <w:rsid w:val="009909B8"/>
    <w:rsid w:val="00990E22"/>
    <w:rsid w:val="0099174E"/>
    <w:rsid w:val="009919DD"/>
    <w:rsid w:val="00997524"/>
    <w:rsid w:val="009A68CC"/>
    <w:rsid w:val="009B6C43"/>
    <w:rsid w:val="009B705E"/>
    <w:rsid w:val="009D76CF"/>
    <w:rsid w:val="009E077E"/>
    <w:rsid w:val="009E0DCE"/>
    <w:rsid w:val="009E54FE"/>
    <w:rsid w:val="009F1B65"/>
    <w:rsid w:val="009F5B13"/>
    <w:rsid w:val="00A01FDC"/>
    <w:rsid w:val="00A07F36"/>
    <w:rsid w:val="00A13CE8"/>
    <w:rsid w:val="00A2009E"/>
    <w:rsid w:val="00A2024D"/>
    <w:rsid w:val="00A269AF"/>
    <w:rsid w:val="00A323FB"/>
    <w:rsid w:val="00A40116"/>
    <w:rsid w:val="00A40B17"/>
    <w:rsid w:val="00A4381A"/>
    <w:rsid w:val="00A43D44"/>
    <w:rsid w:val="00A50ADA"/>
    <w:rsid w:val="00A56CEE"/>
    <w:rsid w:val="00A57A89"/>
    <w:rsid w:val="00A57EB6"/>
    <w:rsid w:val="00A613A8"/>
    <w:rsid w:val="00A65F23"/>
    <w:rsid w:val="00A7138C"/>
    <w:rsid w:val="00A8314E"/>
    <w:rsid w:val="00A8358B"/>
    <w:rsid w:val="00A869F8"/>
    <w:rsid w:val="00A91E59"/>
    <w:rsid w:val="00A97C19"/>
    <w:rsid w:val="00AB5405"/>
    <w:rsid w:val="00AB71F2"/>
    <w:rsid w:val="00AC3C70"/>
    <w:rsid w:val="00AC6141"/>
    <w:rsid w:val="00AC71C9"/>
    <w:rsid w:val="00AE1D20"/>
    <w:rsid w:val="00AE2A57"/>
    <w:rsid w:val="00AE47A5"/>
    <w:rsid w:val="00AE6CB5"/>
    <w:rsid w:val="00B02D1D"/>
    <w:rsid w:val="00B078D6"/>
    <w:rsid w:val="00B11C34"/>
    <w:rsid w:val="00B1538F"/>
    <w:rsid w:val="00B24BF4"/>
    <w:rsid w:val="00B27098"/>
    <w:rsid w:val="00B3033E"/>
    <w:rsid w:val="00B312FC"/>
    <w:rsid w:val="00B506F9"/>
    <w:rsid w:val="00B52169"/>
    <w:rsid w:val="00B55630"/>
    <w:rsid w:val="00B611BC"/>
    <w:rsid w:val="00B67355"/>
    <w:rsid w:val="00B67E6E"/>
    <w:rsid w:val="00B70277"/>
    <w:rsid w:val="00B76CFF"/>
    <w:rsid w:val="00B802EC"/>
    <w:rsid w:val="00B8428D"/>
    <w:rsid w:val="00B85BBF"/>
    <w:rsid w:val="00B9047C"/>
    <w:rsid w:val="00B9396F"/>
    <w:rsid w:val="00BB3B63"/>
    <w:rsid w:val="00BD438D"/>
    <w:rsid w:val="00BE0952"/>
    <w:rsid w:val="00BE721B"/>
    <w:rsid w:val="00BF5084"/>
    <w:rsid w:val="00BF77ED"/>
    <w:rsid w:val="00C016D5"/>
    <w:rsid w:val="00C01F1F"/>
    <w:rsid w:val="00C036C2"/>
    <w:rsid w:val="00C064EC"/>
    <w:rsid w:val="00C06D4F"/>
    <w:rsid w:val="00C070C2"/>
    <w:rsid w:val="00C26221"/>
    <w:rsid w:val="00C34B03"/>
    <w:rsid w:val="00C44A3E"/>
    <w:rsid w:val="00C45148"/>
    <w:rsid w:val="00C4585C"/>
    <w:rsid w:val="00C53E1A"/>
    <w:rsid w:val="00C57317"/>
    <w:rsid w:val="00C616E4"/>
    <w:rsid w:val="00C6353D"/>
    <w:rsid w:val="00C64F4B"/>
    <w:rsid w:val="00C654AF"/>
    <w:rsid w:val="00C66BAA"/>
    <w:rsid w:val="00C75165"/>
    <w:rsid w:val="00C77304"/>
    <w:rsid w:val="00C83705"/>
    <w:rsid w:val="00C83E03"/>
    <w:rsid w:val="00C842D0"/>
    <w:rsid w:val="00C910C5"/>
    <w:rsid w:val="00CA1E5D"/>
    <w:rsid w:val="00CA63D8"/>
    <w:rsid w:val="00CB2D1B"/>
    <w:rsid w:val="00CB53C2"/>
    <w:rsid w:val="00CC4B75"/>
    <w:rsid w:val="00CD2BD4"/>
    <w:rsid w:val="00CD349A"/>
    <w:rsid w:val="00CE1EF9"/>
    <w:rsid w:val="00CE28C9"/>
    <w:rsid w:val="00CE3915"/>
    <w:rsid w:val="00CE4F51"/>
    <w:rsid w:val="00CF7768"/>
    <w:rsid w:val="00D02B90"/>
    <w:rsid w:val="00D16AF3"/>
    <w:rsid w:val="00D22BF7"/>
    <w:rsid w:val="00D27633"/>
    <w:rsid w:val="00D33FA5"/>
    <w:rsid w:val="00D34F77"/>
    <w:rsid w:val="00D55828"/>
    <w:rsid w:val="00D70111"/>
    <w:rsid w:val="00D70AFE"/>
    <w:rsid w:val="00D72B5A"/>
    <w:rsid w:val="00D768E5"/>
    <w:rsid w:val="00D80959"/>
    <w:rsid w:val="00D80DBD"/>
    <w:rsid w:val="00D81402"/>
    <w:rsid w:val="00D82714"/>
    <w:rsid w:val="00D83577"/>
    <w:rsid w:val="00D83E25"/>
    <w:rsid w:val="00D85E1B"/>
    <w:rsid w:val="00D87298"/>
    <w:rsid w:val="00D94819"/>
    <w:rsid w:val="00D95990"/>
    <w:rsid w:val="00DA5416"/>
    <w:rsid w:val="00DB0D12"/>
    <w:rsid w:val="00DB4CFE"/>
    <w:rsid w:val="00DB6BA5"/>
    <w:rsid w:val="00DC1C44"/>
    <w:rsid w:val="00DC25BB"/>
    <w:rsid w:val="00DC357B"/>
    <w:rsid w:val="00DC6B2C"/>
    <w:rsid w:val="00DD3BEB"/>
    <w:rsid w:val="00DD6CAB"/>
    <w:rsid w:val="00DE4D1F"/>
    <w:rsid w:val="00E021C5"/>
    <w:rsid w:val="00E04ACA"/>
    <w:rsid w:val="00E07B55"/>
    <w:rsid w:val="00E1219D"/>
    <w:rsid w:val="00E21CE6"/>
    <w:rsid w:val="00E2322D"/>
    <w:rsid w:val="00E248A7"/>
    <w:rsid w:val="00E26C4A"/>
    <w:rsid w:val="00E32202"/>
    <w:rsid w:val="00E467C4"/>
    <w:rsid w:val="00E47935"/>
    <w:rsid w:val="00E70EC4"/>
    <w:rsid w:val="00E8327D"/>
    <w:rsid w:val="00E836A0"/>
    <w:rsid w:val="00E860B2"/>
    <w:rsid w:val="00E901DF"/>
    <w:rsid w:val="00E90AC7"/>
    <w:rsid w:val="00E96042"/>
    <w:rsid w:val="00EA50E3"/>
    <w:rsid w:val="00EB54D1"/>
    <w:rsid w:val="00EC07AA"/>
    <w:rsid w:val="00EC5603"/>
    <w:rsid w:val="00EE10DC"/>
    <w:rsid w:val="00EE2559"/>
    <w:rsid w:val="00EE72D7"/>
    <w:rsid w:val="00EF19D4"/>
    <w:rsid w:val="00EF3FA7"/>
    <w:rsid w:val="00EF44FB"/>
    <w:rsid w:val="00EF7FE5"/>
    <w:rsid w:val="00F0052F"/>
    <w:rsid w:val="00F03447"/>
    <w:rsid w:val="00F06448"/>
    <w:rsid w:val="00F068DF"/>
    <w:rsid w:val="00F1168D"/>
    <w:rsid w:val="00F118A9"/>
    <w:rsid w:val="00F149FC"/>
    <w:rsid w:val="00F22DBF"/>
    <w:rsid w:val="00F23C89"/>
    <w:rsid w:val="00F25FFB"/>
    <w:rsid w:val="00F26067"/>
    <w:rsid w:val="00F32B3F"/>
    <w:rsid w:val="00F43BE0"/>
    <w:rsid w:val="00F44207"/>
    <w:rsid w:val="00F645FA"/>
    <w:rsid w:val="00F768B0"/>
    <w:rsid w:val="00F76EE9"/>
    <w:rsid w:val="00F82B00"/>
    <w:rsid w:val="00F82B94"/>
    <w:rsid w:val="00F82F39"/>
    <w:rsid w:val="00F90D69"/>
    <w:rsid w:val="00F911D3"/>
    <w:rsid w:val="00F91748"/>
    <w:rsid w:val="00F92CE7"/>
    <w:rsid w:val="00F95061"/>
    <w:rsid w:val="00FA17E9"/>
    <w:rsid w:val="00FA2F3D"/>
    <w:rsid w:val="00FA56D4"/>
    <w:rsid w:val="00FA610F"/>
    <w:rsid w:val="00FA7EE6"/>
    <w:rsid w:val="00FB6E73"/>
    <w:rsid w:val="00FC1042"/>
    <w:rsid w:val="00FC3D68"/>
    <w:rsid w:val="00FC49CB"/>
    <w:rsid w:val="00FD3002"/>
    <w:rsid w:val="00FD4EFC"/>
    <w:rsid w:val="00FE7D50"/>
    <w:rsid w:val="00FF1706"/>
    <w:rsid w:val="00FF3678"/>
    <w:rsid w:val="00FF5091"/>
    <w:rsid w:val="00FF6B15"/>
    <w:rsid w:val="00FF6F8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lock Text"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75D"/>
    <w:rPr>
      <w:rFonts w:eastAsia="Times New Roman"/>
      <w:sz w:val="24"/>
      <w:szCs w:val="24"/>
      <w:lang w:eastAsia="en-AU"/>
    </w:rPr>
  </w:style>
  <w:style w:type="paragraph" w:styleId="Heading1">
    <w:name w:val="heading 1"/>
    <w:basedOn w:val="Normal"/>
    <w:next w:val="Normal"/>
    <w:link w:val="Heading1Char"/>
    <w:uiPriority w:val="9"/>
    <w:rsid w:val="00CD34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D34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D349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D349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D349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9"/>
    <w:semiHidden/>
    <w:unhideWhenUsed/>
    <w:qFormat/>
    <w:rsid w:val="00295FF1"/>
    <w:pPr>
      <w:numPr>
        <w:ilvl w:val="5"/>
        <w:numId w:val="7"/>
      </w:numPr>
      <w:spacing w:before="240" w:after="60"/>
      <w:ind w:left="1152" w:hanging="432"/>
      <w:outlineLvl w:val="5"/>
    </w:pPr>
    <w:rPr>
      <w:b/>
      <w:bCs/>
      <w:sz w:val="22"/>
      <w:szCs w:val="22"/>
    </w:rPr>
  </w:style>
  <w:style w:type="paragraph" w:styleId="Heading7">
    <w:name w:val="heading 7"/>
    <w:basedOn w:val="Normal"/>
    <w:next w:val="Normal"/>
    <w:link w:val="Heading7Char"/>
    <w:uiPriority w:val="99"/>
    <w:semiHidden/>
    <w:unhideWhenUsed/>
    <w:qFormat/>
    <w:rsid w:val="00295FF1"/>
    <w:pPr>
      <w:numPr>
        <w:ilvl w:val="6"/>
        <w:numId w:val="7"/>
      </w:numPr>
      <w:spacing w:before="240" w:after="60"/>
      <w:ind w:left="1296" w:hanging="288"/>
      <w:outlineLvl w:val="6"/>
    </w:pPr>
  </w:style>
  <w:style w:type="paragraph" w:styleId="Heading8">
    <w:name w:val="heading 8"/>
    <w:basedOn w:val="Normal"/>
    <w:next w:val="Normal"/>
    <w:link w:val="Heading8Char"/>
    <w:uiPriority w:val="99"/>
    <w:semiHidden/>
    <w:unhideWhenUsed/>
    <w:qFormat/>
    <w:rsid w:val="00295FF1"/>
    <w:pPr>
      <w:numPr>
        <w:ilvl w:val="7"/>
        <w:numId w:val="7"/>
      </w:numPr>
      <w:spacing w:before="240" w:after="60"/>
      <w:ind w:left="1440" w:hanging="432"/>
      <w:outlineLvl w:val="7"/>
    </w:pPr>
    <w:rPr>
      <w:i/>
      <w:iCs/>
    </w:rPr>
  </w:style>
  <w:style w:type="paragraph" w:styleId="Heading9">
    <w:name w:val="heading 9"/>
    <w:basedOn w:val="Normal"/>
    <w:next w:val="Normal"/>
    <w:link w:val="Heading9Char"/>
    <w:uiPriority w:val="99"/>
    <w:semiHidden/>
    <w:unhideWhenUsed/>
    <w:qFormat/>
    <w:rsid w:val="00295FF1"/>
    <w:pPr>
      <w:numPr>
        <w:ilvl w:val="8"/>
        <w:numId w:val="7"/>
      </w:numPr>
      <w:spacing w:before="240" w:after="60"/>
      <w:ind w:left="1584" w:hanging="14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efn">
    <w:name w:val="t_Defn"/>
    <w:basedOn w:val="Normal"/>
    <w:uiPriority w:val="99"/>
    <w:rsid w:val="00CD349A"/>
    <w:pPr>
      <w:spacing w:before="80" w:after="100" w:line="260" w:lineRule="exact"/>
      <w:ind w:left="964"/>
      <w:jc w:val="both"/>
    </w:pPr>
  </w:style>
  <w:style w:type="paragraph" w:customStyle="1" w:styleId="Tempstyle">
    <w:name w:val="Temp style"/>
    <w:basedOn w:val="Normal"/>
    <w:rsid w:val="00CD349A"/>
  </w:style>
  <w:style w:type="paragraph" w:customStyle="1" w:styleId="h1ChSch">
    <w:name w:val="h1_Ch_Sch"/>
    <w:basedOn w:val="Heading1"/>
    <w:next w:val="Normal"/>
    <w:qFormat/>
    <w:rsid w:val="00CD349A"/>
    <w:pPr>
      <w:pageBreakBefore/>
      <w:spacing w:after="60"/>
      <w:ind w:left="2410" w:hanging="2410"/>
    </w:pPr>
    <w:rPr>
      <w:rFonts w:ascii="Arial" w:eastAsia="Times New Roman" w:hAnsi="Arial" w:cs="Arial"/>
      <w:color w:val="auto"/>
      <w:kern w:val="32"/>
      <w:sz w:val="40"/>
      <w:szCs w:val="32"/>
    </w:rPr>
  </w:style>
  <w:style w:type="character" w:customStyle="1" w:styleId="Heading1Char">
    <w:name w:val="Heading 1 Char"/>
    <w:basedOn w:val="DefaultParagraphFont"/>
    <w:link w:val="Heading1"/>
    <w:uiPriority w:val="9"/>
    <w:rsid w:val="00CD349A"/>
    <w:rPr>
      <w:rFonts w:asciiTheme="majorHAnsi" w:eastAsiaTheme="majorEastAsia" w:hAnsiTheme="majorHAnsi" w:cstheme="majorBidi"/>
      <w:b/>
      <w:bCs/>
      <w:color w:val="365F91" w:themeColor="accent1" w:themeShade="BF"/>
      <w:sz w:val="28"/>
      <w:szCs w:val="28"/>
    </w:rPr>
  </w:style>
  <w:style w:type="paragraph" w:customStyle="1" w:styleId="h3Div">
    <w:name w:val="h3_Div"/>
    <w:basedOn w:val="Heading3"/>
    <w:next w:val="Normal"/>
    <w:qFormat/>
    <w:rsid w:val="00CD349A"/>
    <w:pPr>
      <w:spacing w:before="360" w:after="60"/>
      <w:ind w:left="2410" w:hanging="2410"/>
    </w:pPr>
    <w:rPr>
      <w:rFonts w:ascii="Arial" w:eastAsia="Times New Roman" w:hAnsi="Arial" w:cs="Arial"/>
      <w:color w:val="auto"/>
      <w:sz w:val="28"/>
      <w:szCs w:val="26"/>
    </w:rPr>
  </w:style>
  <w:style w:type="character" w:customStyle="1" w:styleId="Heading3Char">
    <w:name w:val="Heading 3 Char"/>
    <w:basedOn w:val="DefaultParagraphFont"/>
    <w:link w:val="Heading3"/>
    <w:uiPriority w:val="9"/>
    <w:rsid w:val="00CD349A"/>
    <w:rPr>
      <w:rFonts w:asciiTheme="majorHAnsi" w:eastAsiaTheme="majorEastAsia" w:hAnsiTheme="majorHAnsi" w:cstheme="majorBidi"/>
      <w:b/>
      <w:bCs/>
      <w:color w:val="4F81BD" w:themeColor="accent1"/>
    </w:rPr>
  </w:style>
  <w:style w:type="paragraph" w:customStyle="1" w:styleId="h7Example">
    <w:name w:val="h7_Example"/>
    <w:basedOn w:val="Normal"/>
    <w:next w:val="Normal"/>
    <w:qFormat/>
    <w:rsid w:val="00CD349A"/>
    <w:pPr>
      <w:keepNext/>
      <w:spacing w:before="120" w:line="220" w:lineRule="exact"/>
      <w:ind w:left="964"/>
    </w:pPr>
    <w:rPr>
      <w:i/>
    </w:rPr>
  </w:style>
  <w:style w:type="paragraph" w:customStyle="1" w:styleId="h2Part">
    <w:name w:val="h2_Part"/>
    <w:basedOn w:val="Heading2"/>
    <w:next w:val="h3Div"/>
    <w:qFormat/>
    <w:rsid w:val="00CD349A"/>
    <w:pPr>
      <w:pageBreakBefore/>
      <w:spacing w:before="360" w:after="60"/>
      <w:ind w:left="2410" w:hanging="2410"/>
    </w:pPr>
    <w:rPr>
      <w:rFonts w:ascii="Arial" w:eastAsia="Times New Roman" w:hAnsi="Arial" w:cs="Arial"/>
      <w:bCs w:val="0"/>
      <w:iCs/>
      <w:color w:val="auto"/>
      <w:sz w:val="36"/>
      <w:szCs w:val="22"/>
    </w:rPr>
  </w:style>
  <w:style w:type="character" w:customStyle="1" w:styleId="Heading2Char">
    <w:name w:val="Heading 2 Char"/>
    <w:basedOn w:val="DefaultParagraphFont"/>
    <w:link w:val="Heading2"/>
    <w:uiPriority w:val="9"/>
    <w:rsid w:val="00CD349A"/>
    <w:rPr>
      <w:rFonts w:asciiTheme="majorHAnsi" w:eastAsiaTheme="majorEastAsia" w:hAnsiTheme="majorHAnsi" w:cstheme="majorBidi"/>
      <w:b/>
      <w:bCs/>
      <w:color w:val="4F81BD" w:themeColor="accent1"/>
      <w:sz w:val="26"/>
      <w:szCs w:val="26"/>
    </w:rPr>
  </w:style>
  <w:style w:type="paragraph" w:customStyle="1" w:styleId="h4Subdiv">
    <w:name w:val="h4_Subdiv"/>
    <w:basedOn w:val="Heading4"/>
    <w:next w:val="Normal"/>
    <w:autoRedefine/>
    <w:qFormat/>
    <w:rsid w:val="00CD349A"/>
    <w:pPr>
      <w:spacing w:before="360" w:after="60"/>
      <w:ind w:left="2410" w:hanging="2410"/>
    </w:pPr>
    <w:rPr>
      <w:rFonts w:ascii="Arial" w:eastAsia="Times New Roman" w:hAnsi="Arial" w:cs="Times New Roman"/>
      <w:i w:val="0"/>
      <w:iCs w:val="0"/>
      <w:color w:val="auto"/>
      <w:sz w:val="28"/>
      <w:szCs w:val="28"/>
    </w:rPr>
  </w:style>
  <w:style w:type="character" w:customStyle="1" w:styleId="Heading4Char">
    <w:name w:val="Heading 4 Char"/>
    <w:basedOn w:val="DefaultParagraphFont"/>
    <w:link w:val="Heading4"/>
    <w:uiPriority w:val="9"/>
    <w:semiHidden/>
    <w:rsid w:val="00CD349A"/>
    <w:rPr>
      <w:rFonts w:asciiTheme="majorHAnsi" w:eastAsiaTheme="majorEastAsia" w:hAnsiTheme="majorHAnsi" w:cstheme="majorBidi"/>
      <w:b/>
      <w:bCs/>
      <w:i/>
      <w:iCs/>
      <w:color w:val="4F81BD" w:themeColor="accent1"/>
    </w:rPr>
  </w:style>
  <w:style w:type="paragraph" w:customStyle="1" w:styleId="h5Section">
    <w:name w:val="h5_Section"/>
    <w:basedOn w:val="Heading5"/>
    <w:next w:val="Normal"/>
    <w:uiPriority w:val="99"/>
    <w:qFormat/>
    <w:rsid w:val="00CD349A"/>
    <w:pPr>
      <w:spacing w:before="360" w:after="60"/>
      <w:ind w:left="964" w:hanging="964"/>
    </w:pPr>
    <w:rPr>
      <w:rFonts w:ascii="Arial" w:eastAsia="Times New Roman" w:hAnsi="Arial" w:cs="Times New Roman"/>
      <w:b/>
      <w:bCs/>
      <w:iCs/>
      <w:color w:val="auto"/>
      <w:szCs w:val="26"/>
    </w:rPr>
  </w:style>
  <w:style w:type="character" w:customStyle="1" w:styleId="Heading5Char">
    <w:name w:val="Heading 5 Char"/>
    <w:basedOn w:val="DefaultParagraphFont"/>
    <w:link w:val="Heading5"/>
    <w:uiPriority w:val="9"/>
    <w:semiHidden/>
    <w:rsid w:val="00CD349A"/>
    <w:rPr>
      <w:rFonts w:asciiTheme="majorHAnsi" w:eastAsiaTheme="majorEastAsia" w:hAnsiTheme="majorHAnsi" w:cstheme="majorBidi"/>
      <w:color w:val="243F60" w:themeColor="accent1" w:themeShade="7F"/>
    </w:rPr>
  </w:style>
  <w:style w:type="paragraph" w:customStyle="1" w:styleId="noteDrafter">
    <w:name w:val="note_Drafter"/>
    <w:basedOn w:val="Normal"/>
    <w:qFormat/>
    <w:rsid w:val="00E26C4A"/>
    <w:pPr>
      <w:spacing w:before="80" w:after="80"/>
    </w:pPr>
    <w:rPr>
      <w:color w:val="0070C0"/>
    </w:rPr>
  </w:style>
  <w:style w:type="paragraph" w:customStyle="1" w:styleId="tPara">
    <w:name w:val="t_Para"/>
    <w:basedOn w:val="Normal"/>
    <w:uiPriority w:val="99"/>
    <w:qFormat/>
    <w:rsid w:val="00071ABA"/>
    <w:pPr>
      <w:keepLines/>
      <w:tabs>
        <w:tab w:val="right" w:pos="1531"/>
      </w:tabs>
      <w:spacing w:after="100" w:line="260" w:lineRule="exact"/>
      <w:ind w:left="1701" w:hanging="1701"/>
      <w:jc w:val="both"/>
    </w:pPr>
  </w:style>
  <w:style w:type="paragraph" w:customStyle="1" w:styleId="tSubpara">
    <w:name w:val="t_Subpara"/>
    <w:basedOn w:val="Normal"/>
    <w:qFormat/>
    <w:rsid w:val="00071ABA"/>
    <w:pPr>
      <w:keepLines/>
      <w:tabs>
        <w:tab w:val="right" w:pos="2211"/>
      </w:tabs>
      <w:spacing w:after="100" w:line="260" w:lineRule="exact"/>
      <w:ind w:left="2410" w:hanging="2410"/>
      <w:jc w:val="both"/>
    </w:pPr>
  </w:style>
  <w:style w:type="paragraph" w:customStyle="1" w:styleId="tSubsub">
    <w:name w:val="t_Subsub"/>
    <w:basedOn w:val="Normal"/>
    <w:qFormat/>
    <w:rsid w:val="00071ABA"/>
    <w:pPr>
      <w:tabs>
        <w:tab w:val="right" w:pos="2948"/>
      </w:tabs>
      <w:spacing w:after="100" w:line="260" w:lineRule="exact"/>
      <w:ind w:left="3119" w:hanging="3119"/>
      <w:jc w:val="both"/>
    </w:pPr>
  </w:style>
  <w:style w:type="paragraph" w:styleId="Title">
    <w:name w:val="Title"/>
    <w:basedOn w:val="Normal"/>
    <w:next w:val="Normal"/>
    <w:link w:val="TitleChar"/>
    <w:qFormat/>
    <w:rsid w:val="00CD349A"/>
    <w:pPr>
      <w:spacing w:before="480"/>
    </w:pPr>
    <w:rPr>
      <w:rFonts w:ascii="Arial" w:hAnsi="Arial" w:cs="Arial"/>
      <w:b/>
      <w:bCs/>
      <w:sz w:val="40"/>
      <w:szCs w:val="40"/>
    </w:rPr>
  </w:style>
  <w:style w:type="character" w:customStyle="1" w:styleId="TitleChar">
    <w:name w:val="Title Char"/>
    <w:basedOn w:val="DefaultParagraphFont"/>
    <w:link w:val="Title"/>
    <w:rsid w:val="00CD349A"/>
    <w:rPr>
      <w:rFonts w:ascii="Arial" w:eastAsia="Times New Roman" w:hAnsi="Arial" w:cs="Arial"/>
      <w:b/>
      <w:bCs/>
      <w:sz w:val="40"/>
      <w:szCs w:val="40"/>
      <w:lang w:eastAsia="en-AU"/>
    </w:rPr>
  </w:style>
  <w:style w:type="paragraph" w:styleId="BalloonText">
    <w:name w:val="Balloon Text"/>
    <w:basedOn w:val="Normal"/>
    <w:link w:val="BalloonTextChar"/>
    <w:uiPriority w:val="99"/>
    <w:semiHidden/>
    <w:unhideWhenUsed/>
    <w:rsid w:val="00CD349A"/>
    <w:rPr>
      <w:rFonts w:ascii="Tahoma" w:hAnsi="Tahoma" w:cs="Tahoma"/>
      <w:sz w:val="16"/>
      <w:szCs w:val="16"/>
    </w:rPr>
  </w:style>
  <w:style w:type="character" w:customStyle="1" w:styleId="BalloonTextChar">
    <w:name w:val="Balloon Text Char"/>
    <w:basedOn w:val="DefaultParagraphFont"/>
    <w:link w:val="BalloonText"/>
    <w:uiPriority w:val="99"/>
    <w:semiHidden/>
    <w:rsid w:val="00CD349A"/>
    <w:rPr>
      <w:rFonts w:ascii="Tahoma" w:eastAsia="Times New Roman" w:hAnsi="Tahoma" w:cs="Tahoma"/>
      <w:sz w:val="16"/>
      <w:szCs w:val="16"/>
      <w:lang w:eastAsia="en-AU"/>
    </w:rPr>
  </w:style>
  <w:style w:type="paragraph" w:styleId="Header">
    <w:name w:val="header"/>
    <w:basedOn w:val="Normal"/>
    <w:link w:val="HeaderChar"/>
    <w:uiPriority w:val="99"/>
    <w:unhideWhenUsed/>
    <w:rsid w:val="00CD349A"/>
    <w:pPr>
      <w:tabs>
        <w:tab w:val="center" w:pos="4513"/>
        <w:tab w:val="right" w:pos="9026"/>
      </w:tabs>
    </w:pPr>
  </w:style>
  <w:style w:type="character" w:customStyle="1" w:styleId="HeaderChar">
    <w:name w:val="Header Char"/>
    <w:basedOn w:val="DefaultParagraphFont"/>
    <w:link w:val="Header"/>
    <w:uiPriority w:val="99"/>
    <w:rsid w:val="00CD349A"/>
    <w:rPr>
      <w:rFonts w:eastAsia="Times New Roman"/>
      <w:sz w:val="24"/>
      <w:szCs w:val="24"/>
      <w:lang w:eastAsia="en-AU"/>
    </w:rPr>
  </w:style>
  <w:style w:type="paragraph" w:styleId="Footer">
    <w:name w:val="footer"/>
    <w:basedOn w:val="Normal"/>
    <w:link w:val="FooterChar"/>
    <w:uiPriority w:val="99"/>
    <w:unhideWhenUsed/>
    <w:rsid w:val="00CD349A"/>
    <w:pPr>
      <w:tabs>
        <w:tab w:val="center" w:pos="4513"/>
        <w:tab w:val="right" w:pos="9026"/>
      </w:tabs>
    </w:pPr>
  </w:style>
  <w:style w:type="character" w:customStyle="1" w:styleId="FooterChar">
    <w:name w:val="Footer Char"/>
    <w:basedOn w:val="DefaultParagraphFont"/>
    <w:link w:val="Footer"/>
    <w:uiPriority w:val="99"/>
    <w:rsid w:val="00CD349A"/>
    <w:rPr>
      <w:rFonts w:eastAsia="Times New Roman"/>
      <w:sz w:val="24"/>
      <w:szCs w:val="24"/>
      <w:lang w:eastAsia="en-AU"/>
    </w:rPr>
  </w:style>
  <w:style w:type="paragraph" w:customStyle="1" w:styleId="HeaderBoldOdd">
    <w:name w:val="HeaderBoldOdd"/>
    <w:basedOn w:val="Normal"/>
    <w:rsid w:val="00D55828"/>
    <w:pPr>
      <w:spacing w:before="120" w:after="60"/>
      <w:jc w:val="right"/>
    </w:pPr>
    <w:rPr>
      <w:rFonts w:ascii="Arial" w:hAnsi="Arial"/>
      <w:b/>
      <w:sz w:val="20"/>
    </w:rPr>
  </w:style>
  <w:style w:type="paragraph" w:customStyle="1" w:styleId="HeaderLiteOdd">
    <w:name w:val="HeaderLiteOdd"/>
    <w:basedOn w:val="Normal"/>
    <w:rsid w:val="00D55828"/>
    <w:pPr>
      <w:tabs>
        <w:tab w:val="center" w:pos="3969"/>
        <w:tab w:val="right" w:pos="8505"/>
      </w:tabs>
      <w:spacing w:before="60"/>
      <w:jc w:val="right"/>
    </w:pPr>
    <w:rPr>
      <w:rFonts w:ascii="Arial" w:hAnsi="Arial"/>
      <w:sz w:val="18"/>
    </w:rPr>
  </w:style>
  <w:style w:type="paragraph" w:customStyle="1" w:styleId="FooterDraft">
    <w:name w:val="FooterDraft"/>
    <w:basedOn w:val="Normal"/>
    <w:rsid w:val="00D55828"/>
    <w:pPr>
      <w:jc w:val="center"/>
    </w:pPr>
    <w:rPr>
      <w:rFonts w:ascii="Arial" w:hAnsi="Arial"/>
      <w:b/>
      <w:sz w:val="40"/>
    </w:rPr>
  </w:style>
  <w:style w:type="character" w:styleId="PageNumber">
    <w:name w:val="page number"/>
    <w:basedOn w:val="DefaultParagraphFont"/>
    <w:rsid w:val="00D55828"/>
    <w:rPr>
      <w:rFonts w:ascii="Arial" w:hAnsi="Arial"/>
      <w:sz w:val="22"/>
    </w:rPr>
  </w:style>
  <w:style w:type="paragraph" w:customStyle="1" w:styleId="FooterCitation">
    <w:name w:val="FooterCitation"/>
    <w:basedOn w:val="Footer"/>
    <w:rsid w:val="00D55828"/>
    <w:pPr>
      <w:tabs>
        <w:tab w:val="clear" w:pos="4513"/>
        <w:tab w:val="clear" w:pos="9026"/>
        <w:tab w:val="center" w:pos="4153"/>
        <w:tab w:val="right" w:pos="8306"/>
      </w:tabs>
      <w:spacing w:before="20" w:line="240" w:lineRule="exact"/>
      <w:jc w:val="center"/>
    </w:pPr>
    <w:rPr>
      <w:rFonts w:ascii="Arial" w:hAnsi="Arial"/>
      <w:i/>
      <w:sz w:val="18"/>
    </w:rPr>
  </w:style>
  <w:style w:type="paragraph" w:styleId="TOC2">
    <w:name w:val="toc 2"/>
    <w:basedOn w:val="Normal"/>
    <w:next w:val="Normal"/>
    <w:autoRedefine/>
    <w:uiPriority w:val="39"/>
    <w:rsid w:val="005E089C"/>
    <w:pPr>
      <w:keepNext/>
      <w:tabs>
        <w:tab w:val="right" w:pos="8278"/>
      </w:tabs>
      <w:spacing w:before="120" w:after="120"/>
      <w:ind w:left="1843" w:right="714" w:hanging="1843"/>
    </w:pPr>
    <w:rPr>
      <w:rFonts w:ascii="Arial" w:hAnsi="Arial"/>
      <w:b/>
      <w:noProof/>
      <w:sz w:val="22"/>
      <w:szCs w:val="22"/>
      <w:lang w:eastAsia="en-US"/>
    </w:rPr>
  </w:style>
  <w:style w:type="paragraph" w:styleId="TOC3">
    <w:name w:val="toc 3"/>
    <w:basedOn w:val="Normal"/>
    <w:next w:val="Normal"/>
    <w:autoRedefine/>
    <w:uiPriority w:val="39"/>
    <w:rsid w:val="005E089C"/>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autoRedefine/>
    <w:uiPriority w:val="39"/>
    <w:rsid w:val="005E089C"/>
    <w:pPr>
      <w:keepNext/>
      <w:tabs>
        <w:tab w:val="right" w:pos="8278"/>
      </w:tabs>
      <w:spacing w:before="80"/>
      <w:ind w:left="1843" w:hanging="1843"/>
    </w:pPr>
    <w:rPr>
      <w:rFonts w:ascii="Arial" w:hAnsi="Arial"/>
      <w:b/>
      <w:sz w:val="18"/>
      <w:lang w:eastAsia="en-US"/>
    </w:rPr>
  </w:style>
  <w:style w:type="paragraph" w:styleId="TOC5">
    <w:name w:val="toc 5"/>
    <w:basedOn w:val="Normal"/>
    <w:next w:val="Normal"/>
    <w:autoRedefine/>
    <w:uiPriority w:val="39"/>
    <w:rsid w:val="005E089C"/>
    <w:pPr>
      <w:tabs>
        <w:tab w:val="right" w:pos="1559"/>
        <w:tab w:val="right" w:pos="8278"/>
      </w:tabs>
      <w:spacing w:before="40"/>
      <w:ind w:left="1843" w:right="714" w:hanging="1843"/>
    </w:pPr>
    <w:rPr>
      <w:rFonts w:ascii="Arial" w:hAnsi="Arial"/>
      <w:noProof/>
      <w:sz w:val="19"/>
      <w:szCs w:val="19"/>
      <w:lang w:eastAsia="en-US"/>
    </w:rPr>
  </w:style>
  <w:style w:type="character" w:customStyle="1" w:styleId="CharSectno">
    <w:name w:val="CharSectno"/>
    <w:basedOn w:val="DefaultParagraphFont"/>
    <w:uiPriority w:val="99"/>
    <w:rsid w:val="005E089C"/>
  </w:style>
  <w:style w:type="paragraph" w:customStyle="1" w:styleId="Sec">
    <w:name w:val="Sec"/>
    <w:basedOn w:val="Normal"/>
    <w:next w:val="Normal"/>
    <w:uiPriority w:val="99"/>
    <w:rsid w:val="003B533D"/>
    <w:pPr>
      <w:keepLines/>
      <w:tabs>
        <w:tab w:val="right" w:pos="794"/>
      </w:tabs>
      <w:spacing w:before="80" w:after="100" w:line="260" w:lineRule="exact"/>
      <w:ind w:left="964" w:hanging="964"/>
      <w:jc w:val="both"/>
    </w:pPr>
  </w:style>
  <w:style w:type="character" w:styleId="Hyperlink">
    <w:name w:val="Hyperlink"/>
    <w:basedOn w:val="DefaultParagraphFont"/>
    <w:rsid w:val="00B8428D"/>
    <w:rPr>
      <w:color w:val="0000FF"/>
      <w:u w:val="single"/>
    </w:rPr>
  </w:style>
  <w:style w:type="paragraph" w:customStyle="1" w:styleId="tMain">
    <w:name w:val="t_Main"/>
    <w:basedOn w:val="Normal"/>
    <w:uiPriority w:val="99"/>
    <w:qFormat/>
    <w:rsid w:val="00B8428D"/>
    <w:pPr>
      <w:keepLines/>
      <w:tabs>
        <w:tab w:val="right" w:pos="794"/>
      </w:tabs>
      <w:spacing w:before="80" w:after="100" w:line="260" w:lineRule="exact"/>
      <w:ind w:left="964" w:hanging="964"/>
      <w:jc w:val="both"/>
    </w:pPr>
  </w:style>
  <w:style w:type="paragraph" w:customStyle="1" w:styleId="h6Subsec">
    <w:name w:val="h6_Subsec"/>
    <w:basedOn w:val="Normal"/>
    <w:next w:val="Normal"/>
    <w:qFormat/>
    <w:rsid w:val="00B8428D"/>
    <w:pPr>
      <w:keepNext/>
      <w:spacing w:before="120"/>
      <w:ind w:left="964"/>
    </w:pPr>
    <w:rPr>
      <w:rFonts w:ascii="Arial" w:hAnsi="Arial"/>
      <w:i/>
    </w:rPr>
  </w:style>
  <w:style w:type="paragraph" w:styleId="BlockText">
    <w:name w:val="Block Text"/>
    <w:basedOn w:val="Normal"/>
    <w:rsid w:val="00B8428D"/>
    <w:pPr>
      <w:spacing w:after="120"/>
      <w:ind w:left="1440" w:right="1440"/>
    </w:pPr>
  </w:style>
  <w:style w:type="paragraph" w:styleId="ListParagraph">
    <w:name w:val="List Paragraph"/>
    <w:basedOn w:val="Normal"/>
    <w:uiPriority w:val="99"/>
    <w:qFormat/>
    <w:rsid w:val="00B8428D"/>
    <w:pPr>
      <w:spacing w:line="276" w:lineRule="auto"/>
      <w:ind w:left="720"/>
    </w:pPr>
    <w:rPr>
      <w:szCs w:val="22"/>
      <w:lang w:eastAsia="en-US"/>
    </w:rPr>
  </w:style>
  <w:style w:type="paragraph" w:customStyle="1" w:styleId="EquationNote">
    <w:name w:val="EquationNote"/>
    <w:basedOn w:val="Normal"/>
    <w:link w:val="EquationNoteChar"/>
    <w:uiPriority w:val="99"/>
    <w:rsid w:val="00B8428D"/>
    <w:pPr>
      <w:tabs>
        <w:tab w:val="right" w:pos="9000"/>
      </w:tabs>
      <w:spacing w:before="60"/>
      <w:ind w:left="360" w:hanging="360"/>
    </w:pPr>
    <w:rPr>
      <w:rFonts w:ascii="Arial" w:hAnsi="Arial" w:cs="Arial"/>
      <w:iCs/>
      <w:sz w:val="18"/>
      <w:szCs w:val="20"/>
      <w:lang w:eastAsia="en-US"/>
    </w:rPr>
  </w:style>
  <w:style w:type="character" w:customStyle="1" w:styleId="EquationNoteChar">
    <w:name w:val="EquationNote Char"/>
    <w:basedOn w:val="DefaultParagraphFont"/>
    <w:link w:val="EquationNote"/>
    <w:uiPriority w:val="99"/>
    <w:locked/>
    <w:rsid w:val="00B8428D"/>
    <w:rPr>
      <w:rFonts w:ascii="Arial" w:eastAsia="Times New Roman" w:hAnsi="Arial" w:cs="Arial"/>
      <w:iCs/>
      <w:sz w:val="18"/>
    </w:rPr>
  </w:style>
  <w:style w:type="paragraph" w:customStyle="1" w:styleId="NoteEnd">
    <w:name w:val="Note End"/>
    <w:basedOn w:val="Normal"/>
    <w:rsid w:val="004466D2"/>
    <w:pPr>
      <w:keepLines/>
      <w:spacing w:before="120" w:line="240" w:lineRule="exact"/>
      <w:ind w:left="567" w:hanging="567"/>
      <w:jc w:val="both"/>
    </w:pPr>
    <w:rPr>
      <w:sz w:val="22"/>
    </w:rPr>
  </w:style>
  <w:style w:type="paragraph" w:customStyle="1" w:styleId="noteMain">
    <w:name w:val="note_Main"/>
    <w:basedOn w:val="tMain"/>
    <w:qFormat/>
    <w:rsid w:val="000D19CF"/>
    <w:pPr>
      <w:spacing w:line="220" w:lineRule="exact"/>
    </w:pPr>
    <w:rPr>
      <w:sz w:val="20"/>
    </w:rPr>
  </w:style>
  <w:style w:type="paragraph" w:customStyle="1" w:styleId="notePara">
    <w:name w:val="note_Para"/>
    <w:basedOn w:val="tPara"/>
    <w:qFormat/>
    <w:rsid w:val="000D19CF"/>
    <w:pPr>
      <w:spacing w:line="220" w:lineRule="exact"/>
    </w:pPr>
    <w:rPr>
      <w:sz w:val="20"/>
    </w:rPr>
  </w:style>
  <w:style w:type="paragraph" w:customStyle="1" w:styleId="noteSubpara">
    <w:name w:val="note_Subpara"/>
    <w:basedOn w:val="tSubpara"/>
    <w:qFormat/>
    <w:rsid w:val="000D19CF"/>
    <w:pPr>
      <w:spacing w:line="220" w:lineRule="exact"/>
    </w:pPr>
    <w:rPr>
      <w:sz w:val="20"/>
    </w:rPr>
  </w:style>
  <w:style w:type="paragraph" w:customStyle="1" w:styleId="noteSubsub">
    <w:name w:val="note_Subsub"/>
    <w:basedOn w:val="tSubsub"/>
    <w:qFormat/>
    <w:rsid w:val="000D19CF"/>
    <w:pPr>
      <w:spacing w:line="220" w:lineRule="exact"/>
    </w:pPr>
    <w:rPr>
      <w:sz w:val="20"/>
    </w:rPr>
  </w:style>
  <w:style w:type="paragraph" w:customStyle="1" w:styleId="definition">
    <w:name w:val="definition"/>
    <w:basedOn w:val="Normal"/>
    <w:rsid w:val="000D3FCA"/>
    <w:pPr>
      <w:spacing w:before="80" w:line="260" w:lineRule="exact"/>
      <w:ind w:left="964"/>
      <w:jc w:val="both"/>
    </w:pPr>
  </w:style>
  <w:style w:type="character" w:styleId="CommentReference">
    <w:name w:val="annotation reference"/>
    <w:basedOn w:val="DefaultParagraphFont"/>
    <w:uiPriority w:val="99"/>
    <w:unhideWhenUsed/>
    <w:rsid w:val="000D3FCA"/>
    <w:rPr>
      <w:sz w:val="16"/>
      <w:szCs w:val="16"/>
    </w:rPr>
  </w:style>
  <w:style w:type="paragraph" w:styleId="CommentText">
    <w:name w:val="annotation text"/>
    <w:basedOn w:val="Normal"/>
    <w:link w:val="CommentTextChar"/>
    <w:uiPriority w:val="99"/>
    <w:unhideWhenUsed/>
    <w:rsid w:val="000D3FCA"/>
    <w:rPr>
      <w:sz w:val="20"/>
      <w:szCs w:val="20"/>
    </w:rPr>
  </w:style>
  <w:style w:type="character" w:customStyle="1" w:styleId="CommentTextChar">
    <w:name w:val="Comment Text Char"/>
    <w:basedOn w:val="DefaultParagraphFont"/>
    <w:link w:val="CommentText"/>
    <w:uiPriority w:val="99"/>
    <w:rsid w:val="000D3FCA"/>
    <w:rPr>
      <w:rFonts w:eastAsia="Times New Roman"/>
      <w:lang w:eastAsia="en-AU"/>
    </w:rPr>
  </w:style>
  <w:style w:type="paragraph" w:styleId="CommentSubject">
    <w:name w:val="annotation subject"/>
    <w:basedOn w:val="CommentText"/>
    <w:next w:val="CommentText"/>
    <w:link w:val="CommentSubjectChar"/>
    <w:uiPriority w:val="99"/>
    <w:semiHidden/>
    <w:unhideWhenUsed/>
    <w:rsid w:val="000D3FCA"/>
    <w:rPr>
      <w:b/>
      <w:bCs/>
    </w:rPr>
  </w:style>
  <w:style w:type="character" w:customStyle="1" w:styleId="CommentSubjectChar">
    <w:name w:val="Comment Subject Char"/>
    <w:basedOn w:val="CommentTextChar"/>
    <w:link w:val="CommentSubject"/>
    <w:uiPriority w:val="99"/>
    <w:semiHidden/>
    <w:rsid w:val="000D3FCA"/>
    <w:rPr>
      <w:rFonts w:eastAsia="Times New Roman"/>
      <w:b/>
      <w:bCs/>
      <w:lang w:eastAsia="en-AU"/>
    </w:rPr>
  </w:style>
  <w:style w:type="paragraph" w:styleId="Revision">
    <w:name w:val="Revision"/>
    <w:hidden/>
    <w:uiPriority w:val="99"/>
    <w:semiHidden/>
    <w:rsid w:val="000D3FCA"/>
    <w:rPr>
      <w:rFonts w:eastAsia="Times New Roman"/>
      <w:sz w:val="24"/>
      <w:szCs w:val="24"/>
      <w:lang w:eastAsia="en-AU"/>
    </w:rPr>
  </w:style>
  <w:style w:type="paragraph" w:customStyle="1" w:styleId="Default">
    <w:name w:val="Default"/>
    <w:rsid w:val="000D3FCA"/>
    <w:pPr>
      <w:autoSpaceDE w:val="0"/>
      <w:autoSpaceDN w:val="0"/>
      <w:adjustRightInd w:val="0"/>
    </w:pPr>
    <w:rPr>
      <w:rFonts w:ascii="Calibri" w:hAnsi="Calibri" w:cs="Calibri"/>
      <w:color w:val="000000"/>
      <w:sz w:val="24"/>
      <w:szCs w:val="24"/>
    </w:rPr>
  </w:style>
  <w:style w:type="paragraph" w:customStyle="1" w:styleId="HSR">
    <w:name w:val="HSR"/>
    <w:aliases w:val="Subregulation Heading,HSS"/>
    <w:basedOn w:val="Normal"/>
    <w:next w:val="Normal"/>
    <w:rsid w:val="000D3FCA"/>
    <w:pPr>
      <w:keepNext/>
      <w:spacing w:before="300"/>
      <w:ind w:left="964"/>
    </w:pPr>
    <w:rPr>
      <w:rFonts w:ascii="Arial" w:hAnsi="Arial"/>
      <w:i/>
    </w:rPr>
  </w:style>
  <w:style w:type="paragraph" w:customStyle="1" w:styleId="R1">
    <w:name w:val="R1"/>
    <w:aliases w:val="1. or 1.(1)"/>
    <w:basedOn w:val="Normal"/>
    <w:next w:val="Normal"/>
    <w:rsid w:val="000D3FCA"/>
    <w:pPr>
      <w:keepLines/>
      <w:tabs>
        <w:tab w:val="right" w:pos="794"/>
      </w:tabs>
      <w:spacing w:before="120" w:line="260" w:lineRule="exact"/>
      <w:ind w:left="964" w:hanging="964"/>
      <w:jc w:val="both"/>
    </w:pPr>
  </w:style>
  <w:style w:type="paragraph" w:customStyle="1" w:styleId="R2">
    <w:name w:val="R2"/>
    <w:aliases w:val="(2)"/>
    <w:basedOn w:val="Normal"/>
    <w:rsid w:val="000D3FCA"/>
    <w:pPr>
      <w:keepLines/>
      <w:tabs>
        <w:tab w:val="right" w:pos="794"/>
      </w:tabs>
      <w:spacing w:before="180" w:line="260" w:lineRule="exact"/>
      <w:ind w:left="964" w:hanging="964"/>
      <w:jc w:val="both"/>
    </w:pPr>
  </w:style>
  <w:style w:type="paragraph" w:styleId="BodyText">
    <w:name w:val="Body Text"/>
    <w:basedOn w:val="Normal"/>
    <w:link w:val="BodyTextChar"/>
    <w:rsid w:val="000D3FCA"/>
    <w:pPr>
      <w:spacing w:before="120"/>
    </w:pPr>
    <w:rPr>
      <w:rFonts w:eastAsia="MS Mincho"/>
      <w:sz w:val="22"/>
      <w:szCs w:val="20"/>
      <w:lang w:val="en-US" w:eastAsia="en-US"/>
    </w:rPr>
  </w:style>
  <w:style w:type="character" w:customStyle="1" w:styleId="BodyTextChar">
    <w:name w:val="Body Text Char"/>
    <w:basedOn w:val="DefaultParagraphFont"/>
    <w:link w:val="BodyText"/>
    <w:rsid w:val="000D3FCA"/>
    <w:rPr>
      <w:rFonts w:eastAsia="MS Mincho"/>
      <w:sz w:val="22"/>
      <w:lang w:val="en-US"/>
    </w:rPr>
  </w:style>
  <w:style w:type="paragraph" w:customStyle="1" w:styleId="equation">
    <w:name w:val="equation"/>
    <w:basedOn w:val="Normal"/>
    <w:rsid w:val="000D3FCA"/>
    <w:pPr>
      <w:tabs>
        <w:tab w:val="left" w:pos="1134"/>
        <w:tab w:val="left" w:pos="1701"/>
        <w:tab w:val="center" w:pos="9072"/>
      </w:tabs>
    </w:pPr>
    <w:rPr>
      <w:rFonts w:eastAsia="MS Mincho"/>
      <w:sz w:val="22"/>
      <w:szCs w:val="22"/>
      <w:lang w:val="es-ES_tradnl" w:eastAsia="en-US"/>
    </w:rPr>
  </w:style>
  <w:style w:type="paragraph" w:customStyle="1" w:styleId="P1">
    <w:name w:val="P1"/>
    <w:aliases w:val="(a)"/>
    <w:basedOn w:val="Normal"/>
    <w:rsid w:val="000D3FCA"/>
    <w:pPr>
      <w:keepLines/>
      <w:tabs>
        <w:tab w:val="right" w:pos="1191"/>
      </w:tabs>
      <w:spacing w:before="60" w:line="260" w:lineRule="exact"/>
      <w:ind w:left="1418" w:hanging="1418"/>
      <w:jc w:val="both"/>
    </w:pPr>
  </w:style>
  <w:style w:type="table" w:styleId="TableGrid">
    <w:name w:val="Table Grid"/>
    <w:basedOn w:val="TableNormal"/>
    <w:uiPriority w:val="59"/>
    <w:rsid w:val="000D3FCA"/>
    <w:rPr>
      <w:rFonts w:eastAsia="Times New Roman"/>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FirstIndent">
    <w:name w:val="Body Text First Indent"/>
    <w:basedOn w:val="BodyText"/>
    <w:link w:val="BodyTextFirstIndentChar"/>
    <w:uiPriority w:val="99"/>
    <w:semiHidden/>
    <w:unhideWhenUsed/>
    <w:rsid w:val="000D3FCA"/>
    <w:pPr>
      <w:spacing w:before="0"/>
      <w:ind w:firstLine="360"/>
    </w:pPr>
    <w:rPr>
      <w:rFonts w:eastAsia="Times New Roman"/>
      <w:sz w:val="24"/>
      <w:szCs w:val="24"/>
      <w:lang w:val="en-AU" w:eastAsia="en-AU"/>
    </w:rPr>
  </w:style>
  <w:style w:type="character" w:customStyle="1" w:styleId="BodyTextFirstIndentChar">
    <w:name w:val="Body Text First Indent Char"/>
    <w:basedOn w:val="BodyTextChar"/>
    <w:link w:val="BodyTextFirstIndent"/>
    <w:uiPriority w:val="99"/>
    <w:semiHidden/>
    <w:rsid w:val="000D3FCA"/>
    <w:rPr>
      <w:rFonts w:eastAsia="Times New Roman"/>
      <w:sz w:val="24"/>
      <w:szCs w:val="24"/>
      <w:lang w:val="en-US" w:eastAsia="en-AU"/>
    </w:rPr>
  </w:style>
  <w:style w:type="paragraph" w:customStyle="1" w:styleId="tabletext">
    <w:name w:val="tabletext"/>
    <w:basedOn w:val="Normal"/>
    <w:rsid w:val="000D3FCA"/>
    <w:pPr>
      <w:spacing w:before="100" w:beforeAutospacing="1" w:after="100" w:afterAutospacing="1"/>
    </w:pPr>
  </w:style>
  <w:style w:type="paragraph" w:customStyle="1" w:styleId="Def">
    <w:name w:val="Def"/>
    <w:basedOn w:val="Normal"/>
    <w:uiPriority w:val="99"/>
    <w:rsid w:val="006E714B"/>
    <w:pPr>
      <w:spacing w:before="80" w:after="100" w:line="260" w:lineRule="exact"/>
      <w:ind w:left="964"/>
      <w:jc w:val="both"/>
    </w:pPr>
    <w:rPr>
      <w:rFonts w:asciiTheme="minorHAnsi" w:eastAsiaTheme="minorHAnsi" w:hAnsiTheme="minorHAnsi" w:cstheme="minorBidi"/>
      <w:sz w:val="22"/>
      <w:szCs w:val="22"/>
      <w:lang w:eastAsia="en-US"/>
    </w:rPr>
  </w:style>
  <w:style w:type="paragraph" w:customStyle="1" w:styleId="HC">
    <w:name w:val="HC"/>
    <w:aliases w:val="Sch,Chapter Heading"/>
    <w:basedOn w:val="Heading1"/>
    <w:next w:val="Normal"/>
    <w:rsid w:val="006E714B"/>
    <w:pPr>
      <w:pageBreakBefore/>
      <w:spacing w:after="60" w:line="276" w:lineRule="auto"/>
      <w:ind w:left="2410" w:hanging="2410"/>
    </w:pPr>
    <w:rPr>
      <w:rFonts w:ascii="Arial" w:eastAsia="Times New Roman" w:hAnsi="Arial" w:cs="Arial"/>
      <w:color w:val="auto"/>
      <w:kern w:val="32"/>
      <w:sz w:val="40"/>
      <w:szCs w:val="32"/>
      <w:lang w:eastAsia="en-US"/>
    </w:rPr>
  </w:style>
  <w:style w:type="paragraph" w:customStyle="1" w:styleId="HD">
    <w:name w:val="HD"/>
    <w:aliases w:val="Division Heading"/>
    <w:basedOn w:val="Heading3"/>
    <w:next w:val="Normal"/>
    <w:rsid w:val="006E714B"/>
    <w:pPr>
      <w:spacing w:before="360" w:after="60" w:line="276" w:lineRule="auto"/>
      <w:ind w:left="2410" w:hanging="2410"/>
    </w:pPr>
    <w:rPr>
      <w:rFonts w:ascii="Arial" w:eastAsia="Times New Roman" w:hAnsi="Arial" w:cs="Arial"/>
      <w:color w:val="auto"/>
      <w:sz w:val="28"/>
      <w:szCs w:val="26"/>
      <w:lang w:eastAsia="en-US"/>
    </w:rPr>
  </w:style>
  <w:style w:type="paragraph" w:customStyle="1" w:styleId="HE">
    <w:name w:val="HE"/>
    <w:aliases w:val="Example heading"/>
    <w:basedOn w:val="Normal"/>
    <w:next w:val="Normal"/>
    <w:rsid w:val="006E714B"/>
    <w:pPr>
      <w:keepNext/>
      <w:spacing w:before="120" w:after="200" w:line="220" w:lineRule="exact"/>
      <w:ind w:left="964"/>
    </w:pPr>
    <w:rPr>
      <w:rFonts w:asciiTheme="minorHAnsi" w:eastAsiaTheme="minorHAnsi" w:hAnsiTheme="minorHAnsi" w:cstheme="minorBidi"/>
      <w:i/>
      <w:sz w:val="22"/>
      <w:szCs w:val="22"/>
      <w:lang w:eastAsia="en-US"/>
    </w:rPr>
  </w:style>
  <w:style w:type="paragraph" w:customStyle="1" w:styleId="HP">
    <w:name w:val="HP"/>
    <w:aliases w:val="Part Heading"/>
    <w:basedOn w:val="Heading2"/>
    <w:next w:val="HD"/>
    <w:rsid w:val="006E714B"/>
    <w:pPr>
      <w:pageBreakBefore/>
      <w:spacing w:before="360" w:after="60" w:line="276" w:lineRule="auto"/>
      <w:ind w:left="2410" w:hanging="2410"/>
    </w:pPr>
    <w:rPr>
      <w:rFonts w:ascii="Arial" w:eastAsia="Times New Roman" w:hAnsi="Arial" w:cs="Arial"/>
      <w:bCs w:val="0"/>
      <w:iCs/>
      <w:color w:val="auto"/>
      <w:sz w:val="36"/>
      <w:szCs w:val="22"/>
      <w:lang w:eastAsia="en-US"/>
    </w:rPr>
  </w:style>
  <w:style w:type="paragraph" w:customStyle="1" w:styleId="HS">
    <w:name w:val="HS"/>
    <w:aliases w:val="Subdiv Heading"/>
    <w:basedOn w:val="Heading4"/>
    <w:next w:val="Normal"/>
    <w:rsid w:val="006E714B"/>
    <w:pPr>
      <w:spacing w:before="360" w:after="60" w:line="276" w:lineRule="auto"/>
      <w:ind w:left="2410" w:hanging="2410"/>
    </w:pPr>
    <w:rPr>
      <w:rFonts w:ascii="Arial" w:eastAsia="Times New Roman" w:hAnsi="Arial" w:cs="Times New Roman"/>
      <w:i w:val="0"/>
      <w:iCs w:val="0"/>
      <w:color w:val="auto"/>
      <w:sz w:val="28"/>
      <w:szCs w:val="28"/>
      <w:lang w:eastAsia="en-US"/>
    </w:rPr>
  </w:style>
  <w:style w:type="paragraph" w:customStyle="1" w:styleId="HSec">
    <w:name w:val="HSec"/>
    <w:basedOn w:val="Heading5"/>
    <w:next w:val="Normal"/>
    <w:uiPriority w:val="99"/>
    <w:rsid w:val="006E714B"/>
    <w:pPr>
      <w:spacing w:before="360" w:after="60" w:line="276" w:lineRule="auto"/>
      <w:ind w:left="964" w:hanging="964"/>
    </w:pPr>
    <w:rPr>
      <w:rFonts w:ascii="Arial" w:eastAsia="Times New Roman" w:hAnsi="Arial" w:cs="Times New Roman"/>
      <w:b/>
      <w:bCs/>
      <w:iCs/>
      <w:color w:val="auto"/>
      <w:sz w:val="22"/>
      <w:szCs w:val="26"/>
      <w:lang w:eastAsia="en-US"/>
    </w:rPr>
  </w:style>
  <w:style w:type="paragraph" w:customStyle="1" w:styleId="Notequery">
    <w:name w:val="Note query"/>
    <w:basedOn w:val="Normal"/>
    <w:qFormat/>
    <w:rsid w:val="006E714B"/>
    <w:pPr>
      <w:spacing w:before="80" w:after="80" w:line="276" w:lineRule="auto"/>
    </w:pPr>
    <w:rPr>
      <w:rFonts w:asciiTheme="minorHAnsi" w:eastAsiaTheme="minorHAnsi" w:hAnsiTheme="minorHAnsi" w:cstheme="minorBidi"/>
      <w:color w:val="0070C0"/>
      <w:sz w:val="22"/>
      <w:szCs w:val="22"/>
      <w:lang w:eastAsia="en-US"/>
    </w:rPr>
  </w:style>
  <w:style w:type="paragraph" w:customStyle="1" w:styleId="Notepara0">
    <w:name w:val="Note para"/>
    <w:basedOn w:val="Normal"/>
    <w:rsid w:val="006E714B"/>
    <w:pPr>
      <w:keepLines/>
      <w:spacing w:before="60" w:after="200" w:line="220" w:lineRule="exact"/>
      <w:ind w:left="1304" w:hanging="340"/>
      <w:jc w:val="both"/>
    </w:pPr>
    <w:rPr>
      <w:rFonts w:asciiTheme="minorHAnsi" w:eastAsiaTheme="minorHAnsi" w:hAnsiTheme="minorHAnsi" w:cstheme="minorBidi"/>
      <w:sz w:val="20"/>
      <w:szCs w:val="22"/>
      <w:lang w:eastAsia="en-US"/>
    </w:rPr>
  </w:style>
  <w:style w:type="paragraph" w:customStyle="1" w:styleId="NoteSec">
    <w:name w:val="Note Sec"/>
    <w:basedOn w:val="Normal"/>
    <w:qFormat/>
    <w:rsid w:val="006E714B"/>
    <w:pPr>
      <w:keepLines/>
      <w:spacing w:before="120" w:after="200" w:line="220" w:lineRule="exact"/>
      <w:jc w:val="both"/>
    </w:pPr>
    <w:rPr>
      <w:rFonts w:asciiTheme="minorHAnsi" w:eastAsiaTheme="minorHAnsi" w:hAnsiTheme="minorHAnsi" w:cstheme="minorBidi"/>
      <w:sz w:val="20"/>
      <w:szCs w:val="22"/>
      <w:lang w:eastAsia="en-US"/>
    </w:rPr>
  </w:style>
  <w:style w:type="paragraph" w:customStyle="1" w:styleId="NoteSS">
    <w:name w:val="Note SS"/>
    <w:basedOn w:val="Normal"/>
    <w:qFormat/>
    <w:rsid w:val="006E714B"/>
    <w:pPr>
      <w:keepLines/>
      <w:spacing w:before="120" w:after="200" w:line="220" w:lineRule="exact"/>
      <w:ind w:left="964"/>
      <w:jc w:val="both"/>
    </w:pPr>
    <w:rPr>
      <w:rFonts w:asciiTheme="minorHAnsi" w:eastAsiaTheme="minorHAnsi" w:hAnsiTheme="minorHAnsi" w:cstheme="minorBidi"/>
      <w:sz w:val="20"/>
      <w:szCs w:val="22"/>
      <w:lang w:eastAsia="en-US"/>
    </w:rPr>
  </w:style>
  <w:style w:type="paragraph" w:customStyle="1" w:styleId="P2">
    <w:name w:val="P2"/>
    <w:aliases w:val="(i)"/>
    <w:basedOn w:val="Normal"/>
    <w:rsid w:val="006E714B"/>
    <w:pPr>
      <w:keepLines/>
      <w:tabs>
        <w:tab w:val="right" w:pos="2098"/>
      </w:tabs>
      <w:spacing w:after="100" w:line="260" w:lineRule="exact"/>
      <w:ind w:left="2268" w:hanging="2268"/>
      <w:jc w:val="both"/>
    </w:pPr>
    <w:rPr>
      <w:rFonts w:asciiTheme="minorHAnsi" w:eastAsiaTheme="minorHAnsi" w:hAnsiTheme="minorHAnsi" w:cstheme="minorBidi"/>
      <w:sz w:val="22"/>
      <w:szCs w:val="22"/>
      <w:lang w:eastAsia="en-US"/>
    </w:rPr>
  </w:style>
  <w:style w:type="paragraph" w:customStyle="1" w:styleId="P3">
    <w:name w:val="P3"/>
    <w:aliases w:val="(A)"/>
    <w:basedOn w:val="Normal"/>
    <w:rsid w:val="006E714B"/>
    <w:pPr>
      <w:tabs>
        <w:tab w:val="right" w:pos="2722"/>
      </w:tabs>
      <w:spacing w:after="100" w:line="260" w:lineRule="exact"/>
      <w:ind w:left="2892" w:hanging="2892"/>
      <w:jc w:val="both"/>
    </w:pPr>
    <w:rPr>
      <w:rFonts w:asciiTheme="minorHAnsi" w:eastAsiaTheme="minorHAnsi" w:hAnsiTheme="minorHAnsi" w:cstheme="minorBidi"/>
      <w:sz w:val="22"/>
      <w:szCs w:val="22"/>
      <w:lang w:eastAsia="en-US"/>
    </w:rPr>
  </w:style>
  <w:style w:type="paragraph" w:customStyle="1" w:styleId="Subsec">
    <w:name w:val="Subsec"/>
    <w:basedOn w:val="Normal"/>
    <w:uiPriority w:val="99"/>
    <w:rsid w:val="006E714B"/>
    <w:pPr>
      <w:keepLines/>
      <w:tabs>
        <w:tab w:val="right" w:pos="794"/>
      </w:tabs>
      <w:spacing w:before="80" w:after="100" w:line="260" w:lineRule="exact"/>
      <w:ind w:left="964" w:hanging="964"/>
      <w:jc w:val="both"/>
    </w:pPr>
    <w:rPr>
      <w:rFonts w:asciiTheme="minorHAnsi" w:eastAsiaTheme="minorHAnsi" w:hAnsiTheme="minorHAnsi" w:cstheme="minorBidi"/>
      <w:sz w:val="22"/>
      <w:szCs w:val="22"/>
      <w:lang w:eastAsia="en-US"/>
    </w:rPr>
  </w:style>
  <w:style w:type="paragraph" w:customStyle="1" w:styleId="Green">
    <w:name w:val="Green"/>
    <w:basedOn w:val="Normal"/>
    <w:qFormat/>
    <w:rsid w:val="006E714B"/>
    <w:pPr>
      <w:spacing w:before="80" w:after="80" w:line="276" w:lineRule="auto"/>
    </w:pPr>
    <w:rPr>
      <w:rFonts w:ascii="Arial" w:eastAsiaTheme="minorHAnsi" w:hAnsi="Arial" w:cstheme="minorBidi"/>
      <w:b/>
      <w:color w:val="00B050"/>
      <w:sz w:val="20"/>
      <w:szCs w:val="22"/>
      <w:lang w:eastAsia="en-US"/>
    </w:rPr>
  </w:style>
  <w:style w:type="character" w:customStyle="1" w:styleId="Heading6Char">
    <w:name w:val="Heading 6 Char"/>
    <w:basedOn w:val="DefaultParagraphFont"/>
    <w:link w:val="Heading6"/>
    <w:uiPriority w:val="99"/>
    <w:semiHidden/>
    <w:rsid w:val="00295FF1"/>
    <w:rPr>
      <w:rFonts w:eastAsia="Times New Roman"/>
      <w:b/>
      <w:bCs/>
      <w:sz w:val="22"/>
      <w:szCs w:val="22"/>
      <w:lang w:eastAsia="en-AU"/>
    </w:rPr>
  </w:style>
  <w:style w:type="character" w:customStyle="1" w:styleId="Heading7Char">
    <w:name w:val="Heading 7 Char"/>
    <w:basedOn w:val="DefaultParagraphFont"/>
    <w:link w:val="Heading7"/>
    <w:uiPriority w:val="99"/>
    <w:semiHidden/>
    <w:rsid w:val="00295FF1"/>
    <w:rPr>
      <w:rFonts w:eastAsia="Times New Roman"/>
      <w:sz w:val="24"/>
      <w:szCs w:val="24"/>
      <w:lang w:eastAsia="en-AU"/>
    </w:rPr>
  </w:style>
  <w:style w:type="character" w:customStyle="1" w:styleId="Heading8Char">
    <w:name w:val="Heading 8 Char"/>
    <w:basedOn w:val="DefaultParagraphFont"/>
    <w:link w:val="Heading8"/>
    <w:uiPriority w:val="99"/>
    <w:semiHidden/>
    <w:rsid w:val="00295FF1"/>
    <w:rPr>
      <w:rFonts w:eastAsia="Times New Roman"/>
      <w:i/>
      <w:iCs/>
      <w:sz w:val="24"/>
      <w:szCs w:val="24"/>
      <w:lang w:eastAsia="en-AU"/>
    </w:rPr>
  </w:style>
  <w:style w:type="character" w:customStyle="1" w:styleId="Heading9Char">
    <w:name w:val="Heading 9 Char"/>
    <w:basedOn w:val="DefaultParagraphFont"/>
    <w:link w:val="Heading9"/>
    <w:uiPriority w:val="99"/>
    <w:semiHidden/>
    <w:rsid w:val="00295FF1"/>
    <w:rPr>
      <w:rFonts w:ascii="Arial" w:eastAsia="Times New Roman" w:hAnsi="Arial" w:cs="Arial"/>
      <w:sz w:val="22"/>
      <w:szCs w:val="22"/>
      <w:lang w:eastAsia="en-AU"/>
    </w:rPr>
  </w:style>
  <w:style w:type="character" w:styleId="FollowedHyperlink">
    <w:name w:val="FollowedHyperlink"/>
    <w:basedOn w:val="DefaultParagraphFont"/>
    <w:uiPriority w:val="99"/>
    <w:semiHidden/>
    <w:unhideWhenUsed/>
    <w:rsid w:val="00295FF1"/>
    <w:rPr>
      <w:color w:val="800080"/>
      <w:u w:val="single"/>
    </w:rPr>
  </w:style>
  <w:style w:type="paragraph" w:styleId="HTMLAddress">
    <w:name w:val="HTML Address"/>
    <w:basedOn w:val="Normal"/>
    <w:link w:val="HTMLAddressChar"/>
    <w:uiPriority w:val="99"/>
    <w:semiHidden/>
    <w:unhideWhenUsed/>
    <w:rsid w:val="00295FF1"/>
    <w:rPr>
      <w:i/>
      <w:iCs/>
    </w:rPr>
  </w:style>
  <w:style w:type="character" w:customStyle="1" w:styleId="HTMLAddressChar">
    <w:name w:val="HTML Address Char"/>
    <w:basedOn w:val="DefaultParagraphFont"/>
    <w:link w:val="HTMLAddress"/>
    <w:uiPriority w:val="99"/>
    <w:semiHidden/>
    <w:rsid w:val="00295FF1"/>
    <w:rPr>
      <w:rFonts w:eastAsia="Times New Roman"/>
      <w:i/>
      <w:iCs/>
      <w:sz w:val="24"/>
      <w:szCs w:val="24"/>
      <w:lang w:eastAsia="en-AU"/>
    </w:rPr>
  </w:style>
  <w:style w:type="character" w:styleId="HTMLCode">
    <w:name w:val="HTML Code"/>
    <w:basedOn w:val="DefaultParagraphFont"/>
    <w:uiPriority w:val="99"/>
    <w:semiHidden/>
    <w:unhideWhenUsed/>
    <w:rsid w:val="00295FF1"/>
    <w:rPr>
      <w:rFonts w:ascii="Courier New" w:eastAsia="Times New Roman" w:hAnsi="Courier New" w:cs="Courier New" w:hint="default"/>
      <w:sz w:val="20"/>
      <w:szCs w:val="20"/>
    </w:rPr>
  </w:style>
  <w:style w:type="character" w:styleId="HTMLKeyboard">
    <w:name w:val="HTML Keyboard"/>
    <w:basedOn w:val="DefaultParagraphFont"/>
    <w:uiPriority w:val="99"/>
    <w:semiHidden/>
    <w:unhideWhenUsed/>
    <w:rsid w:val="00295FF1"/>
    <w:rPr>
      <w:rFonts w:ascii="Courier New" w:eastAsia="Times New Roman" w:hAnsi="Courier New" w:cs="Courier New" w:hint="default"/>
      <w:sz w:val="20"/>
      <w:szCs w:val="20"/>
    </w:rPr>
  </w:style>
  <w:style w:type="paragraph" w:styleId="HTMLPreformatted">
    <w:name w:val="HTML Preformatted"/>
    <w:basedOn w:val="Normal"/>
    <w:link w:val="HTMLPreformattedChar"/>
    <w:uiPriority w:val="99"/>
    <w:semiHidden/>
    <w:unhideWhenUsed/>
    <w:rsid w:val="00295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95FF1"/>
    <w:rPr>
      <w:rFonts w:ascii="Courier New" w:eastAsia="Times New Roman" w:hAnsi="Courier New" w:cs="Courier New"/>
      <w:lang w:eastAsia="en-AU"/>
    </w:rPr>
  </w:style>
  <w:style w:type="character" w:styleId="HTMLSample">
    <w:name w:val="HTML Sample"/>
    <w:basedOn w:val="DefaultParagraphFont"/>
    <w:uiPriority w:val="99"/>
    <w:semiHidden/>
    <w:unhideWhenUsed/>
    <w:rsid w:val="00295FF1"/>
    <w:rPr>
      <w:rFonts w:ascii="Courier New" w:eastAsia="Times New Roman" w:hAnsi="Courier New" w:cs="Courier New" w:hint="default"/>
    </w:rPr>
  </w:style>
  <w:style w:type="character" w:styleId="HTMLTypewriter">
    <w:name w:val="HTML Typewriter"/>
    <w:basedOn w:val="DefaultParagraphFont"/>
    <w:uiPriority w:val="99"/>
    <w:semiHidden/>
    <w:unhideWhenUsed/>
    <w:rsid w:val="00295FF1"/>
    <w:rPr>
      <w:rFonts w:ascii="Courier New" w:eastAsia="Times New Roman" w:hAnsi="Courier New" w:cs="Courier New" w:hint="default"/>
      <w:sz w:val="20"/>
      <w:szCs w:val="20"/>
    </w:rPr>
  </w:style>
  <w:style w:type="paragraph" w:styleId="NormalWeb">
    <w:name w:val="Normal (Web)"/>
    <w:basedOn w:val="Normal"/>
    <w:uiPriority w:val="99"/>
    <w:semiHidden/>
    <w:unhideWhenUsed/>
    <w:rsid w:val="00295FF1"/>
  </w:style>
  <w:style w:type="paragraph" w:styleId="Index1">
    <w:name w:val="index 1"/>
    <w:basedOn w:val="Normal"/>
    <w:next w:val="Normal"/>
    <w:autoRedefine/>
    <w:uiPriority w:val="99"/>
    <w:semiHidden/>
    <w:unhideWhenUsed/>
    <w:rsid w:val="00295FF1"/>
    <w:pPr>
      <w:ind w:left="240" w:hanging="240"/>
    </w:pPr>
  </w:style>
  <w:style w:type="paragraph" w:styleId="Index2">
    <w:name w:val="index 2"/>
    <w:basedOn w:val="Normal"/>
    <w:next w:val="Normal"/>
    <w:autoRedefine/>
    <w:uiPriority w:val="99"/>
    <w:semiHidden/>
    <w:unhideWhenUsed/>
    <w:rsid w:val="00295FF1"/>
    <w:pPr>
      <w:ind w:left="480" w:hanging="240"/>
    </w:pPr>
  </w:style>
  <w:style w:type="paragraph" w:styleId="Index3">
    <w:name w:val="index 3"/>
    <w:basedOn w:val="Normal"/>
    <w:next w:val="Normal"/>
    <w:autoRedefine/>
    <w:uiPriority w:val="99"/>
    <w:semiHidden/>
    <w:unhideWhenUsed/>
    <w:rsid w:val="00295FF1"/>
    <w:pPr>
      <w:ind w:left="720" w:hanging="240"/>
    </w:pPr>
  </w:style>
  <w:style w:type="paragraph" w:styleId="Index4">
    <w:name w:val="index 4"/>
    <w:basedOn w:val="Normal"/>
    <w:next w:val="Normal"/>
    <w:autoRedefine/>
    <w:uiPriority w:val="99"/>
    <w:semiHidden/>
    <w:unhideWhenUsed/>
    <w:rsid w:val="00295FF1"/>
    <w:pPr>
      <w:ind w:left="960" w:hanging="240"/>
    </w:pPr>
  </w:style>
  <w:style w:type="paragraph" w:styleId="Index5">
    <w:name w:val="index 5"/>
    <w:basedOn w:val="Normal"/>
    <w:next w:val="Normal"/>
    <w:autoRedefine/>
    <w:uiPriority w:val="99"/>
    <w:semiHidden/>
    <w:unhideWhenUsed/>
    <w:rsid w:val="00295FF1"/>
    <w:pPr>
      <w:ind w:left="1200" w:hanging="240"/>
    </w:pPr>
  </w:style>
  <w:style w:type="paragraph" w:styleId="Index6">
    <w:name w:val="index 6"/>
    <w:basedOn w:val="Normal"/>
    <w:next w:val="Normal"/>
    <w:autoRedefine/>
    <w:uiPriority w:val="99"/>
    <w:semiHidden/>
    <w:unhideWhenUsed/>
    <w:rsid w:val="00295FF1"/>
    <w:pPr>
      <w:ind w:left="1440" w:hanging="240"/>
    </w:pPr>
  </w:style>
  <w:style w:type="paragraph" w:styleId="Index7">
    <w:name w:val="index 7"/>
    <w:basedOn w:val="Normal"/>
    <w:next w:val="Normal"/>
    <w:autoRedefine/>
    <w:uiPriority w:val="99"/>
    <w:semiHidden/>
    <w:unhideWhenUsed/>
    <w:rsid w:val="00295FF1"/>
    <w:pPr>
      <w:ind w:left="1680" w:hanging="240"/>
    </w:pPr>
  </w:style>
  <w:style w:type="paragraph" w:styleId="Index8">
    <w:name w:val="index 8"/>
    <w:basedOn w:val="Normal"/>
    <w:next w:val="Normal"/>
    <w:autoRedefine/>
    <w:uiPriority w:val="99"/>
    <w:semiHidden/>
    <w:unhideWhenUsed/>
    <w:rsid w:val="00295FF1"/>
    <w:pPr>
      <w:ind w:left="1920" w:hanging="240"/>
    </w:pPr>
  </w:style>
  <w:style w:type="paragraph" w:styleId="Index9">
    <w:name w:val="index 9"/>
    <w:basedOn w:val="Normal"/>
    <w:next w:val="Normal"/>
    <w:autoRedefine/>
    <w:uiPriority w:val="99"/>
    <w:semiHidden/>
    <w:unhideWhenUsed/>
    <w:rsid w:val="00295FF1"/>
    <w:pPr>
      <w:ind w:left="2160" w:hanging="240"/>
    </w:pPr>
  </w:style>
  <w:style w:type="paragraph" w:styleId="TOC1">
    <w:name w:val="toc 1"/>
    <w:basedOn w:val="Normal"/>
    <w:next w:val="Normal"/>
    <w:autoRedefine/>
    <w:uiPriority w:val="39"/>
    <w:unhideWhenUsed/>
    <w:rsid w:val="00295FF1"/>
    <w:pPr>
      <w:keepNext/>
      <w:tabs>
        <w:tab w:val="right" w:pos="8278"/>
      </w:tabs>
      <w:spacing w:before="120"/>
      <w:ind w:left="1843" w:hanging="1843"/>
    </w:pPr>
    <w:rPr>
      <w:rFonts w:ascii="Arial" w:hAnsi="Arial"/>
      <w:b/>
      <w:lang w:eastAsia="en-US"/>
    </w:rPr>
  </w:style>
  <w:style w:type="paragraph" w:styleId="TOC6">
    <w:name w:val="toc 6"/>
    <w:basedOn w:val="Normal"/>
    <w:next w:val="Normal"/>
    <w:autoRedefine/>
    <w:uiPriority w:val="39"/>
    <w:unhideWhenUsed/>
    <w:rsid w:val="00295FF1"/>
    <w:pPr>
      <w:keepNext/>
      <w:tabs>
        <w:tab w:val="right" w:pos="8278"/>
      </w:tabs>
      <w:spacing w:before="120"/>
      <w:ind w:left="1843" w:right="561" w:hanging="1843"/>
    </w:pPr>
    <w:rPr>
      <w:rFonts w:ascii="Arial" w:hAnsi="Arial"/>
      <w:b/>
      <w:sz w:val="20"/>
      <w:lang w:eastAsia="en-US"/>
    </w:rPr>
  </w:style>
  <w:style w:type="paragraph" w:styleId="TOC7">
    <w:name w:val="toc 7"/>
    <w:basedOn w:val="Normal"/>
    <w:next w:val="Normal"/>
    <w:autoRedefine/>
    <w:uiPriority w:val="39"/>
    <w:unhideWhenUsed/>
    <w:rsid w:val="00295FF1"/>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autoRedefine/>
    <w:uiPriority w:val="39"/>
    <w:unhideWhenUsed/>
    <w:rsid w:val="00295FF1"/>
    <w:pPr>
      <w:tabs>
        <w:tab w:val="right" w:pos="8278"/>
      </w:tabs>
      <w:spacing w:before="60"/>
      <w:ind w:left="1843" w:right="714" w:hanging="1843"/>
    </w:pPr>
    <w:rPr>
      <w:rFonts w:ascii="Arial" w:hAnsi="Arial"/>
      <w:sz w:val="20"/>
      <w:lang w:eastAsia="en-US"/>
    </w:rPr>
  </w:style>
  <w:style w:type="paragraph" w:styleId="TOC9">
    <w:name w:val="toc 9"/>
    <w:basedOn w:val="Normal"/>
    <w:next w:val="Normal"/>
    <w:autoRedefine/>
    <w:uiPriority w:val="39"/>
    <w:unhideWhenUsed/>
    <w:rsid w:val="00295FF1"/>
    <w:pPr>
      <w:tabs>
        <w:tab w:val="right" w:pos="8278"/>
      </w:tabs>
      <w:spacing w:before="240" w:after="120"/>
    </w:pPr>
    <w:rPr>
      <w:rFonts w:ascii="Arial" w:hAnsi="Arial"/>
      <w:b/>
      <w:sz w:val="20"/>
      <w:lang w:eastAsia="en-US"/>
    </w:rPr>
  </w:style>
  <w:style w:type="paragraph" w:styleId="NormalIndent">
    <w:name w:val="Normal Indent"/>
    <w:basedOn w:val="Normal"/>
    <w:uiPriority w:val="99"/>
    <w:semiHidden/>
    <w:unhideWhenUsed/>
    <w:rsid w:val="00295FF1"/>
    <w:pPr>
      <w:ind w:left="720"/>
    </w:pPr>
  </w:style>
  <w:style w:type="paragraph" w:styleId="FootnoteText">
    <w:name w:val="footnote text"/>
    <w:basedOn w:val="Normal"/>
    <w:link w:val="FootnoteTextChar"/>
    <w:uiPriority w:val="99"/>
    <w:semiHidden/>
    <w:unhideWhenUsed/>
    <w:rsid w:val="00295FF1"/>
    <w:rPr>
      <w:sz w:val="20"/>
      <w:szCs w:val="20"/>
    </w:rPr>
  </w:style>
  <w:style w:type="character" w:customStyle="1" w:styleId="FootnoteTextChar">
    <w:name w:val="Footnote Text Char"/>
    <w:basedOn w:val="DefaultParagraphFont"/>
    <w:link w:val="FootnoteText"/>
    <w:uiPriority w:val="99"/>
    <w:semiHidden/>
    <w:rsid w:val="00295FF1"/>
    <w:rPr>
      <w:rFonts w:eastAsia="Times New Roman"/>
      <w:lang w:eastAsia="en-AU"/>
    </w:rPr>
  </w:style>
  <w:style w:type="paragraph" w:styleId="IndexHeading">
    <w:name w:val="index heading"/>
    <w:basedOn w:val="Normal"/>
    <w:next w:val="Index1"/>
    <w:uiPriority w:val="99"/>
    <w:semiHidden/>
    <w:unhideWhenUsed/>
    <w:rsid w:val="00295FF1"/>
    <w:rPr>
      <w:rFonts w:ascii="Arial" w:hAnsi="Arial" w:cs="Arial"/>
      <w:b/>
      <w:bCs/>
    </w:rPr>
  </w:style>
  <w:style w:type="paragraph" w:styleId="Caption">
    <w:name w:val="caption"/>
    <w:basedOn w:val="Normal"/>
    <w:next w:val="Normal"/>
    <w:uiPriority w:val="99"/>
    <w:semiHidden/>
    <w:unhideWhenUsed/>
    <w:qFormat/>
    <w:rsid w:val="00295FF1"/>
    <w:pPr>
      <w:spacing w:before="120" w:after="120"/>
    </w:pPr>
    <w:rPr>
      <w:b/>
      <w:bCs/>
      <w:sz w:val="20"/>
      <w:szCs w:val="20"/>
    </w:rPr>
  </w:style>
  <w:style w:type="paragraph" w:styleId="TableofFigures">
    <w:name w:val="table of figures"/>
    <w:basedOn w:val="Normal"/>
    <w:next w:val="Normal"/>
    <w:uiPriority w:val="99"/>
    <w:semiHidden/>
    <w:unhideWhenUsed/>
    <w:rsid w:val="00295FF1"/>
    <w:pPr>
      <w:ind w:left="480" w:hanging="480"/>
    </w:pPr>
  </w:style>
  <w:style w:type="paragraph" w:styleId="EnvelopeAddress">
    <w:name w:val="envelope address"/>
    <w:basedOn w:val="Normal"/>
    <w:uiPriority w:val="99"/>
    <w:semiHidden/>
    <w:unhideWhenUsed/>
    <w:rsid w:val="00295FF1"/>
    <w:pPr>
      <w:framePr w:w="7920" w:h="1980"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rsid w:val="00295FF1"/>
    <w:rPr>
      <w:rFonts w:ascii="Arial" w:hAnsi="Arial" w:cs="Arial"/>
      <w:sz w:val="20"/>
      <w:szCs w:val="20"/>
    </w:rPr>
  </w:style>
  <w:style w:type="paragraph" w:styleId="EndnoteText">
    <w:name w:val="endnote text"/>
    <w:basedOn w:val="Normal"/>
    <w:link w:val="EndnoteTextChar"/>
    <w:uiPriority w:val="99"/>
    <w:semiHidden/>
    <w:unhideWhenUsed/>
    <w:rsid w:val="00295FF1"/>
    <w:rPr>
      <w:sz w:val="20"/>
      <w:szCs w:val="20"/>
    </w:rPr>
  </w:style>
  <w:style w:type="character" w:customStyle="1" w:styleId="EndnoteTextChar">
    <w:name w:val="Endnote Text Char"/>
    <w:basedOn w:val="DefaultParagraphFont"/>
    <w:link w:val="EndnoteText"/>
    <w:uiPriority w:val="99"/>
    <w:semiHidden/>
    <w:rsid w:val="00295FF1"/>
    <w:rPr>
      <w:rFonts w:eastAsia="Times New Roman"/>
      <w:lang w:eastAsia="en-AU"/>
    </w:rPr>
  </w:style>
  <w:style w:type="paragraph" w:styleId="TableofAuthorities">
    <w:name w:val="table of authorities"/>
    <w:basedOn w:val="Normal"/>
    <w:next w:val="Normal"/>
    <w:uiPriority w:val="99"/>
    <w:semiHidden/>
    <w:unhideWhenUsed/>
    <w:rsid w:val="00295FF1"/>
    <w:pPr>
      <w:ind w:left="240" w:hanging="240"/>
    </w:pPr>
  </w:style>
  <w:style w:type="paragraph" w:styleId="MacroText">
    <w:name w:val="macro"/>
    <w:link w:val="MacroTextChar"/>
    <w:uiPriority w:val="99"/>
    <w:semiHidden/>
    <w:unhideWhenUsed/>
    <w:rsid w:val="00295FF1"/>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uiPriority w:val="99"/>
    <w:semiHidden/>
    <w:rsid w:val="00295FF1"/>
    <w:rPr>
      <w:rFonts w:ascii="Courier New" w:eastAsia="Times New Roman" w:hAnsi="Courier New" w:cs="Courier New"/>
    </w:rPr>
  </w:style>
  <w:style w:type="paragraph" w:styleId="TOAHeading">
    <w:name w:val="toa heading"/>
    <w:basedOn w:val="Normal"/>
    <w:next w:val="Normal"/>
    <w:uiPriority w:val="99"/>
    <w:semiHidden/>
    <w:unhideWhenUsed/>
    <w:rsid w:val="00295FF1"/>
    <w:pPr>
      <w:spacing w:before="120"/>
    </w:pPr>
    <w:rPr>
      <w:rFonts w:ascii="Arial" w:hAnsi="Arial" w:cs="Arial"/>
      <w:b/>
      <w:bCs/>
    </w:rPr>
  </w:style>
  <w:style w:type="paragraph" w:styleId="List">
    <w:name w:val="List"/>
    <w:basedOn w:val="Normal"/>
    <w:uiPriority w:val="99"/>
    <w:semiHidden/>
    <w:unhideWhenUsed/>
    <w:rsid w:val="00295FF1"/>
    <w:pPr>
      <w:ind w:left="283" w:hanging="283"/>
    </w:pPr>
  </w:style>
  <w:style w:type="paragraph" w:styleId="ListBullet">
    <w:name w:val="List Bullet"/>
    <w:basedOn w:val="Normal"/>
    <w:autoRedefine/>
    <w:uiPriority w:val="99"/>
    <w:semiHidden/>
    <w:unhideWhenUsed/>
    <w:rsid w:val="00295FF1"/>
    <w:pPr>
      <w:tabs>
        <w:tab w:val="num" w:pos="360"/>
      </w:tabs>
      <w:ind w:left="360" w:hanging="360"/>
    </w:pPr>
  </w:style>
  <w:style w:type="paragraph" w:styleId="ListNumber">
    <w:name w:val="List Number"/>
    <w:basedOn w:val="Normal"/>
    <w:uiPriority w:val="99"/>
    <w:semiHidden/>
    <w:unhideWhenUsed/>
    <w:rsid w:val="00295FF1"/>
    <w:pPr>
      <w:tabs>
        <w:tab w:val="num" w:pos="360"/>
      </w:tabs>
      <w:ind w:left="360" w:hanging="360"/>
    </w:pPr>
  </w:style>
  <w:style w:type="paragraph" w:styleId="List2">
    <w:name w:val="List 2"/>
    <w:basedOn w:val="Normal"/>
    <w:uiPriority w:val="99"/>
    <w:semiHidden/>
    <w:unhideWhenUsed/>
    <w:rsid w:val="00295FF1"/>
    <w:pPr>
      <w:ind w:left="566" w:hanging="283"/>
    </w:pPr>
  </w:style>
  <w:style w:type="paragraph" w:styleId="List3">
    <w:name w:val="List 3"/>
    <w:basedOn w:val="Normal"/>
    <w:uiPriority w:val="99"/>
    <w:semiHidden/>
    <w:unhideWhenUsed/>
    <w:rsid w:val="00295FF1"/>
    <w:pPr>
      <w:ind w:left="849" w:hanging="283"/>
    </w:pPr>
  </w:style>
  <w:style w:type="paragraph" w:styleId="List4">
    <w:name w:val="List 4"/>
    <w:basedOn w:val="Normal"/>
    <w:uiPriority w:val="99"/>
    <w:semiHidden/>
    <w:unhideWhenUsed/>
    <w:rsid w:val="00295FF1"/>
    <w:pPr>
      <w:ind w:left="1132" w:hanging="283"/>
    </w:pPr>
  </w:style>
  <w:style w:type="paragraph" w:styleId="List5">
    <w:name w:val="List 5"/>
    <w:basedOn w:val="Normal"/>
    <w:uiPriority w:val="99"/>
    <w:semiHidden/>
    <w:unhideWhenUsed/>
    <w:rsid w:val="00295FF1"/>
    <w:pPr>
      <w:ind w:left="1415" w:hanging="283"/>
    </w:pPr>
  </w:style>
  <w:style w:type="paragraph" w:styleId="ListBullet2">
    <w:name w:val="List Bullet 2"/>
    <w:basedOn w:val="Normal"/>
    <w:autoRedefine/>
    <w:uiPriority w:val="99"/>
    <w:semiHidden/>
    <w:unhideWhenUsed/>
    <w:rsid w:val="00295FF1"/>
    <w:pPr>
      <w:tabs>
        <w:tab w:val="num" w:pos="643"/>
      </w:tabs>
      <w:ind w:left="643" w:hanging="360"/>
    </w:pPr>
  </w:style>
  <w:style w:type="paragraph" w:styleId="ListBullet3">
    <w:name w:val="List Bullet 3"/>
    <w:basedOn w:val="Normal"/>
    <w:autoRedefine/>
    <w:uiPriority w:val="99"/>
    <w:semiHidden/>
    <w:unhideWhenUsed/>
    <w:rsid w:val="00295FF1"/>
    <w:pPr>
      <w:tabs>
        <w:tab w:val="num" w:pos="926"/>
      </w:tabs>
      <w:ind w:left="926" w:hanging="360"/>
    </w:pPr>
  </w:style>
  <w:style w:type="paragraph" w:styleId="ListBullet4">
    <w:name w:val="List Bullet 4"/>
    <w:basedOn w:val="Normal"/>
    <w:autoRedefine/>
    <w:uiPriority w:val="99"/>
    <w:semiHidden/>
    <w:unhideWhenUsed/>
    <w:rsid w:val="00295FF1"/>
    <w:pPr>
      <w:tabs>
        <w:tab w:val="num" w:pos="1209"/>
      </w:tabs>
      <w:ind w:left="1209" w:hanging="360"/>
    </w:pPr>
  </w:style>
  <w:style w:type="paragraph" w:styleId="ListBullet5">
    <w:name w:val="List Bullet 5"/>
    <w:basedOn w:val="Normal"/>
    <w:autoRedefine/>
    <w:uiPriority w:val="99"/>
    <w:semiHidden/>
    <w:unhideWhenUsed/>
    <w:rsid w:val="00295FF1"/>
    <w:pPr>
      <w:tabs>
        <w:tab w:val="num" w:pos="1492"/>
      </w:tabs>
      <w:ind w:left="1492" w:hanging="360"/>
    </w:pPr>
  </w:style>
  <w:style w:type="paragraph" w:styleId="ListNumber2">
    <w:name w:val="List Number 2"/>
    <w:basedOn w:val="Normal"/>
    <w:uiPriority w:val="99"/>
    <w:semiHidden/>
    <w:unhideWhenUsed/>
    <w:rsid w:val="00295FF1"/>
    <w:pPr>
      <w:tabs>
        <w:tab w:val="num" w:pos="643"/>
      </w:tabs>
      <w:ind w:left="643" w:hanging="360"/>
    </w:pPr>
  </w:style>
  <w:style w:type="paragraph" w:styleId="ListNumber3">
    <w:name w:val="List Number 3"/>
    <w:basedOn w:val="Normal"/>
    <w:uiPriority w:val="99"/>
    <w:semiHidden/>
    <w:unhideWhenUsed/>
    <w:rsid w:val="00295FF1"/>
    <w:pPr>
      <w:tabs>
        <w:tab w:val="num" w:pos="926"/>
      </w:tabs>
      <w:ind w:left="926" w:hanging="360"/>
    </w:pPr>
  </w:style>
  <w:style w:type="paragraph" w:styleId="ListNumber4">
    <w:name w:val="List Number 4"/>
    <w:basedOn w:val="Normal"/>
    <w:uiPriority w:val="99"/>
    <w:semiHidden/>
    <w:unhideWhenUsed/>
    <w:rsid w:val="00295FF1"/>
    <w:pPr>
      <w:tabs>
        <w:tab w:val="num" w:pos="1209"/>
      </w:tabs>
      <w:ind w:left="1209" w:hanging="360"/>
    </w:pPr>
  </w:style>
  <w:style w:type="paragraph" w:styleId="ListNumber5">
    <w:name w:val="List Number 5"/>
    <w:basedOn w:val="Normal"/>
    <w:uiPriority w:val="99"/>
    <w:semiHidden/>
    <w:unhideWhenUsed/>
    <w:rsid w:val="00295FF1"/>
    <w:pPr>
      <w:tabs>
        <w:tab w:val="num" w:pos="1492"/>
      </w:tabs>
      <w:ind w:left="1492" w:hanging="360"/>
    </w:pPr>
  </w:style>
  <w:style w:type="paragraph" w:styleId="Closing">
    <w:name w:val="Closing"/>
    <w:basedOn w:val="Normal"/>
    <w:link w:val="ClosingChar"/>
    <w:uiPriority w:val="99"/>
    <w:semiHidden/>
    <w:unhideWhenUsed/>
    <w:rsid w:val="00295FF1"/>
    <w:pPr>
      <w:ind w:left="4252"/>
    </w:pPr>
  </w:style>
  <w:style w:type="character" w:customStyle="1" w:styleId="ClosingChar">
    <w:name w:val="Closing Char"/>
    <w:basedOn w:val="DefaultParagraphFont"/>
    <w:link w:val="Closing"/>
    <w:uiPriority w:val="99"/>
    <w:semiHidden/>
    <w:rsid w:val="00295FF1"/>
    <w:rPr>
      <w:rFonts w:eastAsia="Times New Roman"/>
      <w:sz w:val="24"/>
      <w:szCs w:val="24"/>
      <w:lang w:eastAsia="en-AU"/>
    </w:rPr>
  </w:style>
  <w:style w:type="paragraph" w:styleId="Signature">
    <w:name w:val="Signature"/>
    <w:basedOn w:val="Normal"/>
    <w:link w:val="SignatureChar"/>
    <w:uiPriority w:val="99"/>
    <w:semiHidden/>
    <w:unhideWhenUsed/>
    <w:rsid w:val="00295FF1"/>
    <w:pPr>
      <w:ind w:left="4252"/>
    </w:pPr>
  </w:style>
  <w:style w:type="character" w:customStyle="1" w:styleId="SignatureChar">
    <w:name w:val="Signature Char"/>
    <w:basedOn w:val="DefaultParagraphFont"/>
    <w:link w:val="Signature"/>
    <w:uiPriority w:val="99"/>
    <w:semiHidden/>
    <w:rsid w:val="00295FF1"/>
    <w:rPr>
      <w:rFonts w:eastAsia="Times New Roman"/>
      <w:sz w:val="24"/>
      <w:szCs w:val="24"/>
      <w:lang w:eastAsia="en-AU"/>
    </w:rPr>
  </w:style>
  <w:style w:type="paragraph" w:styleId="BodyTextIndent">
    <w:name w:val="Body Text Indent"/>
    <w:basedOn w:val="Normal"/>
    <w:link w:val="BodyTextIndentChar"/>
    <w:unhideWhenUsed/>
    <w:rsid w:val="00295FF1"/>
    <w:pPr>
      <w:spacing w:after="120"/>
      <w:ind w:left="283"/>
    </w:pPr>
  </w:style>
  <w:style w:type="character" w:customStyle="1" w:styleId="BodyTextIndentChar">
    <w:name w:val="Body Text Indent Char"/>
    <w:basedOn w:val="DefaultParagraphFont"/>
    <w:link w:val="BodyTextIndent"/>
    <w:rsid w:val="00295FF1"/>
    <w:rPr>
      <w:rFonts w:eastAsia="Times New Roman"/>
      <w:sz w:val="24"/>
      <w:szCs w:val="24"/>
      <w:lang w:eastAsia="en-AU"/>
    </w:rPr>
  </w:style>
  <w:style w:type="paragraph" w:styleId="ListContinue">
    <w:name w:val="List Continue"/>
    <w:basedOn w:val="Normal"/>
    <w:uiPriority w:val="99"/>
    <w:semiHidden/>
    <w:unhideWhenUsed/>
    <w:rsid w:val="00295FF1"/>
    <w:pPr>
      <w:spacing w:after="120"/>
      <w:ind w:left="283"/>
    </w:pPr>
  </w:style>
  <w:style w:type="paragraph" w:styleId="ListContinue2">
    <w:name w:val="List Continue 2"/>
    <w:basedOn w:val="Normal"/>
    <w:uiPriority w:val="99"/>
    <w:semiHidden/>
    <w:unhideWhenUsed/>
    <w:rsid w:val="00295FF1"/>
    <w:pPr>
      <w:spacing w:after="120"/>
      <w:ind w:left="566"/>
    </w:pPr>
  </w:style>
  <w:style w:type="paragraph" w:styleId="ListContinue3">
    <w:name w:val="List Continue 3"/>
    <w:basedOn w:val="Normal"/>
    <w:uiPriority w:val="99"/>
    <w:semiHidden/>
    <w:unhideWhenUsed/>
    <w:rsid w:val="00295FF1"/>
    <w:pPr>
      <w:spacing w:after="120"/>
      <w:ind w:left="849"/>
    </w:pPr>
  </w:style>
  <w:style w:type="paragraph" w:styleId="ListContinue4">
    <w:name w:val="List Continue 4"/>
    <w:basedOn w:val="Normal"/>
    <w:uiPriority w:val="99"/>
    <w:semiHidden/>
    <w:unhideWhenUsed/>
    <w:rsid w:val="00295FF1"/>
    <w:pPr>
      <w:spacing w:after="120"/>
      <w:ind w:left="1132"/>
    </w:pPr>
  </w:style>
  <w:style w:type="paragraph" w:styleId="ListContinue5">
    <w:name w:val="List Continue 5"/>
    <w:basedOn w:val="Normal"/>
    <w:uiPriority w:val="99"/>
    <w:semiHidden/>
    <w:unhideWhenUsed/>
    <w:rsid w:val="00295FF1"/>
    <w:pPr>
      <w:spacing w:after="120"/>
      <w:ind w:left="1415"/>
    </w:pPr>
  </w:style>
  <w:style w:type="paragraph" w:styleId="MessageHeader">
    <w:name w:val="Message Header"/>
    <w:basedOn w:val="Normal"/>
    <w:link w:val="MessageHeaderChar"/>
    <w:uiPriority w:val="99"/>
    <w:semiHidden/>
    <w:unhideWhenUsed/>
    <w:rsid w:val="00295FF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uiPriority w:val="99"/>
    <w:semiHidden/>
    <w:rsid w:val="00295FF1"/>
    <w:rPr>
      <w:rFonts w:ascii="Arial" w:eastAsia="Times New Roman" w:hAnsi="Arial" w:cs="Arial"/>
      <w:sz w:val="24"/>
      <w:szCs w:val="24"/>
      <w:shd w:val="pct20" w:color="auto" w:fill="auto"/>
      <w:lang w:eastAsia="en-AU"/>
    </w:rPr>
  </w:style>
  <w:style w:type="paragraph" w:styleId="Subtitle">
    <w:name w:val="Subtitle"/>
    <w:basedOn w:val="Normal"/>
    <w:link w:val="SubtitleChar"/>
    <w:uiPriority w:val="99"/>
    <w:qFormat/>
    <w:rsid w:val="00295FF1"/>
    <w:pPr>
      <w:spacing w:after="60"/>
      <w:jc w:val="center"/>
      <w:outlineLvl w:val="1"/>
    </w:pPr>
    <w:rPr>
      <w:rFonts w:ascii="Arial" w:hAnsi="Arial" w:cs="Arial"/>
    </w:rPr>
  </w:style>
  <w:style w:type="character" w:customStyle="1" w:styleId="SubtitleChar">
    <w:name w:val="Subtitle Char"/>
    <w:basedOn w:val="DefaultParagraphFont"/>
    <w:link w:val="Subtitle"/>
    <w:uiPriority w:val="99"/>
    <w:rsid w:val="00295FF1"/>
    <w:rPr>
      <w:rFonts w:ascii="Arial" w:eastAsia="Times New Roman" w:hAnsi="Arial" w:cs="Arial"/>
      <w:sz w:val="24"/>
      <w:szCs w:val="24"/>
      <w:lang w:eastAsia="en-AU"/>
    </w:rPr>
  </w:style>
  <w:style w:type="paragraph" w:styleId="Salutation">
    <w:name w:val="Salutation"/>
    <w:basedOn w:val="Normal"/>
    <w:next w:val="Normal"/>
    <w:link w:val="SalutationChar"/>
    <w:uiPriority w:val="99"/>
    <w:semiHidden/>
    <w:unhideWhenUsed/>
    <w:rsid w:val="00295FF1"/>
  </w:style>
  <w:style w:type="character" w:customStyle="1" w:styleId="SalutationChar">
    <w:name w:val="Salutation Char"/>
    <w:basedOn w:val="DefaultParagraphFont"/>
    <w:link w:val="Salutation"/>
    <w:uiPriority w:val="99"/>
    <w:semiHidden/>
    <w:rsid w:val="00295FF1"/>
    <w:rPr>
      <w:rFonts w:eastAsia="Times New Roman"/>
      <w:sz w:val="24"/>
      <w:szCs w:val="24"/>
      <w:lang w:eastAsia="en-AU"/>
    </w:rPr>
  </w:style>
  <w:style w:type="paragraph" w:styleId="Date">
    <w:name w:val="Date"/>
    <w:basedOn w:val="Normal"/>
    <w:next w:val="Normal"/>
    <w:link w:val="DateChar"/>
    <w:uiPriority w:val="99"/>
    <w:semiHidden/>
    <w:unhideWhenUsed/>
    <w:rsid w:val="00295FF1"/>
  </w:style>
  <w:style w:type="character" w:customStyle="1" w:styleId="DateChar">
    <w:name w:val="Date Char"/>
    <w:basedOn w:val="DefaultParagraphFont"/>
    <w:link w:val="Date"/>
    <w:uiPriority w:val="99"/>
    <w:semiHidden/>
    <w:rsid w:val="00295FF1"/>
    <w:rPr>
      <w:rFonts w:eastAsia="Times New Roman"/>
      <w:sz w:val="24"/>
      <w:szCs w:val="24"/>
      <w:lang w:eastAsia="en-AU"/>
    </w:rPr>
  </w:style>
  <w:style w:type="paragraph" w:styleId="BodyTextFirstIndent2">
    <w:name w:val="Body Text First Indent 2"/>
    <w:basedOn w:val="BodyTextIndent"/>
    <w:link w:val="BodyTextFirstIndent2Char"/>
    <w:uiPriority w:val="99"/>
    <w:semiHidden/>
    <w:unhideWhenUsed/>
    <w:rsid w:val="00295FF1"/>
    <w:pPr>
      <w:ind w:firstLine="210"/>
    </w:pPr>
  </w:style>
  <w:style w:type="character" w:customStyle="1" w:styleId="BodyTextFirstIndent2Char">
    <w:name w:val="Body Text First Indent 2 Char"/>
    <w:basedOn w:val="BodyTextIndentChar"/>
    <w:link w:val="BodyTextFirstIndent2"/>
    <w:uiPriority w:val="99"/>
    <w:semiHidden/>
    <w:rsid w:val="00295FF1"/>
    <w:rPr>
      <w:rFonts w:eastAsia="Times New Roman"/>
      <w:sz w:val="24"/>
      <w:szCs w:val="24"/>
      <w:lang w:eastAsia="en-AU"/>
    </w:rPr>
  </w:style>
  <w:style w:type="character" w:customStyle="1" w:styleId="NoteHeadingChar">
    <w:name w:val="Note Heading Char"/>
    <w:aliases w:val="HN Char"/>
    <w:basedOn w:val="DefaultParagraphFont"/>
    <w:link w:val="NoteHeading"/>
    <w:uiPriority w:val="99"/>
    <w:semiHidden/>
    <w:locked/>
    <w:rsid w:val="00295FF1"/>
    <w:rPr>
      <w:rFonts w:ascii="Arial" w:hAnsi="Arial" w:cs="Arial"/>
      <w:b/>
      <w:sz w:val="32"/>
      <w:szCs w:val="24"/>
    </w:rPr>
  </w:style>
  <w:style w:type="paragraph" w:styleId="NoteHeading">
    <w:name w:val="Note Heading"/>
    <w:aliases w:val="HN"/>
    <w:basedOn w:val="Normal"/>
    <w:next w:val="Normal"/>
    <w:link w:val="NoteHeadingChar"/>
    <w:uiPriority w:val="99"/>
    <w:semiHidden/>
    <w:unhideWhenUsed/>
    <w:rsid w:val="00295FF1"/>
    <w:pPr>
      <w:keepNext/>
      <w:keepLines/>
      <w:pageBreakBefore/>
      <w:tabs>
        <w:tab w:val="left" w:pos="1559"/>
      </w:tabs>
      <w:spacing w:before="120" w:line="240" w:lineRule="atLeast"/>
    </w:pPr>
    <w:rPr>
      <w:rFonts w:ascii="Arial" w:eastAsiaTheme="minorHAnsi" w:hAnsi="Arial" w:cs="Arial"/>
      <w:b/>
      <w:sz w:val="32"/>
      <w:lang w:eastAsia="en-US"/>
    </w:rPr>
  </w:style>
  <w:style w:type="character" w:customStyle="1" w:styleId="NoteHeadingChar1">
    <w:name w:val="Note Heading Char1"/>
    <w:aliases w:val="HN Char1"/>
    <w:basedOn w:val="DefaultParagraphFont"/>
    <w:uiPriority w:val="99"/>
    <w:semiHidden/>
    <w:rsid w:val="00295FF1"/>
    <w:rPr>
      <w:rFonts w:eastAsia="Times New Roman"/>
      <w:sz w:val="24"/>
      <w:szCs w:val="24"/>
      <w:lang w:eastAsia="en-AU"/>
    </w:rPr>
  </w:style>
  <w:style w:type="paragraph" w:styleId="BodyText2">
    <w:name w:val="Body Text 2"/>
    <w:basedOn w:val="Normal"/>
    <w:link w:val="BodyText2Char"/>
    <w:uiPriority w:val="99"/>
    <w:semiHidden/>
    <w:unhideWhenUsed/>
    <w:rsid w:val="00295FF1"/>
    <w:pPr>
      <w:spacing w:after="120" w:line="480" w:lineRule="auto"/>
    </w:pPr>
  </w:style>
  <w:style w:type="character" w:customStyle="1" w:styleId="BodyText2Char">
    <w:name w:val="Body Text 2 Char"/>
    <w:basedOn w:val="DefaultParagraphFont"/>
    <w:link w:val="BodyText2"/>
    <w:uiPriority w:val="99"/>
    <w:semiHidden/>
    <w:rsid w:val="00295FF1"/>
    <w:rPr>
      <w:rFonts w:eastAsia="Times New Roman"/>
      <w:sz w:val="24"/>
      <w:szCs w:val="24"/>
      <w:lang w:eastAsia="en-AU"/>
    </w:rPr>
  </w:style>
  <w:style w:type="paragraph" w:styleId="BodyText3">
    <w:name w:val="Body Text 3"/>
    <w:basedOn w:val="Normal"/>
    <w:link w:val="BodyText3Char"/>
    <w:uiPriority w:val="99"/>
    <w:semiHidden/>
    <w:unhideWhenUsed/>
    <w:rsid w:val="00295FF1"/>
    <w:pPr>
      <w:spacing w:after="120"/>
    </w:pPr>
    <w:rPr>
      <w:sz w:val="16"/>
      <w:szCs w:val="16"/>
    </w:rPr>
  </w:style>
  <w:style w:type="character" w:customStyle="1" w:styleId="BodyText3Char">
    <w:name w:val="Body Text 3 Char"/>
    <w:basedOn w:val="DefaultParagraphFont"/>
    <w:link w:val="BodyText3"/>
    <w:uiPriority w:val="99"/>
    <w:semiHidden/>
    <w:rsid w:val="00295FF1"/>
    <w:rPr>
      <w:rFonts w:eastAsia="Times New Roman"/>
      <w:sz w:val="16"/>
      <w:szCs w:val="16"/>
      <w:lang w:eastAsia="en-AU"/>
    </w:rPr>
  </w:style>
  <w:style w:type="paragraph" w:styleId="BodyTextIndent2">
    <w:name w:val="Body Text Indent 2"/>
    <w:basedOn w:val="Normal"/>
    <w:link w:val="BodyTextIndent2Char"/>
    <w:uiPriority w:val="99"/>
    <w:semiHidden/>
    <w:unhideWhenUsed/>
    <w:rsid w:val="00295FF1"/>
    <w:pPr>
      <w:spacing w:after="120" w:line="480" w:lineRule="auto"/>
      <w:ind w:left="283"/>
    </w:pPr>
  </w:style>
  <w:style w:type="character" w:customStyle="1" w:styleId="BodyTextIndent2Char">
    <w:name w:val="Body Text Indent 2 Char"/>
    <w:basedOn w:val="DefaultParagraphFont"/>
    <w:link w:val="BodyTextIndent2"/>
    <w:uiPriority w:val="99"/>
    <w:semiHidden/>
    <w:rsid w:val="00295FF1"/>
    <w:rPr>
      <w:rFonts w:eastAsia="Times New Roman"/>
      <w:sz w:val="24"/>
      <w:szCs w:val="24"/>
      <w:lang w:eastAsia="en-AU"/>
    </w:rPr>
  </w:style>
  <w:style w:type="paragraph" w:styleId="BodyTextIndent3">
    <w:name w:val="Body Text Indent 3"/>
    <w:basedOn w:val="Normal"/>
    <w:link w:val="BodyTextIndent3Char"/>
    <w:uiPriority w:val="99"/>
    <w:semiHidden/>
    <w:unhideWhenUsed/>
    <w:rsid w:val="00295FF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95FF1"/>
    <w:rPr>
      <w:rFonts w:eastAsia="Times New Roman"/>
      <w:sz w:val="16"/>
      <w:szCs w:val="16"/>
      <w:lang w:eastAsia="en-AU"/>
    </w:rPr>
  </w:style>
  <w:style w:type="paragraph" w:styleId="DocumentMap">
    <w:name w:val="Document Map"/>
    <w:basedOn w:val="Normal"/>
    <w:link w:val="DocumentMapChar"/>
    <w:uiPriority w:val="99"/>
    <w:semiHidden/>
    <w:unhideWhenUsed/>
    <w:rsid w:val="00295FF1"/>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295FF1"/>
    <w:rPr>
      <w:rFonts w:ascii="Tahoma" w:eastAsia="Times New Roman" w:hAnsi="Tahoma" w:cs="Tahoma"/>
      <w:sz w:val="24"/>
      <w:szCs w:val="24"/>
      <w:shd w:val="clear" w:color="auto" w:fill="000080"/>
      <w:lang w:eastAsia="en-AU"/>
    </w:rPr>
  </w:style>
  <w:style w:type="paragraph" w:styleId="PlainText">
    <w:name w:val="Plain Text"/>
    <w:basedOn w:val="Normal"/>
    <w:link w:val="PlainTextChar"/>
    <w:uiPriority w:val="99"/>
    <w:semiHidden/>
    <w:unhideWhenUsed/>
    <w:rsid w:val="00295FF1"/>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295FF1"/>
    <w:rPr>
      <w:rFonts w:ascii="Courier New" w:eastAsia="Times New Roman" w:hAnsi="Courier New" w:cs="Courier New"/>
      <w:lang w:eastAsia="en-AU"/>
    </w:rPr>
  </w:style>
  <w:style w:type="paragraph" w:styleId="E-mailSignature">
    <w:name w:val="E-mail Signature"/>
    <w:basedOn w:val="Normal"/>
    <w:link w:val="E-mailSignatureChar"/>
    <w:uiPriority w:val="99"/>
    <w:semiHidden/>
    <w:unhideWhenUsed/>
    <w:rsid w:val="00295FF1"/>
  </w:style>
  <w:style w:type="character" w:customStyle="1" w:styleId="E-mailSignatureChar">
    <w:name w:val="E-mail Signature Char"/>
    <w:basedOn w:val="DefaultParagraphFont"/>
    <w:link w:val="E-mailSignature"/>
    <w:uiPriority w:val="99"/>
    <w:semiHidden/>
    <w:rsid w:val="00295FF1"/>
    <w:rPr>
      <w:rFonts w:eastAsia="Times New Roman"/>
      <w:sz w:val="24"/>
      <w:szCs w:val="24"/>
      <w:lang w:eastAsia="en-AU"/>
    </w:rPr>
  </w:style>
  <w:style w:type="paragraph" w:styleId="NoSpacing">
    <w:name w:val="No Spacing"/>
    <w:qFormat/>
    <w:rsid w:val="00295FF1"/>
    <w:rPr>
      <w:rFonts w:eastAsia="Times New Roman"/>
      <w:sz w:val="24"/>
      <w:szCs w:val="24"/>
      <w:lang w:eastAsia="en-AU"/>
    </w:rPr>
  </w:style>
  <w:style w:type="paragraph" w:styleId="Quote">
    <w:name w:val="Quote"/>
    <w:basedOn w:val="Normal"/>
    <w:next w:val="Normal"/>
    <w:link w:val="QuoteChar"/>
    <w:uiPriority w:val="29"/>
    <w:qFormat/>
    <w:rsid w:val="00295FF1"/>
    <w:rPr>
      <w:i/>
      <w:iCs/>
      <w:color w:val="000000" w:themeColor="text1"/>
    </w:rPr>
  </w:style>
  <w:style w:type="character" w:customStyle="1" w:styleId="QuoteChar">
    <w:name w:val="Quote Char"/>
    <w:basedOn w:val="DefaultParagraphFont"/>
    <w:link w:val="Quote"/>
    <w:uiPriority w:val="29"/>
    <w:rsid w:val="00295FF1"/>
    <w:rPr>
      <w:rFonts w:eastAsia="Times New Roman"/>
      <w:i/>
      <w:iCs/>
      <w:color w:val="000000" w:themeColor="text1"/>
      <w:sz w:val="24"/>
      <w:szCs w:val="24"/>
      <w:lang w:eastAsia="en-AU"/>
    </w:rPr>
  </w:style>
  <w:style w:type="paragraph" w:styleId="IntenseQuote">
    <w:name w:val="Intense Quote"/>
    <w:basedOn w:val="Normal"/>
    <w:next w:val="Normal"/>
    <w:link w:val="IntenseQuoteChar"/>
    <w:uiPriority w:val="30"/>
    <w:qFormat/>
    <w:rsid w:val="00295FF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95FF1"/>
    <w:rPr>
      <w:rFonts w:eastAsia="Times New Roman"/>
      <w:b/>
      <w:bCs/>
      <w:i/>
      <w:iCs/>
      <w:color w:val="4F81BD" w:themeColor="accent1"/>
      <w:sz w:val="24"/>
      <w:szCs w:val="24"/>
      <w:lang w:eastAsia="en-AU"/>
    </w:rPr>
  </w:style>
  <w:style w:type="paragraph" w:styleId="Bibliography">
    <w:name w:val="Bibliography"/>
    <w:basedOn w:val="Normal"/>
    <w:next w:val="Normal"/>
    <w:uiPriority w:val="37"/>
    <w:semiHidden/>
    <w:unhideWhenUsed/>
    <w:rsid w:val="00295FF1"/>
  </w:style>
  <w:style w:type="paragraph" w:styleId="TOCHeading">
    <w:name w:val="TOC Heading"/>
    <w:basedOn w:val="Heading1"/>
    <w:next w:val="Normal"/>
    <w:uiPriority w:val="39"/>
    <w:semiHidden/>
    <w:unhideWhenUsed/>
    <w:qFormat/>
    <w:rsid w:val="00295FF1"/>
    <w:pPr>
      <w:outlineLvl w:val="9"/>
    </w:pPr>
    <w:rPr>
      <w:color w:val="345A8A" w:themeColor="accent1" w:themeShade="B5"/>
      <w:sz w:val="32"/>
      <w:szCs w:val="32"/>
    </w:rPr>
  </w:style>
  <w:style w:type="paragraph" w:customStyle="1" w:styleId="HeaderBoldEven">
    <w:name w:val="HeaderBoldEven"/>
    <w:basedOn w:val="Normal"/>
    <w:uiPriority w:val="99"/>
    <w:rsid w:val="00295FF1"/>
    <w:pPr>
      <w:spacing w:before="120" w:after="60"/>
    </w:pPr>
    <w:rPr>
      <w:rFonts w:ascii="Arial" w:hAnsi="Arial"/>
      <w:b/>
      <w:sz w:val="20"/>
    </w:rPr>
  </w:style>
  <w:style w:type="paragraph" w:customStyle="1" w:styleId="HeaderLiteEven">
    <w:name w:val="HeaderLiteEven"/>
    <w:basedOn w:val="Normal"/>
    <w:uiPriority w:val="99"/>
    <w:rsid w:val="00295FF1"/>
    <w:pPr>
      <w:tabs>
        <w:tab w:val="center" w:pos="3969"/>
        <w:tab w:val="right" w:pos="8505"/>
      </w:tabs>
      <w:spacing w:before="60"/>
    </w:pPr>
    <w:rPr>
      <w:rFonts w:ascii="Arial" w:hAnsi="Arial"/>
      <w:sz w:val="18"/>
    </w:rPr>
  </w:style>
  <w:style w:type="paragraph" w:customStyle="1" w:styleId="HeaderContentsPage">
    <w:name w:val="HeaderContents&quot;Page&quot;"/>
    <w:basedOn w:val="Normal"/>
    <w:uiPriority w:val="99"/>
    <w:rsid w:val="00295FF1"/>
    <w:pPr>
      <w:spacing w:before="120" w:after="120"/>
      <w:jc w:val="right"/>
    </w:pPr>
    <w:rPr>
      <w:rFonts w:ascii="Arial" w:hAnsi="Arial"/>
      <w:sz w:val="20"/>
    </w:rPr>
  </w:style>
  <w:style w:type="paragraph" w:customStyle="1" w:styleId="FooterInfo">
    <w:name w:val="FooterInfo"/>
    <w:basedOn w:val="Normal"/>
    <w:uiPriority w:val="99"/>
    <w:rsid w:val="00295FF1"/>
    <w:rPr>
      <w:rFonts w:ascii="Arial" w:hAnsi="Arial"/>
      <w:sz w:val="12"/>
    </w:rPr>
  </w:style>
  <w:style w:type="paragraph" w:customStyle="1" w:styleId="A1">
    <w:name w:val="A1"/>
    <w:aliases w:val="Heading Amendment,1. Amendment"/>
    <w:basedOn w:val="Normal"/>
    <w:next w:val="Normal"/>
    <w:uiPriority w:val="99"/>
    <w:rsid w:val="00295FF1"/>
    <w:pPr>
      <w:keepNext/>
      <w:keepLines/>
      <w:spacing w:before="480" w:line="260" w:lineRule="exact"/>
      <w:ind w:left="964" w:hanging="964"/>
    </w:pPr>
    <w:rPr>
      <w:rFonts w:ascii="Arial" w:hAnsi="Arial"/>
      <w:b/>
    </w:rPr>
  </w:style>
  <w:style w:type="paragraph" w:customStyle="1" w:styleId="A2S">
    <w:name w:val="A2S"/>
    <w:aliases w:val="Schedule Inst Amendment"/>
    <w:basedOn w:val="Normal"/>
    <w:next w:val="A3S"/>
    <w:uiPriority w:val="99"/>
    <w:rsid w:val="00295FF1"/>
    <w:pPr>
      <w:keepNext/>
      <w:spacing w:before="120" w:line="260" w:lineRule="exact"/>
      <w:ind w:left="964"/>
    </w:pPr>
    <w:rPr>
      <w:i/>
    </w:rPr>
  </w:style>
  <w:style w:type="paragraph" w:customStyle="1" w:styleId="A1S">
    <w:name w:val="A1S"/>
    <w:aliases w:val="1.Schedule Amendment"/>
    <w:basedOn w:val="Normal"/>
    <w:next w:val="A2S"/>
    <w:uiPriority w:val="99"/>
    <w:rsid w:val="00295FF1"/>
    <w:pPr>
      <w:keepNext/>
      <w:keepLines/>
      <w:spacing w:before="480" w:line="260" w:lineRule="exact"/>
      <w:ind w:left="964" w:hanging="964"/>
    </w:pPr>
    <w:rPr>
      <w:rFonts w:ascii="Arial" w:hAnsi="Arial"/>
      <w:b/>
    </w:rPr>
  </w:style>
  <w:style w:type="paragraph" w:customStyle="1" w:styleId="A2">
    <w:name w:val="A2"/>
    <w:aliases w:val="1.1 amendment,Instruction amendment"/>
    <w:basedOn w:val="Normal"/>
    <w:next w:val="Normal"/>
    <w:uiPriority w:val="99"/>
    <w:rsid w:val="00295FF1"/>
    <w:pPr>
      <w:tabs>
        <w:tab w:val="right" w:pos="794"/>
      </w:tabs>
      <w:spacing w:before="120" w:line="260" w:lineRule="exact"/>
      <w:ind w:left="964" w:hanging="964"/>
      <w:jc w:val="both"/>
    </w:pPr>
  </w:style>
  <w:style w:type="paragraph" w:customStyle="1" w:styleId="A3S">
    <w:name w:val="A3S"/>
    <w:aliases w:val="Schedule Amendment"/>
    <w:basedOn w:val="Normal"/>
    <w:next w:val="A1S"/>
    <w:uiPriority w:val="99"/>
    <w:rsid w:val="00295FF1"/>
    <w:pPr>
      <w:spacing w:before="60" w:line="260" w:lineRule="exact"/>
      <w:ind w:left="1247"/>
      <w:jc w:val="both"/>
    </w:pPr>
  </w:style>
  <w:style w:type="paragraph" w:customStyle="1" w:styleId="A3">
    <w:name w:val="A3"/>
    <w:aliases w:val="1.2 amendment"/>
    <w:basedOn w:val="Normal"/>
    <w:uiPriority w:val="99"/>
    <w:rsid w:val="00295FF1"/>
    <w:pPr>
      <w:tabs>
        <w:tab w:val="right" w:pos="794"/>
      </w:tabs>
      <w:spacing w:before="180" w:line="260" w:lineRule="exact"/>
      <w:ind w:left="964" w:hanging="964"/>
      <w:jc w:val="both"/>
    </w:pPr>
  </w:style>
  <w:style w:type="paragraph" w:customStyle="1" w:styleId="A4">
    <w:name w:val="A4"/>
    <w:aliases w:val="(a) Amendment"/>
    <w:basedOn w:val="Normal"/>
    <w:uiPriority w:val="99"/>
    <w:rsid w:val="00295FF1"/>
    <w:pPr>
      <w:tabs>
        <w:tab w:val="right" w:pos="1247"/>
      </w:tabs>
      <w:spacing w:before="60" w:line="260" w:lineRule="exact"/>
      <w:ind w:left="1531" w:hanging="1531"/>
      <w:jc w:val="both"/>
    </w:pPr>
  </w:style>
  <w:style w:type="paragraph" w:customStyle="1" w:styleId="A5">
    <w:name w:val="A5"/>
    <w:aliases w:val="(i) Amendment"/>
    <w:basedOn w:val="Normal"/>
    <w:uiPriority w:val="99"/>
    <w:rsid w:val="00295FF1"/>
    <w:pPr>
      <w:tabs>
        <w:tab w:val="right" w:pos="1758"/>
      </w:tabs>
      <w:spacing w:before="60" w:line="260" w:lineRule="exact"/>
      <w:ind w:left="2041" w:hanging="2041"/>
      <w:jc w:val="both"/>
    </w:pPr>
  </w:style>
  <w:style w:type="paragraph" w:customStyle="1" w:styleId="AN">
    <w:name w:val="AN"/>
    <w:aliases w:val="Note Amendment"/>
    <w:basedOn w:val="Normal"/>
    <w:next w:val="A1"/>
    <w:uiPriority w:val="99"/>
    <w:rsid w:val="00295FF1"/>
    <w:pPr>
      <w:spacing w:before="120" w:line="220" w:lineRule="exact"/>
      <w:ind w:left="964"/>
      <w:jc w:val="both"/>
    </w:pPr>
    <w:rPr>
      <w:sz w:val="20"/>
    </w:rPr>
  </w:style>
  <w:style w:type="paragraph" w:customStyle="1" w:styleId="ASref">
    <w:name w:val="AS ref"/>
    <w:basedOn w:val="Normal"/>
    <w:next w:val="A1S"/>
    <w:uiPriority w:val="99"/>
    <w:rsid w:val="00295FF1"/>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uiPriority w:val="99"/>
    <w:rsid w:val="00295FF1"/>
    <w:pPr>
      <w:keepNext/>
      <w:keepLines/>
      <w:spacing w:before="480"/>
      <w:ind w:left="2410" w:hanging="2410"/>
    </w:pPr>
    <w:rPr>
      <w:rFonts w:ascii="Arial" w:hAnsi="Arial"/>
      <w:b/>
      <w:sz w:val="32"/>
    </w:rPr>
  </w:style>
  <w:style w:type="paragraph" w:customStyle="1" w:styleId="ASP">
    <w:name w:val="ASP"/>
    <w:aliases w:val="Schedule Part Amendment"/>
    <w:basedOn w:val="Normal"/>
    <w:next w:val="A1S"/>
    <w:uiPriority w:val="99"/>
    <w:rsid w:val="00295FF1"/>
    <w:pPr>
      <w:keepNext/>
      <w:keepLines/>
      <w:spacing w:before="360"/>
      <w:ind w:left="2410" w:hanging="2410"/>
    </w:pPr>
    <w:rPr>
      <w:rFonts w:ascii="Arial" w:hAnsi="Arial"/>
      <w:b/>
      <w:sz w:val="28"/>
    </w:rPr>
  </w:style>
  <w:style w:type="paragraph" w:customStyle="1" w:styleId="ContentsHead">
    <w:name w:val="ContentsHead"/>
    <w:basedOn w:val="Normal"/>
    <w:next w:val="Normal"/>
    <w:uiPriority w:val="99"/>
    <w:rsid w:val="00295FF1"/>
    <w:pPr>
      <w:keepNext/>
      <w:keepLines/>
      <w:spacing w:before="240" w:after="240"/>
    </w:pPr>
    <w:rPr>
      <w:rFonts w:ascii="Arial" w:hAnsi="Arial"/>
      <w:b/>
      <w:sz w:val="28"/>
    </w:rPr>
  </w:style>
  <w:style w:type="paragraph" w:customStyle="1" w:styleId="ContentsSectionBreak">
    <w:name w:val="ContentsSectionBreak"/>
    <w:basedOn w:val="Normal"/>
    <w:next w:val="Normal"/>
    <w:uiPriority w:val="99"/>
    <w:rsid w:val="00295FF1"/>
  </w:style>
  <w:style w:type="paragraph" w:customStyle="1" w:styleId="DD">
    <w:name w:val="DD"/>
    <w:aliases w:val="Dictionary Definition"/>
    <w:basedOn w:val="Normal"/>
    <w:uiPriority w:val="99"/>
    <w:rsid w:val="00295FF1"/>
    <w:pPr>
      <w:spacing w:before="80" w:line="260" w:lineRule="exact"/>
      <w:jc w:val="both"/>
    </w:pPr>
  </w:style>
  <w:style w:type="paragraph" w:customStyle="1" w:styleId="DictionaryHeading">
    <w:name w:val="Dictionary Heading"/>
    <w:basedOn w:val="Normal"/>
    <w:next w:val="DD"/>
    <w:uiPriority w:val="99"/>
    <w:rsid w:val="00295FF1"/>
    <w:pPr>
      <w:keepNext/>
      <w:keepLines/>
      <w:spacing w:before="480"/>
      <w:ind w:left="2552" w:hanging="2552"/>
    </w:pPr>
    <w:rPr>
      <w:rFonts w:ascii="Arial" w:hAnsi="Arial"/>
      <w:b/>
      <w:sz w:val="32"/>
    </w:rPr>
  </w:style>
  <w:style w:type="paragraph" w:customStyle="1" w:styleId="DictionarySectionBreak">
    <w:name w:val="DictionarySectionBreak"/>
    <w:basedOn w:val="Normal"/>
    <w:next w:val="Normal"/>
    <w:uiPriority w:val="99"/>
    <w:rsid w:val="00295FF1"/>
  </w:style>
  <w:style w:type="paragraph" w:customStyle="1" w:styleId="DNote">
    <w:name w:val="DNote"/>
    <w:aliases w:val="DictionaryNote"/>
    <w:basedOn w:val="Normal"/>
    <w:uiPriority w:val="99"/>
    <w:rsid w:val="00295FF1"/>
    <w:pPr>
      <w:spacing w:before="120" w:line="220" w:lineRule="exact"/>
      <w:ind w:left="425"/>
      <w:jc w:val="both"/>
    </w:pPr>
    <w:rPr>
      <w:sz w:val="20"/>
    </w:rPr>
  </w:style>
  <w:style w:type="paragraph" w:customStyle="1" w:styleId="DP1a">
    <w:name w:val="DP1(a)"/>
    <w:aliases w:val="Dictionary (a)"/>
    <w:basedOn w:val="Normal"/>
    <w:uiPriority w:val="99"/>
    <w:rsid w:val="00295FF1"/>
    <w:pPr>
      <w:tabs>
        <w:tab w:val="right" w:pos="709"/>
      </w:tabs>
      <w:spacing w:before="60" w:line="260" w:lineRule="exact"/>
      <w:ind w:left="936" w:hanging="936"/>
      <w:jc w:val="both"/>
    </w:pPr>
  </w:style>
  <w:style w:type="paragraph" w:customStyle="1" w:styleId="DP2i">
    <w:name w:val="DP2(i)"/>
    <w:aliases w:val="Dictionary(i)"/>
    <w:basedOn w:val="Normal"/>
    <w:uiPriority w:val="99"/>
    <w:rsid w:val="00295FF1"/>
    <w:pPr>
      <w:tabs>
        <w:tab w:val="right" w:pos="1276"/>
      </w:tabs>
      <w:spacing w:before="60" w:line="260" w:lineRule="exact"/>
      <w:ind w:left="1503" w:hanging="1503"/>
      <w:jc w:val="both"/>
    </w:pPr>
  </w:style>
  <w:style w:type="paragraph" w:customStyle="1" w:styleId="ExampleBody">
    <w:name w:val="Example Body"/>
    <w:basedOn w:val="Normal"/>
    <w:uiPriority w:val="99"/>
    <w:rsid w:val="00295FF1"/>
    <w:pPr>
      <w:keepLines/>
      <w:spacing w:before="60" w:line="220" w:lineRule="exact"/>
      <w:ind w:left="964"/>
      <w:jc w:val="both"/>
    </w:pPr>
    <w:rPr>
      <w:sz w:val="20"/>
    </w:rPr>
  </w:style>
  <w:style w:type="paragraph" w:customStyle="1" w:styleId="ExampleList">
    <w:name w:val="Example List"/>
    <w:basedOn w:val="Normal"/>
    <w:uiPriority w:val="99"/>
    <w:rsid w:val="00295FF1"/>
    <w:pPr>
      <w:keepLines/>
      <w:tabs>
        <w:tab w:val="left" w:pos="1247"/>
        <w:tab w:val="left" w:pos="1349"/>
      </w:tabs>
      <w:spacing w:before="60" w:line="220" w:lineRule="exact"/>
      <w:ind w:left="340" w:firstLine="652"/>
      <w:jc w:val="both"/>
    </w:pPr>
    <w:rPr>
      <w:sz w:val="20"/>
    </w:rPr>
  </w:style>
  <w:style w:type="paragraph" w:customStyle="1" w:styleId="Formula">
    <w:name w:val="Formula"/>
    <w:basedOn w:val="Normal"/>
    <w:next w:val="Normal"/>
    <w:uiPriority w:val="99"/>
    <w:rsid w:val="00295FF1"/>
    <w:pPr>
      <w:spacing w:before="180" w:after="180"/>
      <w:jc w:val="center"/>
    </w:pPr>
  </w:style>
  <w:style w:type="paragraph" w:customStyle="1" w:styleId="HR">
    <w:name w:val="HR"/>
    <w:aliases w:val="Regulation Heading"/>
    <w:basedOn w:val="Normal"/>
    <w:next w:val="R1"/>
    <w:rsid w:val="00295FF1"/>
    <w:pPr>
      <w:keepNext/>
      <w:keepLines/>
      <w:spacing w:before="360"/>
      <w:ind w:left="964" w:hanging="964"/>
    </w:pPr>
    <w:rPr>
      <w:rFonts w:ascii="Arial" w:hAnsi="Arial"/>
      <w:b/>
    </w:rPr>
  </w:style>
  <w:style w:type="paragraph" w:customStyle="1" w:styleId="Lt">
    <w:name w:val="Lt"/>
    <w:aliases w:val="Long title"/>
    <w:basedOn w:val="Normal"/>
    <w:uiPriority w:val="99"/>
    <w:rsid w:val="00295FF1"/>
    <w:pPr>
      <w:spacing w:before="260"/>
    </w:pPr>
    <w:rPr>
      <w:rFonts w:ascii="Arial" w:hAnsi="Arial"/>
      <w:b/>
      <w:sz w:val="28"/>
    </w:rPr>
  </w:style>
  <w:style w:type="paragraph" w:customStyle="1" w:styleId="M1">
    <w:name w:val="M1"/>
    <w:aliases w:val="Modification Heading"/>
    <w:basedOn w:val="Normal"/>
    <w:next w:val="Normal"/>
    <w:uiPriority w:val="99"/>
    <w:rsid w:val="00295FF1"/>
    <w:pPr>
      <w:keepNext/>
      <w:spacing w:before="480" w:line="260" w:lineRule="exact"/>
      <w:ind w:left="964" w:hanging="964"/>
    </w:pPr>
    <w:rPr>
      <w:rFonts w:ascii="Arial" w:hAnsi="Arial"/>
      <w:b/>
    </w:rPr>
  </w:style>
  <w:style w:type="paragraph" w:customStyle="1" w:styleId="M2">
    <w:name w:val="M2"/>
    <w:aliases w:val="Modification Instruction"/>
    <w:basedOn w:val="Normal"/>
    <w:next w:val="Normal"/>
    <w:uiPriority w:val="99"/>
    <w:rsid w:val="00295FF1"/>
    <w:pPr>
      <w:keepNext/>
      <w:spacing w:before="120" w:line="260" w:lineRule="exact"/>
      <w:ind w:left="964"/>
    </w:pPr>
    <w:rPr>
      <w:i/>
    </w:rPr>
  </w:style>
  <w:style w:type="paragraph" w:customStyle="1" w:styleId="M3">
    <w:name w:val="M3"/>
    <w:aliases w:val="Modification Text"/>
    <w:basedOn w:val="Normal"/>
    <w:next w:val="M1"/>
    <w:uiPriority w:val="99"/>
    <w:rsid w:val="00295FF1"/>
    <w:pPr>
      <w:spacing w:before="60" w:line="260" w:lineRule="exact"/>
      <w:ind w:left="1247"/>
      <w:jc w:val="both"/>
    </w:pPr>
  </w:style>
  <w:style w:type="paragraph" w:customStyle="1" w:styleId="MainBodySectionBreak">
    <w:name w:val="MainBody Section Break"/>
    <w:basedOn w:val="Normal"/>
    <w:next w:val="Normal"/>
    <w:uiPriority w:val="99"/>
    <w:rsid w:val="00295FF1"/>
  </w:style>
  <w:style w:type="paragraph" w:customStyle="1" w:styleId="Maker">
    <w:name w:val="Maker"/>
    <w:basedOn w:val="Normal"/>
    <w:uiPriority w:val="99"/>
    <w:rsid w:val="00295FF1"/>
    <w:pPr>
      <w:tabs>
        <w:tab w:val="left" w:pos="3119"/>
      </w:tabs>
      <w:spacing w:line="300" w:lineRule="atLeast"/>
    </w:pPr>
  </w:style>
  <w:style w:type="paragraph" w:customStyle="1" w:styleId="MHD">
    <w:name w:val="MHD"/>
    <w:aliases w:val="Mod Division Heading"/>
    <w:basedOn w:val="Normal"/>
    <w:next w:val="Normal"/>
    <w:uiPriority w:val="99"/>
    <w:rsid w:val="00295FF1"/>
    <w:pPr>
      <w:keepNext/>
      <w:spacing w:before="360"/>
      <w:ind w:left="2410" w:hanging="2410"/>
    </w:pPr>
    <w:rPr>
      <w:b/>
      <w:sz w:val="28"/>
    </w:rPr>
  </w:style>
  <w:style w:type="paragraph" w:customStyle="1" w:styleId="MHP">
    <w:name w:val="MHP"/>
    <w:aliases w:val="Mod Part Heading"/>
    <w:basedOn w:val="Normal"/>
    <w:next w:val="Normal"/>
    <w:uiPriority w:val="99"/>
    <w:rsid w:val="00295FF1"/>
    <w:pPr>
      <w:keepNext/>
      <w:spacing w:before="360"/>
      <w:ind w:left="2410" w:hanging="2410"/>
    </w:pPr>
    <w:rPr>
      <w:b/>
      <w:sz w:val="32"/>
    </w:rPr>
  </w:style>
  <w:style w:type="paragraph" w:customStyle="1" w:styleId="MHR">
    <w:name w:val="MHR"/>
    <w:aliases w:val="Mod Regulation Heading"/>
    <w:basedOn w:val="Normal"/>
    <w:next w:val="Normal"/>
    <w:uiPriority w:val="99"/>
    <w:rsid w:val="00295FF1"/>
    <w:pPr>
      <w:keepNext/>
      <w:spacing w:before="360"/>
      <w:ind w:left="964" w:hanging="964"/>
    </w:pPr>
    <w:rPr>
      <w:b/>
    </w:rPr>
  </w:style>
  <w:style w:type="paragraph" w:customStyle="1" w:styleId="MHS">
    <w:name w:val="MHS"/>
    <w:aliases w:val="Mod Subdivision Heading"/>
    <w:basedOn w:val="Normal"/>
    <w:next w:val="MHR"/>
    <w:uiPriority w:val="99"/>
    <w:rsid w:val="00295FF1"/>
    <w:pPr>
      <w:keepNext/>
      <w:spacing w:before="360"/>
      <w:ind w:left="2410" w:hanging="2410"/>
    </w:pPr>
    <w:rPr>
      <w:b/>
    </w:rPr>
  </w:style>
  <w:style w:type="paragraph" w:customStyle="1" w:styleId="MHSR">
    <w:name w:val="MHSR"/>
    <w:aliases w:val="Mod Subregulation Heading"/>
    <w:basedOn w:val="Normal"/>
    <w:next w:val="Normal"/>
    <w:uiPriority w:val="99"/>
    <w:rsid w:val="00295FF1"/>
    <w:pPr>
      <w:keepNext/>
      <w:spacing w:before="300"/>
      <w:ind w:left="964" w:hanging="964"/>
    </w:pPr>
    <w:rPr>
      <w:i/>
    </w:rPr>
  </w:style>
  <w:style w:type="paragraph" w:customStyle="1" w:styleId="Note">
    <w:name w:val="Note"/>
    <w:basedOn w:val="Normal"/>
    <w:rsid w:val="00295FF1"/>
    <w:pPr>
      <w:keepLines/>
      <w:spacing w:before="120" w:line="220" w:lineRule="exact"/>
      <w:ind w:left="964"/>
      <w:jc w:val="both"/>
    </w:pPr>
    <w:rPr>
      <w:sz w:val="20"/>
    </w:rPr>
  </w:style>
  <w:style w:type="paragraph" w:customStyle="1" w:styleId="NotesSectionBreak">
    <w:name w:val="NotesSectionBreak"/>
    <w:basedOn w:val="Normal"/>
    <w:next w:val="Normal"/>
    <w:uiPriority w:val="99"/>
    <w:rsid w:val="00295FF1"/>
  </w:style>
  <w:style w:type="paragraph" w:customStyle="1" w:styleId="P4">
    <w:name w:val="P4"/>
    <w:aliases w:val="(I)"/>
    <w:basedOn w:val="Normal"/>
    <w:uiPriority w:val="99"/>
    <w:rsid w:val="00295FF1"/>
    <w:pPr>
      <w:tabs>
        <w:tab w:val="right" w:pos="3119"/>
      </w:tabs>
      <w:spacing w:before="60" w:line="260" w:lineRule="exact"/>
      <w:ind w:left="3419" w:hanging="3419"/>
      <w:jc w:val="both"/>
    </w:pPr>
  </w:style>
  <w:style w:type="paragraph" w:customStyle="1" w:styleId="PageBreak">
    <w:name w:val="PageBreak"/>
    <w:aliases w:val="pb"/>
    <w:basedOn w:val="Normal"/>
    <w:next w:val="Normal"/>
    <w:uiPriority w:val="99"/>
    <w:rsid w:val="00295FF1"/>
    <w:rPr>
      <w:sz w:val="4"/>
      <w:szCs w:val="2"/>
    </w:rPr>
  </w:style>
  <w:style w:type="paragraph" w:customStyle="1" w:styleId="Penalty">
    <w:name w:val="Penalty"/>
    <w:basedOn w:val="Normal"/>
    <w:next w:val="Normal"/>
    <w:uiPriority w:val="99"/>
    <w:rsid w:val="00295FF1"/>
    <w:pPr>
      <w:spacing w:before="180" w:line="260" w:lineRule="exact"/>
      <w:ind w:left="964"/>
      <w:jc w:val="both"/>
    </w:pPr>
  </w:style>
  <w:style w:type="paragraph" w:customStyle="1" w:styleId="Query">
    <w:name w:val="Query"/>
    <w:aliases w:val="QY"/>
    <w:basedOn w:val="Normal"/>
    <w:uiPriority w:val="99"/>
    <w:rsid w:val="00295FF1"/>
    <w:pPr>
      <w:spacing w:before="180" w:line="260" w:lineRule="exact"/>
      <w:ind w:left="964" w:hanging="964"/>
      <w:jc w:val="both"/>
    </w:pPr>
    <w:rPr>
      <w:b/>
      <w:i/>
    </w:rPr>
  </w:style>
  <w:style w:type="paragraph" w:customStyle="1" w:styleId="Rc">
    <w:name w:val="Rc"/>
    <w:aliases w:val="Rn continued"/>
    <w:basedOn w:val="Normal"/>
    <w:next w:val="R2"/>
    <w:uiPriority w:val="99"/>
    <w:rsid w:val="00295FF1"/>
    <w:pPr>
      <w:spacing w:before="60" w:line="260" w:lineRule="exact"/>
      <w:ind w:left="964"/>
      <w:jc w:val="both"/>
    </w:pPr>
  </w:style>
  <w:style w:type="paragraph" w:customStyle="1" w:styleId="ReadersGuideSectionBreak">
    <w:name w:val="ReadersGuideSectionBreak"/>
    <w:basedOn w:val="Normal"/>
    <w:next w:val="Normal"/>
    <w:uiPriority w:val="99"/>
    <w:rsid w:val="00295FF1"/>
  </w:style>
  <w:style w:type="paragraph" w:customStyle="1" w:styleId="RGHead">
    <w:name w:val="RGHead"/>
    <w:basedOn w:val="Normal"/>
    <w:next w:val="Normal"/>
    <w:uiPriority w:val="99"/>
    <w:rsid w:val="00295FF1"/>
    <w:pPr>
      <w:keepNext/>
      <w:spacing w:before="360"/>
    </w:pPr>
    <w:rPr>
      <w:rFonts w:ascii="Arial" w:hAnsi="Arial"/>
      <w:b/>
      <w:sz w:val="32"/>
    </w:rPr>
  </w:style>
  <w:style w:type="paragraph" w:customStyle="1" w:styleId="RGPara">
    <w:name w:val="RGPara"/>
    <w:aliases w:val="Readers Guide Para"/>
    <w:basedOn w:val="Normal"/>
    <w:uiPriority w:val="99"/>
    <w:rsid w:val="00295FF1"/>
    <w:pPr>
      <w:spacing w:before="120" w:line="260" w:lineRule="exact"/>
      <w:jc w:val="both"/>
    </w:pPr>
  </w:style>
  <w:style w:type="paragraph" w:customStyle="1" w:styleId="RGPtHd">
    <w:name w:val="RGPtHd"/>
    <w:aliases w:val="Readers Guide PT Heading"/>
    <w:basedOn w:val="Normal"/>
    <w:next w:val="Normal"/>
    <w:uiPriority w:val="99"/>
    <w:rsid w:val="00295FF1"/>
    <w:pPr>
      <w:keepNext/>
      <w:spacing w:before="360"/>
    </w:pPr>
    <w:rPr>
      <w:rFonts w:ascii="Arial" w:hAnsi="Arial"/>
      <w:b/>
      <w:sz w:val="28"/>
    </w:rPr>
  </w:style>
  <w:style w:type="paragraph" w:customStyle="1" w:styleId="RGSecHdg">
    <w:name w:val="RGSecHdg"/>
    <w:aliases w:val="Readers Guide Sec Heading"/>
    <w:basedOn w:val="Normal"/>
    <w:next w:val="RGPara"/>
    <w:uiPriority w:val="99"/>
    <w:rsid w:val="00295FF1"/>
    <w:pPr>
      <w:keepNext/>
      <w:spacing w:before="360"/>
      <w:ind w:left="964" w:hanging="964"/>
    </w:pPr>
    <w:rPr>
      <w:rFonts w:ascii="Arial" w:hAnsi="Arial"/>
      <w:b/>
    </w:rPr>
  </w:style>
  <w:style w:type="paragraph" w:customStyle="1" w:styleId="LandscapeSectionBreak">
    <w:name w:val="LandscapeSectionBreak"/>
    <w:basedOn w:val="Normal"/>
    <w:next w:val="Normal"/>
    <w:uiPriority w:val="99"/>
    <w:rsid w:val="00295FF1"/>
  </w:style>
  <w:style w:type="paragraph" w:customStyle="1" w:styleId="ScheduleHeading">
    <w:name w:val="Schedule Heading"/>
    <w:basedOn w:val="Normal"/>
    <w:next w:val="Normal"/>
    <w:uiPriority w:val="99"/>
    <w:rsid w:val="00295FF1"/>
    <w:pPr>
      <w:keepNext/>
      <w:keepLines/>
      <w:spacing w:before="360"/>
      <w:ind w:left="964" w:hanging="964"/>
    </w:pPr>
    <w:rPr>
      <w:rFonts w:ascii="Arial" w:hAnsi="Arial"/>
      <w:b/>
    </w:rPr>
  </w:style>
  <w:style w:type="paragraph" w:customStyle="1" w:styleId="ScheduleDivision">
    <w:name w:val="Schedule Division"/>
    <w:basedOn w:val="Normal"/>
    <w:next w:val="ScheduleHeading"/>
    <w:uiPriority w:val="99"/>
    <w:rsid w:val="00295FF1"/>
    <w:pPr>
      <w:keepNext/>
      <w:keepLines/>
      <w:spacing w:before="360"/>
      <w:ind w:left="1559" w:hanging="1559"/>
    </w:pPr>
    <w:rPr>
      <w:rFonts w:ascii="Arial" w:hAnsi="Arial"/>
      <w:b/>
    </w:rPr>
  </w:style>
  <w:style w:type="paragraph" w:customStyle="1" w:styleId="IntroP1a">
    <w:name w:val="IntroP1(a)"/>
    <w:basedOn w:val="Normal"/>
    <w:uiPriority w:val="99"/>
    <w:rsid w:val="00295FF1"/>
    <w:pPr>
      <w:spacing w:before="60" w:line="260" w:lineRule="exact"/>
      <w:ind w:left="454" w:hanging="454"/>
      <w:jc w:val="both"/>
    </w:pPr>
  </w:style>
  <w:style w:type="paragraph" w:customStyle="1" w:styleId="Footerinfo0">
    <w:name w:val="Footerinfo"/>
    <w:basedOn w:val="Footer"/>
    <w:uiPriority w:val="99"/>
    <w:rsid w:val="00295FF1"/>
    <w:pPr>
      <w:tabs>
        <w:tab w:val="clear" w:pos="4513"/>
        <w:tab w:val="clear" w:pos="9026"/>
        <w:tab w:val="center" w:pos="3600"/>
        <w:tab w:val="right" w:pos="7201"/>
      </w:tabs>
      <w:spacing w:before="20"/>
      <w:jc w:val="center"/>
    </w:pPr>
    <w:rPr>
      <w:rFonts w:ascii="Arial" w:hAnsi="Arial"/>
      <w:i/>
      <w:sz w:val="12"/>
      <w:szCs w:val="18"/>
    </w:rPr>
  </w:style>
  <w:style w:type="paragraph" w:customStyle="1" w:styleId="FooterPageOdd">
    <w:name w:val="FooterPageOdd"/>
    <w:basedOn w:val="Footer"/>
    <w:uiPriority w:val="99"/>
    <w:rsid w:val="00295FF1"/>
    <w:pPr>
      <w:tabs>
        <w:tab w:val="clear" w:pos="4513"/>
        <w:tab w:val="clear" w:pos="9026"/>
        <w:tab w:val="center" w:pos="3600"/>
        <w:tab w:val="right" w:pos="7201"/>
      </w:tabs>
      <w:spacing w:before="20"/>
      <w:jc w:val="right"/>
    </w:pPr>
    <w:rPr>
      <w:rFonts w:ascii="Arial" w:hAnsi="Arial"/>
      <w:sz w:val="22"/>
      <w:szCs w:val="18"/>
    </w:rPr>
  </w:style>
  <w:style w:type="paragraph" w:customStyle="1" w:styleId="SchedSectionBreak">
    <w:name w:val="SchedSectionBreak"/>
    <w:basedOn w:val="Normal"/>
    <w:next w:val="Normal"/>
    <w:uiPriority w:val="99"/>
    <w:rsid w:val="00295FF1"/>
  </w:style>
  <w:style w:type="paragraph" w:customStyle="1" w:styleId="Schedulelist">
    <w:name w:val="Schedule list"/>
    <w:basedOn w:val="Normal"/>
    <w:uiPriority w:val="99"/>
    <w:rsid w:val="00295FF1"/>
    <w:pPr>
      <w:tabs>
        <w:tab w:val="right" w:pos="1985"/>
      </w:tabs>
      <w:spacing w:before="60" w:line="260" w:lineRule="exact"/>
      <w:ind w:left="454"/>
    </w:pPr>
  </w:style>
  <w:style w:type="paragraph" w:customStyle="1" w:styleId="Schedulepara">
    <w:name w:val="Schedule para"/>
    <w:basedOn w:val="Normal"/>
    <w:uiPriority w:val="99"/>
    <w:rsid w:val="00295FF1"/>
    <w:pPr>
      <w:tabs>
        <w:tab w:val="right" w:pos="567"/>
      </w:tabs>
      <w:spacing w:before="180" w:line="260" w:lineRule="exact"/>
      <w:ind w:left="964" w:hanging="964"/>
      <w:jc w:val="both"/>
    </w:pPr>
  </w:style>
  <w:style w:type="paragraph" w:customStyle="1" w:styleId="Schedulepart">
    <w:name w:val="Schedule part"/>
    <w:basedOn w:val="Normal"/>
    <w:uiPriority w:val="99"/>
    <w:rsid w:val="00295FF1"/>
    <w:pPr>
      <w:keepNext/>
      <w:keepLines/>
      <w:spacing w:before="360"/>
      <w:ind w:left="1559" w:hanging="1559"/>
    </w:pPr>
    <w:rPr>
      <w:rFonts w:ascii="Arial" w:hAnsi="Arial"/>
      <w:b/>
      <w:sz w:val="28"/>
    </w:rPr>
  </w:style>
  <w:style w:type="paragraph" w:customStyle="1" w:styleId="Schedulereference">
    <w:name w:val="Schedule reference"/>
    <w:basedOn w:val="Normal"/>
    <w:next w:val="Schedulepart"/>
    <w:uiPriority w:val="99"/>
    <w:rsid w:val="00295FF1"/>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uiPriority w:val="99"/>
    <w:rsid w:val="00295FF1"/>
    <w:pPr>
      <w:keepNext/>
      <w:keepLines/>
      <w:spacing w:before="480"/>
      <w:ind w:left="2410" w:hanging="2410"/>
    </w:pPr>
    <w:rPr>
      <w:rFonts w:ascii="Arial" w:hAnsi="Arial"/>
      <w:b/>
      <w:sz w:val="32"/>
    </w:rPr>
  </w:style>
  <w:style w:type="paragraph" w:customStyle="1" w:styleId="SigningPageBreak">
    <w:name w:val="SigningPageBreak"/>
    <w:basedOn w:val="Normal"/>
    <w:next w:val="Normal"/>
    <w:uiPriority w:val="99"/>
    <w:rsid w:val="00295FF1"/>
  </w:style>
  <w:style w:type="paragraph" w:customStyle="1" w:styleId="SRNo">
    <w:name w:val="SRNo"/>
    <w:basedOn w:val="Normal"/>
    <w:next w:val="Normal"/>
    <w:uiPriority w:val="99"/>
    <w:rsid w:val="00295FF1"/>
    <w:pPr>
      <w:pBdr>
        <w:bottom w:val="single" w:sz="4" w:space="3" w:color="auto"/>
      </w:pBdr>
      <w:spacing w:before="480"/>
    </w:pPr>
    <w:rPr>
      <w:rFonts w:ascii="Arial" w:hAnsi="Arial"/>
      <w:b/>
    </w:rPr>
  </w:style>
  <w:style w:type="paragraph" w:customStyle="1" w:styleId="TableColHead">
    <w:name w:val="TableColHead"/>
    <w:basedOn w:val="Normal"/>
    <w:uiPriority w:val="99"/>
    <w:rsid w:val="00295FF1"/>
    <w:pPr>
      <w:keepNext/>
      <w:spacing w:before="120" w:after="60" w:line="200" w:lineRule="exact"/>
    </w:pPr>
    <w:rPr>
      <w:rFonts w:ascii="Arial" w:hAnsi="Arial"/>
      <w:b/>
      <w:sz w:val="18"/>
    </w:rPr>
  </w:style>
  <w:style w:type="paragraph" w:customStyle="1" w:styleId="TableP1a">
    <w:name w:val="TableP1(a)"/>
    <w:basedOn w:val="Normal"/>
    <w:uiPriority w:val="99"/>
    <w:rsid w:val="00295FF1"/>
    <w:pPr>
      <w:tabs>
        <w:tab w:val="right" w:pos="408"/>
      </w:tabs>
      <w:spacing w:after="60" w:line="240" w:lineRule="exact"/>
      <w:ind w:left="533" w:hanging="533"/>
    </w:pPr>
    <w:rPr>
      <w:sz w:val="22"/>
    </w:rPr>
  </w:style>
  <w:style w:type="paragraph" w:customStyle="1" w:styleId="TableP2i">
    <w:name w:val="TableP2(i)"/>
    <w:basedOn w:val="Normal"/>
    <w:uiPriority w:val="99"/>
    <w:rsid w:val="00295FF1"/>
    <w:pPr>
      <w:tabs>
        <w:tab w:val="right" w:pos="726"/>
      </w:tabs>
      <w:spacing w:after="60" w:line="240" w:lineRule="exact"/>
      <w:ind w:left="868" w:hanging="868"/>
    </w:pPr>
    <w:rPr>
      <w:sz w:val="22"/>
    </w:rPr>
  </w:style>
  <w:style w:type="paragraph" w:customStyle="1" w:styleId="TableText0">
    <w:name w:val="TableText"/>
    <w:basedOn w:val="Normal"/>
    <w:uiPriority w:val="99"/>
    <w:rsid w:val="00295FF1"/>
    <w:pPr>
      <w:spacing w:before="60" w:after="60" w:line="240" w:lineRule="exact"/>
    </w:pPr>
    <w:rPr>
      <w:sz w:val="22"/>
    </w:rPr>
  </w:style>
  <w:style w:type="paragraph" w:customStyle="1" w:styleId="TOC">
    <w:name w:val="TOC"/>
    <w:basedOn w:val="Normal"/>
    <w:next w:val="Normal"/>
    <w:uiPriority w:val="99"/>
    <w:rsid w:val="00295FF1"/>
    <w:pPr>
      <w:tabs>
        <w:tab w:val="right" w:pos="7088"/>
      </w:tabs>
      <w:spacing w:after="120"/>
    </w:pPr>
    <w:rPr>
      <w:rFonts w:ascii="Arial" w:hAnsi="Arial"/>
      <w:sz w:val="20"/>
      <w:lang w:eastAsia="en-US"/>
    </w:rPr>
  </w:style>
  <w:style w:type="paragraph" w:customStyle="1" w:styleId="IntroP2i">
    <w:name w:val="IntroP2(i)"/>
    <w:basedOn w:val="Normal"/>
    <w:uiPriority w:val="99"/>
    <w:rsid w:val="00295FF1"/>
    <w:pPr>
      <w:tabs>
        <w:tab w:val="right" w:pos="709"/>
      </w:tabs>
      <w:spacing w:before="60" w:line="260" w:lineRule="exact"/>
      <w:ind w:left="907" w:hanging="907"/>
      <w:jc w:val="both"/>
    </w:pPr>
  </w:style>
  <w:style w:type="paragraph" w:customStyle="1" w:styleId="IntroP3A">
    <w:name w:val="IntroP3(A)"/>
    <w:basedOn w:val="Normal"/>
    <w:uiPriority w:val="99"/>
    <w:rsid w:val="00295FF1"/>
    <w:pPr>
      <w:tabs>
        <w:tab w:val="right" w:pos="1276"/>
      </w:tabs>
      <w:spacing w:before="60" w:line="260" w:lineRule="exact"/>
      <w:ind w:left="1503" w:hanging="1503"/>
      <w:jc w:val="both"/>
    </w:pPr>
  </w:style>
  <w:style w:type="paragraph" w:customStyle="1" w:styleId="InstructorsNote">
    <w:name w:val="InstructorsNote"/>
    <w:basedOn w:val="Normal"/>
    <w:next w:val="Normal"/>
    <w:uiPriority w:val="99"/>
    <w:rsid w:val="00295FF1"/>
    <w:pPr>
      <w:spacing w:before="120"/>
      <w:ind w:left="958" w:hanging="958"/>
    </w:pPr>
    <w:rPr>
      <w:rFonts w:ascii="Arial" w:hAnsi="Arial" w:cs="Arial"/>
      <w:b/>
      <w:sz w:val="16"/>
      <w:szCs w:val="18"/>
      <w:lang w:eastAsia="en-US"/>
    </w:rPr>
  </w:style>
  <w:style w:type="paragraph" w:customStyle="1" w:styleId="ZA2">
    <w:name w:val="ZA2"/>
    <w:basedOn w:val="A2"/>
    <w:uiPriority w:val="99"/>
    <w:rsid w:val="00295FF1"/>
    <w:pPr>
      <w:keepNext/>
    </w:pPr>
  </w:style>
  <w:style w:type="paragraph" w:customStyle="1" w:styleId="ZA3">
    <w:name w:val="ZA3"/>
    <w:basedOn w:val="A3"/>
    <w:uiPriority w:val="99"/>
    <w:rsid w:val="00295FF1"/>
    <w:pPr>
      <w:keepNext/>
    </w:pPr>
  </w:style>
  <w:style w:type="paragraph" w:customStyle="1" w:styleId="ZA4">
    <w:name w:val="ZA4"/>
    <w:basedOn w:val="Normal"/>
    <w:next w:val="A4"/>
    <w:uiPriority w:val="99"/>
    <w:rsid w:val="00295FF1"/>
    <w:pPr>
      <w:keepNext/>
      <w:tabs>
        <w:tab w:val="right" w:pos="1247"/>
      </w:tabs>
      <w:spacing w:before="60" w:line="260" w:lineRule="exact"/>
      <w:ind w:left="1531" w:hanging="1531"/>
      <w:jc w:val="both"/>
    </w:pPr>
  </w:style>
  <w:style w:type="paragraph" w:customStyle="1" w:styleId="ZDD">
    <w:name w:val="ZDD"/>
    <w:aliases w:val="Dict Def"/>
    <w:basedOn w:val="DD"/>
    <w:uiPriority w:val="99"/>
    <w:rsid w:val="00295FF1"/>
    <w:pPr>
      <w:keepNext/>
    </w:pPr>
  </w:style>
  <w:style w:type="paragraph" w:customStyle="1" w:styleId="Zdefinition">
    <w:name w:val="Zdefinition"/>
    <w:basedOn w:val="definition"/>
    <w:uiPriority w:val="99"/>
    <w:rsid w:val="00295FF1"/>
    <w:pPr>
      <w:keepNext/>
    </w:pPr>
  </w:style>
  <w:style w:type="paragraph" w:customStyle="1" w:styleId="ZDP1">
    <w:name w:val="ZDP1"/>
    <w:basedOn w:val="DP1a"/>
    <w:uiPriority w:val="99"/>
    <w:rsid w:val="00295FF1"/>
    <w:pPr>
      <w:keepNext/>
    </w:pPr>
  </w:style>
  <w:style w:type="paragraph" w:customStyle="1" w:styleId="ZExampleBody">
    <w:name w:val="ZExample Body"/>
    <w:basedOn w:val="ExampleBody"/>
    <w:uiPriority w:val="99"/>
    <w:rsid w:val="00295FF1"/>
    <w:pPr>
      <w:keepNext/>
    </w:pPr>
  </w:style>
  <w:style w:type="paragraph" w:customStyle="1" w:styleId="ZNote">
    <w:name w:val="ZNote"/>
    <w:basedOn w:val="Note"/>
    <w:uiPriority w:val="99"/>
    <w:rsid w:val="00295FF1"/>
    <w:pPr>
      <w:keepNext/>
    </w:pPr>
  </w:style>
  <w:style w:type="paragraph" w:customStyle="1" w:styleId="ZP1">
    <w:name w:val="ZP1"/>
    <w:basedOn w:val="P1"/>
    <w:uiPriority w:val="99"/>
    <w:rsid w:val="00295FF1"/>
    <w:pPr>
      <w:keepNext/>
    </w:pPr>
  </w:style>
  <w:style w:type="paragraph" w:customStyle="1" w:styleId="ZP2">
    <w:name w:val="ZP2"/>
    <w:basedOn w:val="P2"/>
    <w:uiPriority w:val="99"/>
    <w:rsid w:val="00295FF1"/>
    <w:pPr>
      <w:keepNext/>
      <w:tabs>
        <w:tab w:val="clear" w:pos="2098"/>
        <w:tab w:val="right" w:pos="1758"/>
        <w:tab w:val="left" w:pos="2155"/>
      </w:tabs>
      <w:spacing w:before="60" w:after="0"/>
      <w:ind w:left="1985" w:hanging="1985"/>
    </w:pPr>
    <w:rPr>
      <w:rFonts w:ascii="Times New Roman" w:eastAsia="Times New Roman" w:hAnsi="Times New Roman" w:cs="Times New Roman"/>
      <w:sz w:val="24"/>
      <w:szCs w:val="24"/>
      <w:lang w:eastAsia="en-AU"/>
    </w:rPr>
  </w:style>
  <w:style w:type="paragraph" w:customStyle="1" w:styleId="ZP3">
    <w:name w:val="ZP3"/>
    <w:basedOn w:val="P3"/>
    <w:uiPriority w:val="99"/>
    <w:rsid w:val="00295FF1"/>
    <w:pPr>
      <w:keepNext/>
      <w:tabs>
        <w:tab w:val="clear" w:pos="2722"/>
        <w:tab w:val="right" w:pos="2410"/>
      </w:tabs>
      <w:spacing w:before="60" w:after="0"/>
      <w:ind w:left="2693" w:hanging="2693"/>
    </w:pPr>
    <w:rPr>
      <w:rFonts w:ascii="Times New Roman" w:eastAsia="Times New Roman" w:hAnsi="Times New Roman" w:cs="Times New Roman"/>
      <w:sz w:val="24"/>
      <w:szCs w:val="24"/>
      <w:lang w:eastAsia="en-AU"/>
    </w:rPr>
  </w:style>
  <w:style w:type="paragraph" w:customStyle="1" w:styleId="ZR1">
    <w:name w:val="ZR1"/>
    <w:basedOn w:val="R1"/>
    <w:uiPriority w:val="99"/>
    <w:rsid w:val="00295FF1"/>
    <w:pPr>
      <w:keepNext/>
    </w:pPr>
  </w:style>
  <w:style w:type="paragraph" w:customStyle="1" w:styleId="ZR2">
    <w:name w:val="ZR2"/>
    <w:basedOn w:val="R2"/>
    <w:uiPriority w:val="99"/>
    <w:rsid w:val="00295FF1"/>
    <w:pPr>
      <w:keepNext/>
    </w:pPr>
  </w:style>
  <w:style w:type="paragraph" w:customStyle="1" w:styleId="ZRcN">
    <w:name w:val="ZRcN"/>
    <w:basedOn w:val="Rc"/>
    <w:uiPriority w:val="99"/>
    <w:rsid w:val="00295FF1"/>
    <w:pPr>
      <w:keepNext/>
    </w:pPr>
  </w:style>
  <w:style w:type="paragraph" w:customStyle="1" w:styleId="top1">
    <w:name w:val="top1"/>
    <w:basedOn w:val="Normal"/>
    <w:uiPriority w:val="99"/>
    <w:rsid w:val="00295FF1"/>
    <w:pPr>
      <w:keepNext/>
      <w:tabs>
        <w:tab w:val="right" w:pos="7218"/>
      </w:tabs>
      <w:spacing w:before="120"/>
      <w:ind w:left="2410" w:right="136" w:hanging="1418"/>
    </w:pPr>
    <w:rPr>
      <w:rFonts w:ascii="Arial" w:hAnsi="Arial"/>
      <w:b/>
      <w:sz w:val="18"/>
      <w:lang w:eastAsia="en-US"/>
    </w:rPr>
  </w:style>
  <w:style w:type="paragraph" w:customStyle="1" w:styleId="top2">
    <w:name w:val="top2"/>
    <w:basedOn w:val="Normal"/>
    <w:uiPriority w:val="99"/>
    <w:rsid w:val="00295FF1"/>
    <w:pPr>
      <w:tabs>
        <w:tab w:val="left" w:pos="3686"/>
        <w:tab w:val="right" w:pos="7082"/>
      </w:tabs>
      <w:spacing w:before="80"/>
      <w:ind w:left="2410" w:hanging="1871"/>
    </w:pPr>
    <w:rPr>
      <w:rFonts w:ascii="Arial" w:hAnsi="Arial"/>
      <w:b/>
      <w:sz w:val="18"/>
      <w:lang w:eastAsia="en-US"/>
    </w:rPr>
  </w:style>
  <w:style w:type="paragraph" w:customStyle="1" w:styleId="top3">
    <w:name w:val="top3"/>
    <w:basedOn w:val="Normal"/>
    <w:uiPriority w:val="99"/>
    <w:rsid w:val="00295FF1"/>
    <w:pPr>
      <w:spacing w:before="80"/>
      <w:ind w:left="2410" w:hanging="1168"/>
    </w:pPr>
    <w:rPr>
      <w:rFonts w:ascii="Arial" w:hAnsi="Arial"/>
      <w:sz w:val="18"/>
      <w:lang w:eastAsia="en-US"/>
    </w:rPr>
  </w:style>
  <w:style w:type="paragraph" w:customStyle="1" w:styleId="CHS">
    <w:name w:val="CHS"/>
    <w:aliases w:val="CASA Subdivision Heading"/>
    <w:basedOn w:val="HS"/>
    <w:next w:val="HR"/>
    <w:uiPriority w:val="99"/>
    <w:rsid w:val="00295FF1"/>
    <w:pPr>
      <w:spacing w:after="0" w:line="240" w:lineRule="auto"/>
      <w:outlineLvl w:val="9"/>
    </w:pPr>
    <w:rPr>
      <w:b w:val="0"/>
      <w:bCs w:val="0"/>
      <w:i/>
      <w:sz w:val="24"/>
      <w:szCs w:val="24"/>
      <w:lang w:eastAsia="en-AU"/>
    </w:rPr>
  </w:style>
  <w:style w:type="character" w:customStyle="1" w:styleId="OutlineNumbered1Char">
    <w:name w:val="Outline Numbered 1 Char"/>
    <w:basedOn w:val="DefaultParagraphFont"/>
    <w:link w:val="OutlineNumbered1"/>
    <w:uiPriority w:val="99"/>
    <w:locked/>
    <w:rsid w:val="00295FF1"/>
    <w:rPr>
      <w:rFonts w:ascii="Calibri" w:eastAsia="Calibri" w:hAnsi="Calibri" w:cs="Calibri"/>
      <w:sz w:val="24"/>
      <w:szCs w:val="22"/>
    </w:rPr>
  </w:style>
  <w:style w:type="paragraph" w:customStyle="1" w:styleId="OutlineNumbered1">
    <w:name w:val="Outline Numbered 1"/>
    <w:basedOn w:val="Normal"/>
    <w:link w:val="OutlineNumbered1Char"/>
    <w:uiPriority w:val="99"/>
    <w:rsid w:val="00295FF1"/>
    <w:pPr>
      <w:spacing w:line="276" w:lineRule="auto"/>
    </w:pPr>
    <w:rPr>
      <w:rFonts w:ascii="Calibri" w:eastAsia="Calibri" w:hAnsi="Calibri" w:cs="Calibri"/>
      <w:szCs w:val="22"/>
      <w:lang w:eastAsia="en-US"/>
    </w:rPr>
  </w:style>
  <w:style w:type="paragraph" w:customStyle="1" w:styleId="OutlineNumbered2">
    <w:name w:val="Outline Numbered 2"/>
    <w:basedOn w:val="Normal"/>
    <w:uiPriority w:val="99"/>
    <w:rsid w:val="00295FF1"/>
    <w:pPr>
      <w:spacing w:line="276" w:lineRule="auto"/>
    </w:pPr>
    <w:rPr>
      <w:rFonts w:eastAsia="Calibri"/>
      <w:szCs w:val="22"/>
      <w:lang w:eastAsia="en-US"/>
    </w:rPr>
  </w:style>
  <w:style w:type="paragraph" w:customStyle="1" w:styleId="OutlineNumbered3">
    <w:name w:val="Outline Numbered 3"/>
    <w:basedOn w:val="Normal"/>
    <w:uiPriority w:val="99"/>
    <w:rsid w:val="00295FF1"/>
    <w:pPr>
      <w:spacing w:line="276" w:lineRule="auto"/>
    </w:pPr>
    <w:rPr>
      <w:rFonts w:eastAsia="Calibri"/>
      <w:szCs w:val="22"/>
      <w:lang w:eastAsia="en-US"/>
    </w:rPr>
  </w:style>
  <w:style w:type="character" w:customStyle="1" w:styleId="BulletChar">
    <w:name w:val="Bullet Char"/>
    <w:aliases w:val="b Char"/>
    <w:basedOn w:val="DefaultParagraphFont"/>
    <w:link w:val="Bullet"/>
    <w:locked/>
    <w:rsid w:val="00295FF1"/>
    <w:rPr>
      <w:sz w:val="24"/>
      <w:szCs w:val="22"/>
    </w:rPr>
  </w:style>
  <w:style w:type="paragraph" w:customStyle="1" w:styleId="Bullet">
    <w:name w:val="Bullet"/>
    <w:aliases w:val="b"/>
    <w:basedOn w:val="Normal"/>
    <w:link w:val="BulletChar"/>
    <w:qFormat/>
    <w:rsid w:val="00295FF1"/>
    <w:pPr>
      <w:spacing w:before="120" w:after="120" w:line="276" w:lineRule="auto"/>
    </w:pPr>
    <w:rPr>
      <w:rFonts w:eastAsiaTheme="minorHAnsi"/>
      <w:szCs w:val="22"/>
      <w:lang w:eastAsia="en-US"/>
    </w:rPr>
  </w:style>
  <w:style w:type="character" w:customStyle="1" w:styleId="DashChar">
    <w:name w:val="Dash Char"/>
    <w:basedOn w:val="DefaultParagraphFont"/>
    <w:link w:val="Dash"/>
    <w:uiPriority w:val="99"/>
    <w:locked/>
    <w:rsid w:val="00295FF1"/>
    <w:rPr>
      <w:sz w:val="24"/>
      <w:szCs w:val="22"/>
    </w:rPr>
  </w:style>
  <w:style w:type="paragraph" w:customStyle="1" w:styleId="Dash">
    <w:name w:val="Dash"/>
    <w:basedOn w:val="Normal"/>
    <w:link w:val="DashChar"/>
    <w:qFormat/>
    <w:rsid w:val="00295FF1"/>
    <w:pPr>
      <w:spacing w:before="120" w:after="120" w:line="276" w:lineRule="auto"/>
    </w:pPr>
    <w:rPr>
      <w:rFonts w:eastAsiaTheme="minorHAnsi"/>
      <w:szCs w:val="22"/>
      <w:lang w:eastAsia="en-US"/>
    </w:rPr>
  </w:style>
  <w:style w:type="character" w:customStyle="1" w:styleId="DoubleDotChar">
    <w:name w:val="Double Dot Char"/>
    <w:basedOn w:val="DefaultParagraphFont"/>
    <w:link w:val="DoubleDot"/>
    <w:uiPriority w:val="99"/>
    <w:locked/>
    <w:rsid w:val="00295FF1"/>
    <w:rPr>
      <w:sz w:val="24"/>
      <w:szCs w:val="22"/>
    </w:rPr>
  </w:style>
  <w:style w:type="paragraph" w:customStyle="1" w:styleId="DoubleDot">
    <w:name w:val="Double Dot"/>
    <w:basedOn w:val="Normal"/>
    <w:link w:val="DoubleDotChar"/>
    <w:rsid w:val="00295FF1"/>
    <w:pPr>
      <w:spacing w:before="120" w:after="120" w:line="276" w:lineRule="auto"/>
    </w:pPr>
    <w:rPr>
      <w:rFonts w:eastAsiaTheme="minorHAnsi"/>
      <w:szCs w:val="22"/>
      <w:lang w:eastAsia="en-US"/>
    </w:rPr>
  </w:style>
  <w:style w:type="paragraph" w:customStyle="1" w:styleId="note0">
    <w:name w:val="note"/>
    <w:basedOn w:val="Normal"/>
    <w:uiPriority w:val="99"/>
    <w:rsid w:val="00295FF1"/>
    <w:pPr>
      <w:spacing w:before="100" w:beforeAutospacing="1" w:after="100" w:afterAutospacing="1"/>
    </w:pPr>
  </w:style>
  <w:style w:type="paragraph" w:customStyle="1" w:styleId="zdefinition0">
    <w:name w:val="zdefinition"/>
    <w:basedOn w:val="Normal"/>
    <w:rsid w:val="00295FF1"/>
    <w:pPr>
      <w:spacing w:before="100" w:beforeAutospacing="1" w:after="100" w:afterAutospacing="1"/>
    </w:pPr>
  </w:style>
  <w:style w:type="paragraph" w:customStyle="1" w:styleId="p10">
    <w:name w:val="p1"/>
    <w:basedOn w:val="Normal"/>
    <w:rsid w:val="00295FF1"/>
    <w:pPr>
      <w:spacing w:before="100" w:beforeAutospacing="1" w:after="100" w:afterAutospacing="1"/>
    </w:pPr>
  </w:style>
  <w:style w:type="paragraph" w:customStyle="1" w:styleId="zr20">
    <w:name w:val="zr2"/>
    <w:basedOn w:val="Normal"/>
    <w:uiPriority w:val="99"/>
    <w:rsid w:val="00295FF1"/>
    <w:pPr>
      <w:spacing w:before="100" w:beforeAutospacing="1" w:after="100" w:afterAutospacing="1"/>
    </w:pPr>
  </w:style>
  <w:style w:type="paragraph" w:customStyle="1" w:styleId="rc0">
    <w:name w:val="rc"/>
    <w:basedOn w:val="Normal"/>
    <w:uiPriority w:val="99"/>
    <w:rsid w:val="00295FF1"/>
    <w:pPr>
      <w:spacing w:before="100" w:beforeAutospacing="1" w:after="100" w:afterAutospacing="1"/>
    </w:pPr>
  </w:style>
  <w:style w:type="paragraph" w:customStyle="1" w:styleId="Rx12">
    <w:name w:val="Rx.12"/>
    <w:aliases w:val="Subdivision"/>
    <w:basedOn w:val="Normal"/>
    <w:next w:val="Normal"/>
    <w:uiPriority w:val="99"/>
    <w:rsid w:val="00295FF1"/>
    <w:pPr>
      <w:keepNext/>
      <w:keepLines/>
      <w:spacing w:before="360" w:line="260" w:lineRule="atLeast"/>
      <w:ind w:left="1134" w:hanging="1134"/>
    </w:pPr>
    <w:rPr>
      <w:rFonts w:ascii="Arial" w:hAnsi="Arial"/>
      <w:b/>
      <w:lang w:eastAsia="en-US"/>
    </w:rPr>
  </w:style>
  <w:style w:type="paragraph" w:customStyle="1" w:styleId="r20">
    <w:name w:val="r2"/>
    <w:basedOn w:val="Normal"/>
    <w:uiPriority w:val="99"/>
    <w:rsid w:val="00295FF1"/>
    <w:pPr>
      <w:spacing w:before="100" w:beforeAutospacing="1" w:after="100" w:afterAutospacing="1"/>
    </w:pPr>
  </w:style>
  <w:style w:type="paragraph" w:customStyle="1" w:styleId="notepara1">
    <w:name w:val="notepara"/>
    <w:basedOn w:val="Normal"/>
    <w:uiPriority w:val="99"/>
    <w:rsid w:val="00295FF1"/>
    <w:pPr>
      <w:spacing w:before="100" w:beforeAutospacing="1" w:after="100" w:afterAutospacing="1"/>
    </w:pPr>
  </w:style>
  <w:style w:type="paragraph" w:customStyle="1" w:styleId="paragraph">
    <w:name w:val="paragraph"/>
    <w:basedOn w:val="Normal"/>
    <w:uiPriority w:val="99"/>
    <w:rsid w:val="00295FF1"/>
    <w:pPr>
      <w:spacing w:before="100" w:beforeAutospacing="1" w:after="100" w:afterAutospacing="1"/>
    </w:pPr>
  </w:style>
  <w:style w:type="paragraph" w:customStyle="1" w:styleId="acthead5">
    <w:name w:val="acthead5"/>
    <w:basedOn w:val="Normal"/>
    <w:uiPriority w:val="99"/>
    <w:rsid w:val="00295FF1"/>
    <w:pPr>
      <w:spacing w:before="100" w:beforeAutospacing="1" w:after="100" w:afterAutospacing="1"/>
    </w:pPr>
  </w:style>
  <w:style w:type="paragraph" w:customStyle="1" w:styleId="subsectionhead">
    <w:name w:val="subsectionhead"/>
    <w:basedOn w:val="Normal"/>
    <w:uiPriority w:val="99"/>
    <w:rsid w:val="00295FF1"/>
    <w:pPr>
      <w:spacing w:before="100" w:beforeAutospacing="1" w:after="100" w:afterAutospacing="1"/>
    </w:pPr>
  </w:style>
  <w:style w:type="paragraph" w:customStyle="1" w:styleId="subsection">
    <w:name w:val="subsection"/>
    <w:basedOn w:val="Normal"/>
    <w:uiPriority w:val="99"/>
    <w:rsid w:val="00295FF1"/>
    <w:pPr>
      <w:spacing w:before="100" w:beforeAutospacing="1" w:after="100" w:afterAutospacing="1"/>
    </w:pPr>
  </w:style>
  <w:style w:type="paragraph" w:customStyle="1" w:styleId="NoteLevel11">
    <w:name w:val="Note Level 11"/>
    <w:basedOn w:val="Normal"/>
    <w:uiPriority w:val="99"/>
    <w:semiHidden/>
    <w:rsid w:val="00295FF1"/>
    <w:pPr>
      <w:keepNext/>
      <w:contextualSpacing/>
      <w:outlineLvl w:val="0"/>
    </w:pPr>
    <w:rPr>
      <w:rFonts w:ascii="Verdana" w:hAnsi="Verdana"/>
    </w:rPr>
  </w:style>
  <w:style w:type="paragraph" w:customStyle="1" w:styleId="NoteLevel21">
    <w:name w:val="Note Level 21"/>
    <w:basedOn w:val="Normal"/>
    <w:uiPriority w:val="99"/>
    <w:semiHidden/>
    <w:rsid w:val="00295FF1"/>
    <w:pPr>
      <w:keepNext/>
      <w:contextualSpacing/>
      <w:outlineLvl w:val="1"/>
    </w:pPr>
    <w:rPr>
      <w:rFonts w:ascii="Verdana" w:hAnsi="Verdana"/>
    </w:rPr>
  </w:style>
  <w:style w:type="paragraph" w:customStyle="1" w:styleId="NoteLevel31">
    <w:name w:val="Note Level 31"/>
    <w:basedOn w:val="Normal"/>
    <w:uiPriority w:val="99"/>
    <w:semiHidden/>
    <w:rsid w:val="00295FF1"/>
    <w:pPr>
      <w:keepNext/>
      <w:contextualSpacing/>
      <w:outlineLvl w:val="2"/>
    </w:pPr>
    <w:rPr>
      <w:rFonts w:ascii="Verdana" w:hAnsi="Verdana"/>
    </w:rPr>
  </w:style>
  <w:style w:type="paragraph" w:customStyle="1" w:styleId="NoteLevel41">
    <w:name w:val="Note Level 41"/>
    <w:basedOn w:val="Normal"/>
    <w:uiPriority w:val="99"/>
    <w:semiHidden/>
    <w:rsid w:val="00295FF1"/>
    <w:pPr>
      <w:keepNext/>
      <w:contextualSpacing/>
      <w:outlineLvl w:val="3"/>
    </w:pPr>
    <w:rPr>
      <w:rFonts w:ascii="Verdana" w:hAnsi="Verdana"/>
    </w:rPr>
  </w:style>
  <w:style w:type="paragraph" w:customStyle="1" w:styleId="NoteLevel51">
    <w:name w:val="Note Level 51"/>
    <w:basedOn w:val="Normal"/>
    <w:uiPriority w:val="99"/>
    <w:semiHidden/>
    <w:rsid w:val="00295FF1"/>
    <w:pPr>
      <w:keepNext/>
      <w:contextualSpacing/>
      <w:outlineLvl w:val="4"/>
    </w:pPr>
    <w:rPr>
      <w:rFonts w:ascii="Verdana" w:hAnsi="Verdana"/>
    </w:rPr>
  </w:style>
  <w:style w:type="paragraph" w:customStyle="1" w:styleId="NoteLevel61">
    <w:name w:val="Note Level 61"/>
    <w:basedOn w:val="Normal"/>
    <w:uiPriority w:val="99"/>
    <w:semiHidden/>
    <w:rsid w:val="00295FF1"/>
    <w:pPr>
      <w:keepNext/>
      <w:contextualSpacing/>
      <w:outlineLvl w:val="5"/>
    </w:pPr>
    <w:rPr>
      <w:rFonts w:ascii="Verdana" w:hAnsi="Verdana"/>
    </w:rPr>
  </w:style>
  <w:style w:type="paragraph" w:customStyle="1" w:styleId="NoteLevel71">
    <w:name w:val="Note Level 71"/>
    <w:basedOn w:val="Normal"/>
    <w:uiPriority w:val="99"/>
    <w:semiHidden/>
    <w:rsid w:val="00295FF1"/>
    <w:pPr>
      <w:keepNext/>
      <w:contextualSpacing/>
      <w:outlineLvl w:val="6"/>
    </w:pPr>
    <w:rPr>
      <w:rFonts w:ascii="Verdana" w:hAnsi="Verdana"/>
    </w:rPr>
  </w:style>
  <w:style w:type="paragraph" w:customStyle="1" w:styleId="NoteLevel81">
    <w:name w:val="Note Level 81"/>
    <w:basedOn w:val="Normal"/>
    <w:uiPriority w:val="99"/>
    <w:semiHidden/>
    <w:rsid w:val="00295FF1"/>
    <w:pPr>
      <w:keepNext/>
      <w:contextualSpacing/>
      <w:outlineLvl w:val="7"/>
    </w:pPr>
    <w:rPr>
      <w:rFonts w:ascii="Verdana" w:hAnsi="Verdana"/>
    </w:rPr>
  </w:style>
  <w:style w:type="paragraph" w:customStyle="1" w:styleId="NoteLevel91">
    <w:name w:val="Note Level 91"/>
    <w:basedOn w:val="Normal"/>
    <w:uiPriority w:val="99"/>
    <w:semiHidden/>
    <w:rsid w:val="00295FF1"/>
    <w:pPr>
      <w:keepNext/>
      <w:contextualSpacing/>
      <w:outlineLvl w:val="8"/>
    </w:pPr>
    <w:rPr>
      <w:rFonts w:ascii="Verdana" w:hAnsi="Verdana"/>
    </w:rPr>
  </w:style>
  <w:style w:type="character" w:styleId="FootnoteReference">
    <w:name w:val="footnote reference"/>
    <w:basedOn w:val="DefaultParagraphFont"/>
    <w:uiPriority w:val="99"/>
    <w:semiHidden/>
    <w:unhideWhenUsed/>
    <w:rsid w:val="00295FF1"/>
    <w:rPr>
      <w:rFonts w:ascii="Times New Roman" w:hAnsi="Times New Roman" w:cs="Times New Roman" w:hint="default"/>
      <w:sz w:val="20"/>
      <w:vertAlign w:val="superscript"/>
    </w:rPr>
  </w:style>
  <w:style w:type="character" w:styleId="EndnoteReference">
    <w:name w:val="endnote reference"/>
    <w:basedOn w:val="DefaultParagraphFont"/>
    <w:uiPriority w:val="99"/>
    <w:semiHidden/>
    <w:unhideWhenUsed/>
    <w:rsid w:val="00295FF1"/>
    <w:rPr>
      <w:vertAlign w:val="superscript"/>
    </w:rPr>
  </w:style>
  <w:style w:type="character" w:styleId="PlaceholderText">
    <w:name w:val="Placeholder Text"/>
    <w:basedOn w:val="DefaultParagraphFont"/>
    <w:uiPriority w:val="99"/>
    <w:semiHidden/>
    <w:rsid w:val="00295FF1"/>
    <w:rPr>
      <w:color w:val="808080"/>
    </w:rPr>
  </w:style>
  <w:style w:type="character" w:styleId="SubtleEmphasis">
    <w:name w:val="Subtle Emphasis"/>
    <w:basedOn w:val="DefaultParagraphFont"/>
    <w:uiPriority w:val="99"/>
    <w:qFormat/>
    <w:rsid w:val="00295FF1"/>
    <w:rPr>
      <w:rFonts w:ascii="Arial" w:hAnsi="Arial" w:cs="Times New Roman" w:hint="default"/>
      <w:i/>
      <w:iCs w:val="0"/>
      <w:color w:val="7F7F7F"/>
      <w:sz w:val="20"/>
    </w:rPr>
  </w:style>
  <w:style w:type="character" w:customStyle="1" w:styleId="CharAmSchNo">
    <w:name w:val="CharAmSchNo"/>
    <w:basedOn w:val="DefaultParagraphFont"/>
    <w:uiPriority w:val="99"/>
    <w:rsid w:val="00295FF1"/>
  </w:style>
  <w:style w:type="character" w:customStyle="1" w:styleId="CharAmSchText">
    <w:name w:val="CharAmSchText"/>
    <w:basedOn w:val="DefaultParagraphFont"/>
    <w:uiPriority w:val="99"/>
    <w:rsid w:val="00295FF1"/>
  </w:style>
  <w:style w:type="character" w:customStyle="1" w:styleId="CharChapNo">
    <w:name w:val="CharChapNo"/>
    <w:basedOn w:val="DefaultParagraphFont"/>
    <w:uiPriority w:val="99"/>
    <w:rsid w:val="00295FF1"/>
  </w:style>
  <w:style w:type="character" w:customStyle="1" w:styleId="CharChapText">
    <w:name w:val="CharChapText"/>
    <w:basedOn w:val="DefaultParagraphFont"/>
    <w:uiPriority w:val="99"/>
    <w:rsid w:val="00295FF1"/>
  </w:style>
  <w:style w:type="character" w:customStyle="1" w:styleId="CharDivNo">
    <w:name w:val="CharDivNo"/>
    <w:basedOn w:val="DefaultParagraphFont"/>
    <w:uiPriority w:val="99"/>
    <w:rsid w:val="00295FF1"/>
  </w:style>
  <w:style w:type="character" w:customStyle="1" w:styleId="CharDivText">
    <w:name w:val="CharDivText"/>
    <w:basedOn w:val="DefaultParagraphFont"/>
    <w:uiPriority w:val="99"/>
    <w:rsid w:val="00295FF1"/>
  </w:style>
  <w:style w:type="character" w:customStyle="1" w:styleId="CharPartNo">
    <w:name w:val="CharPartNo"/>
    <w:basedOn w:val="DefaultParagraphFont"/>
    <w:uiPriority w:val="99"/>
    <w:rsid w:val="00295FF1"/>
  </w:style>
  <w:style w:type="character" w:customStyle="1" w:styleId="CharPartText">
    <w:name w:val="CharPartText"/>
    <w:basedOn w:val="DefaultParagraphFont"/>
    <w:uiPriority w:val="99"/>
    <w:rsid w:val="00295FF1"/>
  </w:style>
  <w:style w:type="character" w:customStyle="1" w:styleId="CharSchPTNo">
    <w:name w:val="CharSchPTNo"/>
    <w:basedOn w:val="DefaultParagraphFont"/>
    <w:uiPriority w:val="99"/>
    <w:rsid w:val="00295FF1"/>
  </w:style>
  <w:style w:type="character" w:customStyle="1" w:styleId="CharSchPTText">
    <w:name w:val="CharSchPTText"/>
    <w:basedOn w:val="DefaultParagraphFont"/>
    <w:uiPriority w:val="99"/>
    <w:rsid w:val="00295FF1"/>
  </w:style>
  <w:style w:type="character" w:customStyle="1" w:styleId="CharSchNo">
    <w:name w:val="CharSchNo"/>
    <w:basedOn w:val="DefaultParagraphFont"/>
    <w:uiPriority w:val="99"/>
    <w:rsid w:val="00295FF1"/>
  </w:style>
  <w:style w:type="character" w:customStyle="1" w:styleId="CharSchText">
    <w:name w:val="CharSchText"/>
    <w:basedOn w:val="DefaultParagraphFont"/>
    <w:uiPriority w:val="99"/>
    <w:rsid w:val="00295FF1"/>
  </w:style>
  <w:style w:type="character" w:customStyle="1" w:styleId="CharAmSchPTNo">
    <w:name w:val="CharAmSchPTNo"/>
    <w:basedOn w:val="DefaultParagraphFont"/>
    <w:uiPriority w:val="99"/>
    <w:rsid w:val="00295FF1"/>
  </w:style>
  <w:style w:type="character" w:customStyle="1" w:styleId="CharAmSchPTText">
    <w:name w:val="CharAmSchPTText"/>
    <w:basedOn w:val="DefaultParagraphFont"/>
    <w:uiPriority w:val="99"/>
    <w:rsid w:val="00295FF1"/>
  </w:style>
  <w:style w:type="character" w:customStyle="1" w:styleId="TitleSuperscript">
    <w:name w:val="TitleSuperscript"/>
    <w:basedOn w:val="DefaultParagraphFont"/>
    <w:uiPriority w:val="99"/>
    <w:rsid w:val="00295FF1"/>
    <w:rPr>
      <w:rFonts w:ascii="Arial" w:hAnsi="Arial" w:cs="Arial" w:hint="default"/>
      <w:position w:val="6"/>
      <w:sz w:val="24"/>
      <w:szCs w:val="24"/>
      <w:vertAlign w:val="superscript"/>
    </w:rPr>
  </w:style>
  <w:style w:type="character" w:customStyle="1" w:styleId="charsectno0">
    <w:name w:val="charsectno"/>
    <w:basedOn w:val="DefaultParagraphFont"/>
    <w:rsid w:val="00295FF1"/>
  </w:style>
  <w:style w:type="table" w:styleId="TableSimple1">
    <w:name w:val="Table Simple 1"/>
    <w:basedOn w:val="TableNormal"/>
    <w:uiPriority w:val="99"/>
    <w:semiHidden/>
    <w:unhideWhenUsed/>
    <w:rsid w:val="00295FF1"/>
    <w:rPr>
      <w:rFonts w:eastAsia="Times New Roman"/>
      <w:lang w:eastAsia="en-A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95FF1"/>
    <w:rPr>
      <w:rFonts w:eastAsia="Times New Roman"/>
      <w:lang w:eastAsia="en-A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95FF1"/>
    <w:rPr>
      <w:rFonts w:eastAsia="Times New Roman"/>
      <w:lang w:eastAsia="en-A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iPriority w:val="99"/>
    <w:semiHidden/>
    <w:unhideWhenUsed/>
    <w:rsid w:val="00295FF1"/>
    <w:rPr>
      <w:rFonts w:eastAsia="Times New Roman"/>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95FF1"/>
    <w:rPr>
      <w:rFonts w:eastAsia="Times New Roman"/>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95FF1"/>
    <w:rPr>
      <w:rFonts w:eastAsia="Times New Roman"/>
      <w:color w:val="000080"/>
      <w:lang w:eastAsia="en-A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95FF1"/>
    <w:rPr>
      <w:rFonts w:eastAsia="Times New Roman"/>
      <w:lang w:eastAsia="en-A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95FF1"/>
    <w:rPr>
      <w:rFonts w:eastAsia="Times New Roman"/>
      <w:color w:val="FFFFFF"/>
      <w:lang w:eastAsia="en-A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95FF1"/>
    <w:rPr>
      <w:rFonts w:eastAsia="Times New Roman"/>
      <w:lang w:eastAsia="en-A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295FF1"/>
    <w:rPr>
      <w:rFonts w:eastAsia="Times New Roman"/>
      <w:lang w:eastAsia="en-A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95FF1"/>
    <w:rPr>
      <w:rFonts w:eastAsia="Times New Roman"/>
      <w:b/>
      <w:bCs/>
      <w:lang w:eastAsia="en-A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95FF1"/>
    <w:rPr>
      <w:rFonts w:eastAsia="Times New Roman"/>
      <w:b/>
      <w:bCs/>
      <w:lang w:eastAsia="en-A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95FF1"/>
    <w:rPr>
      <w:rFonts w:eastAsia="Times New Roman"/>
      <w:b/>
      <w:bCs/>
      <w:lang w:eastAsia="en-A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95FF1"/>
    <w:rPr>
      <w:rFonts w:eastAsia="Times New Roman"/>
      <w:lang w:eastAsia="en-A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95FF1"/>
    <w:rPr>
      <w:rFonts w:eastAsia="Times New Roman"/>
      <w:lang w:eastAsia="en-A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uiPriority w:val="99"/>
    <w:semiHidden/>
    <w:unhideWhenUsed/>
    <w:rsid w:val="00295FF1"/>
    <w:rPr>
      <w:rFonts w:eastAsia="Times New Roman"/>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95FF1"/>
    <w:rPr>
      <w:rFonts w:eastAsia="Times New Roman"/>
      <w:lang w:eastAsia="en-A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95FF1"/>
    <w:rPr>
      <w:rFonts w:eastAsia="Times New Roman"/>
      <w:lang w:eastAsia="en-A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95FF1"/>
    <w:rPr>
      <w:rFonts w:eastAsia="Times New Roman"/>
      <w:lang w:eastAsia="en-A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95FF1"/>
    <w:rPr>
      <w:rFonts w:eastAsia="Times New Roman"/>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95FF1"/>
    <w:rPr>
      <w:rFonts w:eastAsia="Times New Roman"/>
      <w:lang w:eastAsia="en-A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95FF1"/>
    <w:rPr>
      <w:rFonts w:eastAsia="Times New Roman"/>
      <w:b/>
      <w:bCs/>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95FF1"/>
    <w:rPr>
      <w:rFonts w:eastAsia="Times New Roman"/>
      <w:lang w:eastAsia="en-A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95FF1"/>
    <w:rPr>
      <w:rFonts w:eastAsia="Times New Roman"/>
      <w:lang w:eastAsia="en-A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95FF1"/>
    <w:rPr>
      <w:rFonts w:eastAsia="Times New Roman"/>
      <w:lang w:eastAsia="en-A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95FF1"/>
    <w:rPr>
      <w:rFonts w:eastAsia="Times New Roman"/>
      <w:lang w:eastAsia="en-A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95FF1"/>
    <w:rPr>
      <w:rFonts w:eastAsia="Times New Roman"/>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95FF1"/>
    <w:rPr>
      <w:rFonts w:eastAsia="Times New Roman"/>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95FF1"/>
    <w:rPr>
      <w:rFonts w:eastAsia="Times New Roman"/>
      <w:lang w:eastAsia="en-A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95FF1"/>
    <w:rPr>
      <w:rFonts w:eastAsia="Times New Roman"/>
      <w:lang w:eastAsia="en-A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95FF1"/>
    <w:rPr>
      <w:rFonts w:eastAsia="Times New Roman"/>
      <w:lang w:eastAsia="en-A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uiPriority w:val="99"/>
    <w:semiHidden/>
    <w:unhideWhenUsed/>
    <w:rsid w:val="00295FF1"/>
    <w:rPr>
      <w:rFonts w:eastAsia="Times New Roman"/>
      <w:lang w:eastAsia="en-A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95FF1"/>
    <w:rPr>
      <w:rFonts w:eastAsia="Times New Roman"/>
      <w:lang w:eastAsia="en-A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95FF1"/>
    <w:rPr>
      <w:rFonts w:eastAsia="Times New Roman"/>
      <w:lang w:eastAsia="en-A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uiPriority w:val="99"/>
    <w:semiHidden/>
    <w:unhideWhenUsed/>
    <w:rsid w:val="00295FF1"/>
    <w:rPr>
      <w:rFonts w:eastAsia="Times New Roman"/>
      <w:lang w:eastAsia="en-A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95FF1"/>
    <w:rPr>
      <w:rFonts w:eastAsia="Times New Roman"/>
      <w:lang w:eastAsia="en-A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295FF1"/>
    <w:rPr>
      <w:rFonts w:eastAsia="Times New Roman"/>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95FF1"/>
    <w:rPr>
      <w:rFonts w:eastAsia="Times New Roman"/>
      <w:lang w:eastAsia="en-A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95FF1"/>
    <w:rPr>
      <w:rFonts w:eastAsia="Times New Roman"/>
      <w:lang w:eastAsia="en-A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uiPriority w:val="99"/>
    <w:semiHidden/>
    <w:unhideWhenUsed/>
    <w:rsid w:val="00295FF1"/>
    <w:rPr>
      <w:rFonts w:eastAsia="Times New Roman"/>
      <w:lang w:eastAsia="en-A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95FF1"/>
    <w:rPr>
      <w:rFonts w:eastAsia="Times New Roman"/>
      <w:lang w:eastAsia="en-A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95FF1"/>
    <w:rPr>
      <w:rFonts w:eastAsia="Times New Roman"/>
      <w:lang w:eastAsia="en-A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95FF1"/>
    <w:rPr>
      <w:rFonts w:eastAsia="Times New Roman"/>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eneral">
    <w:name w:val="TableGeneral"/>
    <w:basedOn w:val="TableNormal"/>
    <w:uiPriority w:val="99"/>
    <w:rsid w:val="00295FF1"/>
    <w:pPr>
      <w:spacing w:before="60" w:after="60" w:line="240" w:lineRule="exact"/>
    </w:pPr>
    <w:rPr>
      <w:rFonts w:eastAsia="Times New Roman"/>
      <w:sz w:val="22"/>
      <w:lang w:eastAsia="en-AU"/>
    </w:rPr>
    <w:tblPr>
      <w:tblCellSpacing w:w="11" w:type="dxa"/>
      <w:tblInd w:w="0" w:type="dxa"/>
      <w:tblCellMar>
        <w:top w:w="0" w:type="dxa"/>
        <w:left w:w="108" w:type="dxa"/>
        <w:bottom w:w="0" w:type="dxa"/>
        <w:right w:w="108" w:type="dxa"/>
      </w:tblCellMar>
    </w:tblPr>
    <w:trPr>
      <w:tblCellSpacing w:w="11" w:type="dxa"/>
    </w:trPr>
    <w:tblStylePr w:type="firstRow">
      <w:pPr>
        <w:wordWrap/>
        <w:spacing w:beforeLines="0" w:beforeAutospacing="1" w:afterLines="0" w:afterAutospacing="1" w:line="200" w:lineRule="exact"/>
      </w:pPr>
      <w:rPr>
        <w:rFonts w:ascii="Arial" w:hAnsi="Arial" w:cs="Arial" w:hint="default"/>
        <w:b/>
        <w:sz w:val="18"/>
        <w:szCs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table" w:customStyle="1" w:styleId="LightGrid-Accent11">
    <w:name w:val="Light Grid - Accent 11"/>
    <w:basedOn w:val="TableNormal"/>
    <w:uiPriority w:val="99"/>
    <w:rsid w:val="00295FF1"/>
    <w:rPr>
      <w:rFonts w:ascii="Calibri" w:eastAsia="Calibri" w:hAnsi="Calibri"/>
      <w:lang w:eastAsia="en-AU"/>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10">
    <w:name w:val="Table Grid1"/>
    <w:basedOn w:val="TableNormal"/>
    <w:uiPriority w:val="99"/>
    <w:rsid w:val="00295FF1"/>
    <w:rPr>
      <w:rFonts w:ascii="Calibri" w:eastAsia="Calibri" w:hAnsi="Calibri"/>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Accent11">
    <w:name w:val="Light Shading - Accent 11"/>
    <w:basedOn w:val="TableNormal"/>
    <w:uiPriority w:val="99"/>
    <w:rsid w:val="00295FF1"/>
    <w:rPr>
      <w:rFonts w:ascii="Calibri" w:eastAsia="Calibri" w:hAnsi="Calibri"/>
      <w:color w:val="365F91" w:themeColor="accent1" w:themeShade="BF"/>
      <w:sz w:val="24"/>
      <w:szCs w:val="24"/>
      <w:lang w:eastAsia="en-AU"/>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eGrid20">
    <w:name w:val="Table Grid2"/>
    <w:basedOn w:val="TableNormal"/>
    <w:uiPriority w:val="99"/>
    <w:rsid w:val="00295FF1"/>
    <w:rPr>
      <w:rFonts w:ascii="Calibri" w:eastAsia="Calibri" w:hAnsi="Calibri"/>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Accent111">
    <w:name w:val="Light Shading - Accent 111"/>
    <w:basedOn w:val="TableNormal"/>
    <w:uiPriority w:val="99"/>
    <w:rsid w:val="00295FF1"/>
    <w:rPr>
      <w:rFonts w:ascii="Calibri" w:eastAsia="Calibri" w:hAnsi="Calibri"/>
      <w:color w:val="365F91" w:themeColor="accent1" w:themeShade="BF"/>
      <w:sz w:val="24"/>
      <w:szCs w:val="24"/>
      <w:lang w:eastAsia="en-AU"/>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FooterPageEven">
    <w:name w:val="FooterPageEven"/>
    <w:basedOn w:val="FooterPageOdd"/>
    <w:uiPriority w:val="99"/>
    <w:rsid w:val="00295FF1"/>
    <w:pPr>
      <w:jc w:val="left"/>
    </w:pPr>
  </w:style>
  <w:style w:type="numbering" w:styleId="1ai">
    <w:name w:val="Outline List 1"/>
    <w:basedOn w:val="NoList"/>
    <w:uiPriority w:val="99"/>
    <w:semiHidden/>
    <w:unhideWhenUsed/>
    <w:rsid w:val="00295FF1"/>
    <w:pPr>
      <w:numPr>
        <w:numId w:val="23"/>
      </w:numPr>
    </w:pPr>
  </w:style>
  <w:style w:type="numbering" w:styleId="ArticleSection">
    <w:name w:val="Outline List 3"/>
    <w:basedOn w:val="NoList"/>
    <w:uiPriority w:val="99"/>
    <w:semiHidden/>
    <w:unhideWhenUsed/>
    <w:rsid w:val="00295FF1"/>
    <w:pPr>
      <w:numPr>
        <w:numId w:val="26"/>
      </w:numPr>
    </w:pPr>
  </w:style>
  <w:style w:type="numbering" w:styleId="111111">
    <w:name w:val="Outline List 2"/>
    <w:basedOn w:val="NoList"/>
    <w:uiPriority w:val="99"/>
    <w:semiHidden/>
    <w:unhideWhenUsed/>
    <w:rsid w:val="00295FF1"/>
    <w:pPr>
      <w:numPr>
        <w:numId w:val="27"/>
      </w:numPr>
    </w:pPr>
  </w:style>
  <w:style w:type="character" w:styleId="HTMLVariable">
    <w:name w:val="HTML Variable"/>
    <w:basedOn w:val="DefaultParagraphFont"/>
    <w:uiPriority w:val="99"/>
    <w:rsid w:val="00295FF1"/>
    <w:rPr>
      <w:i/>
      <w:iCs/>
    </w:rPr>
  </w:style>
  <w:style w:type="paragraph" w:customStyle="1" w:styleId="tdefn0">
    <w:name w:val="tdefn"/>
    <w:basedOn w:val="Normal"/>
    <w:rsid w:val="00F768B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lock Text"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75D"/>
    <w:rPr>
      <w:rFonts w:eastAsia="Times New Roman"/>
      <w:sz w:val="24"/>
      <w:szCs w:val="24"/>
      <w:lang w:eastAsia="en-AU"/>
    </w:rPr>
  </w:style>
  <w:style w:type="paragraph" w:styleId="Heading1">
    <w:name w:val="heading 1"/>
    <w:basedOn w:val="Normal"/>
    <w:next w:val="Normal"/>
    <w:link w:val="Heading1Char"/>
    <w:uiPriority w:val="9"/>
    <w:rsid w:val="00CD34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D34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D349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D349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D349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9"/>
    <w:semiHidden/>
    <w:unhideWhenUsed/>
    <w:qFormat/>
    <w:rsid w:val="00295FF1"/>
    <w:pPr>
      <w:numPr>
        <w:ilvl w:val="5"/>
        <w:numId w:val="7"/>
      </w:numPr>
      <w:spacing w:before="240" w:after="60"/>
      <w:ind w:left="1152" w:hanging="432"/>
      <w:outlineLvl w:val="5"/>
    </w:pPr>
    <w:rPr>
      <w:b/>
      <w:bCs/>
      <w:sz w:val="22"/>
      <w:szCs w:val="22"/>
    </w:rPr>
  </w:style>
  <w:style w:type="paragraph" w:styleId="Heading7">
    <w:name w:val="heading 7"/>
    <w:basedOn w:val="Normal"/>
    <w:next w:val="Normal"/>
    <w:link w:val="Heading7Char"/>
    <w:uiPriority w:val="99"/>
    <w:semiHidden/>
    <w:unhideWhenUsed/>
    <w:qFormat/>
    <w:rsid w:val="00295FF1"/>
    <w:pPr>
      <w:numPr>
        <w:ilvl w:val="6"/>
        <w:numId w:val="7"/>
      </w:numPr>
      <w:spacing w:before="240" w:after="60"/>
      <w:ind w:left="1296" w:hanging="288"/>
      <w:outlineLvl w:val="6"/>
    </w:pPr>
  </w:style>
  <w:style w:type="paragraph" w:styleId="Heading8">
    <w:name w:val="heading 8"/>
    <w:basedOn w:val="Normal"/>
    <w:next w:val="Normal"/>
    <w:link w:val="Heading8Char"/>
    <w:uiPriority w:val="99"/>
    <w:semiHidden/>
    <w:unhideWhenUsed/>
    <w:qFormat/>
    <w:rsid w:val="00295FF1"/>
    <w:pPr>
      <w:numPr>
        <w:ilvl w:val="7"/>
        <w:numId w:val="7"/>
      </w:numPr>
      <w:spacing w:before="240" w:after="60"/>
      <w:ind w:left="1440" w:hanging="432"/>
      <w:outlineLvl w:val="7"/>
    </w:pPr>
    <w:rPr>
      <w:i/>
      <w:iCs/>
    </w:rPr>
  </w:style>
  <w:style w:type="paragraph" w:styleId="Heading9">
    <w:name w:val="heading 9"/>
    <w:basedOn w:val="Normal"/>
    <w:next w:val="Normal"/>
    <w:link w:val="Heading9Char"/>
    <w:uiPriority w:val="99"/>
    <w:semiHidden/>
    <w:unhideWhenUsed/>
    <w:qFormat/>
    <w:rsid w:val="00295FF1"/>
    <w:pPr>
      <w:numPr>
        <w:ilvl w:val="8"/>
        <w:numId w:val="7"/>
      </w:numPr>
      <w:spacing w:before="240" w:after="60"/>
      <w:ind w:left="1584" w:hanging="14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efn">
    <w:name w:val="t_Defn"/>
    <w:basedOn w:val="Normal"/>
    <w:uiPriority w:val="99"/>
    <w:rsid w:val="00CD349A"/>
    <w:pPr>
      <w:spacing w:before="80" w:after="100" w:line="260" w:lineRule="exact"/>
      <w:ind w:left="964"/>
      <w:jc w:val="both"/>
    </w:pPr>
  </w:style>
  <w:style w:type="paragraph" w:customStyle="1" w:styleId="Tempstyle">
    <w:name w:val="Temp style"/>
    <w:basedOn w:val="Normal"/>
    <w:rsid w:val="00CD349A"/>
  </w:style>
  <w:style w:type="paragraph" w:customStyle="1" w:styleId="h1ChSch">
    <w:name w:val="h1_Ch_Sch"/>
    <w:basedOn w:val="Heading1"/>
    <w:next w:val="Normal"/>
    <w:qFormat/>
    <w:rsid w:val="00CD349A"/>
    <w:pPr>
      <w:pageBreakBefore/>
      <w:spacing w:after="60"/>
      <w:ind w:left="2410" w:hanging="2410"/>
    </w:pPr>
    <w:rPr>
      <w:rFonts w:ascii="Arial" w:eastAsia="Times New Roman" w:hAnsi="Arial" w:cs="Arial"/>
      <w:color w:val="auto"/>
      <w:kern w:val="32"/>
      <w:sz w:val="40"/>
      <w:szCs w:val="32"/>
    </w:rPr>
  </w:style>
  <w:style w:type="character" w:customStyle="1" w:styleId="Heading1Char">
    <w:name w:val="Heading 1 Char"/>
    <w:basedOn w:val="DefaultParagraphFont"/>
    <w:link w:val="Heading1"/>
    <w:uiPriority w:val="9"/>
    <w:rsid w:val="00CD349A"/>
    <w:rPr>
      <w:rFonts w:asciiTheme="majorHAnsi" w:eastAsiaTheme="majorEastAsia" w:hAnsiTheme="majorHAnsi" w:cstheme="majorBidi"/>
      <w:b/>
      <w:bCs/>
      <w:color w:val="365F91" w:themeColor="accent1" w:themeShade="BF"/>
      <w:sz w:val="28"/>
      <w:szCs w:val="28"/>
    </w:rPr>
  </w:style>
  <w:style w:type="paragraph" w:customStyle="1" w:styleId="h3Div">
    <w:name w:val="h3_Div"/>
    <w:basedOn w:val="Heading3"/>
    <w:next w:val="Normal"/>
    <w:qFormat/>
    <w:rsid w:val="00CD349A"/>
    <w:pPr>
      <w:spacing w:before="360" w:after="60"/>
      <w:ind w:left="2410" w:hanging="2410"/>
    </w:pPr>
    <w:rPr>
      <w:rFonts w:ascii="Arial" w:eastAsia="Times New Roman" w:hAnsi="Arial" w:cs="Arial"/>
      <w:color w:val="auto"/>
      <w:sz w:val="28"/>
      <w:szCs w:val="26"/>
    </w:rPr>
  </w:style>
  <w:style w:type="character" w:customStyle="1" w:styleId="Heading3Char">
    <w:name w:val="Heading 3 Char"/>
    <w:basedOn w:val="DefaultParagraphFont"/>
    <w:link w:val="Heading3"/>
    <w:uiPriority w:val="9"/>
    <w:rsid w:val="00CD349A"/>
    <w:rPr>
      <w:rFonts w:asciiTheme="majorHAnsi" w:eastAsiaTheme="majorEastAsia" w:hAnsiTheme="majorHAnsi" w:cstheme="majorBidi"/>
      <w:b/>
      <w:bCs/>
      <w:color w:val="4F81BD" w:themeColor="accent1"/>
    </w:rPr>
  </w:style>
  <w:style w:type="paragraph" w:customStyle="1" w:styleId="h7Example">
    <w:name w:val="h7_Example"/>
    <w:basedOn w:val="Normal"/>
    <w:next w:val="Normal"/>
    <w:qFormat/>
    <w:rsid w:val="00CD349A"/>
    <w:pPr>
      <w:keepNext/>
      <w:spacing w:before="120" w:line="220" w:lineRule="exact"/>
      <w:ind w:left="964"/>
    </w:pPr>
    <w:rPr>
      <w:i/>
    </w:rPr>
  </w:style>
  <w:style w:type="paragraph" w:customStyle="1" w:styleId="h2Part">
    <w:name w:val="h2_Part"/>
    <w:basedOn w:val="Heading2"/>
    <w:next w:val="h3Div"/>
    <w:qFormat/>
    <w:rsid w:val="00CD349A"/>
    <w:pPr>
      <w:pageBreakBefore/>
      <w:spacing w:before="360" w:after="60"/>
      <w:ind w:left="2410" w:hanging="2410"/>
    </w:pPr>
    <w:rPr>
      <w:rFonts w:ascii="Arial" w:eastAsia="Times New Roman" w:hAnsi="Arial" w:cs="Arial"/>
      <w:bCs w:val="0"/>
      <w:iCs/>
      <w:color w:val="auto"/>
      <w:sz w:val="36"/>
      <w:szCs w:val="22"/>
    </w:rPr>
  </w:style>
  <w:style w:type="character" w:customStyle="1" w:styleId="Heading2Char">
    <w:name w:val="Heading 2 Char"/>
    <w:basedOn w:val="DefaultParagraphFont"/>
    <w:link w:val="Heading2"/>
    <w:uiPriority w:val="9"/>
    <w:rsid w:val="00CD349A"/>
    <w:rPr>
      <w:rFonts w:asciiTheme="majorHAnsi" w:eastAsiaTheme="majorEastAsia" w:hAnsiTheme="majorHAnsi" w:cstheme="majorBidi"/>
      <w:b/>
      <w:bCs/>
      <w:color w:val="4F81BD" w:themeColor="accent1"/>
      <w:sz w:val="26"/>
      <w:szCs w:val="26"/>
    </w:rPr>
  </w:style>
  <w:style w:type="paragraph" w:customStyle="1" w:styleId="h4Subdiv">
    <w:name w:val="h4_Subdiv"/>
    <w:basedOn w:val="Heading4"/>
    <w:next w:val="Normal"/>
    <w:autoRedefine/>
    <w:qFormat/>
    <w:rsid w:val="00CD349A"/>
    <w:pPr>
      <w:spacing w:before="360" w:after="60"/>
      <w:ind w:left="2410" w:hanging="2410"/>
    </w:pPr>
    <w:rPr>
      <w:rFonts w:ascii="Arial" w:eastAsia="Times New Roman" w:hAnsi="Arial" w:cs="Times New Roman"/>
      <w:i w:val="0"/>
      <w:iCs w:val="0"/>
      <w:color w:val="auto"/>
      <w:sz w:val="28"/>
      <w:szCs w:val="28"/>
    </w:rPr>
  </w:style>
  <w:style w:type="character" w:customStyle="1" w:styleId="Heading4Char">
    <w:name w:val="Heading 4 Char"/>
    <w:basedOn w:val="DefaultParagraphFont"/>
    <w:link w:val="Heading4"/>
    <w:uiPriority w:val="9"/>
    <w:semiHidden/>
    <w:rsid w:val="00CD349A"/>
    <w:rPr>
      <w:rFonts w:asciiTheme="majorHAnsi" w:eastAsiaTheme="majorEastAsia" w:hAnsiTheme="majorHAnsi" w:cstheme="majorBidi"/>
      <w:b/>
      <w:bCs/>
      <w:i/>
      <w:iCs/>
      <w:color w:val="4F81BD" w:themeColor="accent1"/>
    </w:rPr>
  </w:style>
  <w:style w:type="paragraph" w:customStyle="1" w:styleId="h5Section">
    <w:name w:val="h5_Section"/>
    <w:basedOn w:val="Heading5"/>
    <w:next w:val="Normal"/>
    <w:uiPriority w:val="99"/>
    <w:qFormat/>
    <w:rsid w:val="00CD349A"/>
    <w:pPr>
      <w:spacing w:before="360" w:after="60"/>
      <w:ind w:left="964" w:hanging="964"/>
    </w:pPr>
    <w:rPr>
      <w:rFonts w:ascii="Arial" w:eastAsia="Times New Roman" w:hAnsi="Arial" w:cs="Times New Roman"/>
      <w:b/>
      <w:bCs/>
      <w:iCs/>
      <w:color w:val="auto"/>
      <w:szCs w:val="26"/>
    </w:rPr>
  </w:style>
  <w:style w:type="character" w:customStyle="1" w:styleId="Heading5Char">
    <w:name w:val="Heading 5 Char"/>
    <w:basedOn w:val="DefaultParagraphFont"/>
    <w:link w:val="Heading5"/>
    <w:uiPriority w:val="9"/>
    <w:semiHidden/>
    <w:rsid w:val="00CD349A"/>
    <w:rPr>
      <w:rFonts w:asciiTheme="majorHAnsi" w:eastAsiaTheme="majorEastAsia" w:hAnsiTheme="majorHAnsi" w:cstheme="majorBidi"/>
      <w:color w:val="243F60" w:themeColor="accent1" w:themeShade="7F"/>
    </w:rPr>
  </w:style>
  <w:style w:type="paragraph" w:customStyle="1" w:styleId="noteDrafter">
    <w:name w:val="note_Drafter"/>
    <w:basedOn w:val="Normal"/>
    <w:qFormat/>
    <w:rsid w:val="00E26C4A"/>
    <w:pPr>
      <w:spacing w:before="80" w:after="80"/>
    </w:pPr>
    <w:rPr>
      <w:color w:val="0070C0"/>
    </w:rPr>
  </w:style>
  <w:style w:type="paragraph" w:customStyle="1" w:styleId="tPara">
    <w:name w:val="t_Para"/>
    <w:basedOn w:val="Normal"/>
    <w:uiPriority w:val="99"/>
    <w:qFormat/>
    <w:rsid w:val="00071ABA"/>
    <w:pPr>
      <w:keepLines/>
      <w:tabs>
        <w:tab w:val="right" w:pos="1531"/>
      </w:tabs>
      <w:spacing w:after="100" w:line="260" w:lineRule="exact"/>
      <w:ind w:left="1701" w:hanging="1701"/>
      <w:jc w:val="both"/>
    </w:pPr>
  </w:style>
  <w:style w:type="paragraph" w:customStyle="1" w:styleId="tSubpara">
    <w:name w:val="t_Subpara"/>
    <w:basedOn w:val="Normal"/>
    <w:qFormat/>
    <w:rsid w:val="00071ABA"/>
    <w:pPr>
      <w:keepLines/>
      <w:tabs>
        <w:tab w:val="right" w:pos="2211"/>
      </w:tabs>
      <w:spacing w:after="100" w:line="260" w:lineRule="exact"/>
      <w:ind w:left="2410" w:hanging="2410"/>
      <w:jc w:val="both"/>
    </w:pPr>
  </w:style>
  <w:style w:type="paragraph" w:customStyle="1" w:styleId="tSubsub">
    <w:name w:val="t_Subsub"/>
    <w:basedOn w:val="Normal"/>
    <w:qFormat/>
    <w:rsid w:val="00071ABA"/>
    <w:pPr>
      <w:tabs>
        <w:tab w:val="right" w:pos="2948"/>
      </w:tabs>
      <w:spacing w:after="100" w:line="260" w:lineRule="exact"/>
      <w:ind w:left="3119" w:hanging="3119"/>
      <w:jc w:val="both"/>
    </w:pPr>
  </w:style>
  <w:style w:type="paragraph" w:styleId="Title">
    <w:name w:val="Title"/>
    <w:basedOn w:val="Normal"/>
    <w:next w:val="Normal"/>
    <w:link w:val="TitleChar"/>
    <w:qFormat/>
    <w:rsid w:val="00CD349A"/>
    <w:pPr>
      <w:spacing w:before="480"/>
    </w:pPr>
    <w:rPr>
      <w:rFonts w:ascii="Arial" w:hAnsi="Arial" w:cs="Arial"/>
      <w:b/>
      <w:bCs/>
      <w:sz w:val="40"/>
      <w:szCs w:val="40"/>
    </w:rPr>
  </w:style>
  <w:style w:type="character" w:customStyle="1" w:styleId="TitleChar">
    <w:name w:val="Title Char"/>
    <w:basedOn w:val="DefaultParagraphFont"/>
    <w:link w:val="Title"/>
    <w:rsid w:val="00CD349A"/>
    <w:rPr>
      <w:rFonts w:ascii="Arial" w:eastAsia="Times New Roman" w:hAnsi="Arial" w:cs="Arial"/>
      <w:b/>
      <w:bCs/>
      <w:sz w:val="40"/>
      <w:szCs w:val="40"/>
      <w:lang w:eastAsia="en-AU"/>
    </w:rPr>
  </w:style>
  <w:style w:type="paragraph" w:styleId="BalloonText">
    <w:name w:val="Balloon Text"/>
    <w:basedOn w:val="Normal"/>
    <w:link w:val="BalloonTextChar"/>
    <w:uiPriority w:val="99"/>
    <w:semiHidden/>
    <w:unhideWhenUsed/>
    <w:rsid w:val="00CD349A"/>
    <w:rPr>
      <w:rFonts w:ascii="Tahoma" w:hAnsi="Tahoma" w:cs="Tahoma"/>
      <w:sz w:val="16"/>
      <w:szCs w:val="16"/>
    </w:rPr>
  </w:style>
  <w:style w:type="character" w:customStyle="1" w:styleId="BalloonTextChar">
    <w:name w:val="Balloon Text Char"/>
    <w:basedOn w:val="DefaultParagraphFont"/>
    <w:link w:val="BalloonText"/>
    <w:uiPriority w:val="99"/>
    <w:semiHidden/>
    <w:rsid w:val="00CD349A"/>
    <w:rPr>
      <w:rFonts w:ascii="Tahoma" w:eastAsia="Times New Roman" w:hAnsi="Tahoma" w:cs="Tahoma"/>
      <w:sz w:val="16"/>
      <w:szCs w:val="16"/>
      <w:lang w:eastAsia="en-AU"/>
    </w:rPr>
  </w:style>
  <w:style w:type="paragraph" w:styleId="Header">
    <w:name w:val="header"/>
    <w:basedOn w:val="Normal"/>
    <w:link w:val="HeaderChar"/>
    <w:uiPriority w:val="99"/>
    <w:unhideWhenUsed/>
    <w:rsid w:val="00CD349A"/>
    <w:pPr>
      <w:tabs>
        <w:tab w:val="center" w:pos="4513"/>
        <w:tab w:val="right" w:pos="9026"/>
      </w:tabs>
    </w:pPr>
  </w:style>
  <w:style w:type="character" w:customStyle="1" w:styleId="HeaderChar">
    <w:name w:val="Header Char"/>
    <w:basedOn w:val="DefaultParagraphFont"/>
    <w:link w:val="Header"/>
    <w:uiPriority w:val="99"/>
    <w:rsid w:val="00CD349A"/>
    <w:rPr>
      <w:rFonts w:eastAsia="Times New Roman"/>
      <w:sz w:val="24"/>
      <w:szCs w:val="24"/>
      <w:lang w:eastAsia="en-AU"/>
    </w:rPr>
  </w:style>
  <w:style w:type="paragraph" w:styleId="Footer">
    <w:name w:val="footer"/>
    <w:basedOn w:val="Normal"/>
    <w:link w:val="FooterChar"/>
    <w:uiPriority w:val="99"/>
    <w:unhideWhenUsed/>
    <w:rsid w:val="00CD349A"/>
    <w:pPr>
      <w:tabs>
        <w:tab w:val="center" w:pos="4513"/>
        <w:tab w:val="right" w:pos="9026"/>
      </w:tabs>
    </w:pPr>
  </w:style>
  <w:style w:type="character" w:customStyle="1" w:styleId="FooterChar">
    <w:name w:val="Footer Char"/>
    <w:basedOn w:val="DefaultParagraphFont"/>
    <w:link w:val="Footer"/>
    <w:uiPriority w:val="99"/>
    <w:rsid w:val="00CD349A"/>
    <w:rPr>
      <w:rFonts w:eastAsia="Times New Roman"/>
      <w:sz w:val="24"/>
      <w:szCs w:val="24"/>
      <w:lang w:eastAsia="en-AU"/>
    </w:rPr>
  </w:style>
  <w:style w:type="paragraph" w:customStyle="1" w:styleId="HeaderBoldOdd">
    <w:name w:val="HeaderBoldOdd"/>
    <w:basedOn w:val="Normal"/>
    <w:rsid w:val="00D55828"/>
    <w:pPr>
      <w:spacing w:before="120" w:after="60"/>
      <w:jc w:val="right"/>
    </w:pPr>
    <w:rPr>
      <w:rFonts w:ascii="Arial" w:hAnsi="Arial"/>
      <w:b/>
      <w:sz w:val="20"/>
    </w:rPr>
  </w:style>
  <w:style w:type="paragraph" w:customStyle="1" w:styleId="HeaderLiteOdd">
    <w:name w:val="HeaderLiteOdd"/>
    <w:basedOn w:val="Normal"/>
    <w:rsid w:val="00D55828"/>
    <w:pPr>
      <w:tabs>
        <w:tab w:val="center" w:pos="3969"/>
        <w:tab w:val="right" w:pos="8505"/>
      </w:tabs>
      <w:spacing w:before="60"/>
      <w:jc w:val="right"/>
    </w:pPr>
    <w:rPr>
      <w:rFonts w:ascii="Arial" w:hAnsi="Arial"/>
      <w:sz w:val="18"/>
    </w:rPr>
  </w:style>
  <w:style w:type="paragraph" w:customStyle="1" w:styleId="FooterDraft">
    <w:name w:val="FooterDraft"/>
    <w:basedOn w:val="Normal"/>
    <w:rsid w:val="00D55828"/>
    <w:pPr>
      <w:jc w:val="center"/>
    </w:pPr>
    <w:rPr>
      <w:rFonts w:ascii="Arial" w:hAnsi="Arial"/>
      <w:b/>
      <w:sz w:val="40"/>
    </w:rPr>
  </w:style>
  <w:style w:type="character" w:styleId="PageNumber">
    <w:name w:val="page number"/>
    <w:basedOn w:val="DefaultParagraphFont"/>
    <w:rsid w:val="00D55828"/>
    <w:rPr>
      <w:rFonts w:ascii="Arial" w:hAnsi="Arial"/>
      <w:sz w:val="22"/>
    </w:rPr>
  </w:style>
  <w:style w:type="paragraph" w:customStyle="1" w:styleId="FooterCitation">
    <w:name w:val="FooterCitation"/>
    <w:basedOn w:val="Footer"/>
    <w:rsid w:val="00D55828"/>
    <w:pPr>
      <w:tabs>
        <w:tab w:val="clear" w:pos="4513"/>
        <w:tab w:val="clear" w:pos="9026"/>
        <w:tab w:val="center" w:pos="4153"/>
        <w:tab w:val="right" w:pos="8306"/>
      </w:tabs>
      <w:spacing w:before="20" w:line="240" w:lineRule="exact"/>
      <w:jc w:val="center"/>
    </w:pPr>
    <w:rPr>
      <w:rFonts w:ascii="Arial" w:hAnsi="Arial"/>
      <w:i/>
      <w:sz w:val="18"/>
    </w:rPr>
  </w:style>
  <w:style w:type="paragraph" w:styleId="TOC2">
    <w:name w:val="toc 2"/>
    <w:basedOn w:val="Normal"/>
    <w:next w:val="Normal"/>
    <w:autoRedefine/>
    <w:uiPriority w:val="39"/>
    <w:rsid w:val="005E089C"/>
    <w:pPr>
      <w:keepNext/>
      <w:tabs>
        <w:tab w:val="right" w:pos="8278"/>
      </w:tabs>
      <w:spacing w:before="120" w:after="120"/>
      <w:ind w:left="1843" w:right="714" w:hanging="1843"/>
    </w:pPr>
    <w:rPr>
      <w:rFonts w:ascii="Arial" w:hAnsi="Arial"/>
      <w:b/>
      <w:noProof/>
      <w:sz w:val="22"/>
      <w:szCs w:val="22"/>
      <w:lang w:eastAsia="en-US"/>
    </w:rPr>
  </w:style>
  <w:style w:type="paragraph" w:styleId="TOC3">
    <w:name w:val="toc 3"/>
    <w:basedOn w:val="Normal"/>
    <w:next w:val="Normal"/>
    <w:autoRedefine/>
    <w:uiPriority w:val="39"/>
    <w:rsid w:val="005E089C"/>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autoRedefine/>
    <w:uiPriority w:val="39"/>
    <w:rsid w:val="005E089C"/>
    <w:pPr>
      <w:keepNext/>
      <w:tabs>
        <w:tab w:val="right" w:pos="8278"/>
      </w:tabs>
      <w:spacing w:before="80"/>
      <w:ind w:left="1843" w:hanging="1843"/>
    </w:pPr>
    <w:rPr>
      <w:rFonts w:ascii="Arial" w:hAnsi="Arial"/>
      <w:b/>
      <w:sz w:val="18"/>
      <w:lang w:eastAsia="en-US"/>
    </w:rPr>
  </w:style>
  <w:style w:type="paragraph" w:styleId="TOC5">
    <w:name w:val="toc 5"/>
    <w:basedOn w:val="Normal"/>
    <w:next w:val="Normal"/>
    <w:autoRedefine/>
    <w:uiPriority w:val="39"/>
    <w:rsid w:val="005E089C"/>
    <w:pPr>
      <w:tabs>
        <w:tab w:val="right" w:pos="1559"/>
        <w:tab w:val="right" w:pos="8278"/>
      </w:tabs>
      <w:spacing w:before="40"/>
      <w:ind w:left="1843" w:right="714" w:hanging="1843"/>
    </w:pPr>
    <w:rPr>
      <w:rFonts w:ascii="Arial" w:hAnsi="Arial"/>
      <w:noProof/>
      <w:sz w:val="19"/>
      <w:szCs w:val="19"/>
      <w:lang w:eastAsia="en-US"/>
    </w:rPr>
  </w:style>
  <w:style w:type="character" w:customStyle="1" w:styleId="CharSectno">
    <w:name w:val="CharSectno"/>
    <w:basedOn w:val="DefaultParagraphFont"/>
    <w:uiPriority w:val="99"/>
    <w:rsid w:val="005E089C"/>
  </w:style>
  <w:style w:type="paragraph" w:customStyle="1" w:styleId="Sec">
    <w:name w:val="Sec"/>
    <w:basedOn w:val="Normal"/>
    <w:next w:val="Normal"/>
    <w:uiPriority w:val="99"/>
    <w:rsid w:val="003B533D"/>
    <w:pPr>
      <w:keepLines/>
      <w:tabs>
        <w:tab w:val="right" w:pos="794"/>
      </w:tabs>
      <w:spacing w:before="80" w:after="100" w:line="260" w:lineRule="exact"/>
      <w:ind w:left="964" w:hanging="964"/>
      <w:jc w:val="both"/>
    </w:pPr>
  </w:style>
  <w:style w:type="character" w:styleId="Hyperlink">
    <w:name w:val="Hyperlink"/>
    <w:basedOn w:val="DefaultParagraphFont"/>
    <w:rsid w:val="00B8428D"/>
    <w:rPr>
      <w:color w:val="0000FF"/>
      <w:u w:val="single"/>
    </w:rPr>
  </w:style>
  <w:style w:type="paragraph" w:customStyle="1" w:styleId="tMain">
    <w:name w:val="t_Main"/>
    <w:basedOn w:val="Normal"/>
    <w:uiPriority w:val="99"/>
    <w:qFormat/>
    <w:rsid w:val="00B8428D"/>
    <w:pPr>
      <w:keepLines/>
      <w:tabs>
        <w:tab w:val="right" w:pos="794"/>
      </w:tabs>
      <w:spacing w:before="80" w:after="100" w:line="260" w:lineRule="exact"/>
      <w:ind w:left="964" w:hanging="964"/>
      <w:jc w:val="both"/>
    </w:pPr>
  </w:style>
  <w:style w:type="paragraph" w:customStyle="1" w:styleId="h6Subsec">
    <w:name w:val="h6_Subsec"/>
    <w:basedOn w:val="Normal"/>
    <w:next w:val="Normal"/>
    <w:qFormat/>
    <w:rsid w:val="00B8428D"/>
    <w:pPr>
      <w:keepNext/>
      <w:spacing w:before="120"/>
      <w:ind w:left="964"/>
    </w:pPr>
    <w:rPr>
      <w:rFonts w:ascii="Arial" w:hAnsi="Arial"/>
      <w:i/>
    </w:rPr>
  </w:style>
  <w:style w:type="paragraph" w:styleId="BlockText">
    <w:name w:val="Block Text"/>
    <w:basedOn w:val="Normal"/>
    <w:rsid w:val="00B8428D"/>
    <w:pPr>
      <w:spacing w:after="120"/>
      <w:ind w:left="1440" w:right="1440"/>
    </w:pPr>
  </w:style>
  <w:style w:type="paragraph" w:styleId="ListParagraph">
    <w:name w:val="List Paragraph"/>
    <w:basedOn w:val="Normal"/>
    <w:uiPriority w:val="99"/>
    <w:qFormat/>
    <w:rsid w:val="00B8428D"/>
    <w:pPr>
      <w:spacing w:line="276" w:lineRule="auto"/>
      <w:ind w:left="720"/>
    </w:pPr>
    <w:rPr>
      <w:szCs w:val="22"/>
      <w:lang w:eastAsia="en-US"/>
    </w:rPr>
  </w:style>
  <w:style w:type="paragraph" w:customStyle="1" w:styleId="EquationNote">
    <w:name w:val="EquationNote"/>
    <w:basedOn w:val="Normal"/>
    <w:link w:val="EquationNoteChar"/>
    <w:uiPriority w:val="99"/>
    <w:rsid w:val="00B8428D"/>
    <w:pPr>
      <w:tabs>
        <w:tab w:val="right" w:pos="9000"/>
      </w:tabs>
      <w:spacing w:before="60"/>
      <w:ind w:left="360" w:hanging="360"/>
    </w:pPr>
    <w:rPr>
      <w:rFonts w:ascii="Arial" w:hAnsi="Arial" w:cs="Arial"/>
      <w:iCs/>
      <w:sz w:val="18"/>
      <w:szCs w:val="20"/>
      <w:lang w:eastAsia="en-US"/>
    </w:rPr>
  </w:style>
  <w:style w:type="character" w:customStyle="1" w:styleId="EquationNoteChar">
    <w:name w:val="EquationNote Char"/>
    <w:basedOn w:val="DefaultParagraphFont"/>
    <w:link w:val="EquationNote"/>
    <w:uiPriority w:val="99"/>
    <w:locked/>
    <w:rsid w:val="00B8428D"/>
    <w:rPr>
      <w:rFonts w:ascii="Arial" w:eastAsia="Times New Roman" w:hAnsi="Arial" w:cs="Arial"/>
      <w:iCs/>
      <w:sz w:val="18"/>
    </w:rPr>
  </w:style>
  <w:style w:type="paragraph" w:customStyle="1" w:styleId="NoteEnd">
    <w:name w:val="Note End"/>
    <w:basedOn w:val="Normal"/>
    <w:rsid w:val="004466D2"/>
    <w:pPr>
      <w:keepLines/>
      <w:spacing w:before="120" w:line="240" w:lineRule="exact"/>
      <w:ind w:left="567" w:hanging="567"/>
      <w:jc w:val="both"/>
    </w:pPr>
    <w:rPr>
      <w:sz w:val="22"/>
    </w:rPr>
  </w:style>
  <w:style w:type="paragraph" w:customStyle="1" w:styleId="noteMain">
    <w:name w:val="note_Main"/>
    <w:basedOn w:val="tMain"/>
    <w:qFormat/>
    <w:rsid w:val="000D19CF"/>
    <w:pPr>
      <w:spacing w:line="220" w:lineRule="exact"/>
    </w:pPr>
    <w:rPr>
      <w:sz w:val="20"/>
    </w:rPr>
  </w:style>
  <w:style w:type="paragraph" w:customStyle="1" w:styleId="notePara">
    <w:name w:val="note_Para"/>
    <w:basedOn w:val="tPara"/>
    <w:qFormat/>
    <w:rsid w:val="000D19CF"/>
    <w:pPr>
      <w:spacing w:line="220" w:lineRule="exact"/>
    </w:pPr>
    <w:rPr>
      <w:sz w:val="20"/>
    </w:rPr>
  </w:style>
  <w:style w:type="paragraph" w:customStyle="1" w:styleId="noteSubpara">
    <w:name w:val="note_Subpara"/>
    <w:basedOn w:val="tSubpara"/>
    <w:qFormat/>
    <w:rsid w:val="000D19CF"/>
    <w:pPr>
      <w:spacing w:line="220" w:lineRule="exact"/>
    </w:pPr>
    <w:rPr>
      <w:sz w:val="20"/>
    </w:rPr>
  </w:style>
  <w:style w:type="paragraph" w:customStyle="1" w:styleId="noteSubsub">
    <w:name w:val="note_Subsub"/>
    <w:basedOn w:val="tSubsub"/>
    <w:qFormat/>
    <w:rsid w:val="000D19CF"/>
    <w:pPr>
      <w:spacing w:line="220" w:lineRule="exact"/>
    </w:pPr>
    <w:rPr>
      <w:sz w:val="20"/>
    </w:rPr>
  </w:style>
  <w:style w:type="paragraph" w:customStyle="1" w:styleId="definition">
    <w:name w:val="definition"/>
    <w:basedOn w:val="Normal"/>
    <w:rsid w:val="000D3FCA"/>
    <w:pPr>
      <w:spacing w:before="80" w:line="260" w:lineRule="exact"/>
      <w:ind w:left="964"/>
      <w:jc w:val="both"/>
    </w:pPr>
  </w:style>
  <w:style w:type="character" w:styleId="CommentReference">
    <w:name w:val="annotation reference"/>
    <w:basedOn w:val="DefaultParagraphFont"/>
    <w:uiPriority w:val="99"/>
    <w:unhideWhenUsed/>
    <w:rsid w:val="000D3FCA"/>
    <w:rPr>
      <w:sz w:val="16"/>
      <w:szCs w:val="16"/>
    </w:rPr>
  </w:style>
  <w:style w:type="paragraph" w:styleId="CommentText">
    <w:name w:val="annotation text"/>
    <w:basedOn w:val="Normal"/>
    <w:link w:val="CommentTextChar"/>
    <w:uiPriority w:val="99"/>
    <w:unhideWhenUsed/>
    <w:rsid w:val="000D3FCA"/>
    <w:rPr>
      <w:sz w:val="20"/>
      <w:szCs w:val="20"/>
    </w:rPr>
  </w:style>
  <w:style w:type="character" w:customStyle="1" w:styleId="CommentTextChar">
    <w:name w:val="Comment Text Char"/>
    <w:basedOn w:val="DefaultParagraphFont"/>
    <w:link w:val="CommentText"/>
    <w:uiPriority w:val="99"/>
    <w:rsid w:val="000D3FCA"/>
    <w:rPr>
      <w:rFonts w:eastAsia="Times New Roman"/>
      <w:lang w:eastAsia="en-AU"/>
    </w:rPr>
  </w:style>
  <w:style w:type="paragraph" w:styleId="CommentSubject">
    <w:name w:val="annotation subject"/>
    <w:basedOn w:val="CommentText"/>
    <w:next w:val="CommentText"/>
    <w:link w:val="CommentSubjectChar"/>
    <w:uiPriority w:val="99"/>
    <w:semiHidden/>
    <w:unhideWhenUsed/>
    <w:rsid w:val="000D3FCA"/>
    <w:rPr>
      <w:b/>
      <w:bCs/>
    </w:rPr>
  </w:style>
  <w:style w:type="character" w:customStyle="1" w:styleId="CommentSubjectChar">
    <w:name w:val="Comment Subject Char"/>
    <w:basedOn w:val="CommentTextChar"/>
    <w:link w:val="CommentSubject"/>
    <w:uiPriority w:val="99"/>
    <w:semiHidden/>
    <w:rsid w:val="000D3FCA"/>
    <w:rPr>
      <w:rFonts w:eastAsia="Times New Roman"/>
      <w:b/>
      <w:bCs/>
      <w:lang w:eastAsia="en-AU"/>
    </w:rPr>
  </w:style>
  <w:style w:type="paragraph" w:styleId="Revision">
    <w:name w:val="Revision"/>
    <w:hidden/>
    <w:uiPriority w:val="99"/>
    <w:semiHidden/>
    <w:rsid w:val="000D3FCA"/>
    <w:rPr>
      <w:rFonts w:eastAsia="Times New Roman"/>
      <w:sz w:val="24"/>
      <w:szCs w:val="24"/>
      <w:lang w:eastAsia="en-AU"/>
    </w:rPr>
  </w:style>
  <w:style w:type="paragraph" w:customStyle="1" w:styleId="Default">
    <w:name w:val="Default"/>
    <w:rsid w:val="000D3FCA"/>
    <w:pPr>
      <w:autoSpaceDE w:val="0"/>
      <w:autoSpaceDN w:val="0"/>
      <w:adjustRightInd w:val="0"/>
    </w:pPr>
    <w:rPr>
      <w:rFonts w:ascii="Calibri" w:hAnsi="Calibri" w:cs="Calibri"/>
      <w:color w:val="000000"/>
      <w:sz w:val="24"/>
      <w:szCs w:val="24"/>
    </w:rPr>
  </w:style>
  <w:style w:type="paragraph" w:customStyle="1" w:styleId="HSR">
    <w:name w:val="HSR"/>
    <w:aliases w:val="Subregulation Heading,HSS"/>
    <w:basedOn w:val="Normal"/>
    <w:next w:val="Normal"/>
    <w:rsid w:val="000D3FCA"/>
    <w:pPr>
      <w:keepNext/>
      <w:spacing w:before="300"/>
      <w:ind w:left="964"/>
    </w:pPr>
    <w:rPr>
      <w:rFonts w:ascii="Arial" w:hAnsi="Arial"/>
      <w:i/>
    </w:rPr>
  </w:style>
  <w:style w:type="paragraph" w:customStyle="1" w:styleId="R1">
    <w:name w:val="R1"/>
    <w:aliases w:val="1. or 1.(1)"/>
    <w:basedOn w:val="Normal"/>
    <w:next w:val="Normal"/>
    <w:rsid w:val="000D3FCA"/>
    <w:pPr>
      <w:keepLines/>
      <w:tabs>
        <w:tab w:val="right" w:pos="794"/>
      </w:tabs>
      <w:spacing w:before="120" w:line="260" w:lineRule="exact"/>
      <w:ind w:left="964" w:hanging="964"/>
      <w:jc w:val="both"/>
    </w:pPr>
  </w:style>
  <w:style w:type="paragraph" w:customStyle="1" w:styleId="R2">
    <w:name w:val="R2"/>
    <w:aliases w:val="(2)"/>
    <w:basedOn w:val="Normal"/>
    <w:rsid w:val="000D3FCA"/>
    <w:pPr>
      <w:keepLines/>
      <w:tabs>
        <w:tab w:val="right" w:pos="794"/>
      </w:tabs>
      <w:spacing w:before="180" w:line="260" w:lineRule="exact"/>
      <w:ind w:left="964" w:hanging="964"/>
      <w:jc w:val="both"/>
    </w:pPr>
  </w:style>
  <w:style w:type="paragraph" w:styleId="BodyText">
    <w:name w:val="Body Text"/>
    <w:basedOn w:val="Normal"/>
    <w:link w:val="BodyTextChar"/>
    <w:rsid w:val="000D3FCA"/>
    <w:pPr>
      <w:spacing w:before="120"/>
    </w:pPr>
    <w:rPr>
      <w:rFonts w:eastAsia="MS Mincho"/>
      <w:sz w:val="22"/>
      <w:szCs w:val="20"/>
      <w:lang w:val="en-US" w:eastAsia="en-US"/>
    </w:rPr>
  </w:style>
  <w:style w:type="character" w:customStyle="1" w:styleId="BodyTextChar">
    <w:name w:val="Body Text Char"/>
    <w:basedOn w:val="DefaultParagraphFont"/>
    <w:link w:val="BodyText"/>
    <w:rsid w:val="000D3FCA"/>
    <w:rPr>
      <w:rFonts w:eastAsia="MS Mincho"/>
      <w:sz w:val="22"/>
      <w:lang w:val="en-US"/>
    </w:rPr>
  </w:style>
  <w:style w:type="paragraph" w:customStyle="1" w:styleId="equation">
    <w:name w:val="equation"/>
    <w:basedOn w:val="Normal"/>
    <w:rsid w:val="000D3FCA"/>
    <w:pPr>
      <w:tabs>
        <w:tab w:val="left" w:pos="1134"/>
        <w:tab w:val="left" w:pos="1701"/>
        <w:tab w:val="center" w:pos="9072"/>
      </w:tabs>
    </w:pPr>
    <w:rPr>
      <w:rFonts w:eastAsia="MS Mincho"/>
      <w:sz w:val="22"/>
      <w:szCs w:val="22"/>
      <w:lang w:val="es-ES_tradnl" w:eastAsia="en-US"/>
    </w:rPr>
  </w:style>
  <w:style w:type="paragraph" w:customStyle="1" w:styleId="P1">
    <w:name w:val="P1"/>
    <w:aliases w:val="(a)"/>
    <w:basedOn w:val="Normal"/>
    <w:rsid w:val="000D3FCA"/>
    <w:pPr>
      <w:keepLines/>
      <w:tabs>
        <w:tab w:val="right" w:pos="1191"/>
      </w:tabs>
      <w:spacing w:before="60" w:line="260" w:lineRule="exact"/>
      <w:ind w:left="1418" w:hanging="1418"/>
      <w:jc w:val="both"/>
    </w:pPr>
  </w:style>
  <w:style w:type="table" w:styleId="TableGrid">
    <w:name w:val="Table Grid"/>
    <w:basedOn w:val="TableNormal"/>
    <w:uiPriority w:val="59"/>
    <w:rsid w:val="000D3FCA"/>
    <w:rPr>
      <w:rFonts w:eastAsia="Times New Roman"/>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FirstIndent">
    <w:name w:val="Body Text First Indent"/>
    <w:basedOn w:val="BodyText"/>
    <w:link w:val="BodyTextFirstIndentChar"/>
    <w:uiPriority w:val="99"/>
    <w:semiHidden/>
    <w:unhideWhenUsed/>
    <w:rsid w:val="000D3FCA"/>
    <w:pPr>
      <w:spacing w:before="0"/>
      <w:ind w:firstLine="360"/>
    </w:pPr>
    <w:rPr>
      <w:rFonts w:eastAsia="Times New Roman"/>
      <w:sz w:val="24"/>
      <w:szCs w:val="24"/>
      <w:lang w:val="en-AU" w:eastAsia="en-AU"/>
    </w:rPr>
  </w:style>
  <w:style w:type="character" w:customStyle="1" w:styleId="BodyTextFirstIndentChar">
    <w:name w:val="Body Text First Indent Char"/>
    <w:basedOn w:val="BodyTextChar"/>
    <w:link w:val="BodyTextFirstIndent"/>
    <w:uiPriority w:val="99"/>
    <w:semiHidden/>
    <w:rsid w:val="000D3FCA"/>
    <w:rPr>
      <w:rFonts w:eastAsia="Times New Roman"/>
      <w:sz w:val="24"/>
      <w:szCs w:val="24"/>
      <w:lang w:val="en-US" w:eastAsia="en-AU"/>
    </w:rPr>
  </w:style>
  <w:style w:type="paragraph" w:customStyle="1" w:styleId="tabletext">
    <w:name w:val="tabletext"/>
    <w:basedOn w:val="Normal"/>
    <w:rsid w:val="000D3FCA"/>
    <w:pPr>
      <w:spacing w:before="100" w:beforeAutospacing="1" w:after="100" w:afterAutospacing="1"/>
    </w:pPr>
  </w:style>
  <w:style w:type="paragraph" w:customStyle="1" w:styleId="Def">
    <w:name w:val="Def"/>
    <w:basedOn w:val="Normal"/>
    <w:uiPriority w:val="99"/>
    <w:rsid w:val="006E714B"/>
    <w:pPr>
      <w:spacing w:before="80" w:after="100" w:line="260" w:lineRule="exact"/>
      <w:ind w:left="964"/>
      <w:jc w:val="both"/>
    </w:pPr>
    <w:rPr>
      <w:rFonts w:asciiTheme="minorHAnsi" w:eastAsiaTheme="minorHAnsi" w:hAnsiTheme="minorHAnsi" w:cstheme="minorBidi"/>
      <w:sz w:val="22"/>
      <w:szCs w:val="22"/>
      <w:lang w:eastAsia="en-US"/>
    </w:rPr>
  </w:style>
  <w:style w:type="paragraph" w:customStyle="1" w:styleId="HC">
    <w:name w:val="HC"/>
    <w:aliases w:val="Sch,Chapter Heading"/>
    <w:basedOn w:val="Heading1"/>
    <w:next w:val="Normal"/>
    <w:rsid w:val="006E714B"/>
    <w:pPr>
      <w:pageBreakBefore/>
      <w:spacing w:after="60" w:line="276" w:lineRule="auto"/>
      <w:ind w:left="2410" w:hanging="2410"/>
    </w:pPr>
    <w:rPr>
      <w:rFonts w:ascii="Arial" w:eastAsia="Times New Roman" w:hAnsi="Arial" w:cs="Arial"/>
      <w:color w:val="auto"/>
      <w:kern w:val="32"/>
      <w:sz w:val="40"/>
      <w:szCs w:val="32"/>
      <w:lang w:eastAsia="en-US"/>
    </w:rPr>
  </w:style>
  <w:style w:type="paragraph" w:customStyle="1" w:styleId="HD">
    <w:name w:val="HD"/>
    <w:aliases w:val="Division Heading"/>
    <w:basedOn w:val="Heading3"/>
    <w:next w:val="Normal"/>
    <w:rsid w:val="006E714B"/>
    <w:pPr>
      <w:spacing w:before="360" w:after="60" w:line="276" w:lineRule="auto"/>
      <w:ind w:left="2410" w:hanging="2410"/>
    </w:pPr>
    <w:rPr>
      <w:rFonts w:ascii="Arial" w:eastAsia="Times New Roman" w:hAnsi="Arial" w:cs="Arial"/>
      <w:color w:val="auto"/>
      <w:sz w:val="28"/>
      <w:szCs w:val="26"/>
      <w:lang w:eastAsia="en-US"/>
    </w:rPr>
  </w:style>
  <w:style w:type="paragraph" w:customStyle="1" w:styleId="HE">
    <w:name w:val="HE"/>
    <w:aliases w:val="Example heading"/>
    <w:basedOn w:val="Normal"/>
    <w:next w:val="Normal"/>
    <w:rsid w:val="006E714B"/>
    <w:pPr>
      <w:keepNext/>
      <w:spacing w:before="120" w:after="200" w:line="220" w:lineRule="exact"/>
      <w:ind w:left="964"/>
    </w:pPr>
    <w:rPr>
      <w:rFonts w:asciiTheme="minorHAnsi" w:eastAsiaTheme="minorHAnsi" w:hAnsiTheme="minorHAnsi" w:cstheme="minorBidi"/>
      <w:i/>
      <w:sz w:val="22"/>
      <w:szCs w:val="22"/>
      <w:lang w:eastAsia="en-US"/>
    </w:rPr>
  </w:style>
  <w:style w:type="paragraph" w:customStyle="1" w:styleId="HP">
    <w:name w:val="HP"/>
    <w:aliases w:val="Part Heading"/>
    <w:basedOn w:val="Heading2"/>
    <w:next w:val="HD"/>
    <w:rsid w:val="006E714B"/>
    <w:pPr>
      <w:pageBreakBefore/>
      <w:spacing w:before="360" w:after="60" w:line="276" w:lineRule="auto"/>
      <w:ind w:left="2410" w:hanging="2410"/>
    </w:pPr>
    <w:rPr>
      <w:rFonts w:ascii="Arial" w:eastAsia="Times New Roman" w:hAnsi="Arial" w:cs="Arial"/>
      <w:bCs w:val="0"/>
      <w:iCs/>
      <w:color w:val="auto"/>
      <w:sz w:val="36"/>
      <w:szCs w:val="22"/>
      <w:lang w:eastAsia="en-US"/>
    </w:rPr>
  </w:style>
  <w:style w:type="paragraph" w:customStyle="1" w:styleId="HS">
    <w:name w:val="HS"/>
    <w:aliases w:val="Subdiv Heading"/>
    <w:basedOn w:val="Heading4"/>
    <w:next w:val="Normal"/>
    <w:rsid w:val="006E714B"/>
    <w:pPr>
      <w:spacing w:before="360" w:after="60" w:line="276" w:lineRule="auto"/>
      <w:ind w:left="2410" w:hanging="2410"/>
    </w:pPr>
    <w:rPr>
      <w:rFonts w:ascii="Arial" w:eastAsia="Times New Roman" w:hAnsi="Arial" w:cs="Times New Roman"/>
      <w:i w:val="0"/>
      <w:iCs w:val="0"/>
      <w:color w:val="auto"/>
      <w:sz w:val="28"/>
      <w:szCs w:val="28"/>
      <w:lang w:eastAsia="en-US"/>
    </w:rPr>
  </w:style>
  <w:style w:type="paragraph" w:customStyle="1" w:styleId="HSec">
    <w:name w:val="HSec"/>
    <w:basedOn w:val="Heading5"/>
    <w:next w:val="Normal"/>
    <w:uiPriority w:val="99"/>
    <w:rsid w:val="006E714B"/>
    <w:pPr>
      <w:spacing w:before="360" w:after="60" w:line="276" w:lineRule="auto"/>
      <w:ind w:left="964" w:hanging="964"/>
    </w:pPr>
    <w:rPr>
      <w:rFonts w:ascii="Arial" w:eastAsia="Times New Roman" w:hAnsi="Arial" w:cs="Times New Roman"/>
      <w:b/>
      <w:bCs/>
      <w:iCs/>
      <w:color w:val="auto"/>
      <w:sz w:val="22"/>
      <w:szCs w:val="26"/>
      <w:lang w:eastAsia="en-US"/>
    </w:rPr>
  </w:style>
  <w:style w:type="paragraph" w:customStyle="1" w:styleId="Notequery">
    <w:name w:val="Note query"/>
    <w:basedOn w:val="Normal"/>
    <w:qFormat/>
    <w:rsid w:val="006E714B"/>
    <w:pPr>
      <w:spacing w:before="80" w:after="80" w:line="276" w:lineRule="auto"/>
    </w:pPr>
    <w:rPr>
      <w:rFonts w:asciiTheme="minorHAnsi" w:eastAsiaTheme="minorHAnsi" w:hAnsiTheme="minorHAnsi" w:cstheme="minorBidi"/>
      <w:color w:val="0070C0"/>
      <w:sz w:val="22"/>
      <w:szCs w:val="22"/>
      <w:lang w:eastAsia="en-US"/>
    </w:rPr>
  </w:style>
  <w:style w:type="paragraph" w:customStyle="1" w:styleId="Notepara0">
    <w:name w:val="Note para"/>
    <w:basedOn w:val="Normal"/>
    <w:rsid w:val="006E714B"/>
    <w:pPr>
      <w:keepLines/>
      <w:spacing w:before="60" w:after="200" w:line="220" w:lineRule="exact"/>
      <w:ind w:left="1304" w:hanging="340"/>
      <w:jc w:val="both"/>
    </w:pPr>
    <w:rPr>
      <w:rFonts w:asciiTheme="minorHAnsi" w:eastAsiaTheme="minorHAnsi" w:hAnsiTheme="minorHAnsi" w:cstheme="minorBidi"/>
      <w:sz w:val="20"/>
      <w:szCs w:val="22"/>
      <w:lang w:eastAsia="en-US"/>
    </w:rPr>
  </w:style>
  <w:style w:type="paragraph" w:customStyle="1" w:styleId="NoteSec">
    <w:name w:val="Note Sec"/>
    <w:basedOn w:val="Normal"/>
    <w:qFormat/>
    <w:rsid w:val="006E714B"/>
    <w:pPr>
      <w:keepLines/>
      <w:spacing w:before="120" w:after="200" w:line="220" w:lineRule="exact"/>
      <w:jc w:val="both"/>
    </w:pPr>
    <w:rPr>
      <w:rFonts w:asciiTheme="minorHAnsi" w:eastAsiaTheme="minorHAnsi" w:hAnsiTheme="minorHAnsi" w:cstheme="minorBidi"/>
      <w:sz w:val="20"/>
      <w:szCs w:val="22"/>
      <w:lang w:eastAsia="en-US"/>
    </w:rPr>
  </w:style>
  <w:style w:type="paragraph" w:customStyle="1" w:styleId="NoteSS">
    <w:name w:val="Note SS"/>
    <w:basedOn w:val="Normal"/>
    <w:qFormat/>
    <w:rsid w:val="006E714B"/>
    <w:pPr>
      <w:keepLines/>
      <w:spacing w:before="120" w:after="200" w:line="220" w:lineRule="exact"/>
      <w:ind w:left="964"/>
      <w:jc w:val="both"/>
    </w:pPr>
    <w:rPr>
      <w:rFonts w:asciiTheme="minorHAnsi" w:eastAsiaTheme="minorHAnsi" w:hAnsiTheme="minorHAnsi" w:cstheme="minorBidi"/>
      <w:sz w:val="20"/>
      <w:szCs w:val="22"/>
      <w:lang w:eastAsia="en-US"/>
    </w:rPr>
  </w:style>
  <w:style w:type="paragraph" w:customStyle="1" w:styleId="P2">
    <w:name w:val="P2"/>
    <w:aliases w:val="(i)"/>
    <w:basedOn w:val="Normal"/>
    <w:rsid w:val="006E714B"/>
    <w:pPr>
      <w:keepLines/>
      <w:tabs>
        <w:tab w:val="right" w:pos="2098"/>
      </w:tabs>
      <w:spacing w:after="100" w:line="260" w:lineRule="exact"/>
      <w:ind w:left="2268" w:hanging="2268"/>
      <w:jc w:val="both"/>
    </w:pPr>
    <w:rPr>
      <w:rFonts w:asciiTheme="minorHAnsi" w:eastAsiaTheme="minorHAnsi" w:hAnsiTheme="minorHAnsi" w:cstheme="minorBidi"/>
      <w:sz w:val="22"/>
      <w:szCs w:val="22"/>
      <w:lang w:eastAsia="en-US"/>
    </w:rPr>
  </w:style>
  <w:style w:type="paragraph" w:customStyle="1" w:styleId="P3">
    <w:name w:val="P3"/>
    <w:aliases w:val="(A)"/>
    <w:basedOn w:val="Normal"/>
    <w:rsid w:val="006E714B"/>
    <w:pPr>
      <w:tabs>
        <w:tab w:val="right" w:pos="2722"/>
      </w:tabs>
      <w:spacing w:after="100" w:line="260" w:lineRule="exact"/>
      <w:ind w:left="2892" w:hanging="2892"/>
      <w:jc w:val="both"/>
    </w:pPr>
    <w:rPr>
      <w:rFonts w:asciiTheme="minorHAnsi" w:eastAsiaTheme="minorHAnsi" w:hAnsiTheme="minorHAnsi" w:cstheme="minorBidi"/>
      <w:sz w:val="22"/>
      <w:szCs w:val="22"/>
      <w:lang w:eastAsia="en-US"/>
    </w:rPr>
  </w:style>
  <w:style w:type="paragraph" w:customStyle="1" w:styleId="Subsec">
    <w:name w:val="Subsec"/>
    <w:basedOn w:val="Normal"/>
    <w:uiPriority w:val="99"/>
    <w:rsid w:val="006E714B"/>
    <w:pPr>
      <w:keepLines/>
      <w:tabs>
        <w:tab w:val="right" w:pos="794"/>
      </w:tabs>
      <w:spacing w:before="80" w:after="100" w:line="260" w:lineRule="exact"/>
      <w:ind w:left="964" w:hanging="964"/>
      <w:jc w:val="both"/>
    </w:pPr>
    <w:rPr>
      <w:rFonts w:asciiTheme="minorHAnsi" w:eastAsiaTheme="minorHAnsi" w:hAnsiTheme="minorHAnsi" w:cstheme="minorBidi"/>
      <w:sz w:val="22"/>
      <w:szCs w:val="22"/>
      <w:lang w:eastAsia="en-US"/>
    </w:rPr>
  </w:style>
  <w:style w:type="paragraph" w:customStyle="1" w:styleId="Green">
    <w:name w:val="Green"/>
    <w:basedOn w:val="Normal"/>
    <w:qFormat/>
    <w:rsid w:val="006E714B"/>
    <w:pPr>
      <w:spacing w:before="80" w:after="80" w:line="276" w:lineRule="auto"/>
    </w:pPr>
    <w:rPr>
      <w:rFonts w:ascii="Arial" w:eastAsiaTheme="minorHAnsi" w:hAnsi="Arial" w:cstheme="minorBidi"/>
      <w:b/>
      <w:color w:val="00B050"/>
      <w:sz w:val="20"/>
      <w:szCs w:val="22"/>
      <w:lang w:eastAsia="en-US"/>
    </w:rPr>
  </w:style>
  <w:style w:type="character" w:customStyle="1" w:styleId="Heading6Char">
    <w:name w:val="Heading 6 Char"/>
    <w:basedOn w:val="DefaultParagraphFont"/>
    <w:link w:val="Heading6"/>
    <w:uiPriority w:val="99"/>
    <w:semiHidden/>
    <w:rsid w:val="00295FF1"/>
    <w:rPr>
      <w:rFonts w:eastAsia="Times New Roman"/>
      <w:b/>
      <w:bCs/>
      <w:sz w:val="22"/>
      <w:szCs w:val="22"/>
      <w:lang w:eastAsia="en-AU"/>
    </w:rPr>
  </w:style>
  <w:style w:type="character" w:customStyle="1" w:styleId="Heading7Char">
    <w:name w:val="Heading 7 Char"/>
    <w:basedOn w:val="DefaultParagraphFont"/>
    <w:link w:val="Heading7"/>
    <w:uiPriority w:val="99"/>
    <w:semiHidden/>
    <w:rsid w:val="00295FF1"/>
    <w:rPr>
      <w:rFonts w:eastAsia="Times New Roman"/>
      <w:sz w:val="24"/>
      <w:szCs w:val="24"/>
      <w:lang w:eastAsia="en-AU"/>
    </w:rPr>
  </w:style>
  <w:style w:type="character" w:customStyle="1" w:styleId="Heading8Char">
    <w:name w:val="Heading 8 Char"/>
    <w:basedOn w:val="DefaultParagraphFont"/>
    <w:link w:val="Heading8"/>
    <w:uiPriority w:val="99"/>
    <w:semiHidden/>
    <w:rsid w:val="00295FF1"/>
    <w:rPr>
      <w:rFonts w:eastAsia="Times New Roman"/>
      <w:i/>
      <w:iCs/>
      <w:sz w:val="24"/>
      <w:szCs w:val="24"/>
      <w:lang w:eastAsia="en-AU"/>
    </w:rPr>
  </w:style>
  <w:style w:type="character" w:customStyle="1" w:styleId="Heading9Char">
    <w:name w:val="Heading 9 Char"/>
    <w:basedOn w:val="DefaultParagraphFont"/>
    <w:link w:val="Heading9"/>
    <w:uiPriority w:val="99"/>
    <w:semiHidden/>
    <w:rsid w:val="00295FF1"/>
    <w:rPr>
      <w:rFonts w:ascii="Arial" w:eastAsia="Times New Roman" w:hAnsi="Arial" w:cs="Arial"/>
      <w:sz w:val="22"/>
      <w:szCs w:val="22"/>
      <w:lang w:eastAsia="en-AU"/>
    </w:rPr>
  </w:style>
  <w:style w:type="character" w:styleId="FollowedHyperlink">
    <w:name w:val="FollowedHyperlink"/>
    <w:basedOn w:val="DefaultParagraphFont"/>
    <w:uiPriority w:val="99"/>
    <w:semiHidden/>
    <w:unhideWhenUsed/>
    <w:rsid w:val="00295FF1"/>
    <w:rPr>
      <w:color w:val="800080"/>
      <w:u w:val="single"/>
    </w:rPr>
  </w:style>
  <w:style w:type="paragraph" w:styleId="HTMLAddress">
    <w:name w:val="HTML Address"/>
    <w:basedOn w:val="Normal"/>
    <w:link w:val="HTMLAddressChar"/>
    <w:uiPriority w:val="99"/>
    <w:semiHidden/>
    <w:unhideWhenUsed/>
    <w:rsid w:val="00295FF1"/>
    <w:rPr>
      <w:i/>
      <w:iCs/>
    </w:rPr>
  </w:style>
  <w:style w:type="character" w:customStyle="1" w:styleId="HTMLAddressChar">
    <w:name w:val="HTML Address Char"/>
    <w:basedOn w:val="DefaultParagraphFont"/>
    <w:link w:val="HTMLAddress"/>
    <w:uiPriority w:val="99"/>
    <w:semiHidden/>
    <w:rsid w:val="00295FF1"/>
    <w:rPr>
      <w:rFonts w:eastAsia="Times New Roman"/>
      <w:i/>
      <w:iCs/>
      <w:sz w:val="24"/>
      <w:szCs w:val="24"/>
      <w:lang w:eastAsia="en-AU"/>
    </w:rPr>
  </w:style>
  <w:style w:type="character" w:styleId="HTMLCode">
    <w:name w:val="HTML Code"/>
    <w:basedOn w:val="DefaultParagraphFont"/>
    <w:uiPriority w:val="99"/>
    <w:semiHidden/>
    <w:unhideWhenUsed/>
    <w:rsid w:val="00295FF1"/>
    <w:rPr>
      <w:rFonts w:ascii="Courier New" w:eastAsia="Times New Roman" w:hAnsi="Courier New" w:cs="Courier New" w:hint="default"/>
      <w:sz w:val="20"/>
      <w:szCs w:val="20"/>
    </w:rPr>
  </w:style>
  <w:style w:type="character" w:styleId="HTMLKeyboard">
    <w:name w:val="HTML Keyboard"/>
    <w:basedOn w:val="DefaultParagraphFont"/>
    <w:uiPriority w:val="99"/>
    <w:semiHidden/>
    <w:unhideWhenUsed/>
    <w:rsid w:val="00295FF1"/>
    <w:rPr>
      <w:rFonts w:ascii="Courier New" w:eastAsia="Times New Roman" w:hAnsi="Courier New" w:cs="Courier New" w:hint="default"/>
      <w:sz w:val="20"/>
      <w:szCs w:val="20"/>
    </w:rPr>
  </w:style>
  <w:style w:type="paragraph" w:styleId="HTMLPreformatted">
    <w:name w:val="HTML Preformatted"/>
    <w:basedOn w:val="Normal"/>
    <w:link w:val="HTMLPreformattedChar"/>
    <w:uiPriority w:val="99"/>
    <w:semiHidden/>
    <w:unhideWhenUsed/>
    <w:rsid w:val="00295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95FF1"/>
    <w:rPr>
      <w:rFonts w:ascii="Courier New" w:eastAsia="Times New Roman" w:hAnsi="Courier New" w:cs="Courier New"/>
      <w:lang w:eastAsia="en-AU"/>
    </w:rPr>
  </w:style>
  <w:style w:type="character" w:styleId="HTMLSample">
    <w:name w:val="HTML Sample"/>
    <w:basedOn w:val="DefaultParagraphFont"/>
    <w:uiPriority w:val="99"/>
    <w:semiHidden/>
    <w:unhideWhenUsed/>
    <w:rsid w:val="00295FF1"/>
    <w:rPr>
      <w:rFonts w:ascii="Courier New" w:eastAsia="Times New Roman" w:hAnsi="Courier New" w:cs="Courier New" w:hint="default"/>
    </w:rPr>
  </w:style>
  <w:style w:type="character" w:styleId="HTMLTypewriter">
    <w:name w:val="HTML Typewriter"/>
    <w:basedOn w:val="DefaultParagraphFont"/>
    <w:uiPriority w:val="99"/>
    <w:semiHidden/>
    <w:unhideWhenUsed/>
    <w:rsid w:val="00295FF1"/>
    <w:rPr>
      <w:rFonts w:ascii="Courier New" w:eastAsia="Times New Roman" w:hAnsi="Courier New" w:cs="Courier New" w:hint="default"/>
      <w:sz w:val="20"/>
      <w:szCs w:val="20"/>
    </w:rPr>
  </w:style>
  <w:style w:type="paragraph" w:styleId="NormalWeb">
    <w:name w:val="Normal (Web)"/>
    <w:basedOn w:val="Normal"/>
    <w:uiPriority w:val="99"/>
    <w:semiHidden/>
    <w:unhideWhenUsed/>
    <w:rsid w:val="00295FF1"/>
  </w:style>
  <w:style w:type="paragraph" w:styleId="Index1">
    <w:name w:val="index 1"/>
    <w:basedOn w:val="Normal"/>
    <w:next w:val="Normal"/>
    <w:autoRedefine/>
    <w:uiPriority w:val="99"/>
    <w:semiHidden/>
    <w:unhideWhenUsed/>
    <w:rsid w:val="00295FF1"/>
    <w:pPr>
      <w:ind w:left="240" w:hanging="240"/>
    </w:pPr>
  </w:style>
  <w:style w:type="paragraph" w:styleId="Index2">
    <w:name w:val="index 2"/>
    <w:basedOn w:val="Normal"/>
    <w:next w:val="Normal"/>
    <w:autoRedefine/>
    <w:uiPriority w:val="99"/>
    <w:semiHidden/>
    <w:unhideWhenUsed/>
    <w:rsid w:val="00295FF1"/>
    <w:pPr>
      <w:ind w:left="480" w:hanging="240"/>
    </w:pPr>
  </w:style>
  <w:style w:type="paragraph" w:styleId="Index3">
    <w:name w:val="index 3"/>
    <w:basedOn w:val="Normal"/>
    <w:next w:val="Normal"/>
    <w:autoRedefine/>
    <w:uiPriority w:val="99"/>
    <w:semiHidden/>
    <w:unhideWhenUsed/>
    <w:rsid w:val="00295FF1"/>
    <w:pPr>
      <w:ind w:left="720" w:hanging="240"/>
    </w:pPr>
  </w:style>
  <w:style w:type="paragraph" w:styleId="Index4">
    <w:name w:val="index 4"/>
    <w:basedOn w:val="Normal"/>
    <w:next w:val="Normal"/>
    <w:autoRedefine/>
    <w:uiPriority w:val="99"/>
    <w:semiHidden/>
    <w:unhideWhenUsed/>
    <w:rsid w:val="00295FF1"/>
    <w:pPr>
      <w:ind w:left="960" w:hanging="240"/>
    </w:pPr>
  </w:style>
  <w:style w:type="paragraph" w:styleId="Index5">
    <w:name w:val="index 5"/>
    <w:basedOn w:val="Normal"/>
    <w:next w:val="Normal"/>
    <w:autoRedefine/>
    <w:uiPriority w:val="99"/>
    <w:semiHidden/>
    <w:unhideWhenUsed/>
    <w:rsid w:val="00295FF1"/>
    <w:pPr>
      <w:ind w:left="1200" w:hanging="240"/>
    </w:pPr>
  </w:style>
  <w:style w:type="paragraph" w:styleId="Index6">
    <w:name w:val="index 6"/>
    <w:basedOn w:val="Normal"/>
    <w:next w:val="Normal"/>
    <w:autoRedefine/>
    <w:uiPriority w:val="99"/>
    <w:semiHidden/>
    <w:unhideWhenUsed/>
    <w:rsid w:val="00295FF1"/>
    <w:pPr>
      <w:ind w:left="1440" w:hanging="240"/>
    </w:pPr>
  </w:style>
  <w:style w:type="paragraph" w:styleId="Index7">
    <w:name w:val="index 7"/>
    <w:basedOn w:val="Normal"/>
    <w:next w:val="Normal"/>
    <w:autoRedefine/>
    <w:uiPriority w:val="99"/>
    <w:semiHidden/>
    <w:unhideWhenUsed/>
    <w:rsid w:val="00295FF1"/>
    <w:pPr>
      <w:ind w:left="1680" w:hanging="240"/>
    </w:pPr>
  </w:style>
  <w:style w:type="paragraph" w:styleId="Index8">
    <w:name w:val="index 8"/>
    <w:basedOn w:val="Normal"/>
    <w:next w:val="Normal"/>
    <w:autoRedefine/>
    <w:uiPriority w:val="99"/>
    <w:semiHidden/>
    <w:unhideWhenUsed/>
    <w:rsid w:val="00295FF1"/>
    <w:pPr>
      <w:ind w:left="1920" w:hanging="240"/>
    </w:pPr>
  </w:style>
  <w:style w:type="paragraph" w:styleId="Index9">
    <w:name w:val="index 9"/>
    <w:basedOn w:val="Normal"/>
    <w:next w:val="Normal"/>
    <w:autoRedefine/>
    <w:uiPriority w:val="99"/>
    <w:semiHidden/>
    <w:unhideWhenUsed/>
    <w:rsid w:val="00295FF1"/>
    <w:pPr>
      <w:ind w:left="2160" w:hanging="240"/>
    </w:pPr>
  </w:style>
  <w:style w:type="paragraph" w:styleId="TOC1">
    <w:name w:val="toc 1"/>
    <w:basedOn w:val="Normal"/>
    <w:next w:val="Normal"/>
    <w:autoRedefine/>
    <w:uiPriority w:val="39"/>
    <w:unhideWhenUsed/>
    <w:rsid w:val="00295FF1"/>
    <w:pPr>
      <w:keepNext/>
      <w:tabs>
        <w:tab w:val="right" w:pos="8278"/>
      </w:tabs>
      <w:spacing w:before="120"/>
      <w:ind w:left="1843" w:hanging="1843"/>
    </w:pPr>
    <w:rPr>
      <w:rFonts w:ascii="Arial" w:hAnsi="Arial"/>
      <w:b/>
      <w:lang w:eastAsia="en-US"/>
    </w:rPr>
  </w:style>
  <w:style w:type="paragraph" w:styleId="TOC6">
    <w:name w:val="toc 6"/>
    <w:basedOn w:val="Normal"/>
    <w:next w:val="Normal"/>
    <w:autoRedefine/>
    <w:uiPriority w:val="39"/>
    <w:unhideWhenUsed/>
    <w:rsid w:val="00295FF1"/>
    <w:pPr>
      <w:keepNext/>
      <w:tabs>
        <w:tab w:val="right" w:pos="8278"/>
      </w:tabs>
      <w:spacing w:before="120"/>
      <w:ind w:left="1843" w:right="561" w:hanging="1843"/>
    </w:pPr>
    <w:rPr>
      <w:rFonts w:ascii="Arial" w:hAnsi="Arial"/>
      <w:b/>
      <w:sz w:val="20"/>
      <w:lang w:eastAsia="en-US"/>
    </w:rPr>
  </w:style>
  <w:style w:type="paragraph" w:styleId="TOC7">
    <w:name w:val="toc 7"/>
    <w:basedOn w:val="Normal"/>
    <w:next w:val="Normal"/>
    <w:autoRedefine/>
    <w:uiPriority w:val="39"/>
    <w:unhideWhenUsed/>
    <w:rsid w:val="00295FF1"/>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autoRedefine/>
    <w:uiPriority w:val="39"/>
    <w:unhideWhenUsed/>
    <w:rsid w:val="00295FF1"/>
    <w:pPr>
      <w:tabs>
        <w:tab w:val="right" w:pos="8278"/>
      </w:tabs>
      <w:spacing w:before="60"/>
      <w:ind w:left="1843" w:right="714" w:hanging="1843"/>
    </w:pPr>
    <w:rPr>
      <w:rFonts w:ascii="Arial" w:hAnsi="Arial"/>
      <w:sz w:val="20"/>
      <w:lang w:eastAsia="en-US"/>
    </w:rPr>
  </w:style>
  <w:style w:type="paragraph" w:styleId="TOC9">
    <w:name w:val="toc 9"/>
    <w:basedOn w:val="Normal"/>
    <w:next w:val="Normal"/>
    <w:autoRedefine/>
    <w:uiPriority w:val="39"/>
    <w:unhideWhenUsed/>
    <w:rsid w:val="00295FF1"/>
    <w:pPr>
      <w:tabs>
        <w:tab w:val="right" w:pos="8278"/>
      </w:tabs>
      <w:spacing w:before="240" w:after="120"/>
    </w:pPr>
    <w:rPr>
      <w:rFonts w:ascii="Arial" w:hAnsi="Arial"/>
      <w:b/>
      <w:sz w:val="20"/>
      <w:lang w:eastAsia="en-US"/>
    </w:rPr>
  </w:style>
  <w:style w:type="paragraph" w:styleId="NormalIndent">
    <w:name w:val="Normal Indent"/>
    <w:basedOn w:val="Normal"/>
    <w:uiPriority w:val="99"/>
    <w:semiHidden/>
    <w:unhideWhenUsed/>
    <w:rsid w:val="00295FF1"/>
    <w:pPr>
      <w:ind w:left="720"/>
    </w:pPr>
  </w:style>
  <w:style w:type="paragraph" w:styleId="FootnoteText">
    <w:name w:val="footnote text"/>
    <w:basedOn w:val="Normal"/>
    <w:link w:val="FootnoteTextChar"/>
    <w:uiPriority w:val="99"/>
    <w:semiHidden/>
    <w:unhideWhenUsed/>
    <w:rsid w:val="00295FF1"/>
    <w:rPr>
      <w:sz w:val="20"/>
      <w:szCs w:val="20"/>
    </w:rPr>
  </w:style>
  <w:style w:type="character" w:customStyle="1" w:styleId="FootnoteTextChar">
    <w:name w:val="Footnote Text Char"/>
    <w:basedOn w:val="DefaultParagraphFont"/>
    <w:link w:val="FootnoteText"/>
    <w:uiPriority w:val="99"/>
    <w:semiHidden/>
    <w:rsid w:val="00295FF1"/>
    <w:rPr>
      <w:rFonts w:eastAsia="Times New Roman"/>
      <w:lang w:eastAsia="en-AU"/>
    </w:rPr>
  </w:style>
  <w:style w:type="paragraph" w:styleId="IndexHeading">
    <w:name w:val="index heading"/>
    <w:basedOn w:val="Normal"/>
    <w:next w:val="Index1"/>
    <w:uiPriority w:val="99"/>
    <w:semiHidden/>
    <w:unhideWhenUsed/>
    <w:rsid w:val="00295FF1"/>
    <w:rPr>
      <w:rFonts w:ascii="Arial" w:hAnsi="Arial" w:cs="Arial"/>
      <w:b/>
      <w:bCs/>
    </w:rPr>
  </w:style>
  <w:style w:type="paragraph" w:styleId="Caption">
    <w:name w:val="caption"/>
    <w:basedOn w:val="Normal"/>
    <w:next w:val="Normal"/>
    <w:uiPriority w:val="99"/>
    <w:semiHidden/>
    <w:unhideWhenUsed/>
    <w:qFormat/>
    <w:rsid w:val="00295FF1"/>
    <w:pPr>
      <w:spacing w:before="120" w:after="120"/>
    </w:pPr>
    <w:rPr>
      <w:b/>
      <w:bCs/>
      <w:sz w:val="20"/>
      <w:szCs w:val="20"/>
    </w:rPr>
  </w:style>
  <w:style w:type="paragraph" w:styleId="TableofFigures">
    <w:name w:val="table of figures"/>
    <w:basedOn w:val="Normal"/>
    <w:next w:val="Normal"/>
    <w:uiPriority w:val="99"/>
    <w:semiHidden/>
    <w:unhideWhenUsed/>
    <w:rsid w:val="00295FF1"/>
    <w:pPr>
      <w:ind w:left="480" w:hanging="480"/>
    </w:pPr>
  </w:style>
  <w:style w:type="paragraph" w:styleId="EnvelopeAddress">
    <w:name w:val="envelope address"/>
    <w:basedOn w:val="Normal"/>
    <w:uiPriority w:val="99"/>
    <w:semiHidden/>
    <w:unhideWhenUsed/>
    <w:rsid w:val="00295FF1"/>
    <w:pPr>
      <w:framePr w:w="7920" w:h="1980"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rsid w:val="00295FF1"/>
    <w:rPr>
      <w:rFonts w:ascii="Arial" w:hAnsi="Arial" w:cs="Arial"/>
      <w:sz w:val="20"/>
      <w:szCs w:val="20"/>
    </w:rPr>
  </w:style>
  <w:style w:type="paragraph" w:styleId="EndnoteText">
    <w:name w:val="endnote text"/>
    <w:basedOn w:val="Normal"/>
    <w:link w:val="EndnoteTextChar"/>
    <w:uiPriority w:val="99"/>
    <w:semiHidden/>
    <w:unhideWhenUsed/>
    <w:rsid w:val="00295FF1"/>
    <w:rPr>
      <w:sz w:val="20"/>
      <w:szCs w:val="20"/>
    </w:rPr>
  </w:style>
  <w:style w:type="character" w:customStyle="1" w:styleId="EndnoteTextChar">
    <w:name w:val="Endnote Text Char"/>
    <w:basedOn w:val="DefaultParagraphFont"/>
    <w:link w:val="EndnoteText"/>
    <w:uiPriority w:val="99"/>
    <w:semiHidden/>
    <w:rsid w:val="00295FF1"/>
    <w:rPr>
      <w:rFonts w:eastAsia="Times New Roman"/>
      <w:lang w:eastAsia="en-AU"/>
    </w:rPr>
  </w:style>
  <w:style w:type="paragraph" w:styleId="TableofAuthorities">
    <w:name w:val="table of authorities"/>
    <w:basedOn w:val="Normal"/>
    <w:next w:val="Normal"/>
    <w:uiPriority w:val="99"/>
    <w:semiHidden/>
    <w:unhideWhenUsed/>
    <w:rsid w:val="00295FF1"/>
    <w:pPr>
      <w:ind w:left="240" w:hanging="240"/>
    </w:pPr>
  </w:style>
  <w:style w:type="paragraph" w:styleId="MacroText">
    <w:name w:val="macro"/>
    <w:link w:val="MacroTextChar"/>
    <w:uiPriority w:val="99"/>
    <w:semiHidden/>
    <w:unhideWhenUsed/>
    <w:rsid w:val="00295FF1"/>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uiPriority w:val="99"/>
    <w:semiHidden/>
    <w:rsid w:val="00295FF1"/>
    <w:rPr>
      <w:rFonts w:ascii="Courier New" w:eastAsia="Times New Roman" w:hAnsi="Courier New" w:cs="Courier New"/>
    </w:rPr>
  </w:style>
  <w:style w:type="paragraph" w:styleId="TOAHeading">
    <w:name w:val="toa heading"/>
    <w:basedOn w:val="Normal"/>
    <w:next w:val="Normal"/>
    <w:uiPriority w:val="99"/>
    <w:semiHidden/>
    <w:unhideWhenUsed/>
    <w:rsid w:val="00295FF1"/>
    <w:pPr>
      <w:spacing w:before="120"/>
    </w:pPr>
    <w:rPr>
      <w:rFonts w:ascii="Arial" w:hAnsi="Arial" w:cs="Arial"/>
      <w:b/>
      <w:bCs/>
    </w:rPr>
  </w:style>
  <w:style w:type="paragraph" w:styleId="List">
    <w:name w:val="List"/>
    <w:basedOn w:val="Normal"/>
    <w:uiPriority w:val="99"/>
    <w:semiHidden/>
    <w:unhideWhenUsed/>
    <w:rsid w:val="00295FF1"/>
    <w:pPr>
      <w:ind w:left="283" w:hanging="283"/>
    </w:pPr>
  </w:style>
  <w:style w:type="paragraph" w:styleId="ListBullet">
    <w:name w:val="List Bullet"/>
    <w:basedOn w:val="Normal"/>
    <w:autoRedefine/>
    <w:uiPriority w:val="99"/>
    <w:semiHidden/>
    <w:unhideWhenUsed/>
    <w:rsid w:val="00295FF1"/>
    <w:pPr>
      <w:tabs>
        <w:tab w:val="num" w:pos="360"/>
      </w:tabs>
      <w:ind w:left="360" w:hanging="360"/>
    </w:pPr>
  </w:style>
  <w:style w:type="paragraph" w:styleId="ListNumber">
    <w:name w:val="List Number"/>
    <w:basedOn w:val="Normal"/>
    <w:uiPriority w:val="99"/>
    <w:semiHidden/>
    <w:unhideWhenUsed/>
    <w:rsid w:val="00295FF1"/>
    <w:pPr>
      <w:tabs>
        <w:tab w:val="num" w:pos="360"/>
      </w:tabs>
      <w:ind w:left="360" w:hanging="360"/>
    </w:pPr>
  </w:style>
  <w:style w:type="paragraph" w:styleId="List2">
    <w:name w:val="List 2"/>
    <w:basedOn w:val="Normal"/>
    <w:uiPriority w:val="99"/>
    <w:semiHidden/>
    <w:unhideWhenUsed/>
    <w:rsid w:val="00295FF1"/>
    <w:pPr>
      <w:ind w:left="566" w:hanging="283"/>
    </w:pPr>
  </w:style>
  <w:style w:type="paragraph" w:styleId="List3">
    <w:name w:val="List 3"/>
    <w:basedOn w:val="Normal"/>
    <w:uiPriority w:val="99"/>
    <w:semiHidden/>
    <w:unhideWhenUsed/>
    <w:rsid w:val="00295FF1"/>
    <w:pPr>
      <w:ind w:left="849" w:hanging="283"/>
    </w:pPr>
  </w:style>
  <w:style w:type="paragraph" w:styleId="List4">
    <w:name w:val="List 4"/>
    <w:basedOn w:val="Normal"/>
    <w:uiPriority w:val="99"/>
    <w:semiHidden/>
    <w:unhideWhenUsed/>
    <w:rsid w:val="00295FF1"/>
    <w:pPr>
      <w:ind w:left="1132" w:hanging="283"/>
    </w:pPr>
  </w:style>
  <w:style w:type="paragraph" w:styleId="List5">
    <w:name w:val="List 5"/>
    <w:basedOn w:val="Normal"/>
    <w:uiPriority w:val="99"/>
    <w:semiHidden/>
    <w:unhideWhenUsed/>
    <w:rsid w:val="00295FF1"/>
    <w:pPr>
      <w:ind w:left="1415" w:hanging="283"/>
    </w:pPr>
  </w:style>
  <w:style w:type="paragraph" w:styleId="ListBullet2">
    <w:name w:val="List Bullet 2"/>
    <w:basedOn w:val="Normal"/>
    <w:autoRedefine/>
    <w:uiPriority w:val="99"/>
    <w:semiHidden/>
    <w:unhideWhenUsed/>
    <w:rsid w:val="00295FF1"/>
    <w:pPr>
      <w:tabs>
        <w:tab w:val="num" w:pos="643"/>
      </w:tabs>
      <w:ind w:left="643" w:hanging="360"/>
    </w:pPr>
  </w:style>
  <w:style w:type="paragraph" w:styleId="ListBullet3">
    <w:name w:val="List Bullet 3"/>
    <w:basedOn w:val="Normal"/>
    <w:autoRedefine/>
    <w:uiPriority w:val="99"/>
    <w:semiHidden/>
    <w:unhideWhenUsed/>
    <w:rsid w:val="00295FF1"/>
    <w:pPr>
      <w:tabs>
        <w:tab w:val="num" w:pos="926"/>
      </w:tabs>
      <w:ind w:left="926" w:hanging="360"/>
    </w:pPr>
  </w:style>
  <w:style w:type="paragraph" w:styleId="ListBullet4">
    <w:name w:val="List Bullet 4"/>
    <w:basedOn w:val="Normal"/>
    <w:autoRedefine/>
    <w:uiPriority w:val="99"/>
    <w:semiHidden/>
    <w:unhideWhenUsed/>
    <w:rsid w:val="00295FF1"/>
    <w:pPr>
      <w:tabs>
        <w:tab w:val="num" w:pos="1209"/>
      </w:tabs>
      <w:ind w:left="1209" w:hanging="360"/>
    </w:pPr>
  </w:style>
  <w:style w:type="paragraph" w:styleId="ListBullet5">
    <w:name w:val="List Bullet 5"/>
    <w:basedOn w:val="Normal"/>
    <w:autoRedefine/>
    <w:uiPriority w:val="99"/>
    <w:semiHidden/>
    <w:unhideWhenUsed/>
    <w:rsid w:val="00295FF1"/>
    <w:pPr>
      <w:tabs>
        <w:tab w:val="num" w:pos="1492"/>
      </w:tabs>
      <w:ind w:left="1492" w:hanging="360"/>
    </w:pPr>
  </w:style>
  <w:style w:type="paragraph" w:styleId="ListNumber2">
    <w:name w:val="List Number 2"/>
    <w:basedOn w:val="Normal"/>
    <w:uiPriority w:val="99"/>
    <w:semiHidden/>
    <w:unhideWhenUsed/>
    <w:rsid w:val="00295FF1"/>
    <w:pPr>
      <w:tabs>
        <w:tab w:val="num" w:pos="643"/>
      </w:tabs>
      <w:ind w:left="643" w:hanging="360"/>
    </w:pPr>
  </w:style>
  <w:style w:type="paragraph" w:styleId="ListNumber3">
    <w:name w:val="List Number 3"/>
    <w:basedOn w:val="Normal"/>
    <w:uiPriority w:val="99"/>
    <w:semiHidden/>
    <w:unhideWhenUsed/>
    <w:rsid w:val="00295FF1"/>
    <w:pPr>
      <w:tabs>
        <w:tab w:val="num" w:pos="926"/>
      </w:tabs>
      <w:ind w:left="926" w:hanging="360"/>
    </w:pPr>
  </w:style>
  <w:style w:type="paragraph" w:styleId="ListNumber4">
    <w:name w:val="List Number 4"/>
    <w:basedOn w:val="Normal"/>
    <w:uiPriority w:val="99"/>
    <w:semiHidden/>
    <w:unhideWhenUsed/>
    <w:rsid w:val="00295FF1"/>
    <w:pPr>
      <w:tabs>
        <w:tab w:val="num" w:pos="1209"/>
      </w:tabs>
      <w:ind w:left="1209" w:hanging="360"/>
    </w:pPr>
  </w:style>
  <w:style w:type="paragraph" w:styleId="ListNumber5">
    <w:name w:val="List Number 5"/>
    <w:basedOn w:val="Normal"/>
    <w:uiPriority w:val="99"/>
    <w:semiHidden/>
    <w:unhideWhenUsed/>
    <w:rsid w:val="00295FF1"/>
    <w:pPr>
      <w:tabs>
        <w:tab w:val="num" w:pos="1492"/>
      </w:tabs>
      <w:ind w:left="1492" w:hanging="360"/>
    </w:pPr>
  </w:style>
  <w:style w:type="paragraph" w:styleId="Closing">
    <w:name w:val="Closing"/>
    <w:basedOn w:val="Normal"/>
    <w:link w:val="ClosingChar"/>
    <w:uiPriority w:val="99"/>
    <w:semiHidden/>
    <w:unhideWhenUsed/>
    <w:rsid w:val="00295FF1"/>
    <w:pPr>
      <w:ind w:left="4252"/>
    </w:pPr>
  </w:style>
  <w:style w:type="character" w:customStyle="1" w:styleId="ClosingChar">
    <w:name w:val="Closing Char"/>
    <w:basedOn w:val="DefaultParagraphFont"/>
    <w:link w:val="Closing"/>
    <w:uiPriority w:val="99"/>
    <w:semiHidden/>
    <w:rsid w:val="00295FF1"/>
    <w:rPr>
      <w:rFonts w:eastAsia="Times New Roman"/>
      <w:sz w:val="24"/>
      <w:szCs w:val="24"/>
      <w:lang w:eastAsia="en-AU"/>
    </w:rPr>
  </w:style>
  <w:style w:type="paragraph" w:styleId="Signature">
    <w:name w:val="Signature"/>
    <w:basedOn w:val="Normal"/>
    <w:link w:val="SignatureChar"/>
    <w:uiPriority w:val="99"/>
    <w:semiHidden/>
    <w:unhideWhenUsed/>
    <w:rsid w:val="00295FF1"/>
    <w:pPr>
      <w:ind w:left="4252"/>
    </w:pPr>
  </w:style>
  <w:style w:type="character" w:customStyle="1" w:styleId="SignatureChar">
    <w:name w:val="Signature Char"/>
    <w:basedOn w:val="DefaultParagraphFont"/>
    <w:link w:val="Signature"/>
    <w:uiPriority w:val="99"/>
    <w:semiHidden/>
    <w:rsid w:val="00295FF1"/>
    <w:rPr>
      <w:rFonts w:eastAsia="Times New Roman"/>
      <w:sz w:val="24"/>
      <w:szCs w:val="24"/>
      <w:lang w:eastAsia="en-AU"/>
    </w:rPr>
  </w:style>
  <w:style w:type="paragraph" w:styleId="BodyTextIndent">
    <w:name w:val="Body Text Indent"/>
    <w:basedOn w:val="Normal"/>
    <w:link w:val="BodyTextIndentChar"/>
    <w:unhideWhenUsed/>
    <w:rsid w:val="00295FF1"/>
    <w:pPr>
      <w:spacing w:after="120"/>
      <w:ind w:left="283"/>
    </w:pPr>
  </w:style>
  <w:style w:type="character" w:customStyle="1" w:styleId="BodyTextIndentChar">
    <w:name w:val="Body Text Indent Char"/>
    <w:basedOn w:val="DefaultParagraphFont"/>
    <w:link w:val="BodyTextIndent"/>
    <w:rsid w:val="00295FF1"/>
    <w:rPr>
      <w:rFonts w:eastAsia="Times New Roman"/>
      <w:sz w:val="24"/>
      <w:szCs w:val="24"/>
      <w:lang w:eastAsia="en-AU"/>
    </w:rPr>
  </w:style>
  <w:style w:type="paragraph" w:styleId="ListContinue">
    <w:name w:val="List Continue"/>
    <w:basedOn w:val="Normal"/>
    <w:uiPriority w:val="99"/>
    <w:semiHidden/>
    <w:unhideWhenUsed/>
    <w:rsid w:val="00295FF1"/>
    <w:pPr>
      <w:spacing w:after="120"/>
      <w:ind w:left="283"/>
    </w:pPr>
  </w:style>
  <w:style w:type="paragraph" w:styleId="ListContinue2">
    <w:name w:val="List Continue 2"/>
    <w:basedOn w:val="Normal"/>
    <w:uiPriority w:val="99"/>
    <w:semiHidden/>
    <w:unhideWhenUsed/>
    <w:rsid w:val="00295FF1"/>
    <w:pPr>
      <w:spacing w:after="120"/>
      <w:ind w:left="566"/>
    </w:pPr>
  </w:style>
  <w:style w:type="paragraph" w:styleId="ListContinue3">
    <w:name w:val="List Continue 3"/>
    <w:basedOn w:val="Normal"/>
    <w:uiPriority w:val="99"/>
    <w:semiHidden/>
    <w:unhideWhenUsed/>
    <w:rsid w:val="00295FF1"/>
    <w:pPr>
      <w:spacing w:after="120"/>
      <w:ind w:left="849"/>
    </w:pPr>
  </w:style>
  <w:style w:type="paragraph" w:styleId="ListContinue4">
    <w:name w:val="List Continue 4"/>
    <w:basedOn w:val="Normal"/>
    <w:uiPriority w:val="99"/>
    <w:semiHidden/>
    <w:unhideWhenUsed/>
    <w:rsid w:val="00295FF1"/>
    <w:pPr>
      <w:spacing w:after="120"/>
      <w:ind w:left="1132"/>
    </w:pPr>
  </w:style>
  <w:style w:type="paragraph" w:styleId="ListContinue5">
    <w:name w:val="List Continue 5"/>
    <w:basedOn w:val="Normal"/>
    <w:uiPriority w:val="99"/>
    <w:semiHidden/>
    <w:unhideWhenUsed/>
    <w:rsid w:val="00295FF1"/>
    <w:pPr>
      <w:spacing w:after="120"/>
      <w:ind w:left="1415"/>
    </w:pPr>
  </w:style>
  <w:style w:type="paragraph" w:styleId="MessageHeader">
    <w:name w:val="Message Header"/>
    <w:basedOn w:val="Normal"/>
    <w:link w:val="MessageHeaderChar"/>
    <w:uiPriority w:val="99"/>
    <w:semiHidden/>
    <w:unhideWhenUsed/>
    <w:rsid w:val="00295FF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uiPriority w:val="99"/>
    <w:semiHidden/>
    <w:rsid w:val="00295FF1"/>
    <w:rPr>
      <w:rFonts w:ascii="Arial" w:eastAsia="Times New Roman" w:hAnsi="Arial" w:cs="Arial"/>
      <w:sz w:val="24"/>
      <w:szCs w:val="24"/>
      <w:shd w:val="pct20" w:color="auto" w:fill="auto"/>
      <w:lang w:eastAsia="en-AU"/>
    </w:rPr>
  </w:style>
  <w:style w:type="paragraph" w:styleId="Subtitle">
    <w:name w:val="Subtitle"/>
    <w:basedOn w:val="Normal"/>
    <w:link w:val="SubtitleChar"/>
    <w:uiPriority w:val="99"/>
    <w:qFormat/>
    <w:rsid w:val="00295FF1"/>
    <w:pPr>
      <w:spacing w:after="60"/>
      <w:jc w:val="center"/>
      <w:outlineLvl w:val="1"/>
    </w:pPr>
    <w:rPr>
      <w:rFonts w:ascii="Arial" w:hAnsi="Arial" w:cs="Arial"/>
    </w:rPr>
  </w:style>
  <w:style w:type="character" w:customStyle="1" w:styleId="SubtitleChar">
    <w:name w:val="Subtitle Char"/>
    <w:basedOn w:val="DefaultParagraphFont"/>
    <w:link w:val="Subtitle"/>
    <w:uiPriority w:val="99"/>
    <w:rsid w:val="00295FF1"/>
    <w:rPr>
      <w:rFonts w:ascii="Arial" w:eastAsia="Times New Roman" w:hAnsi="Arial" w:cs="Arial"/>
      <w:sz w:val="24"/>
      <w:szCs w:val="24"/>
      <w:lang w:eastAsia="en-AU"/>
    </w:rPr>
  </w:style>
  <w:style w:type="paragraph" w:styleId="Salutation">
    <w:name w:val="Salutation"/>
    <w:basedOn w:val="Normal"/>
    <w:next w:val="Normal"/>
    <w:link w:val="SalutationChar"/>
    <w:uiPriority w:val="99"/>
    <w:semiHidden/>
    <w:unhideWhenUsed/>
    <w:rsid w:val="00295FF1"/>
  </w:style>
  <w:style w:type="character" w:customStyle="1" w:styleId="SalutationChar">
    <w:name w:val="Salutation Char"/>
    <w:basedOn w:val="DefaultParagraphFont"/>
    <w:link w:val="Salutation"/>
    <w:uiPriority w:val="99"/>
    <w:semiHidden/>
    <w:rsid w:val="00295FF1"/>
    <w:rPr>
      <w:rFonts w:eastAsia="Times New Roman"/>
      <w:sz w:val="24"/>
      <w:szCs w:val="24"/>
      <w:lang w:eastAsia="en-AU"/>
    </w:rPr>
  </w:style>
  <w:style w:type="paragraph" w:styleId="Date">
    <w:name w:val="Date"/>
    <w:basedOn w:val="Normal"/>
    <w:next w:val="Normal"/>
    <w:link w:val="DateChar"/>
    <w:uiPriority w:val="99"/>
    <w:semiHidden/>
    <w:unhideWhenUsed/>
    <w:rsid w:val="00295FF1"/>
  </w:style>
  <w:style w:type="character" w:customStyle="1" w:styleId="DateChar">
    <w:name w:val="Date Char"/>
    <w:basedOn w:val="DefaultParagraphFont"/>
    <w:link w:val="Date"/>
    <w:uiPriority w:val="99"/>
    <w:semiHidden/>
    <w:rsid w:val="00295FF1"/>
    <w:rPr>
      <w:rFonts w:eastAsia="Times New Roman"/>
      <w:sz w:val="24"/>
      <w:szCs w:val="24"/>
      <w:lang w:eastAsia="en-AU"/>
    </w:rPr>
  </w:style>
  <w:style w:type="paragraph" w:styleId="BodyTextFirstIndent2">
    <w:name w:val="Body Text First Indent 2"/>
    <w:basedOn w:val="BodyTextIndent"/>
    <w:link w:val="BodyTextFirstIndent2Char"/>
    <w:uiPriority w:val="99"/>
    <w:semiHidden/>
    <w:unhideWhenUsed/>
    <w:rsid w:val="00295FF1"/>
    <w:pPr>
      <w:ind w:firstLine="210"/>
    </w:pPr>
  </w:style>
  <w:style w:type="character" w:customStyle="1" w:styleId="BodyTextFirstIndent2Char">
    <w:name w:val="Body Text First Indent 2 Char"/>
    <w:basedOn w:val="BodyTextIndentChar"/>
    <w:link w:val="BodyTextFirstIndent2"/>
    <w:uiPriority w:val="99"/>
    <w:semiHidden/>
    <w:rsid w:val="00295FF1"/>
    <w:rPr>
      <w:rFonts w:eastAsia="Times New Roman"/>
      <w:sz w:val="24"/>
      <w:szCs w:val="24"/>
      <w:lang w:eastAsia="en-AU"/>
    </w:rPr>
  </w:style>
  <w:style w:type="character" w:customStyle="1" w:styleId="NoteHeadingChar">
    <w:name w:val="Note Heading Char"/>
    <w:aliases w:val="HN Char"/>
    <w:basedOn w:val="DefaultParagraphFont"/>
    <w:link w:val="NoteHeading"/>
    <w:uiPriority w:val="99"/>
    <w:semiHidden/>
    <w:locked/>
    <w:rsid w:val="00295FF1"/>
    <w:rPr>
      <w:rFonts w:ascii="Arial" w:hAnsi="Arial" w:cs="Arial"/>
      <w:b/>
      <w:sz w:val="32"/>
      <w:szCs w:val="24"/>
    </w:rPr>
  </w:style>
  <w:style w:type="paragraph" w:styleId="NoteHeading">
    <w:name w:val="Note Heading"/>
    <w:aliases w:val="HN"/>
    <w:basedOn w:val="Normal"/>
    <w:next w:val="Normal"/>
    <w:link w:val="NoteHeadingChar"/>
    <w:uiPriority w:val="99"/>
    <w:semiHidden/>
    <w:unhideWhenUsed/>
    <w:rsid w:val="00295FF1"/>
    <w:pPr>
      <w:keepNext/>
      <w:keepLines/>
      <w:pageBreakBefore/>
      <w:tabs>
        <w:tab w:val="left" w:pos="1559"/>
      </w:tabs>
      <w:spacing w:before="120" w:line="240" w:lineRule="atLeast"/>
    </w:pPr>
    <w:rPr>
      <w:rFonts w:ascii="Arial" w:eastAsiaTheme="minorHAnsi" w:hAnsi="Arial" w:cs="Arial"/>
      <w:b/>
      <w:sz w:val="32"/>
      <w:lang w:eastAsia="en-US"/>
    </w:rPr>
  </w:style>
  <w:style w:type="character" w:customStyle="1" w:styleId="NoteHeadingChar1">
    <w:name w:val="Note Heading Char1"/>
    <w:aliases w:val="HN Char1"/>
    <w:basedOn w:val="DefaultParagraphFont"/>
    <w:uiPriority w:val="99"/>
    <w:semiHidden/>
    <w:rsid w:val="00295FF1"/>
    <w:rPr>
      <w:rFonts w:eastAsia="Times New Roman"/>
      <w:sz w:val="24"/>
      <w:szCs w:val="24"/>
      <w:lang w:eastAsia="en-AU"/>
    </w:rPr>
  </w:style>
  <w:style w:type="paragraph" w:styleId="BodyText2">
    <w:name w:val="Body Text 2"/>
    <w:basedOn w:val="Normal"/>
    <w:link w:val="BodyText2Char"/>
    <w:uiPriority w:val="99"/>
    <w:semiHidden/>
    <w:unhideWhenUsed/>
    <w:rsid w:val="00295FF1"/>
    <w:pPr>
      <w:spacing w:after="120" w:line="480" w:lineRule="auto"/>
    </w:pPr>
  </w:style>
  <w:style w:type="character" w:customStyle="1" w:styleId="BodyText2Char">
    <w:name w:val="Body Text 2 Char"/>
    <w:basedOn w:val="DefaultParagraphFont"/>
    <w:link w:val="BodyText2"/>
    <w:uiPriority w:val="99"/>
    <w:semiHidden/>
    <w:rsid w:val="00295FF1"/>
    <w:rPr>
      <w:rFonts w:eastAsia="Times New Roman"/>
      <w:sz w:val="24"/>
      <w:szCs w:val="24"/>
      <w:lang w:eastAsia="en-AU"/>
    </w:rPr>
  </w:style>
  <w:style w:type="paragraph" w:styleId="BodyText3">
    <w:name w:val="Body Text 3"/>
    <w:basedOn w:val="Normal"/>
    <w:link w:val="BodyText3Char"/>
    <w:uiPriority w:val="99"/>
    <w:semiHidden/>
    <w:unhideWhenUsed/>
    <w:rsid w:val="00295FF1"/>
    <w:pPr>
      <w:spacing w:after="120"/>
    </w:pPr>
    <w:rPr>
      <w:sz w:val="16"/>
      <w:szCs w:val="16"/>
    </w:rPr>
  </w:style>
  <w:style w:type="character" w:customStyle="1" w:styleId="BodyText3Char">
    <w:name w:val="Body Text 3 Char"/>
    <w:basedOn w:val="DefaultParagraphFont"/>
    <w:link w:val="BodyText3"/>
    <w:uiPriority w:val="99"/>
    <w:semiHidden/>
    <w:rsid w:val="00295FF1"/>
    <w:rPr>
      <w:rFonts w:eastAsia="Times New Roman"/>
      <w:sz w:val="16"/>
      <w:szCs w:val="16"/>
      <w:lang w:eastAsia="en-AU"/>
    </w:rPr>
  </w:style>
  <w:style w:type="paragraph" w:styleId="BodyTextIndent2">
    <w:name w:val="Body Text Indent 2"/>
    <w:basedOn w:val="Normal"/>
    <w:link w:val="BodyTextIndent2Char"/>
    <w:uiPriority w:val="99"/>
    <w:semiHidden/>
    <w:unhideWhenUsed/>
    <w:rsid w:val="00295FF1"/>
    <w:pPr>
      <w:spacing w:after="120" w:line="480" w:lineRule="auto"/>
      <w:ind w:left="283"/>
    </w:pPr>
  </w:style>
  <w:style w:type="character" w:customStyle="1" w:styleId="BodyTextIndent2Char">
    <w:name w:val="Body Text Indent 2 Char"/>
    <w:basedOn w:val="DefaultParagraphFont"/>
    <w:link w:val="BodyTextIndent2"/>
    <w:uiPriority w:val="99"/>
    <w:semiHidden/>
    <w:rsid w:val="00295FF1"/>
    <w:rPr>
      <w:rFonts w:eastAsia="Times New Roman"/>
      <w:sz w:val="24"/>
      <w:szCs w:val="24"/>
      <w:lang w:eastAsia="en-AU"/>
    </w:rPr>
  </w:style>
  <w:style w:type="paragraph" w:styleId="BodyTextIndent3">
    <w:name w:val="Body Text Indent 3"/>
    <w:basedOn w:val="Normal"/>
    <w:link w:val="BodyTextIndent3Char"/>
    <w:uiPriority w:val="99"/>
    <w:semiHidden/>
    <w:unhideWhenUsed/>
    <w:rsid w:val="00295FF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95FF1"/>
    <w:rPr>
      <w:rFonts w:eastAsia="Times New Roman"/>
      <w:sz w:val="16"/>
      <w:szCs w:val="16"/>
      <w:lang w:eastAsia="en-AU"/>
    </w:rPr>
  </w:style>
  <w:style w:type="paragraph" w:styleId="DocumentMap">
    <w:name w:val="Document Map"/>
    <w:basedOn w:val="Normal"/>
    <w:link w:val="DocumentMapChar"/>
    <w:uiPriority w:val="99"/>
    <w:semiHidden/>
    <w:unhideWhenUsed/>
    <w:rsid w:val="00295FF1"/>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295FF1"/>
    <w:rPr>
      <w:rFonts w:ascii="Tahoma" w:eastAsia="Times New Roman" w:hAnsi="Tahoma" w:cs="Tahoma"/>
      <w:sz w:val="24"/>
      <w:szCs w:val="24"/>
      <w:shd w:val="clear" w:color="auto" w:fill="000080"/>
      <w:lang w:eastAsia="en-AU"/>
    </w:rPr>
  </w:style>
  <w:style w:type="paragraph" w:styleId="PlainText">
    <w:name w:val="Plain Text"/>
    <w:basedOn w:val="Normal"/>
    <w:link w:val="PlainTextChar"/>
    <w:uiPriority w:val="99"/>
    <w:semiHidden/>
    <w:unhideWhenUsed/>
    <w:rsid w:val="00295FF1"/>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295FF1"/>
    <w:rPr>
      <w:rFonts w:ascii="Courier New" w:eastAsia="Times New Roman" w:hAnsi="Courier New" w:cs="Courier New"/>
      <w:lang w:eastAsia="en-AU"/>
    </w:rPr>
  </w:style>
  <w:style w:type="paragraph" w:styleId="E-mailSignature">
    <w:name w:val="E-mail Signature"/>
    <w:basedOn w:val="Normal"/>
    <w:link w:val="E-mailSignatureChar"/>
    <w:uiPriority w:val="99"/>
    <w:semiHidden/>
    <w:unhideWhenUsed/>
    <w:rsid w:val="00295FF1"/>
  </w:style>
  <w:style w:type="character" w:customStyle="1" w:styleId="E-mailSignatureChar">
    <w:name w:val="E-mail Signature Char"/>
    <w:basedOn w:val="DefaultParagraphFont"/>
    <w:link w:val="E-mailSignature"/>
    <w:uiPriority w:val="99"/>
    <w:semiHidden/>
    <w:rsid w:val="00295FF1"/>
    <w:rPr>
      <w:rFonts w:eastAsia="Times New Roman"/>
      <w:sz w:val="24"/>
      <w:szCs w:val="24"/>
      <w:lang w:eastAsia="en-AU"/>
    </w:rPr>
  </w:style>
  <w:style w:type="paragraph" w:styleId="NoSpacing">
    <w:name w:val="No Spacing"/>
    <w:qFormat/>
    <w:rsid w:val="00295FF1"/>
    <w:rPr>
      <w:rFonts w:eastAsia="Times New Roman"/>
      <w:sz w:val="24"/>
      <w:szCs w:val="24"/>
      <w:lang w:eastAsia="en-AU"/>
    </w:rPr>
  </w:style>
  <w:style w:type="paragraph" w:styleId="Quote">
    <w:name w:val="Quote"/>
    <w:basedOn w:val="Normal"/>
    <w:next w:val="Normal"/>
    <w:link w:val="QuoteChar"/>
    <w:uiPriority w:val="29"/>
    <w:qFormat/>
    <w:rsid w:val="00295FF1"/>
    <w:rPr>
      <w:i/>
      <w:iCs/>
      <w:color w:val="000000" w:themeColor="text1"/>
    </w:rPr>
  </w:style>
  <w:style w:type="character" w:customStyle="1" w:styleId="QuoteChar">
    <w:name w:val="Quote Char"/>
    <w:basedOn w:val="DefaultParagraphFont"/>
    <w:link w:val="Quote"/>
    <w:uiPriority w:val="29"/>
    <w:rsid w:val="00295FF1"/>
    <w:rPr>
      <w:rFonts w:eastAsia="Times New Roman"/>
      <w:i/>
      <w:iCs/>
      <w:color w:val="000000" w:themeColor="text1"/>
      <w:sz w:val="24"/>
      <w:szCs w:val="24"/>
      <w:lang w:eastAsia="en-AU"/>
    </w:rPr>
  </w:style>
  <w:style w:type="paragraph" w:styleId="IntenseQuote">
    <w:name w:val="Intense Quote"/>
    <w:basedOn w:val="Normal"/>
    <w:next w:val="Normal"/>
    <w:link w:val="IntenseQuoteChar"/>
    <w:uiPriority w:val="30"/>
    <w:qFormat/>
    <w:rsid w:val="00295FF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95FF1"/>
    <w:rPr>
      <w:rFonts w:eastAsia="Times New Roman"/>
      <w:b/>
      <w:bCs/>
      <w:i/>
      <w:iCs/>
      <w:color w:val="4F81BD" w:themeColor="accent1"/>
      <w:sz w:val="24"/>
      <w:szCs w:val="24"/>
      <w:lang w:eastAsia="en-AU"/>
    </w:rPr>
  </w:style>
  <w:style w:type="paragraph" w:styleId="Bibliography">
    <w:name w:val="Bibliography"/>
    <w:basedOn w:val="Normal"/>
    <w:next w:val="Normal"/>
    <w:uiPriority w:val="37"/>
    <w:semiHidden/>
    <w:unhideWhenUsed/>
    <w:rsid w:val="00295FF1"/>
  </w:style>
  <w:style w:type="paragraph" w:styleId="TOCHeading">
    <w:name w:val="TOC Heading"/>
    <w:basedOn w:val="Heading1"/>
    <w:next w:val="Normal"/>
    <w:uiPriority w:val="39"/>
    <w:semiHidden/>
    <w:unhideWhenUsed/>
    <w:qFormat/>
    <w:rsid w:val="00295FF1"/>
    <w:pPr>
      <w:outlineLvl w:val="9"/>
    </w:pPr>
    <w:rPr>
      <w:color w:val="345A8A" w:themeColor="accent1" w:themeShade="B5"/>
      <w:sz w:val="32"/>
      <w:szCs w:val="32"/>
    </w:rPr>
  </w:style>
  <w:style w:type="paragraph" w:customStyle="1" w:styleId="HeaderBoldEven">
    <w:name w:val="HeaderBoldEven"/>
    <w:basedOn w:val="Normal"/>
    <w:uiPriority w:val="99"/>
    <w:rsid w:val="00295FF1"/>
    <w:pPr>
      <w:spacing w:before="120" w:after="60"/>
    </w:pPr>
    <w:rPr>
      <w:rFonts w:ascii="Arial" w:hAnsi="Arial"/>
      <w:b/>
      <w:sz w:val="20"/>
    </w:rPr>
  </w:style>
  <w:style w:type="paragraph" w:customStyle="1" w:styleId="HeaderLiteEven">
    <w:name w:val="HeaderLiteEven"/>
    <w:basedOn w:val="Normal"/>
    <w:uiPriority w:val="99"/>
    <w:rsid w:val="00295FF1"/>
    <w:pPr>
      <w:tabs>
        <w:tab w:val="center" w:pos="3969"/>
        <w:tab w:val="right" w:pos="8505"/>
      </w:tabs>
      <w:spacing w:before="60"/>
    </w:pPr>
    <w:rPr>
      <w:rFonts w:ascii="Arial" w:hAnsi="Arial"/>
      <w:sz w:val="18"/>
    </w:rPr>
  </w:style>
  <w:style w:type="paragraph" w:customStyle="1" w:styleId="HeaderContentsPage">
    <w:name w:val="HeaderContents&quot;Page&quot;"/>
    <w:basedOn w:val="Normal"/>
    <w:uiPriority w:val="99"/>
    <w:rsid w:val="00295FF1"/>
    <w:pPr>
      <w:spacing w:before="120" w:after="120"/>
      <w:jc w:val="right"/>
    </w:pPr>
    <w:rPr>
      <w:rFonts w:ascii="Arial" w:hAnsi="Arial"/>
      <w:sz w:val="20"/>
    </w:rPr>
  </w:style>
  <w:style w:type="paragraph" w:customStyle="1" w:styleId="FooterInfo">
    <w:name w:val="FooterInfo"/>
    <w:basedOn w:val="Normal"/>
    <w:uiPriority w:val="99"/>
    <w:rsid w:val="00295FF1"/>
    <w:rPr>
      <w:rFonts w:ascii="Arial" w:hAnsi="Arial"/>
      <w:sz w:val="12"/>
    </w:rPr>
  </w:style>
  <w:style w:type="paragraph" w:customStyle="1" w:styleId="A1">
    <w:name w:val="A1"/>
    <w:aliases w:val="Heading Amendment,1. Amendment"/>
    <w:basedOn w:val="Normal"/>
    <w:next w:val="Normal"/>
    <w:uiPriority w:val="99"/>
    <w:rsid w:val="00295FF1"/>
    <w:pPr>
      <w:keepNext/>
      <w:keepLines/>
      <w:spacing w:before="480" w:line="260" w:lineRule="exact"/>
      <w:ind w:left="964" w:hanging="964"/>
    </w:pPr>
    <w:rPr>
      <w:rFonts w:ascii="Arial" w:hAnsi="Arial"/>
      <w:b/>
    </w:rPr>
  </w:style>
  <w:style w:type="paragraph" w:customStyle="1" w:styleId="A2S">
    <w:name w:val="A2S"/>
    <w:aliases w:val="Schedule Inst Amendment"/>
    <w:basedOn w:val="Normal"/>
    <w:next w:val="A3S"/>
    <w:uiPriority w:val="99"/>
    <w:rsid w:val="00295FF1"/>
    <w:pPr>
      <w:keepNext/>
      <w:spacing w:before="120" w:line="260" w:lineRule="exact"/>
      <w:ind w:left="964"/>
    </w:pPr>
    <w:rPr>
      <w:i/>
    </w:rPr>
  </w:style>
  <w:style w:type="paragraph" w:customStyle="1" w:styleId="A1S">
    <w:name w:val="A1S"/>
    <w:aliases w:val="1.Schedule Amendment"/>
    <w:basedOn w:val="Normal"/>
    <w:next w:val="A2S"/>
    <w:uiPriority w:val="99"/>
    <w:rsid w:val="00295FF1"/>
    <w:pPr>
      <w:keepNext/>
      <w:keepLines/>
      <w:spacing w:before="480" w:line="260" w:lineRule="exact"/>
      <w:ind w:left="964" w:hanging="964"/>
    </w:pPr>
    <w:rPr>
      <w:rFonts w:ascii="Arial" w:hAnsi="Arial"/>
      <w:b/>
    </w:rPr>
  </w:style>
  <w:style w:type="paragraph" w:customStyle="1" w:styleId="A2">
    <w:name w:val="A2"/>
    <w:aliases w:val="1.1 amendment,Instruction amendment"/>
    <w:basedOn w:val="Normal"/>
    <w:next w:val="Normal"/>
    <w:uiPriority w:val="99"/>
    <w:rsid w:val="00295FF1"/>
    <w:pPr>
      <w:tabs>
        <w:tab w:val="right" w:pos="794"/>
      </w:tabs>
      <w:spacing w:before="120" w:line="260" w:lineRule="exact"/>
      <w:ind w:left="964" w:hanging="964"/>
      <w:jc w:val="both"/>
    </w:pPr>
  </w:style>
  <w:style w:type="paragraph" w:customStyle="1" w:styleId="A3S">
    <w:name w:val="A3S"/>
    <w:aliases w:val="Schedule Amendment"/>
    <w:basedOn w:val="Normal"/>
    <w:next w:val="A1S"/>
    <w:uiPriority w:val="99"/>
    <w:rsid w:val="00295FF1"/>
    <w:pPr>
      <w:spacing w:before="60" w:line="260" w:lineRule="exact"/>
      <w:ind w:left="1247"/>
      <w:jc w:val="both"/>
    </w:pPr>
  </w:style>
  <w:style w:type="paragraph" w:customStyle="1" w:styleId="A3">
    <w:name w:val="A3"/>
    <w:aliases w:val="1.2 amendment"/>
    <w:basedOn w:val="Normal"/>
    <w:uiPriority w:val="99"/>
    <w:rsid w:val="00295FF1"/>
    <w:pPr>
      <w:tabs>
        <w:tab w:val="right" w:pos="794"/>
      </w:tabs>
      <w:spacing w:before="180" w:line="260" w:lineRule="exact"/>
      <w:ind w:left="964" w:hanging="964"/>
      <w:jc w:val="both"/>
    </w:pPr>
  </w:style>
  <w:style w:type="paragraph" w:customStyle="1" w:styleId="A4">
    <w:name w:val="A4"/>
    <w:aliases w:val="(a) Amendment"/>
    <w:basedOn w:val="Normal"/>
    <w:uiPriority w:val="99"/>
    <w:rsid w:val="00295FF1"/>
    <w:pPr>
      <w:tabs>
        <w:tab w:val="right" w:pos="1247"/>
      </w:tabs>
      <w:spacing w:before="60" w:line="260" w:lineRule="exact"/>
      <w:ind w:left="1531" w:hanging="1531"/>
      <w:jc w:val="both"/>
    </w:pPr>
  </w:style>
  <w:style w:type="paragraph" w:customStyle="1" w:styleId="A5">
    <w:name w:val="A5"/>
    <w:aliases w:val="(i) Amendment"/>
    <w:basedOn w:val="Normal"/>
    <w:uiPriority w:val="99"/>
    <w:rsid w:val="00295FF1"/>
    <w:pPr>
      <w:tabs>
        <w:tab w:val="right" w:pos="1758"/>
      </w:tabs>
      <w:spacing w:before="60" w:line="260" w:lineRule="exact"/>
      <w:ind w:left="2041" w:hanging="2041"/>
      <w:jc w:val="both"/>
    </w:pPr>
  </w:style>
  <w:style w:type="paragraph" w:customStyle="1" w:styleId="AN">
    <w:name w:val="AN"/>
    <w:aliases w:val="Note Amendment"/>
    <w:basedOn w:val="Normal"/>
    <w:next w:val="A1"/>
    <w:uiPriority w:val="99"/>
    <w:rsid w:val="00295FF1"/>
    <w:pPr>
      <w:spacing w:before="120" w:line="220" w:lineRule="exact"/>
      <w:ind w:left="964"/>
      <w:jc w:val="both"/>
    </w:pPr>
    <w:rPr>
      <w:sz w:val="20"/>
    </w:rPr>
  </w:style>
  <w:style w:type="paragraph" w:customStyle="1" w:styleId="ASref">
    <w:name w:val="AS ref"/>
    <w:basedOn w:val="Normal"/>
    <w:next w:val="A1S"/>
    <w:uiPriority w:val="99"/>
    <w:rsid w:val="00295FF1"/>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uiPriority w:val="99"/>
    <w:rsid w:val="00295FF1"/>
    <w:pPr>
      <w:keepNext/>
      <w:keepLines/>
      <w:spacing w:before="480"/>
      <w:ind w:left="2410" w:hanging="2410"/>
    </w:pPr>
    <w:rPr>
      <w:rFonts w:ascii="Arial" w:hAnsi="Arial"/>
      <w:b/>
      <w:sz w:val="32"/>
    </w:rPr>
  </w:style>
  <w:style w:type="paragraph" w:customStyle="1" w:styleId="ASP">
    <w:name w:val="ASP"/>
    <w:aliases w:val="Schedule Part Amendment"/>
    <w:basedOn w:val="Normal"/>
    <w:next w:val="A1S"/>
    <w:uiPriority w:val="99"/>
    <w:rsid w:val="00295FF1"/>
    <w:pPr>
      <w:keepNext/>
      <w:keepLines/>
      <w:spacing w:before="360"/>
      <w:ind w:left="2410" w:hanging="2410"/>
    </w:pPr>
    <w:rPr>
      <w:rFonts w:ascii="Arial" w:hAnsi="Arial"/>
      <w:b/>
      <w:sz w:val="28"/>
    </w:rPr>
  </w:style>
  <w:style w:type="paragraph" w:customStyle="1" w:styleId="ContentsHead">
    <w:name w:val="ContentsHead"/>
    <w:basedOn w:val="Normal"/>
    <w:next w:val="Normal"/>
    <w:uiPriority w:val="99"/>
    <w:rsid w:val="00295FF1"/>
    <w:pPr>
      <w:keepNext/>
      <w:keepLines/>
      <w:spacing w:before="240" w:after="240"/>
    </w:pPr>
    <w:rPr>
      <w:rFonts w:ascii="Arial" w:hAnsi="Arial"/>
      <w:b/>
      <w:sz w:val="28"/>
    </w:rPr>
  </w:style>
  <w:style w:type="paragraph" w:customStyle="1" w:styleId="ContentsSectionBreak">
    <w:name w:val="ContentsSectionBreak"/>
    <w:basedOn w:val="Normal"/>
    <w:next w:val="Normal"/>
    <w:uiPriority w:val="99"/>
    <w:rsid w:val="00295FF1"/>
  </w:style>
  <w:style w:type="paragraph" w:customStyle="1" w:styleId="DD">
    <w:name w:val="DD"/>
    <w:aliases w:val="Dictionary Definition"/>
    <w:basedOn w:val="Normal"/>
    <w:uiPriority w:val="99"/>
    <w:rsid w:val="00295FF1"/>
    <w:pPr>
      <w:spacing w:before="80" w:line="260" w:lineRule="exact"/>
      <w:jc w:val="both"/>
    </w:pPr>
  </w:style>
  <w:style w:type="paragraph" w:customStyle="1" w:styleId="DictionaryHeading">
    <w:name w:val="Dictionary Heading"/>
    <w:basedOn w:val="Normal"/>
    <w:next w:val="DD"/>
    <w:uiPriority w:val="99"/>
    <w:rsid w:val="00295FF1"/>
    <w:pPr>
      <w:keepNext/>
      <w:keepLines/>
      <w:spacing w:before="480"/>
      <w:ind w:left="2552" w:hanging="2552"/>
    </w:pPr>
    <w:rPr>
      <w:rFonts w:ascii="Arial" w:hAnsi="Arial"/>
      <w:b/>
      <w:sz w:val="32"/>
    </w:rPr>
  </w:style>
  <w:style w:type="paragraph" w:customStyle="1" w:styleId="DictionarySectionBreak">
    <w:name w:val="DictionarySectionBreak"/>
    <w:basedOn w:val="Normal"/>
    <w:next w:val="Normal"/>
    <w:uiPriority w:val="99"/>
    <w:rsid w:val="00295FF1"/>
  </w:style>
  <w:style w:type="paragraph" w:customStyle="1" w:styleId="DNote">
    <w:name w:val="DNote"/>
    <w:aliases w:val="DictionaryNote"/>
    <w:basedOn w:val="Normal"/>
    <w:uiPriority w:val="99"/>
    <w:rsid w:val="00295FF1"/>
    <w:pPr>
      <w:spacing w:before="120" w:line="220" w:lineRule="exact"/>
      <w:ind w:left="425"/>
      <w:jc w:val="both"/>
    </w:pPr>
    <w:rPr>
      <w:sz w:val="20"/>
    </w:rPr>
  </w:style>
  <w:style w:type="paragraph" w:customStyle="1" w:styleId="DP1a">
    <w:name w:val="DP1(a)"/>
    <w:aliases w:val="Dictionary (a)"/>
    <w:basedOn w:val="Normal"/>
    <w:uiPriority w:val="99"/>
    <w:rsid w:val="00295FF1"/>
    <w:pPr>
      <w:tabs>
        <w:tab w:val="right" w:pos="709"/>
      </w:tabs>
      <w:spacing w:before="60" w:line="260" w:lineRule="exact"/>
      <w:ind w:left="936" w:hanging="936"/>
      <w:jc w:val="both"/>
    </w:pPr>
  </w:style>
  <w:style w:type="paragraph" w:customStyle="1" w:styleId="DP2i">
    <w:name w:val="DP2(i)"/>
    <w:aliases w:val="Dictionary(i)"/>
    <w:basedOn w:val="Normal"/>
    <w:uiPriority w:val="99"/>
    <w:rsid w:val="00295FF1"/>
    <w:pPr>
      <w:tabs>
        <w:tab w:val="right" w:pos="1276"/>
      </w:tabs>
      <w:spacing w:before="60" w:line="260" w:lineRule="exact"/>
      <w:ind w:left="1503" w:hanging="1503"/>
      <w:jc w:val="both"/>
    </w:pPr>
  </w:style>
  <w:style w:type="paragraph" w:customStyle="1" w:styleId="ExampleBody">
    <w:name w:val="Example Body"/>
    <w:basedOn w:val="Normal"/>
    <w:uiPriority w:val="99"/>
    <w:rsid w:val="00295FF1"/>
    <w:pPr>
      <w:keepLines/>
      <w:spacing w:before="60" w:line="220" w:lineRule="exact"/>
      <w:ind w:left="964"/>
      <w:jc w:val="both"/>
    </w:pPr>
    <w:rPr>
      <w:sz w:val="20"/>
    </w:rPr>
  </w:style>
  <w:style w:type="paragraph" w:customStyle="1" w:styleId="ExampleList">
    <w:name w:val="Example List"/>
    <w:basedOn w:val="Normal"/>
    <w:uiPriority w:val="99"/>
    <w:rsid w:val="00295FF1"/>
    <w:pPr>
      <w:keepLines/>
      <w:tabs>
        <w:tab w:val="left" w:pos="1247"/>
        <w:tab w:val="left" w:pos="1349"/>
      </w:tabs>
      <w:spacing w:before="60" w:line="220" w:lineRule="exact"/>
      <w:ind w:left="340" w:firstLine="652"/>
      <w:jc w:val="both"/>
    </w:pPr>
    <w:rPr>
      <w:sz w:val="20"/>
    </w:rPr>
  </w:style>
  <w:style w:type="paragraph" w:customStyle="1" w:styleId="Formula">
    <w:name w:val="Formula"/>
    <w:basedOn w:val="Normal"/>
    <w:next w:val="Normal"/>
    <w:uiPriority w:val="99"/>
    <w:rsid w:val="00295FF1"/>
    <w:pPr>
      <w:spacing w:before="180" w:after="180"/>
      <w:jc w:val="center"/>
    </w:pPr>
  </w:style>
  <w:style w:type="paragraph" w:customStyle="1" w:styleId="HR">
    <w:name w:val="HR"/>
    <w:aliases w:val="Regulation Heading"/>
    <w:basedOn w:val="Normal"/>
    <w:next w:val="R1"/>
    <w:rsid w:val="00295FF1"/>
    <w:pPr>
      <w:keepNext/>
      <w:keepLines/>
      <w:spacing w:before="360"/>
      <w:ind w:left="964" w:hanging="964"/>
    </w:pPr>
    <w:rPr>
      <w:rFonts w:ascii="Arial" w:hAnsi="Arial"/>
      <w:b/>
    </w:rPr>
  </w:style>
  <w:style w:type="paragraph" w:customStyle="1" w:styleId="Lt">
    <w:name w:val="Lt"/>
    <w:aliases w:val="Long title"/>
    <w:basedOn w:val="Normal"/>
    <w:uiPriority w:val="99"/>
    <w:rsid w:val="00295FF1"/>
    <w:pPr>
      <w:spacing w:before="260"/>
    </w:pPr>
    <w:rPr>
      <w:rFonts w:ascii="Arial" w:hAnsi="Arial"/>
      <w:b/>
      <w:sz w:val="28"/>
    </w:rPr>
  </w:style>
  <w:style w:type="paragraph" w:customStyle="1" w:styleId="M1">
    <w:name w:val="M1"/>
    <w:aliases w:val="Modification Heading"/>
    <w:basedOn w:val="Normal"/>
    <w:next w:val="Normal"/>
    <w:uiPriority w:val="99"/>
    <w:rsid w:val="00295FF1"/>
    <w:pPr>
      <w:keepNext/>
      <w:spacing w:before="480" w:line="260" w:lineRule="exact"/>
      <w:ind w:left="964" w:hanging="964"/>
    </w:pPr>
    <w:rPr>
      <w:rFonts w:ascii="Arial" w:hAnsi="Arial"/>
      <w:b/>
    </w:rPr>
  </w:style>
  <w:style w:type="paragraph" w:customStyle="1" w:styleId="M2">
    <w:name w:val="M2"/>
    <w:aliases w:val="Modification Instruction"/>
    <w:basedOn w:val="Normal"/>
    <w:next w:val="Normal"/>
    <w:uiPriority w:val="99"/>
    <w:rsid w:val="00295FF1"/>
    <w:pPr>
      <w:keepNext/>
      <w:spacing w:before="120" w:line="260" w:lineRule="exact"/>
      <w:ind w:left="964"/>
    </w:pPr>
    <w:rPr>
      <w:i/>
    </w:rPr>
  </w:style>
  <w:style w:type="paragraph" w:customStyle="1" w:styleId="M3">
    <w:name w:val="M3"/>
    <w:aliases w:val="Modification Text"/>
    <w:basedOn w:val="Normal"/>
    <w:next w:val="M1"/>
    <w:uiPriority w:val="99"/>
    <w:rsid w:val="00295FF1"/>
    <w:pPr>
      <w:spacing w:before="60" w:line="260" w:lineRule="exact"/>
      <w:ind w:left="1247"/>
      <w:jc w:val="both"/>
    </w:pPr>
  </w:style>
  <w:style w:type="paragraph" w:customStyle="1" w:styleId="MainBodySectionBreak">
    <w:name w:val="MainBody Section Break"/>
    <w:basedOn w:val="Normal"/>
    <w:next w:val="Normal"/>
    <w:uiPriority w:val="99"/>
    <w:rsid w:val="00295FF1"/>
  </w:style>
  <w:style w:type="paragraph" w:customStyle="1" w:styleId="Maker">
    <w:name w:val="Maker"/>
    <w:basedOn w:val="Normal"/>
    <w:uiPriority w:val="99"/>
    <w:rsid w:val="00295FF1"/>
    <w:pPr>
      <w:tabs>
        <w:tab w:val="left" w:pos="3119"/>
      </w:tabs>
      <w:spacing w:line="300" w:lineRule="atLeast"/>
    </w:pPr>
  </w:style>
  <w:style w:type="paragraph" w:customStyle="1" w:styleId="MHD">
    <w:name w:val="MHD"/>
    <w:aliases w:val="Mod Division Heading"/>
    <w:basedOn w:val="Normal"/>
    <w:next w:val="Normal"/>
    <w:uiPriority w:val="99"/>
    <w:rsid w:val="00295FF1"/>
    <w:pPr>
      <w:keepNext/>
      <w:spacing w:before="360"/>
      <w:ind w:left="2410" w:hanging="2410"/>
    </w:pPr>
    <w:rPr>
      <w:b/>
      <w:sz w:val="28"/>
    </w:rPr>
  </w:style>
  <w:style w:type="paragraph" w:customStyle="1" w:styleId="MHP">
    <w:name w:val="MHP"/>
    <w:aliases w:val="Mod Part Heading"/>
    <w:basedOn w:val="Normal"/>
    <w:next w:val="Normal"/>
    <w:uiPriority w:val="99"/>
    <w:rsid w:val="00295FF1"/>
    <w:pPr>
      <w:keepNext/>
      <w:spacing w:before="360"/>
      <w:ind w:left="2410" w:hanging="2410"/>
    </w:pPr>
    <w:rPr>
      <w:b/>
      <w:sz w:val="32"/>
    </w:rPr>
  </w:style>
  <w:style w:type="paragraph" w:customStyle="1" w:styleId="MHR">
    <w:name w:val="MHR"/>
    <w:aliases w:val="Mod Regulation Heading"/>
    <w:basedOn w:val="Normal"/>
    <w:next w:val="Normal"/>
    <w:uiPriority w:val="99"/>
    <w:rsid w:val="00295FF1"/>
    <w:pPr>
      <w:keepNext/>
      <w:spacing w:before="360"/>
      <w:ind w:left="964" w:hanging="964"/>
    </w:pPr>
    <w:rPr>
      <w:b/>
    </w:rPr>
  </w:style>
  <w:style w:type="paragraph" w:customStyle="1" w:styleId="MHS">
    <w:name w:val="MHS"/>
    <w:aliases w:val="Mod Subdivision Heading"/>
    <w:basedOn w:val="Normal"/>
    <w:next w:val="MHR"/>
    <w:uiPriority w:val="99"/>
    <w:rsid w:val="00295FF1"/>
    <w:pPr>
      <w:keepNext/>
      <w:spacing w:before="360"/>
      <w:ind w:left="2410" w:hanging="2410"/>
    </w:pPr>
    <w:rPr>
      <w:b/>
    </w:rPr>
  </w:style>
  <w:style w:type="paragraph" w:customStyle="1" w:styleId="MHSR">
    <w:name w:val="MHSR"/>
    <w:aliases w:val="Mod Subregulation Heading"/>
    <w:basedOn w:val="Normal"/>
    <w:next w:val="Normal"/>
    <w:uiPriority w:val="99"/>
    <w:rsid w:val="00295FF1"/>
    <w:pPr>
      <w:keepNext/>
      <w:spacing w:before="300"/>
      <w:ind w:left="964" w:hanging="964"/>
    </w:pPr>
    <w:rPr>
      <w:i/>
    </w:rPr>
  </w:style>
  <w:style w:type="paragraph" w:customStyle="1" w:styleId="Note">
    <w:name w:val="Note"/>
    <w:basedOn w:val="Normal"/>
    <w:rsid w:val="00295FF1"/>
    <w:pPr>
      <w:keepLines/>
      <w:spacing w:before="120" w:line="220" w:lineRule="exact"/>
      <w:ind w:left="964"/>
      <w:jc w:val="both"/>
    </w:pPr>
    <w:rPr>
      <w:sz w:val="20"/>
    </w:rPr>
  </w:style>
  <w:style w:type="paragraph" w:customStyle="1" w:styleId="NotesSectionBreak">
    <w:name w:val="NotesSectionBreak"/>
    <w:basedOn w:val="Normal"/>
    <w:next w:val="Normal"/>
    <w:uiPriority w:val="99"/>
    <w:rsid w:val="00295FF1"/>
  </w:style>
  <w:style w:type="paragraph" w:customStyle="1" w:styleId="P4">
    <w:name w:val="P4"/>
    <w:aliases w:val="(I)"/>
    <w:basedOn w:val="Normal"/>
    <w:uiPriority w:val="99"/>
    <w:rsid w:val="00295FF1"/>
    <w:pPr>
      <w:tabs>
        <w:tab w:val="right" w:pos="3119"/>
      </w:tabs>
      <w:spacing w:before="60" w:line="260" w:lineRule="exact"/>
      <w:ind w:left="3419" w:hanging="3419"/>
      <w:jc w:val="both"/>
    </w:pPr>
  </w:style>
  <w:style w:type="paragraph" w:customStyle="1" w:styleId="PageBreak">
    <w:name w:val="PageBreak"/>
    <w:aliases w:val="pb"/>
    <w:basedOn w:val="Normal"/>
    <w:next w:val="Normal"/>
    <w:uiPriority w:val="99"/>
    <w:rsid w:val="00295FF1"/>
    <w:rPr>
      <w:sz w:val="4"/>
      <w:szCs w:val="2"/>
    </w:rPr>
  </w:style>
  <w:style w:type="paragraph" w:customStyle="1" w:styleId="Penalty">
    <w:name w:val="Penalty"/>
    <w:basedOn w:val="Normal"/>
    <w:next w:val="Normal"/>
    <w:uiPriority w:val="99"/>
    <w:rsid w:val="00295FF1"/>
    <w:pPr>
      <w:spacing w:before="180" w:line="260" w:lineRule="exact"/>
      <w:ind w:left="964"/>
      <w:jc w:val="both"/>
    </w:pPr>
  </w:style>
  <w:style w:type="paragraph" w:customStyle="1" w:styleId="Query">
    <w:name w:val="Query"/>
    <w:aliases w:val="QY"/>
    <w:basedOn w:val="Normal"/>
    <w:uiPriority w:val="99"/>
    <w:rsid w:val="00295FF1"/>
    <w:pPr>
      <w:spacing w:before="180" w:line="260" w:lineRule="exact"/>
      <w:ind w:left="964" w:hanging="964"/>
      <w:jc w:val="both"/>
    </w:pPr>
    <w:rPr>
      <w:b/>
      <w:i/>
    </w:rPr>
  </w:style>
  <w:style w:type="paragraph" w:customStyle="1" w:styleId="Rc">
    <w:name w:val="Rc"/>
    <w:aliases w:val="Rn continued"/>
    <w:basedOn w:val="Normal"/>
    <w:next w:val="R2"/>
    <w:uiPriority w:val="99"/>
    <w:rsid w:val="00295FF1"/>
    <w:pPr>
      <w:spacing w:before="60" w:line="260" w:lineRule="exact"/>
      <w:ind w:left="964"/>
      <w:jc w:val="both"/>
    </w:pPr>
  </w:style>
  <w:style w:type="paragraph" w:customStyle="1" w:styleId="ReadersGuideSectionBreak">
    <w:name w:val="ReadersGuideSectionBreak"/>
    <w:basedOn w:val="Normal"/>
    <w:next w:val="Normal"/>
    <w:uiPriority w:val="99"/>
    <w:rsid w:val="00295FF1"/>
  </w:style>
  <w:style w:type="paragraph" w:customStyle="1" w:styleId="RGHead">
    <w:name w:val="RGHead"/>
    <w:basedOn w:val="Normal"/>
    <w:next w:val="Normal"/>
    <w:uiPriority w:val="99"/>
    <w:rsid w:val="00295FF1"/>
    <w:pPr>
      <w:keepNext/>
      <w:spacing w:before="360"/>
    </w:pPr>
    <w:rPr>
      <w:rFonts w:ascii="Arial" w:hAnsi="Arial"/>
      <w:b/>
      <w:sz w:val="32"/>
    </w:rPr>
  </w:style>
  <w:style w:type="paragraph" w:customStyle="1" w:styleId="RGPara">
    <w:name w:val="RGPara"/>
    <w:aliases w:val="Readers Guide Para"/>
    <w:basedOn w:val="Normal"/>
    <w:uiPriority w:val="99"/>
    <w:rsid w:val="00295FF1"/>
    <w:pPr>
      <w:spacing w:before="120" w:line="260" w:lineRule="exact"/>
      <w:jc w:val="both"/>
    </w:pPr>
  </w:style>
  <w:style w:type="paragraph" w:customStyle="1" w:styleId="RGPtHd">
    <w:name w:val="RGPtHd"/>
    <w:aliases w:val="Readers Guide PT Heading"/>
    <w:basedOn w:val="Normal"/>
    <w:next w:val="Normal"/>
    <w:uiPriority w:val="99"/>
    <w:rsid w:val="00295FF1"/>
    <w:pPr>
      <w:keepNext/>
      <w:spacing w:before="360"/>
    </w:pPr>
    <w:rPr>
      <w:rFonts w:ascii="Arial" w:hAnsi="Arial"/>
      <w:b/>
      <w:sz w:val="28"/>
    </w:rPr>
  </w:style>
  <w:style w:type="paragraph" w:customStyle="1" w:styleId="RGSecHdg">
    <w:name w:val="RGSecHdg"/>
    <w:aliases w:val="Readers Guide Sec Heading"/>
    <w:basedOn w:val="Normal"/>
    <w:next w:val="RGPara"/>
    <w:uiPriority w:val="99"/>
    <w:rsid w:val="00295FF1"/>
    <w:pPr>
      <w:keepNext/>
      <w:spacing w:before="360"/>
      <w:ind w:left="964" w:hanging="964"/>
    </w:pPr>
    <w:rPr>
      <w:rFonts w:ascii="Arial" w:hAnsi="Arial"/>
      <w:b/>
    </w:rPr>
  </w:style>
  <w:style w:type="paragraph" w:customStyle="1" w:styleId="LandscapeSectionBreak">
    <w:name w:val="LandscapeSectionBreak"/>
    <w:basedOn w:val="Normal"/>
    <w:next w:val="Normal"/>
    <w:uiPriority w:val="99"/>
    <w:rsid w:val="00295FF1"/>
  </w:style>
  <w:style w:type="paragraph" w:customStyle="1" w:styleId="ScheduleHeading">
    <w:name w:val="Schedule Heading"/>
    <w:basedOn w:val="Normal"/>
    <w:next w:val="Normal"/>
    <w:uiPriority w:val="99"/>
    <w:rsid w:val="00295FF1"/>
    <w:pPr>
      <w:keepNext/>
      <w:keepLines/>
      <w:spacing w:before="360"/>
      <w:ind w:left="964" w:hanging="964"/>
    </w:pPr>
    <w:rPr>
      <w:rFonts w:ascii="Arial" w:hAnsi="Arial"/>
      <w:b/>
    </w:rPr>
  </w:style>
  <w:style w:type="paragraph" w:customStyle="1" w:styleId="ScheduleDivision">
    <w:name w:val="Schedule Division"/>
    <w:basedOn w:val="Normal"/>
    <w:next w:val="ScheduleHeading"/>
    <w:uiPriority w:val="99"/>
    <w:rsid w:val="00295FF1"/>
    <w:pPr>
      <w:keepNext/>
      <w:keepLines/>
      <w:spacing w:before="360"/>
      <w:ind w:left="1559" w:hanging="1559"/>
    </w:pPr>
    <w:rPr>
      <w:rFonts w:ascii="Arial" w:hAnsi="Arial"/>
      <w:b/>
    </w:rPr>
  </w:style>
  <w:style w:type="paragraph" w:customStyle="1" w:styleId="IntroP1a">
    <w:name w:val="IntroP1(a)"/>
    <w:basedOn w:val="Normal"/>
    <w:uiPriority w:val="99"/>
    <w:rsid w:val="00295FF1"/>
    <w:pPr>
      <w:spacing w:before="60" w:line="260" w:lineRule="exact"/>
      <w:ind w:left="454" w:hanging="454"/>
      <w:jc w:val="both"/>
    </w:pPr>
  </w:style>
  <w:style w:type="paragraph" w:customStyle="1" w:styleId="Footerinfo0">
    <w:name w:val="Footerinfo"/>
    <w:basedOn w:val="Footer"/>
    <w:uiPriority w:val="99"/>
    <w:rsid w:val="00295FF1"/>
    <w:pPr>
      <w:tabs>
        <w:tab w:val="clear" w:pos="4513"/>
        <w:tab w:val="clear" w:pos="9026"/>
        <w:tab w:val="center" w:pos="3600"/>
        <w:tab w:val="right" w:pos="7201"/>
      </w:tabs>
      <w:spacing w:before="20"/>
      <w:jc w:val="center"/>
    </w:pPr>
    <w:rPr>
      <w:rFonts w:ascii="Arial" w:hAnsi="Arial"/>
      <w:i/>
      <w:sz w:val="12"/>
      <w:szCs w:val="18"/>
    </w:rPr>
  </w:style>
  <w:style w:type="paragraph" w:customStyle="1" w:styleId="FooterPageOdd">
    <w:name w:val="FooterPageOdd"/>
    <w:basedOn w:val="Footer"/>
    <w:uiPriority w:val="99"/>
    <w:rsid w:val="00295FF1"/>
    <w:pPr>
      <w:tabs>
        <w:tab w:val="clear" w:pos="4513"/>
        <w:tab w:val="clear" w:pos="9026"/>
        <w:tab w:val="center" w:pos="3600"/>
        <w:tab w:val="right" w:pos="7201"/>
      </w:tabs>
      <w:spacing w:before="20"/>
      <w:jc w:val="right"/>
    </w:pPr>
    <w:rPr>
      <w:rFonts w:ascii="Arial" w:hAnsi="Arial"/>
      <w:sz w:val="22"/>
      <w:szCs w:val="18"/>
    </w:rPr>
  </w:style>
  <w:style w:type="paragraph" w:customStyle="1" w:styleId="SchedSectionBreak">
    <w:name w:val="SchedSectionBreak"/>
    <w:basedOn w:val="Normal"/>
    <w:next w:val="Normal"/>
    <w:uiPriority w:val="99"/>
    <w:rsid w:val="00295FF1"/>
  </w:style>
  <w:style w:type="paragraph" w:customStyle="1" w:styleId="Schedulelist">
    <w:name w:val="Schedule list"/>
    <w:basedOn w:val="Normal"/>
    <w:uiPriority w:val="99"/>
    <w:rsid w:val="00295FF1"/>
    <w:pPr>
      <w:tabs>
        <w:tab w:val="right" w:pos="1985"/>
      </w:tabs>
      <w:spacing w:before="60" w:line="260" w:lineRule="exact"/>
      <w:ind w:left="454"/>
    </w:pPr>
  </w:style>
  <w:style w:type="paragraph" w:customStyle="1" w:styleId="Schedulepara">
    <w:name w:val="Schedule para"/>
    <w:basedOn w:val="Normal"/>
    <w:uiPriority w:val="99"/>
    <w:rsid w:val="00295FF1"/>
    <w:pPr>
      <w:tabs>
        <w:tab w:val="right" w:pos="567"/>
      </w:tabs>
      <w:spacing w:before="180" w:line="260" w:lineRule="exact"/>
      <w:ind w:left="964" w:hanging="964"/>
      <w:jc w:val="both"/>
    </w:pPr>
  </w:style>
  <w:style w:type="paragraph" w:customStyle="1" w:styleId="Schedulepart">
    <w:name w:val="Schedule part"/>
    <w:basedOn w:val="Normal"/>
    <w:uiPriority w:val="99"/>
    <w:rsid w:val="00295FF1"/>
    <w:pPr>
      <w:keepNext/>
      <w:keepLines/>
      <w:spacing w:before="360"/>
      <w:ind w:left="1559" w:hanging="1559"/>
    </w:pPr>
    <w:rPr>
      <w:rFonts w:ascii="Arial" w:hAnsi="Arial"/>
      <w:b/>
      <w:sz w:val="28"/>
    </w:rPr>
  </w:style>
  <w:style w:type="paragraph" w:customStyle="1" w:styleId="Schedulereference">
    <w:name w:val="Schedule reference"/>
    <w:basedOn w:val="Normal"/>
    <w:next w:val="Schedulepart"/>
    <w:uiPriority w:val="99"/>
    <w:rsid w:val="00295FF1"/>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uiPriority w:val="99"/>
    <w:rsid w:val="00295FF1"/>
    <w:pPr>
      <w:keepNext/>
      <w:keepLines/>
      <w:spacing w:before="480"/>
      <w:ind w:left="2410" w:hanging="2410"/>
    </w:pPr>
    <w:rPr>
      <w:rFonts w:ascii="Arial" w:hAnsi="Arial"/>
      <w:b/>
      <w:sz w:val="32"/>
    </w:rPr>
  </w:style>
  <w:style w:type="paragraph" w:customStyle="1" w:styleId="SigningPageBreak">
    <w:name w:val="SigningPageBreak"/>
    <w:basedOn w:val="Normal"/>
    <w:next w:val="Normal"/>
    <w:uiPriority w:val="99"/>
    <w:rsid w:val="00295FF1"/>
  </w:style>
  <w:style w:type="paragraph" w:customStyle="1" w:styleId="SRNo">
    <w:name w:val="SRNo"/>
    <w:basedOn w:val="Normal"/>
    <w:next w:val="Normal"/>
    <w:uiPriority w:val="99"/>
    <w:rsid w:val="00295FF1"/>
    <w:pPr>
      <w:pBdr>
        <w:bottom w:val="single" w:sz="4" w:space="3" w:color="auto"/>
      </w:pBdr>
      <w:spacing w:before="480"/>
    </w:pPr>
    <w:rPr>
      <w:rFonts w:ascii="Arial" w:hAnsi="Arial"/>
      <w:b/>
    </w:rPr>
  </w:style>
  <w:style w:type="paragraph" w:customStyle="1" w:styleId="TableColHead">
    <w:name w:val="TableColHead"/>
    <w:basedOn w:val="Normal"/>
    <w:uiPriority w:val="99"/>
    <w:rsid w:val="00295FF1"/>
    <w:pPr>
      <w:keepNext/>
      <w:spacing w:before="120" w:after="60" w:line="200" w:lineRule="exact"/>
    </w:pPr>
    <w:rPr>
      <w:rFonts w:ascii="Arial" w:hAnsi="Arial"/>
      <w:b/>
      <w:sz w:val="18"/>
    </w:rPr>
  </w:style>
  <w:style w:type="paragraph" w:customStyle="1" w:styleId="TableP1a">
    <w:name w:val="TableP1(a)"/>
    <w:basedOn w:val="Normal"/>
    <w:uiPriority w:val="99"/>
    <w:rsid w:val="00295FF1"/>
    <w:pPr>
      <w:tabs>
        <w:tab w:val="right" w:pos="408"/>
      </w:tabs>
      <w:spacing w:after="60" w:line="240" w:lineRule="exact"/>
      <w:ind w:left="533" w:hanging="533"/>
    </w:pPr>
    <w:rPr>
      <w:sz w:val="22"/>
    </w:rPr>
  </w:style>
  <w:style w:type="paragraph" w:customStyle="1" w:styleId="TableP2i">
    <w:name w:val="TableP2(i)"/>
    <w:basedOn w:val="Normal"/>
    <w:uiPriority w:val="99"/>
    <w:rsid w:val="00295FF1"/>
    <w:pPr>
      <w:tabs>
        <w:tab w:val="right" w:pos="726"/>
      </w:tabs>
      <w:spacing w:after="60" w:line="240" w:lineRule="exact"/>
      <w:ind w:left="868" w:hanging="868"/>
    </w:pPr>
    <w:rPr>
      <w:sz w:val="22"/>
    </w:rPr>
  </w:style>
  <w:style w:type="paragraph" w:customStyle="1" w:styleId="TableText0">
    <w:name w:val="TableText"/>
    <w:basedOn w:val="Normal"/>
    <w:uiPriority w:val="99"/>
    <w:rsid w:val="00295FF1"/>
    <w:pPr>
      <w:spacing w:before="60" w:after="60" w:line="240" w:lineRule="exact"/>
    </w:pPr>
    <w:rPr>
      <w:sz w:val="22"/>
    </w:rPr>
  </w:style>
  <w:style w:type="paragraph" w:customStyle="1" w:styleId="TOC">
    <w:name w:val="TOC"/>
    <w:basedOn w:val="Normal"/>
    <w:next w:val="Normal"/>
    <w:uiPriority w:val="99"/>
    <w:rsid w:val="00295FF1"/>
    <w:pPr>
      <w:tabs>
        <w:tab w:val="right" w:pos="7088"/>
      </w:tabs>
      <w:spacing w:after="120"/>
    </w:pPr>
    <w:rPr>
      <w:rFonts w:ascii="Arial" w:hAnsi="Arial"/>
      <w:sz w:val="20"/>
      <w:lang w:eastAsia="en-US"/>
    </w:rPr>
  </w:style>
  <w:style w:type="paragraph" w:customStyle="1" w:styleId="IntroP2i">
    <w:name w:val="IntroP2(i)"/>
    <w:basedOn w:val="Normal"/>
    <w:uiPriority w:val="99"/>
    <w:rsid w:val="00295FF1"/>
    <w:pPr>
      <w:tabs>
        <w:tab w:val="right" w:pos="709"/>
      </w:tabs>
      <w:spacing w:before="60" w:line="260" w:lineRule="exact"/>
      <w:ind w:left="907" w:hanging="907"/>
      <w:jc w:val="both"/>
    </w:pPr>
  </w:style>
  <w:style w:type="paragraph" w:customStyle="1" w:styleId="IntroP3A">
    <w:name w:val="IntroP3(A)"/>
    <w:basedOn w:val="Normal"/>
    <w:uiPriority w:val="99"/>
    <w:rsid w:val="00295FF1"/>
    <w:pPr>
      <w:tabs>
        <w:tab w:val="right" w:pos="1276"/>
      </w:tabs>
      <w:spacing w:before="60" w:line="260" w:lineRule="exact"/>
      <w:ind w:left="1503" w:hanging="1503"/>
      <w:jc w:val="both"/>
    </w:pPr>
  </w:style>
  <w:style w:type="paragraph" w:customStyle="1" w:styleId="InstructorsNote">
    <w:name w:val="InstructorsNote"/>
    <w:basedOn w:val="Normal"/>
    <w:next w:val="Normal"/>
    <w:uiPriority w:val="99"/>
    <w:rsid w:val="00295FF1"/>
    <w:pPr>
      <w:spacing w:before="120"/>
      <w:ind w:left="958" w:hanging="958"/>
    </w:pPr>
    <w:rPr>
      <w:rFonts w:ascii="Arial" w:hAnsi="Arial" w:cs="Arial"/>
      <w:b/>
      <w:sz w:val="16"/>
      <w:szCs w:val="18"/>
      <w:lang w:eastAsia="en-US"/>
    </w:rPr>
  </w:style>
  <w:style w:type="paragraph" w:customStyle="1" w:styleId="ZA2">
    <w:name w:val="ZA2"/>
    <w:basedOn w:val="A2"/>
    <w:uiPriority w:val="99"/>
    <w:rsid w:val="00295FF1"/>
    <w:pPr>
      <w:keepNext/>
    </w:pPr>
  </w:style>
  <w:style w:type="paragraph" w:customStyle="1" w:styleId="ZA3">
    <w:name w:val="ZA3"/>
    <w:basedOn w:val="A3"/>
    <w:uiPriority w:val="99"/>
    <w:rsid w:val="00295FF1"/>
    <w:pPr>
      <w:keepNext/>
    </w:pPr>
  </w:style>
  <w:style w:type="paragraph" w:customStyle="1" w:styleId="ZA4">
    <w:name w:val="ZA4"/>
    <w:basedOn w:val="Normal"/>
    <w:next w:val="A4"/>
    <w:uiPriority w:val="99"/>
    <w:rsid w:val="00295FF1"/>
    <w:pPr>
      <w:keepNext/>
      <w:tabs>
        <w:tab w:val="right" w:pos="1247"/>
      </w:tabs>
      <w:spacing w:before="60" w:line="260" w:lineRule="exact"/>
      <w:ind w:left="1531" w:hanging="1531"/>
      <w:jc w:val="both"/>
    </w:pPr>
  </w:style>
  <w:style w:type="paragraph" w:customStyle="1" w:styleId="ZDD">
    <w:name w:val="ZDD"/>
    <w:aliases w:val="Dict Def"/>
    <w:basedOn w:val="DD"/>
    <w:uiPriority w:val="99"/>
    <w:rsid w:val="00295FF1"/>
    <w:pPr>
      <w:keepNext/>
    </w:pPr>
  </w:style>
  <w:style w:type="paragraph" w:customStyle="1" w:styleId="Zdefinition">
    <w:name w:val="Zdefinition"/>
    <w:basedOn w:val="definition"/>
    <w:uiPriority w:val="99"/>
    <w:rsid w:val="00295FF1"/>
    <w:pPr>
      <w:keepNext/>
    </w:pPr>
  </w:style>
  <w:style w:type="paragraph" w:customStyle="1" w:styleId="ZDP1">
    <w:name w:val="ZDP1"/>
    <w:basedOn w:val="DP1a"/>
    <w:uiPriority w:val="99"/>
    <w:rsid w:val="00295FF1"/>
    <w:pPr>
      <w:keepNext/>
    </w:pPr>
  </w:style>
  <w:style w:type="paragraph" w:customStyle="1" w:styleId="ZExampleBody">
    <w:name w:val="ZExample Body"/>
    <w:basedOn w:val="ExampleBody"/>
    <w:uiPriority w:val="99"/>
    <w:rsid w:val="00295FF1"/>
    <w:pPr>
      <w:keepNext/>
    </w:pPr>
  </w:style>
  <w:style w:type="paragraph" w:customStyle="1" w:styleId="ZNote">
    <w:name w:val="ZNote"/>
    <w:basedOn w:val="Note"/>
    <w:uiPriority w:val="99"/>
    <w:rsid w:val="00295FF1"/>
    <w:pPr>
      <w:keepNext/>
    </w:pPr>
  </w:style>
  <w:style w:type="paragraph" w:customStyle="1" w:styleId="ZP1">
    <w:name w:val="ZP1"/>
    <w:basedOn w:val="P1"/>
    <w:uiPriority w:val="99"/>
    <w:rsid w:val="00295FF1"/>
    <w:pPr>
      <w:keepNext/>
    </w:pPr>
  </w:style>
  <w:style w:type="paragraph" w:customStyle="1" w:styleId="ZP2">
    <w:name w:val="ZP2"/>
    <w:basedOn w:val="P2"/>
    <w:uiPriority w:val="99"/>
    <w:rsid w:val="00295FF1"/>
    <w:pPr>
      <w:keepNext/>
      <w:tabs>
        <w:tab w:val="clear" w:pos="2098"/>
        <w:tab w:val="right" w:pos="1758"/>
        <w:tab w:val="left" w:pos="2155"/>
      </w:tabs>
      <w:spacing w:before="60" w:after="0"/>
      <w:ind w:left="1985" w:hanging="1985"/>
    </w:pPr>
    <w:rPr>
      <w:rFonts w:ascii="Times New Roman" w:eastAsia="Times New Roman" w:hAnsi="Times New Roman" w:cs="Times New Roman"/>
      <w:sz w:val="24"/>
      <w:szCs w:val="24"/>
      <w:lang w:eastAsia="en-AU"/>
    </w:rPr>
  </w:style>
  <w:style w:type="paragraph" w:customStyle="1" w:styleId="ZP3">
    <w:name w:val="ZP3"/>
    <w:basedOn w:val="P3"/>
    <w:uiPriority w:val="99"/>
    <w:rsid w:val="00295FF1"/>
    <w:pPr>
      <w:keepNext/>
      <w:tabs>
        <w:tab w:val="clear" w:pos="2722"/>
        <w:tab w:val="right" w:pos="2410"/>
      </w:tabs>
      <w:spacing w:before="60" w:after="0"/>
      <w:ind w:left="2693" w:hanging="2693"/>
    </w:pPr>
    <w:rPr>
      <w:rFonts w:ascii="Times New Roman" w:eastAsia="Times New Roman" w:hAnsi="Times New Roman" w:cs="Times New Roman"/>
      <w:sz w:val="24"/>
      <w:szCs w:val="24"/>
      <w:lang w:eastAsia="en-AU"/>
    </w:rPr>
  </w:style>
  <w:style w:type="paragraph" w:customStyle="1" w:styleId="ZR1">
    <w:name w:val="ZR1"/>
    <w:basedOn w:val="R1"/>
    <w:uiPriority w:val="99"/>
    <w:rsid w:val="00295FF1"/>
    <w:pPr>
      <w:keepNext/>
    </w:pPr>
  </w:style>
  <w:style w:type="paragraph" w:customStyle="1" w:styleId="ZR2">
    <w:name w:val="ZR2"/>
    <w:basedOn w:val="R2"/>
    <w:uiPriority w:val="99"/>
    <w:rsid w:val="00295FF1"/>
    <w:pPr>
      <w:keepNext/>
    </w:pPr>
  </w:style>
  <w:style w:type="paragraph" w:customStyle="1" w:styleId="ZRcN">
    <w:name w:val="ZRcN"/>
    <w:basedOn w:val="Rc"/>
    <w:uiPriority w:val="99"/>
    <w:rsid w:val="00295FF1"/>
    <w:pPr>
      <w:keepNext/>
    </w:pPr>
  </w:style>
  <w:style w:type="paragraph" w:customStyle="1" w:styleId="top1">
    <w:name w:val="top1"/>
    <w:basedOn w:val="Normal"/>
    <w:uiPriority w:val="99"/>
    <w:rsid w:val="00295FF1"/>
    <w:pPr>
      <w:keepNext/>
      <w:tabs>
        <w:tab w:val="right" w:pos="7218"/>
      </w:tabs>
      <w:spacing w:before="120"/>
      <w:ind w:left="2410" w:right="136" w:hanging="1418"/>
    </w:pPr>
    <w:rPr>
      <w:rFonts w:ascii="Arial" w:hAnsi="Arial"/>
      <w:b/>
      <w:sz w:val="18"/>
      <w:lang w:eastAsia="en-US"/>
    </w:rPr>
  </w:style>
  <w:style w:type="paragraph" w:customStyle="1" w:styleId="top2">
    <w:name w:val="top2"/>
    <w:basedOn w:val="Normal"/>
    <w:uiPriority w:val="99"/>
    <w:rsid w:val="00295FF1"/>
    <w:pPr>
      <w:tabs>
        <w:tab w:val="left" w:pos="3686"/>
        <w:tab w:val="right" w:pos="7082"/>
      </w:tabs>
      <w:spacing w:before="80"/>
      <w:ind w:left="2410" w:hanging="1871"/>
    </w:pPr>
    <w:rPr>
      <w:rFonts w:ascii="Arial" w:hAnsi="Arial"/>
      <w:b/>
      <w:sz w:val="18"/>
      <w:lang w:eastAsia="en-US"/>
    </w:rPr>
  </w:style>
  <w:style w:type="paragraph" w:customStyle="1" w:styleId="top3">
    <w:name w:val="top3"/>
    <w:basedOn w:val="Normal"/>
    <w:uiPriority w:val="99"/>
    <w:rsid w:val="00295FF1"/>
    <w:pPr>
      <w:spacing w:before="80"/>
      <w:ind w:left="2410" w:hanging="1168"/>
    </w:pPr>
    <w:rPr>
      <w:rFonts w:ascii="Arial" w:hAnsi="Arial"/>
      <w:sz w:val="18"/>
      <w:lang w:eastAsia="en-US"/>
    </w:rPr>
  </w:style>
  <w:style w:type="paragraph" w:customStyle="1" w:styleId="CHS">
    <w:name w:val="CHS"/>
    <w:aliases w:val="CASA Subdivision Heading"/>
    <w:basedOn w:val="HS"/>
    <w:next w:val="HR"/>
    <w:uiPriority w:val="99"/>
    <w:rsid w:val="00295FF1"/>
    <w:pPr>
      <w:spacing w:after="0" w:line="240" w:lineRule="auto"/>
      <w:outlineLvl w:val="9"/>
    </w:pPr>
    <w:rPr>
      <w:b w:val="0"/>
      <w:bCs w:val="0"/>
      <w:i/>
      <w:sz w:val="24"/>
      <w:szCs w:val="24"/>
      <w:lang w:eastAsia="en-AU"/>
    </w:rPr>
  </w:style>
  <w:style w:type="character" w:customStyle="1" w:styleId="OutlineNumbered1Char">
    <w:name w:val="Outline Numbered 1 Char"/>
    <w:basedOn w:val="DefaultParagraphFont"/>
    <w:link w:val="OutlineNumbered1"/>
    <w:uiPriority w:val="99"/>
    <w:locked/>
    <w:rsid w:val="00295FF1"/>
    <w:rPr>
      <w:rFonts w:ascii="Calibri" w:eastAsia="Calibri" w:hAnsi="Calibri" w:cs="Calibri"/>
      <w:sz w:val="24"/>
      <w:szCs w:val="22"/>
    </w:rPr>
  </w:style>
  <w:style w:type="paragraph" w:customStyle="1" w:styleId="OutlineNumbered1">
    <w:name w:val="Outline Numbered 1"/>
    <w:basedOn w:val="Normal"/>
    <w:link w:val="OutlineNumbered1Char"/>
    <w:uiPriority w:val="99"/>
    <w:rsid w:val="00295FF1"/>
    <w:pPr>
      <w:spacing w:line="276" w:lineRule="auto"/>
    </w:pPr>
    <w:rPr>
      <w:rFonts w:ascii="Calibri" w:eastAsia="Calibri" w:hAnsi="Calibri" w:cs="Calibri"/>
      <w:szCs w:val="22"/>
      <w:lang w:eastAsia="en-US"/>
    </w:rPr>
  </w:style>
  <w:style w:type="paragraph" w:customStyle="1" w:styleId="OutlineNumbered2">
    <w:name w:val="Outline Numbered 2"/>
    <w:basedOn w:val="Normal"/>
    <w:uiPriority w:val="99"/>
    <w:rsid w:val="00295FF1"/>
    <w:pPr>
      <w:spacing w:line="276" w:lineRule="auto"/>
    </w:pPr>
    <w:rPr>
      <w:rFonts w:eastAsia="Calibri"/>
      <w:szCs w:val="22"/>
      <w:lang w:eastAsia="en-US"/>
    </w:rPr>
  </w:style>
  <w:style w:type="paragraph" w:customStyle="1" w:styleId="OutlineNumbered3">
    <w:name w:val="Outline Numbered 3"/>
    <w:basedOn w:val="Normal"/>
    <w:uiPriority w:val="99"/>
    <w:rsid w:val="00295FF1"/>
    <w:pPr>
      <w:spacing w:line="276" w:lineRule="auto"/>
    </w:pPr>
    <w:rPr>
      <w:rFonts w:eastAsia="Calibri"/>
      <w:szCs w:val="22"/>
      <w:lang w:eastAsia="en-US"/>
    </w:rPr>
  </w:style>
  <w:style w:type="character" w:customStyle="1" w:styleId="BulletChar">
    <w:name w:val="Bullet Char"/>
    <w:aliases w:val="b Char"/>
    <w:basedOn w:val="DefaultParagraphFont"/>
    <w:link w:val="Bullet"/>
    <w:locked/>
    <w:rsid w:val="00295FF1"/>
    <w:rPr>
      <w:sz w:val="24"/>
      <w:szCs w:val="22"/>
    </w:rPr>
  </w:style>
  <w:style w:type="paragraph" w:customStyle="1" w:styleId="Bullet">
    <w:name w:val="Bullet"/>
    <w:aliases w:val="b"/>
    <w:basedOn w:val="Normal"/>
    <w:link w:val="BulletChar"/>
    <w:qFormat/>
    <w:rsid w:val="00295FF1"/>
    <w:pPr>
      <w:spacing w:before="120" w:after="120" w:line="276" w:lineRule="auto"/>
    </w:pPr>
    <w:rPr>
      <w:rFonts w:eastAsiaTheme="minorHAnsi"/>
      <w:szCs w:val="22"/>
      <w:lang w:eastAsia="en-US"/>
    </w:rPr>
  </w:style>
  <w:style w:type="character" w:customStyle="1" w:styleId="DashChar">
    <w:name w:val="Dash Char"/>
    <w:basedOn w:val="DefaultParagraphFont"/>
    <w:link w:val="Dash"/>
    <w:uiPriority w:val="99"/>
    <w:locked/>
    <w:rsid w:val="00295FF1"/>
    <w:rPr>
      <w:sz w:val="24"/>
      <w:szCs w:val="22"/>
    </w:rPr>
  </w:style>
  <w:style w:type="paragraph" w:customStyle="1" w:styleId="Dash">
    <w:name w:val="Dash"/>
    <w:basedOn w:val="Normal"/>
    <w:link w:val="DashChar"/>
    <w:qFormat/>
    <w:rsid w:val="00295FF1"/>
    <w:pPr>
      <w:spacing w:before="120" w:after="120" w:line="276" w:lineRule="auto"/>
    </w:pPr>
    <w:rPr>
      <w:rFonts w:eastAsiaTheme="minorHAnsi"/>
      <w:szCs w:val="22"/>
      <w:lang w:eastAsia="en-US"/>
    </w:rPr>
  </w:style>
  <w:style w:type="character" w:customStyle="1" w:styleId="DoubleDotChar">
    <w:name w:val="Double Dot Char"/>
    <w:basedOn w:val="DefaultParagraphFont"/>
    <w:link w:val="DoubleDot"/>
    <w:uiPriority w:val="99"/>
    <w:locked/>
    <w:rsid w:val="00295FF1"/>
    <w:rPr>
      <w:sz w:val="24"/>
      <w:szCs w:val="22"/>
    </w:rPr>
  </w:style>
  <w:style w:type="paragraph" w:customStyle="1" w:styleId="DoubleDot">
    <w:name w:val="Double Dot"/>
    <w:basedOn w:val="Normal"/>
    <w:link w:val="DoubleDotChar"/>
    <w:rsid w:val="00295FF1"/>
    <w:pPr>
      <w:spacing w:before="120" w:after="120" w:line="276" w:lineRule="auto"/>
    </w:pPr>
    <w:rPr>
      <w:rFonts w:eastAsiaTheme="minorHAnsi"/>
      <w:szCs w:val="22"/>
      <w:lang w:eastAsia="en-US"/>
    </w:rPr>
  </w:style>
  <w:style w:type="paragraph" w:customStyle="1" w:styleId="note0">
    <w:name w:val="note"/>
    <w:basedOn w:val="Normal"/>
    <w:uiPriority w:val="99"/>
    <w:rsid w:val="00295FF1"/>
    <w:pPr>
      <w:spacing w:before="100" w:beforeAutospacing="1" w:after="100" w:afterAutospacing="1"/>
    </w:pPr>
  </w:style>
  <w:style w:type="paragraph" w:customStyle="1" w:styleId="zdefinition0">
    <w:name w:val="zdefinition"/>
    <w:basedOn w:val="Normal"/>
    <w:rsid w:val="00295FF1"/>
    <w:pPr>
      <w:spacing w:before="100" w:beforeAutospacing="1" w:after="100" w:afterAutospacing="1"/>
    </w:pPr>
  </w:style>
  <w:style w:type="paragraph" w:customStyle="1" w:styleId="p10">
    <w:name w:val="p1"/>
    <w:basedOn w:val="Normal"/>
    <w:rsid w:val="00295FF1"/>
    <w:pPr>
      <w:spacing w:before="100" w:beforeAutospacing="1" w:after="100" w:afterAutospacing="1"/>
    </w:pPr>
  </w:style>
  <w:style w:type="paragraph" w:customStyle="1" w:styleId="zr20">
    <w:name w:val="zr2"/>
    <w:basedOn w:val="Normal"/>
    <w:uiPriority w:val="99"/>
    <w:rsid w:val="00295FF1"/>
    <w:pPr>
      <w:spacing w:before="100" w:beforeAutospacing="1" w:after="100" w:afterAutospacing="1"/>
    </w:pPr>
  </w:style>
  <w:style w:type="paragraph" w:customStyle="1" w:styleId="rc0">
    <w:name w:val="rc"/>
    <w:basedOn w:val="Normal"/>
    <w:uiPriority w:val="99"/>
    <w:rsid w:val="00295FF1"/>
    <w:pPr>
      <w:spacing w:before="100" w:beforeAutospacing="1" w:after="100" w:afterAutospacing="1"/>
    </w:pPr>
  </w:style>
  <w:style w:type="paragraph" w:customStyle="1" w:styleId="Rx12">
    <w:name w:val="Rx.12"/>
    <w:aliases w:val="Subdivision"/>
    <w:basedOn w:val="Normal"/>
    <w:next w:val="Normal"/>
    <w:uiPriority w:val="99"/>
    <w:rsid w:val="00295FF1"/>
    <w:pPr>
      <w:keepNext/>
      <w:keepLines/>
      <w:spacing w:before="360" w:line="260" w:lineRule="atLeast"/>
      <w:ind w:left="1134" w:hanging="1134"/>
    </w:pPr>
    <w:rPr>
      <w:rFonts w:ascii="Arial" w:hAnsi="Arial"/>
      <w:b/>
      <w:lang w:eastAsia="en-US"/>
    </w:rPr>
  </w:style>
  <w:style w:type="paragraph" w:customStyle="1" w:styleId="r20">
    <w:name w:val="r2"/>
    <w:basedOn w:val="Normal"/>
    <w:uiPriority w:val="99"/>
    <w:rsid w:val="00295FF1"/>
    <w:pPr>
      <w:spacing w:before="100" w:beforeAutospacing="1" w:after="100" w:afterAutospacing="1"/>
    </w:pPr>
  </w:style>
  <w:style w:type="paragraph" w:customStyle="1" w:styleId="notepara1">
    <w:name w:val="notepara"/>
    <w:basedOn w:val="Normal"/>
    <w:uiPriority w:val="99"/>
    <w:rsid w:val="00295FF1"/>
    <w:pPr>
      <w:spacing w:before="100" w:beforeAutospacing="1" w:after="100" w:afterAutospacing="1"/>
    </w:pPr>
  </w:style>
  <w:style w:type="paragraph" w:customStyle="1" w:styleId="paragraph">
    <w:name w:val="paragraph"/>
    <w:basedOn w:val="Normal"/>
    <w:uiPriority w:val="99"/>
    <w:rsid w:val="00295FF1"/>
    <w:pPr>
      <w:spacing w:before="100" w:beforeAutospacing="1" w:after="100" w:afterAutospacing="1"/>
    </w:pPr>
  </w:style>
  <w:style w:type="paragraph" w:customStyle="1" w:styleId="acthead5">
    <w:name w:val="acthead5"/>
    <w:basedOn w:val="Normal"/>
    <w:uiPriority w:val="99"/>
    <w:rsid w:val="00295FF1"/>
    <w:pPr>
      <w:spacing w:before="100" w:beforeAutospacing="1" w:after="100" w:afterAutospacing="1"/>
    </w:pPr>
  </w:style>
  <w:style w:type="paragraph" w:customStyle="1" w:styleId="subsectionhead">
    <w:name w:val="subsectionhead"/>
    <w:basedOn w:val="Normal"/>
    <w:uiPriority w:val="99"/>
    <w:rsid w:val="00295FF1"/>
    <w:pPr>
      <w:spacing w:before="100" w:beforeAutospacing="1" w:after="100" w:afterAutospacing="1"/>
    </w:pPr>
  </w:style>
  <w:style w:type="paragraph" w:customStyle="1" w:styleId="subsection">
    <w:name w:val="subsection"/>
    <w:basedOn w:val="Normal"/>
    <w:uiPriority w:val="99"/>
    <w:rsid w:val="00295FF1"/>
    <w:pPr>
      <w:spacing w:before="100" w:beforeAutospacing="1" w:after="100" w:afterAutospacing="1"/>
    </w:pPr>
  </w:style>
  <w:style w:type="paragraph" w:customStyle="1" w:styleId="NoteLevel11">
    <w:name w:val="Note Level 11"/>
    <w:basedOn w:val="Normal"/>
    <w:uiPriority w:val="99"/>
    <w:semiHidden/>
    <w:rsid w:val="00295FF1"/>
    <w:pPr>
      <w:keepNext/>
      <w:contextualSpacing/>
      <w:outlineLvl w:val="0"/>
    </w:pPr>
    <w:rPr>
      <w:rFonts w:ascii="Verdana" w:hAnsi="Verdana"/>
    </w:rPr>
  </w:style>
  <w:style w:type="paragraph" w:customStyle="1" w:styleId="NoteLevel21">
    <w:name w:val="Note Level 21"/>
    <w:basedOn w:val="Normal"/>
    <w:uiPriority w:val="99"/>
    <w:semiHidden/>
    <w:rsid w:val="00295FF1"/>
    <w:pPr>
      <w:keepNext/>
      <w:contextualSpacing/>
      <w:outlineLvl w:val="1"/>
    </w:pPr>
    <w:rPr>
      <w:rFonts w:ascii="Verdana" w:hAnsi="Verdana"/>
    </w:rPr>
  </w:style>
  <w:style w:type="paragraph" w:customStyle="1" w:styleId="NoteLevel31">
    <w:name w:val="Note Level 31"/>
    <w:basedOn w:val="Normal"/>
    <w:uiPriority w:val="99"/>
    <w:semiHidden/>
    <w:rsid w:val="00295FF1"/>
    <w:pPr>
      <w:keepNext/>
      <w:contextualSpacing/>
      <w:outlineLvl w:val="2"/>
    </w:pPr>
    <w:rPr>
      <w:rFonts w:ascii="Verdana" w:hAnsi="Verdana"/>
    </w:rPr>
  </w:style>
  <w:style w:type="paragraph" w:customStyle="1" w:styleId="NoteLevel41">
    <w:name w:val="Note Level 41"/>
    <w:basedOn w:val="Normal"/>
    <w:uiPriority w:val="99"/>
    <w:semiHidden/>
    <w:rsid w:val="00295FF1"/>
    <w:pPr>
      <w:keepNext/>
      <w:contextualSpacing/>
      <w:outlineLvl w:val="3"/>
    </w:pPr>
    <w:rPr>
      <w:rFonts w:ascii="Verdana" w:hAnsi="Verdana"/>
    </w:rPr>
  </w:style>
  <w:style w:type="paragraph" w:customStyle="1" w:styleId="NoteLevel51">
    <w:name w:val="Note Level 51"/>
    <w:basedOn w:val="Normal"/>
    <w:uiPriority w:val="99"/>
    <w:semiHidden/>
    <w:rsid w:val="00295FF1"/>
    <w:pPr>
      <w:keepNext/>
      <w:contextualSpacing/>
      <w:outlineLvl w:val="4"/>
    </w:pPr>
    <w:rPr>
      <w:rFonts w:ascii="Verdana" w:hAnsi="Verdana"/>
    </w:rPr>
  </w:style>
  <w:style w:type="paragraph" w:customStyle="1" w:styleId="NoteLevel61">
    <w:name w:val="Note Level 61"/>
    <w:basedOn w:val="Normal"/>
    <w:uiPriority w:val="99"/>
    <w:semiHidden/>
    <w:rsid w:val="00295FF1"/>
    <w:pPr>
      <w:keepNext/>
      <w:contextualSpacing/>
      <w:outlineLvl w:val="5"/>
    </w:pPr>
    <w:rPr>
      <w:rFonts w:ascii="Verdana" w:hAnsi="Verdana"/>
    </w:rPr>
  </w:style>
  <w:style w:type="paragraph" w:customStyle="1" w:styleId="NoteLevel71">
    <w:name w:val="Note Level 71"/>
    <w:basedOn w:val="Normal"/>
    <w:uiPriority w:val="99"/>
    <w:semiHidden/>
    <w:rsid w:val="00295FF1"/>
    <w:pPr>
      <w:keepNext/>
      <w:contextualSpacing/>
      <w:outlineLvl w:val="6"/>
    </w:pPr>
    <w:rPr>
      <w:rFonts w:ascii="Verdana" w:hAnsi="Verdana"/>
    </w:rPr>
  </w:style>
  <w:style w:type="paragraph" w:customStyle="1" w:styleId="NoteLevel81">
    <w:name w:val="Note Level 81"/>
    <w:basedOn w:val="Normal"/>
    <w:uiPriority w:val="99"/>
    <w:semiHidden/>
    <w:rsid w:val="00295FF1"/>
    <w:pPr>
      <w:keepNext/>
      <w:contextualSpacing/>
      <w:outlineLvl w:val="7"/>
    </w:pPr>
    <w:rPr>
      <w:rFonts w:ascii="Verdana" w:hAnsi="Verdana"/>
    </w:rPr>
  </w:style>
  <w:style w:type="paragraph" w:customStyle="1" w:styleId="NoteLevel91">
    <w:name w:val="Note Level 91"/>
    <w:basedOn w:val="Normal"/>
    <w:uiPriority w:val="99"/>
    <w:semiHidden/>
    <w:rsid w:val="00295FF1"/>
    <w:pPr>
      <w:keepNext/>
      <w:contextualSpacing/>
      <w:outlineLvl w:val="8"/>
    </w:pPr>
    <w:rPr>
      <w:rFonts w:ascii="Verdana" w:hAnsi="Verdana"/>
    </w:rPr>
  </w:style>
  <w:style w:type="character" w:styleId="FootnoteReference">
    <w:name w:val="footnote reference"/>
    <w:basedOn w:val="DefaultParagraphFont"/>
    <w:uiPriority w:val="99"/>
    <w:semiHidden/>
    <w:unhideWhenUsed/>
    <w:rsid w:val="00295FF1"/>
    <w:rPr>
      <w:rFonts w:ascii="Times New Roman" w:hAnsi="Times New Roman" w:cs="Times New Roman" w:hint="default"/>
      <w:sz w:val="20"/>
      <w:vertAlign w:val="superscript"/>
    </w:rPr>
  </w:style>
  <w:style w:type="character" w:styleId="EndnoteReference">
    <w:name w:val="endnote reference"/>
    <w:basedOn w:val="DefaultParagraphFont"/>
    <w:uiPriority w:val="99"/>
    <w:semiHidden/>
    <w:unhideWhenUsed/>
    <w:rsid w:val="00295FF1"/>
    <w:rPr>
      <w:vertAlign w:val="superscript"/>
    </w:rPr>
  </w:style>
  <w:style w:type="character" w:styleId="PlaceholderText">
    <w:name w:val="Placeholder Text"/>
    <w:basedOn w:val="DefaultParagraphFont"/>
    <w:uiPriority w:val="99"/>
    <w:semiHidden/>
    <w:rsid w:val="00295FF1"/>
    <w:rPr>
      <w:color w:val="808080"/>
    </w:rPr>
  </w:style>
  <w:style w:type="character" w:styleId="SubtleEmphasis">
    <w:name w:val="Subtle Emphasis"/>
    <w:basedOn w:val="DefaultParagraphFont"/>
    <w:uiPriority w:val="99"/>
    <w:qFormat/>
    <w:rsid w:val="00295FF1"/>
    <w:rPr>
      <w:rFonts w:ascii="Arial" w:hAnsi="Arial" w:cs="Times New Roman" w:hint="default"/>
      <w:i/>
      <w:iCs w:val="0"/>
      <w:color w:val="7F7F7F"/>
      <w:sz w:val="20"/>
    </w:rPr>
  </w:style>
  <w:style w:type="character" w:customStyle="1" w:styleId="CharAmSchNo">
    <w:name w:val="CharAmSchNo"/>
    <w:basedOn w:val="DefaultParagraphFont"/>
    <w:uiPriority w:val="99"/>
    <w:rsid w:val="00295FF1"/>
  </w:style>
  <w:style w:type="character" w:customStyle="1" w:styleId="CharAmSchText">
    <w:name w:val="CharAmSchText"/>
    <w:basedOn w:val="DefaultParagraphFont"/>
    <w:uiPriority w:val="99"/>
    <w:rsid w:val="00295FF1"/>
  </w:style>
  <w:style w:type="character" w:customStyle="1" w:styleId="CharChapNo">
    <w:name w:val="CharChapNo"/>
    <w:basedOn w:val="DefaultParagraphFont"/>
    <w:uiPriority w:val="99"/>
    <w:rsid w:val="00295FF1"/>
  </w:style>
  <w:style w:type="character" w:customStyle="1" w:styleId="CharChapText">
    <w:name w:val="CharChapText"/>
    <w:basedOn w:val="DefaultParagraphFont"/>
    <w:uiPriority w:val="99"/>
    <w:rsid w:val="00295FF1"/>
  </w:style>
  <w:style w:type="character" w:customStyle="1" w:styleId="CharDivNo">
    <w:name w:val="CharDivNo"/>
    <w:basedOn w:val="DefaultParagraphFont"/>
    <w:uiPriority w:val="99"/>
    <w:rsid w:val="00295FF1"/>
  </w:style>
  <w:style w:type="character" w:customStyle="1" w:styleId="CharDivText">
    <w:name w:val="CharDivText"/>
    <w:basedOn w:val="DefaultParagraphFont"/>
    <w:uiPriority w:val="99"/>
    <w:rsid w:val="00295FF1"/>
  </w:style>
  <w:style w:type="character" w:customStyle="1" w:styleId="CharPartNo">
    <w:name w:val="CharPartNo"/>
    <w:basedOn w:val="DefaultParagraphFont"/>
    <w:uiPriority w:val="99"/>
    <w:rsid w:val="00295FF1"/>
  </w:style>
  <w:style w:type="character" w:customStyle="1" w:styleId="CharPartText">
    <w:name w:val="CharPartText"/>
    <w:basedOn w:val="DefaultParagraphFont"/>
    <w:uiPriority w:val="99"/>
    <w:rsid w:val="00295FF1"/>
  </w:style>
  <w:style w:type="character" w:customStyle="1" w:styleId="CharSchPTNo">
    <w:name w:val="CharSchPTNo"/>
    <w:basedOn w:val="DefaultParagraphFont"/>
    <w:uiPriority w:val="99"/>
    <w:rsid w:val="00295FF1"/>
  </w:style>
  <w:style w:type="character" w:customStyle="1" w:styleId="CharSchPTText">
    <w:name w:val="CharSchPTText"/>
    <w:basedOn w:val="DefaultParagraphFont"/>
    <w:uiPriority w:val="99"/>
    <w:rsid w:val="00295FF1"/>
  </w:style>
  <w:style w:type="character" w:customStyle="1" w:styleId="CharSchNo">
    <w:name w:val="CharSchNo"/>
    <w:basedOn w:val="DefaultParagraphFont"/>
    <w:uiPriority w:val="99"/>
    <w:rsid w:val="00295FF1"/>
  </w:style>
  <w:style w:type="character" w:customStyle="1" w:styleId="CharSchText">
    <w:name w:val="CharSchText"/>
    <w:basedOn w:val="DefaultParagraphFont"/>
    <w:uiPriority w:val="99"/>
    <w:rsid w:val="00295FF1"/>
  </w:style>
  <w:style w:type="character" w:customStyle="1" w:styleId="CharAmSchPTNo">
    <w:name w:val="CharAmSchPTNo"/>
    <w:basedOn w:val="DefaultParagraphFont"/>
    <w:uiPriority w:val="99"/>
    <w:rsid w:val="00295FF1"/>
  </w:style>
  <w:style w:type="character" w:customStyle="1" w:styleId="CharAmSchPTText">
    <w:name w:val="CharAmSchPTText"/>
    <w:basedOn w:val="DefaultParagraphFont"/>
    <w:uiPriority w:val="99"/>
    <w:rsid w:val="00295FF1"/>
  </w:style>
  <w:style w:type="character" w:customStyle="1" w:styleId="TitleSuperscript">
    <w:name w:val="TitleSuperscript"/>
    <w:basedOn w:val="DefaultParagraphFont"/>
    <w:uiPriority w:val="99"/>
    <w:rsid w:val="00295FF1"/>
    <w:rPr>
      <w:rFonts w:ascii="Arial" w:hAnsi="Arial" w:cs="Arial" w:hint="default"/>
      <w:position w:val="6"/>
      <w:sz w:val="24"/>
      <w:szCs w:val="24"/>
      <w:vertAlign w:val="superscript"/>
    </w:rPr>
  </w:style>
  <w:style w:type="character" w:customStyle="1" w:styleId="charsectno0">
    <w:name w:val="charsectno"/>
    <w:basedOn w:val="DefaultParagraphFont"/>
    <w:rsid w:val="00295FF1"/>
  </w:style>
  <w:style w:type="table" w:styleId="TableSimple1">
    <w:name w:val="Table Simple 1"/>
    <w:basedOn w:val="TableNormal"/>
    <w:uiPriority w:val="99"/>
    <w:semiHidden/>
    <w:unhideWhenUsed/>
    <w:rsid w:val="00295FF1"/>
    <w:rPr>
      <w:rFonts w:eastAsia="Times New Roman"/>
      <w:lang w:eastAsia="en-A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95FF1"/>
    <w:rPr>
      <w:rFonts w:eastAsia="Times New Roman"/>
      <w:lang w:eastAsia="en-A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95FF1"/>
    <w:rPr>
      <w:rFonts w:eastAsia="Times New Roman"/>
      <w:lang w:eastAsia="en-A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iPriority w:val="99"/>
    <w:semiHidden/>
    <w:unhideWhenUsed/>
    <w:rsid w:val="00295FF1"/>
    <w:rPr>
      <w:rFonts w:eastAsia="Times New Roman"/>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95FF1"/>
    <w:rPr>
      <w:rFonts w:eastAsia="Times New Roman"/>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95FF1"/>
    <w:rPr>
      <w:rFonts w:eastAsia="Times New Roman"/>
      <w:color w:val="000080"/>
      <w:lang w:eastAsia="en-A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95FF1"/>
    <w:rPr>
      <w:rFonts w:eastAsia="Times New Roman"/>
      <w:lang w:eastAsia="en-A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95FF1"/>
    <w:rPr>
      <w:rFonts w:eastAsia="Times New Roman"/>
      <w:color w:val="FFFFFF"/>
      <w:lang w:eastAsia="en-A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95FF1"/>
    <w:rPr>
      <w:rFonts w:eastAsia="Times New Roman"/>
      <w:lang w:eastAsia="en-A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295FF1"/>
    <w:rPr>
      <w:rFonts w:eastAsia="Times New Roman"/>
      <w:lang w:eastAsia="en-A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95FF1"/>
    <w:rPr>
      <w:rFonts w:eastAsia="Times New Roman"/>
      <w:b/>
      <w:bCs/>
      <w:lang w:eastAsia="en-A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95FF1"/>
    <w:rPr>
      <w:rFonts w:eastAsia="Times New Roman"/>
      <w:b/>
      <w:bCs/>
      <w:lang w:eastAsia="en-A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95FF1"/>
    <w:rPr>
      <w:rFonts w:eastAsia="Times New Roman"/>
      <w:b/>
      <w:bCs/>
      <w:lang w:eastAsia="en-A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95FF1"/>
    <w:rPr>
      <w:rFonts w:eastAsia="Times New Roman"/>
      <w:lang w:eastAsia="en-A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95FF1"/>
    <w:rPr>
      <w:rFonts w:eastAsia="Times New Roman"/>
      <w:lang w:eastAsia="en-A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uiPriority w:val="99"/>
    <w:semiHidden/>
    <w:unhideWhenUsed/>
    <w:rsid w:val="00295FF1"/>
    <w:rPr>
      <w:rFonts w:eastAsia="Times New Roman"/>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95FF1"/>
    <w:rPr>
      <w:rFonts w:eastAsia="Times New Roman"/>
      <w:lang w:eastAsia="en-A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95FF1"/>
    <w:rPr>
      <w:rFonts w:eastAsia="Times New Roman"/>
      <w:lang w:eastAsia="en-A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95FF1"/>
    <w:rPr>
      <w:rFonts w:eastAsia="Times New Roman"/>
      <w:lang w:eastAsia="en-A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95FF1"/>
    <w:rPr>
      <w:rFonts w:eastAsia="Times New Roman"/>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95FF1"/>
    <w:rPr>
      <w:rFonts w:eastAsia="Times New Roman"/>
      <w:lang w:eastAsia="en-A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95FF1"/>
    <w:rPr>
      <w:rFonts w:eastAsia="Times New Roman"/>
      <w:b/>
      <w:bCs/>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95FF1"/>
    <w:rPr>
      <w:rFonts w:eastAsia="Times New Roman"/>
      <w:lang w:eastAsia="en-A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95FF1"/>
    <w:rPr>
      <w:rFonts w:eastAsia="Times New Roman"/>
      <w:lang w:eastAsia="en-A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95FF1"/>
    <w:rPr>
      <w:rFonts w:eastAsia="Times New Roman"/>
      <w:lang w:eastAsia="en-A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95FF1"/>
    <w:rPr>
      <w:rFonts w:eastAsia="Times New Roman"/>
      <w:lang w:eastAsia="en-A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95FF1"/>
    <w:rPr>
      <w:rFonts w:eastAsia="Times New Roman"/>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95FF1"/>
    <w:rPr>
      <w:rFonts w:eastAsia="Times New Roman"/>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95FF1"/>
    <w:rPr>
      <w:rFonts w:eastAsia="Times New Roman"/>
      <w:lang w:eastAsia="en-A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95FF1"/>
    <w:rPr>
      <w:rFonts w:eastAsia="Times New Roman"/>
      <w:lang w:eastAsia="en-A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95FF1"/>
    <w:rPr>
      <w:rFonts w:eastAsia="Times New Roman"/>
      <w:lang w:eastAsia="en-A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uiPriority w:val="99"/>
    <w:semiHidden/>
    <w:unhideWhenUsed/>
    <w:rsid w:val="00295FF1"/>
    <w:rPr>
      <w:rFonts w:eastAsia="Times New Roman"/>
      <w:lang w:eastAsia="en-A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95FF1"/>
    <w:rPr>
      <w:rFonts w:eastAsia="Times New Roman"/>
      <w:lang w:eastAsia="en-A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95FF1"/>
    <w:rPr>
      <w:rFonts w:eastAsia="Times New Roman"/>
      <w:lang w:eastAsia="en-A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uiPriority w:val="99"/>
    <w:semiHidden/>
    <w:unhideWhenUsed/>
    <w:rsid w:val="00295FF1"/>
    <w:rPr>
      <w:rFonts w:eastAsia="Times New Roman"/>
      <w:lang w:eastAsia="en-A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95FF1"/>
    <w:rPr>
      <w:rFonts w:eastAsia="Times New Roman"/>
      <w:lang w:eastAsia="en-A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295FF1"/>
    <w:rPr>
      <w:rFonts w:eastAsia="Times New Roman"/>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95FF1"/>
    <w:rPr>
      <w:rFonts w:eastAsia="Times New Roman"/>
      <w:lang w:eastAsia="en-A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95FF1"/>
    <w:rPr>
      <w:rFonts w:eastAsia="Times New Roman"/>
      <w:lang w:eastAsia="en-A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uiPriority w:val="99"/>
    <w:semiHidden/>
    <w:unhideWhenUsed/>
    <w:rsid w:val="00295FF1"/>
    <w:rPr>
      <w:rFonts w:eastAsia="Times New Roman"/>
      <w:lang w:eastAsia="en-A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95FF1"/>
    <w:rPr>
      <w:rFonts w:eastAsia="Times New Roman"/>
      <w:lang w:eastAsia="en-A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95FF1"/>
    <w:rPr>
      <w:rFonts w:eastAsia="Times New Roman"/>
      <w:lang w:eastAsia="en-A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95FF1"/>
    <w:rPr>
      <w:rFonts w:eastAsia="Times New Roman"/>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eneral">
    <w:name w:val="TableGeneral"/>
    <w:basedOn w:val="TableNormal"/>
    <w:uiPriority w:val="99"/>
    <w:rsid w:val="00295FF1"/>
    <w:pPr>
      <w:spacing w:before="60" w:after="60" w:line="240" w:lineRule="exact"/>
    </w:pPr>
    <w:rPr>
      <w:rFonts w:eastAsia="Times New Roman"/>
      <w:sz w:val="22"/>
      <w:lang w:eastAsia="en-AU"/>
    </w:rPr>
    <w:tblPr>
      <w:tblCellSpacing w:w="11" w:type="dxa"/>
      <w:tblInd w:w="0" w:type="dxa"/>
      <w:tblCellMar>
        <w:top w:w="0" w:type="dxa"/>
        <w:left w:w="108" w:type="dxa"/>
        <w:bottom w:w="0" w:type="dxa"/>
        <w:right w:w="108" w:type="dxa"/>
      </w:tblCellMar>
    </w:tblPr>
    <w:trPr>
      <w:tblCellSpacing w:w="11" w:type="dxa"/>
    </w:trPr>
    <w:tblStylePr w:type="firstRow">
      <w:pPr>
        <w:wordWrap/>
        <w:spacing w:beforeLines="0" w:beforeAutospacing="1" w:afterLines="0" w:afterAutospacing="1" w:line="200" w:lineRule="exact"/>
      </w:pPr>
      <w:rPr>
        <w:rFonts w:ascii="Arial" w:hAnsi="Arial" w:cs="Arial" w:hint="default"/>
        <w:b/>
        <w:sz w:val="18"/>
        <w:szCs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table" w:customStyle="1" w:styleId="LightGrid-Accent11">
    <w:name w:val="Light Grid - Accent 11"/>
    <w:basedOn w:val="TableNormal"/>
    <w:uiPriority w:val="99"/>
    <w:rsid w:val="00295FF1"/>
    <w:rPr>
      <w:rFonts w:ascii="Calibri" w:eastAsia="Calibri" w:hAnsi="Calibri"/>
      <w:lang w:eastAsia="en-AU"/>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10">
    <w:name w:val="Table Grid1"/>
    <w:basedOn w:val="TableNormal"/>
    <w:uiPriority w:val="99"/>
    <w:rsid w:val="00295FF1"/>
    <w:rPr>
      <w:rFonts w:ascii="Calibri" w:eastAsia="Calibri" w:hAnsi="Calibri"/>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Accent11">
    <w:name w:val="Light Shading - Accent 11"/>
    <w:basedOn w:val="TableNormal"/>
    <w:uiPriority w:val="99"/>
    <w:rsid w:val="00295FF1"/>
    <w:rPr>
      <w:rFonts w:ascii="Calibri" w:eastAsia="Calibri" w:hAnsi="Calibri"/>
      <w:color w:val="365F91" w:themeColor="accent1" w:themeShade="BF"/>
      <w:sz w:val="24"/>
      <w:szCs w:val="24"/>
      <w:lang w:eastAsia="en-AU"/>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eGrid20">
    <w:name w:val="Table Grid2"/>
    <w:basedOn w:val="TableNormal"/>
    <w:uiPriority w:val="99"/>
    <w:rsid w:val="00295FF1"/>
    <w:rPr>
      <w:rFonts w:ascii="Calibri" w:eastAsia="Calibri" w:hAnsi="Calibri"/>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Accent111">
    <w:name w:val="Light Shading - Accent 111"/>
    <w:basedOn w:val="TableNormal"/>
    <w:uiPriority w:val="99"/>
    <w:rsid w:val="00295FF1"/>
    <w:rPr>
      <w:rFonts w:ascii="Calibri" w:eastAsia="Calibri" w:hAnsi="Calibri"/>
      <w:color w:val="365F91" w:themeColor="accent1" w:themeShade="BF"/>
      <w:sz w:val="24"/>
      <w:szCs w:val="24"/>
      <w:lang w:eastAsia="en-AU"/>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FooterPageEven">
    <w:name w:val="FooterPageEven"/>
    <w:basedOn w:val="FooterPageOdd"/>
    <w:uiPriority w:val="99"/>
    <w:rsid w:val="00295FF1"/>
    <w:pPr>
      <w:jc w:val="left"/>
    </w:pPr>
  </w:style>
  <w:style w:type="numbering" w:styleId="1ai">
    <w:name w:val="Outline List 1"/>
    <w:basedOn w:val="NoList"/>
    <w:uiPriority w:val="99"/>
    <w:semiHidden/>
    <w:unhideWhenUsed/>
    <w:rsid w:val="00295FF1"/>
    <w:pPr>
      <w:numPr>
        <w:numId w:val="23"/>
      </w:numPr>
    </w:pPr>
  </w:style>
  <w:style w:type="numbering" w:styleId="ArticleSection">
    <w:name w:val="Outline List 3"/>
    <w:basedOn w:val="NoList"/>
    <w:uiPriority w:val="99"/>
    <w:semiHidden/>
    <w:unhideWhenUsed/>
    <w:rsid w:val="00295FF1"/>
    <w:pPr>
      <w:numPr>
        <w:numId w:val="26"/>
      </w:numPr>
    </w:pPr>
  </w:style>
  <w:style w:type="numbering" w:styleId="111111">
    <w:name w:val="Outline List 2"/>
    <w:basedOn w:val="NoList"/>
    <w:uiPriority w:val="99"/>
    <w:semiHidden/>
    <w:unhideWhenUsed/>
    <w:rsid w:val="00295FF1"/>
    <w:pPr>
      <w:numPr>
        <w:numId w:val="27"/>
      </w:numPr>
    </w:pPr>
  </w:style>
  <w:style w:type="character" w:styleId="HTMLVariable">
    <w:name w:val="HTML Variable"/>
    <w:basedOn w:val="DefaultParagraphFont"/>
    <w:uiPriority w:val="99"/>
    <w:rsid w:val="00295FF1"/>
    <w:rPr>
      <w:i/>
      <w:iCs/>
    </w:rPr>
  </w:style>
  <w:style w:type="paragraph" w:customStyle="1" w:styleId="tdefn0">
    <w:name w:val="tdefn"/>
    <w:basedOn w:val="Normal"/>
    <w:rsid w:val="00F768B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393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B2911-B5F6-4BA6-AB1B-CBA380459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D267F0E6</Template>
  <TotalTime>6</TotalTime>
  <Pages>41</Pages>
  <Words>8662</Words>
  <Characters>49380</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57927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James</dc:creator>
  <cp:lastModifiedBy>Kim Begbie</cp:lastModifiedBy>
  <cp:revision>3</cp:revision>
  <cp:lastPrinted>2013-05-16T05:04:00Z</cp:lastPrinted>
  <dcterms:created xsi:type="dcterms:W3CDTF">2013-06-21T06:43:00Z</dcterms:created>
  <dcterms:modified xsi:type="dcterms:W3CDTF">2013-06-21T06:49:00Z</dcterms:modified>
</cp:coreProperties>
</file>