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DB" w:rsidRPr="00301DDB" w:rsidRDefault="00301DDB" w:rsidP="00301DDB">
      <w:pPr>
        <w:keepNext/>
        <w:keepLines/>
        <w:spacing w:after="60"/>
        <w:ind w:left="2410" w:hanging="2410"/>
        <w:jc w:val="both"/>
        <w:outlineLvl w:val="0"/>
        <w:rPr>
          <w:rFonts w:ascii="Arial" w:hAnsi="Arial" w:cs="Arial"/>
          <w:bCs/>
          <w:vanish/>
          <w:kern w:val="32"/>
          <w:sz w:val="12"/>
          <w:szCs w:val="32"/>
        </w:rPr>
      </w:pPr>
      <w:r w:rsidRPr="00301DDB">
        <w:rPr>
          <w:rFonts w:ascii="Arial" w:hAnsi="Arial" w:cs="Arial"/>
          <w:bCs/>
          <w:vanish/>
          <w:kern w:val="32"/>
          <w:sz w:val="12"/>
          <w:szCs w:val="32"/>
        </w:rPr>
        <w:t>`[Don’t delete]</w:t>
      </w:r>
    </w:p>
    <w:p w:rsidR="00301DDB" w:rsidRPr="00301DDB" w:rsidRDefault="00301DDB" w:rsidP="00301DDB">
      <w:pPr>
        <w:keepNext/>
        <w:keepLines/>
        <w:spacing w:after="60"/>
        <w:ind w:left="2410" w:hanging="2410"/>
        <w:jc w:val="both"/>
        <w:outlineLvl w:val="1"/>
        <w:rPr>
          <w:rFonts w:ascii="Arial" w:hAnsi="Arial" w:cs="Arial"/>
          <w:iCs/>
          <w:vanish/>
          <w:sz w:val="12"/>
          <w:szCs w:val="22"/>
        </w:rPr>
      </w:pPr>
      <w:r w:rsidRPr="00301DDB">
        <w:rPr>
          <w:rFonts w:ascii="Arial" w:hAnsi="Arial" w:cs="Arial"/>
          <w:iCs/>
          <w:vanish/>
          <w:sz w:val="12"/>
          <w:szCs w:val="22"/>
        </w:rPr>
        <w:t>[Don’t delete]</w:t>
      </w:r>
    </w:p>
    <w:p w:rsidR="00301DDB" w:rsidRPr="00301DDB" w:rsidRDefault="00301DDB" w:rsidP="00301DDB">
      <w:pPr>
        <w:keepNext/>
        <w:keepLines/>
        <w:spacing w:after="60"/>
        <w:ind w:left="2410" w:hanging="2410"/>
        <w:jc w:val="both"/>
        <w:outlineLvl w:val="2"/>
        <w:rPr>
          <w:rFonts w:ascii="Arial" w:hAnsi="Arial" w:cs="Arial"/>
          <w:bCs/>
          <w:vanish/>
          <w:sz w:val="12"/>
          <w:szCs w:val="26"/>
        </w:rPr>
      </w:pPr>
      <w:r w:rsidRPr="00301DDB">
        <w:rPr>
          <w:rFonts w:ascii="Arial" w:hAnsi="Arial" w:cs="Arial"/>
          <w:bCs/>
          <w:vanish/>
          <w:sz w:val="12"/>
          <w:szCs w:val="26"/>
        </w:rPr>
        <w:t>[Don’t delete]</w:t>
      </w:r>
    </w:p>
    <w:p w:rsidR="00301DDB" w:rsidRPr="00301DDB" w:rsidRDefault="00301DDB" w:rsidP="00301DDB">
      <w:pPr>
        <w:jc w:val="both"/>
        <w:rPr>
          <w:rFonts w:ascii="Arial" w:hAnsi="Arial"/>
          <w:color w:val="808080" w:themeColor="background1" w:themeShade="80"/>
        </w:rPr>
      </w:pPr>
      <w:r w:rsidRPr="00301DDB">
        <w:rPr>
          <w:noProof/>
        </w:rPr>
        <w:drawing>
          <wp:inline distT="0" distB="0" distL="0" distR="0" wp14:anchorId="34938A6B" wp14:editId="1B320995">
            <wp:extent cx="1414145" cy="1105535"/>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rsidRPr="00301DDB">
        <w:tab/>
      </w:r>
      <w:bookmarkStart w:id="0" w:name="Draft_and_version"/>
      <w:r w:rsidRPr="00301DDB">
        <w:rPr>
          <w:rFonts w:ascii="Arial" w:hAnsi="Arial"/>
          <w:color w:val="808080" w:themeColor="background1" w:themeShade="80"/>
        </w:rPr>
        <w:t xml:space="preserve"> </w:t>
      </w:r>
      <w:bookmarkEnd w:id="0"/>
    </w:p>
    <w:p w:rsidR="00301DDB" w:rsidRPr="00301DDB" w:rsidRDefault="00301DDB" w:rsidP="00301DDB">
      <w:pPr>
        <w:spacing w:before="480"/>
        <w:rPr>
          <w:rFonts w:ascii="Arial" w:hAnsi="Arial" w:cs="Arial"/>
          <w:b/>
          <w:bCs/>
          <w:sz w:val="40"/>
          <w:szCs w:val="40"/>
        </w:rPr>
      </w:pPr>
      <w:bookmarkStart w:id="1" w:name="Citation"/>
      <w:r w:rsidRPr="00301DDB">
        <w:rPr>
          <w:rFonts w:ascii="Arial" w:hAnsi="Arial" w:cs="Arial"/>
          <w:b/>
          <w:bCs/>
          <w:sz w:val="40"/>
          <w:szCs w:val="40"/>
        </w:rPr>
        <w:t>Carbon Credits (Carbon Farming Initiative) (Avoided Deforestation) Methodology Determination 2013</w:t>
      </w:r>
      <w:bookmarkEnd w:id="1"/>
      <w:r w:rsidRPr="00301DDB">
        <w:rPr>
          <w:rFonts w:ascii="Arial" w:hAnsi="Arial" w:cs="Arial"/>
          <w:b/>
          <w:bCs/>
          <w:position w:val="6"/>
          <w:szCs w:val="40"/>
          <w:vertAlign w:val="superscript"/>
        </w:rPr>
        <w:t>1</w:t>
      </w:r>
    </w:p>
    <w:p w:rsidR="00301DDB" w:rsidRPr="00301DDB" w:rsidRDefault="00301DDB" w:rsidP="00301DDB">
      <w:pPr>
        <w:pBdr>
          <w:bottom w:val="single" w:sz="4" w:space="3" w:color="auto"/>
        </w:pBdr>
        <w:spacing w:before="480"/>
        <w:jc w:val="both"/>
        <w:rPr>
          <w:rFonts w:ascii="Arial" w:hAnsi="Arial" w:cs="Arial"/>
          <w:i/>
          <w:sz w:val="28"/>
          <w:szCs w:val="28"/>
          <w:lang w:val="en-US"/>
        </w:rPr>
      </w:pPr>
      <w:r w:rsidRPr="00301DDB">
        <w:rPr>
          <w:rFonts w:ascii="Arial" w:hAnsi="Arial" w:cs="Arial"/>
          <w:i/>
          <w:sz w:val="28"/>
          <w:szCs w:val="28"/>
          <w:lang w:val="en-US"/>
        </w:rPr>
        <w:t>Carbon Credits (Carbon Farming Initiative) Act 2011</w:t>
      </w:r>
    </w:p>
    <w:p w:rsidR="00301DDB" w:rsidRPr="00301DDB" w:rsidRDefault="00301DDB" w:rsidP="00301DDB">
      <w:pPr>
        <w:spacing w:before="360"/>
        <w:jc w:val="both"/>
      </w:pPr>
      <w:r w:rsidRPr="00301DDB">
        <w:t xml:space="preserve">I, Yvette D’Ath, Parliamentary Secretary for Climate Change, Industry and Innovation, make this Methodology Determination under subsection 106(1) of the </w:t>
      </w:r>
      <w:r w:rsidRPr="00301DDB">
        <w:rPr>
          <w:i/>
        </w:rPr>
        <w:t>Carbon Credits (Carbon Farming Initiative) Act 2011</w:t>
      </w:r>
      <w:r w:rsidRPr="00301DDB">
        <w:t>.</w:t>
      </w:r>
    </w:p>
    <w:p w:rsidR="00301DDB" w:rsidRPr="00301DDB" w:rsidRDefault="00301DDB" w:rsidP="00301DDB">
      <w:pPr>
        <w:tabs>
          <w:tab w:val="left" w:pos="3119"/>
        </w:tabs>
        <w:spacing w:before="300" w:after="600" w:line="300" w:lineRule="atLeast"/>
        <w:jc w:val="both"/>
      </w:pPr>
      <w:r w:rsidRPr="00301DDB">
        <w:t xml:space="preserve">Dated </w:t>
      </w:r>
      <w:r w:rsidR="007142EE">
        <w:t>23 June 2013</w:t>
      </w:r>
      <w:bookmarkStart w:id="2" w:name="_GoBack"/>
      <w:bookmarkEnd w:id="2"/>
      <w:r w:rsidRPr="00301DDB">
        <w:t xml:space="preserve">         </w:t>
      </w:r>
    </w:p>
    <w:p w:rsidR="00301DDB" w:rsidRPr="00301DDB" w:rsidRDefault="00301DDB" w:rsidP="00301DDB">
      <w:pPr>
        <w:tabs>
          <w:tab w:val="left" w:pos="3969"/>
        </w:tabs>
        <w:spacing w:before="120" w:after="120"/>
        <w:jc w:val="both"/>
      </w:pPr>
      <w:r w:rsidRPr="00301DDB">
        <w:t>YVETTE D’ATH</w:t>
      </w:r>
    </w:p>
    <w:p w:rsidR="00301DDB" w:rsidRPr="00301DDB" w:rsidRDefault="00301DDB" w:rsidP="00301DDB">
      <w:pPr>
        <w:pBdr>
          <w:bottom w:val="single" w:sz="4" w:space="12" w:color="auto"/>
        </w:pBdr>
        <w:tabs>
          <w:tab w:val="left" w:pos="3119"/>
        </w:tabs>
        <w:spacing w:after="240" w:line="300" w:lineRule="atLeast"/>
        <w:jc w:val="both"/>
      </w:pPr>
      <w:r w:rsidRPr="00301DDB">
        <w:t>Parliamentary Secretary for Climate Change, Industry and Innovation</w:t>
      </w:r>
    </w:p>
    <w:p w:rsidR="00301DDB" w:rsidRPr="00301DDB" w:rsidRDefault="00301DDB" w:rsidP="00301DDB">
      <w:pPr>
        <w:keepNext/>
        <w:keepLines/>
        <w:pageBreakBefore/>
        <w:spacing w:before="360" w:after="60"/>
        <w:ind w:left="2410" w:hanging="2410"/>
        <w:outlineLvl w:val="1"/>
        <w:rPr>
          <w:rFonts w:ascii="Arial" w:hAnsi="Arial" w:cs="Arial"/>
          <w:b/>
          <w:iCs/>
          <w:sz w:val="36"/>
          <w:szCs w:val="22"/>
        </w:rPr>
      </w:pPr>
      <w:r w:rsidRPr="00301DDB">
        <w:rPr>
          <w:rFonts w:ascii="Arial" w:hAnsi="Arial" w:cs="Arial"/>
          <w:b/>
          <w:iCs/>
          <w:sz w:val="36"/>
          <w:szCs w:val="22"/>
        </w:rPr>
        <w:lastRenderedPageBreak/>
        <w:t>Contents</w:t>
      </w:r>
    </w:p>
    <w:p w:rsidR="00301DDB" w:rsidRPr="00301DDB" w:rsidRDefault="00301DDB" w:rsidP="00301DDB">
      <w:pPr>
        <w:keepNext/>
        <w:tabs>
          <w:tab w:val="right" w:pos="8278"/>
        </w:tabs>
        <w:spacing w:before="120" w:after="120"/>
        <w:ind w:left="1843" w:right="714" w:hanging="1843"/>
        <w:rPr>
          <w:rFonts w:asciiTheme="minorHAnsi" w:eastAsiaTheme="minorEastAsia" w:hAnsiTheme="minorHAnsi" w:cstheme="minorBidi"/>
          <w:noProof/>
          <w:sz w:val="22"/>
          <w:szCs w:val="22"/>
        </w:rPr>
      </w:pPr>
      <w:r w:rsidRPr="00301DDB">
        <w:rPr>
          <w:rFonts w:ascii="Arial" w:hAnsi="Arial"/>
          <w:b/>
          <w:noProof/>
          <w:sz w:val="22"/>
          <w:szCs w:val="22"/>
          <w:lang w:eastAsia="en-US"/>
        </w:rPr>
        <w:t>Part 1</w:t>
      </w:r>
      <w:r w:rsidRPr="00301DDB">
        <w:rPr>
          <w:rFonts w:asciiTheme="minorHAnsi" w:eastAsiaTheme="minorEastAsia" w:hAnsiTheme="minorHAnsi" w:cstheme="minorBidi"/>
          <w:noProof/>
          <w:sz w:val="22"/>
          <w:szCs w:val="22"/>
        </w:rPr>
        <w:tab/>
      </w:r>
      <w:r w:rsidRPr="00301DDB">
        <w:rPr>
          <w:rFonts w:ascii="Arial" w:hAnsi="Arial"/>
          <w:b/>
          <w:noProof/>
          <w:sz w:val="22"/>
          <w:szCs w:val="22"/>
          <w:lang w:eastAsia="en-US"/>
        </w:rPr>
        <w:t>Preliminary</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1.1</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Name of Determination</w:t>
      </w:r>
      <w:r w:rsidRPr="00301DDB">
        <w:rPr>
          <w:rFonts w:ascii="Arial" w:hAnsi="Arial"/>
          <w:noProof/>
          <w:sz w:val="19"/>
          <w:szCs w:val="19"/>
          <w:lang w:eastAsia="en-US"/>
        </w:rPr>
        <w:tab/>
        <w:t>5</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1.2</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Commencement</w:t>
      </w:r>
      <w:r w:rsidRPr="00301DDB">
        <w:rPr>
          <w:rFonts w:ascii="Arial" w:hAnsi="Arial"/>
          <w:noProof/>
          <w:sz w:val="19"/>
          <w:szCs w:val="19"/>
          <w:lang w:eastAsia="en-US"/>
        </w:rPr>
        <w:tab/>
        <w:t>5</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1.3</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Definitions</w:t>
      </w:r>
      <w:r w:rsidRPr="00301DDB">
        <w:rPr>
          <w:rFonts w:ascii="Arial" w:hAnsi="Arial"/>
          <w:noProof/>
          <w:sz w:val="19"/>
          <w:szCs w:val="19"/>
          <w:lang w:eastAsia="en-US"/>
        </w:rPr>
        <w:tab/>
        <w:t>5</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1.4</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Kind of project to which this Determination applies</w:t>
      </w:r>
      <w:r w:rsidRPr="00301DDB">
        <w:rPr>
          <w:rFonts w:ascii="Arial" w:hAnsi="Arial"/>
          <w:noProof/>
          <w:sz w:val="19"/>
          <w:szCs w:val="19"/>
          <w:lang w:eastAsia="en-US"/>
        </w:rPr>
        <w:tab/>
        <w:t>8</w:t>
      </w:r>
    </w:p>
    <w:p w:rsidR="00301DDB" w:rsidRPr="00301DDB" w:rsidRDefault="00301DDB" w:rsidP="00301DDB">
      <w:pPr>
        <w:keepNext/>
        <w:tabs>
          <w:tab w:val="right" w:pos="8278"/>
        </w:tabs>
        <w:spacing w:before="120" w:after="120"/>
        <w:ind w:left="1843" w:right="714" w:hanging="1843"/>
        <w:rPr>
          <w:rFonts w:asciiTheme="minorHAnsi" w:eastAsiaTheme="minorEastAsia" w:hAnsiTheme="minorHAnsi" w:cstheme="minorBidi"/>
          <w:noProof/>
          <w:sz w:val="22"/>
          <w:szCs w:val="22"/>
        </w:rPr>
      </w:pPr>
      <w:r w:rsidRPr="00301DDB">
        <w:rPr>
          <w:rFonts w:ascii="Arial" w:hAnsi="Arial"/>
          <w:b/>
          <w:noProof/>
          <w:sz w:val="22"/>
          <w:szCs w:val="22"/>
          <w:lang w:eastAsia="en-US"/>
        </w:rPr>
        <w:t>Part 2</w:t>
      </w:r>
      <w:r w:rsidRPr="00301DDB">
        <w:rPr>
          <w:rFonts w:asciiTheme="minorHAnsi" w:eastAsiaTheme="minorEastAsia" w:hAnsiTheme="minorHAnsi" w:cstheme="minorBidi"/>
          <w:noProof/>
          <w:sz w:val="22"/>
          <w:szCs w:val="22"/>
        </w:rPr>
        <w:tab/>
      </w:r>
      <w:r w:rsidRPr="00301DDB">
        <w:rPr>
          <w:rFonts w:ascii="Arial" w:hAnsi="Arial"/>
          <w:b/>
          <w:noProof/>
          <w:sz w:val="22"/>
          <w:szCs w:val="22"/>
          <w:lang w:eastAsia="en-US"/>
        </w:rPr>
        <w:t>Requirements for declaration as eligible project</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2.1</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Eligible projects</w:t>
      </w:r>
      <w:r w:rsidRPr="00301DDB">
        <w:rPr>
          <w:rFonts w:ascii="Arial" w:hAnsi="Arial"/>
          <w:noProof/>
          <w:sz w:val="19"/>
          <w:szCs w:val="19"/>
          <w:lang w:eastAsia="en-US"/>
        </w:rPr>
        <w:tab/>
        <w:t>9</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2.2</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Location</w:t>
      </w:r>
      <w:r w:rsidRPr="00301DDB">
        <w:rPr>
          <w:rFonts w:ascii="Arial" w:hAnsi="Arial"/>
          <w:noProof/>
          <w:sz w:val="19"/>
          <w:szCs w:val="19"/>
          <w:lang w:eastAsia="en-US"/>
        </w:rPr>
        <w:tab/>
        <w:t>9</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2.3</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Project area native forest</w:t>
      </w:r>
      <w:r w:rsidRPr="00301DDB">
        <w:rPr>
          <w:rFonts w:ascii="Arial" w:hAnsi="Arial"/>
          <w:noProof/>
          <w:sz w:val="19"/>
          <w:szCs w:val="19"/>
          <w:lang w:eastAsia="en-US"/>
        </w:rPr>
        <w:tab/>
        <w:t>9</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2.4</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Evidence relating to project area native forest</w:t>
      </w:r>
      <w:r w:rsidRPr="00301DDB">
        <w:rPr>
          <w:rFonts w:ascii="Arial" w:hAnsi="Arial"/>
          <w:noProof/>
          <w:sz w:val="19"/>
          <w:szCs w:val="19"/>
          <w:lang w:eastAsia="en-US"/>
        </w:rPr>
        <w:tab/>
        <w:t>9</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2.5</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Project mechanism</w:t>
      </w:r>
      <w:r w:rsidRPr="00301DDB">
        <w:rPr>
          <w:rFonts w:ascii="Arial" w:hAnsi="Arial"/>
          <w:noProof/>
          <w:sz w:val="19"/>
          <w:szCs w:val="19"/>
          <w:lang w:eastAsia="en-US"/>
        </w:rPr>
        <w:tab/>
        <w:t>10</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2.6</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Project commencement</w:t>
      </w:r>
      <w:r w:rsidRPr="00301DDB">
        <w:rPr>
          <w:rFonts w:ascii="Arial" w:hAnsi="Arial"/>
          <w:noProof/>
          <w:sz w:val="19"/>
          <w:szCs w:val="19"/>
          <w:lang w:eastAsia="en-US"/>
        </w:rPr>
        <w:tab/>
        <w:t>10</w:t>
      </w:r>
    </w:p>
    <w:p w:rsidR="00301DDB" w:rsidRPr="00301DDB" w:rsidRDefault="00301DDB" w:rsidP="00301DDB">
      <w:pPr>
        <w:keepNext/>
        <w:tabs>
          <w:tab w:val="right" w:pos="8278"/>
        </w:tabs>
        <w:spacing w:before="120" w:after="120"/>
        <w:ind w:left="1843" w:right="714" w:hanging="1843"/>
        <w:rPr>
          <w:rFonts w:asciiTheme="minorHAnsi" w:eastAsiaTheme="minorEastAsia" w:hAnsiTheme="minorHAnsi" w:cstheme="minorBidi"/>
          <w:noProof/>
          <w:sz w:val="22"/>
          <w:szCs w:val="22"/>
        </w:rPr>
      </w:pPr>
      <w:r w:rsidRPr="00301DDB">
        <w:rPr>
          <w:rFonts w:ascii="Arial" w:hAnsi="Arial"/>
          <w:b/>
          <w:noProof/>
          <w:sz w:val="22"/>
          <w:szCs w:val="22"/>
          <w:lang w:eastAsia="en-US"/>
        </w:rPr>
        <w:t>Part 3</w:t>
      </w:r>
      <w:r w:rsidRPr="00301DDB">
        <w:rPr>
          <w:rFonts w:asciiTheme="minorHAnsi" w:eastAsiaTheme="minorEastAsia" w:hAnsiTheme="minorHAnsi" w:cstheme="minorBidi"/>
          <w:noProof/>
          <w:sz w:val="22"/>
          <w:szCs w:val="22"/>
        </w:rPr>
        <w:tab/>
      </w:r>
      <w:r w:rsidRPr="00301DDB">
        <w:rPr>
          <w:rFonts w:ascii="Arial" w:hAnsi="Arial"/>
          <w:b/>
          <w:noProof/>
          <w:sz w:val="22"/>
          <w:szCs w:val="22"/>
          <w:lang w:eastAsia="en-US"/>
        </w:rPr>
        <w:t>Requirements for operation of eligible projects</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t>Division 3.1</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Operation of eligible projects</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t>Division 3.2</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Stratification</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3.1</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Stratification</w:t>
      </w:r>
      <w:r w:rsidRPr="00301DDB">
        <w:rPr>
          <w:rFonts w:ascii="Arial" w:hAnsi="Arial"/>
          <w:noProof/>
          <w:sz w:val="19"/>
          <w:szCs w:val="19"/>
          <w:lang w:eastAsia="en-US"/>
        </w:rPr>
        <w:tab/>
        <w:t>12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3.2</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Remotely-sensed imagery of project area</w:t>
      </w:r>
      <w:r w:rsidRPr="00301DDB">
        <w:rPr>
          <w:rFonts w:ascii="Arial" w:hAnsi="Arial"/>
          <w:noProof/>
          <w:sz w:val="19"/>
          <w:szCs w:val="19"/>
          <w:lang w:eastAsia="en-US"/>
        </w:rPr>
        <w:tab/>
        <w:t>12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3.3</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Land-cover assessment</w:t>
      </w:r>
      <w:r w:rsidRPr="00301DDB">
        <w:rPr>
          <w:rFonts w:ascii="Arial" w:hAnsi="Arial"/>
          <w:noProof/>
          <w:sz w:val="19"/>
          <w:szCs w:val="19"/>
          <w:lang w:eastAsia="en-US"/>
        </w:rPr>
        <w:tab/>
        <w:t>12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Requirements for an exclusion area</w:t>
      </w:r>
      <w:r w:rsidRPr="00301DDB">
        <w:rPr>
          <w:rFonts w:ascii="Arial" w:hAnsi="Arial"/>
          <w:noProof/>
          <w:sz w:val="19"/>
          <w:szCs w:val="19"/>
          <w:lang w:eastAsia="en-US"/>
        </w:rPr>
        <w:tab/>
        <w:t>13</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3.5</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Clearing buffers</w:t>
      </w:r>
      <w:r w:rsidRPr="00301DDB">
        <w:rPr>
          <w:rFonts w:ascii="Arial" w:hAnsi="Arial"/>
          <w:noProof/>
          <w:sz w:val="19"/>
          <w:szCs w:val="19"/>
          <w:lang w:eastAsia="en-US"/>
        </w:rPr>
        <w:tab/>
        <w:t>13</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3.6</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Requirements for a carbon estimation area</w:t>
      </w:r>
      <w:r w:rsidRPr="00301DDB">
        <w:rPr>
          <w:rFonts w:ascii="Arial" w:hAnsi="Arial"/>
          <w:noProof/>
          <w:sz w:val="19"/>
          <w:szCs w:val="19"/>
          <w:lang w:eastAsia="en-US"/>
        </w:rPr>
        <w:tab/>
        <w:t>13</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3.7</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Re-stratification of carbon estimation areas</w:t>
      </w:r>
      <w:r w:rsidRPr="00301DDB">
        <w:rPr>
          <w:rFonts w:ascii="Arial" w:hAnsi="Arial"/>
          <w:noProof/>
          <w:sz w:val="19"/>
          <w:szCs w:val="19"/>
          <w:lang w:eastAsia="en-US"/>
        </w:rPr>
        <w:tab/>
        <w:t>14</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3.8</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Strata boundaries</w:t>
      </w:r>
      <w:r w:rsidRPr="00301DDB">
        <w:rPr>
          <w:rFonts w:ascii="Arial" w:hAnsi="Arial"/>
          <w:noProof/>
          <w:sz w:val="19"/>
          <w:szCs w:val="19"/>
          <w:lang w:eastAsia="en-US"/>
        </w:rPr>
        <w:tab/>
        <w:t>14</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t>Division 3.3</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Restrictions on activities</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3.9</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No commercial harvesting</w:t>
      </w:r>
      <w:r w:rsidRPr="00301DDB">
        <w:rPr>
          <w:rFonts w:ascii="Arial" w:hAnsi="Arial"/>
          <w:noProof/>
          <w:sz w:val="19"/>
          <w:szCs w:val="19"/>
          <w:lang w:eastAsia="en-US"/>
        </w:rPr>
        <w:tab/>
        <w:t>14</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3.10</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Fuel wood, fencing and thinning</w:t>
      </w:r>
      <w:r w:rsidRPr="00301DDB">
        <w:rPr>
          <w:rFonts w:ascii="Arial" w:hAnsi="Arial"/>
          <w:noProof/>
          <w:sz w:val="19"/>
          <w:szCs w:val="19"/>
          <w:lang w:eastAsia="en-US"/>
        </w:rPr>
        <w:tab/>
        <w:t>14</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t>Division 3.4</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Calculations</w:t>
      </w:r>
    </w:p>
    <w:p w:rsidR="00301DDB" w:rsidRPr="00301DDB" w:rsidRDefault="00301DDB" w:rsidP="00301DDB">
      <w:pPr>
        <w:keepNext/>
        <w:tabs>
          <w:tab w:val="right" w:pos="8278"/>
        </w:tabs>
        <w:spacing w:before="80"/>
        <w:ind w:left="1843" w:hanging="1843"/>
        <w:rPr>
          <w:rFonts w:asciiTheme="minorHAnsi" w:eastAsiaTheme="minorEastAsia" w:hAnsiTheme="minorHAnsi" w:cstheme="minorBidi"/>
          <w:noProof/>
          <w:sz w:val="22"/>
          <w:szCs w:val="22"/>
        </w:rPr>
      </w:pPr>
      <w:r w:rsidRPr="00301DDB">
        <w:rPr>
          <w:rFonts w:ascii="Arial" w:hAnsi="Arial"/>
          <w:b/>
          <w:noProof/>
          <w:sz w:val="18"/>
          <w:lang w:eastAsia="en-US"/>
        </w:rPr>
        <w:t>Subdivision 3.4.1</w:t>
      </w:r>
      <w:r w:rsidRPr="00301DDB">
        <w:rPr>
          <w:rFonts w:asciiTheme="minorHAnsi" w:eastAsiaTheme="minorEastAsia" w:hAnsiTheme="minorHAnsi" w:cstheme="minorBidi"/>
          <w:noProof/>
          <w:sz w:val="22"/>
          <w:szCs w:val="22"/>
        </w:rPr>
        <w:tab/>
      </w:r>
      <w:r w:rsidRPr="00301DDB">
        <w:rPr>
          <w:rFonts w:ascii="Arial" w:hAnsi="Arial"/>
          <w:b/>
          <w:noProof/>
          <w:sz w:val="18"/>
          <w:lang w:eastAsia="en-US"/>
        </w:rPr>
        <w:t>Baseline</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3.11</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Baseline</w:t>
      </w:r>
      <w:r w:rsidRPr="00301DDB">
        <w:rPr>
          <w:rFonts w:ascii="Arial" w:hAnsi="Arial"/>
          <w:noProof/>
          <w:sz w:val="19"/>
          <w:szCs w:val="19"/>
          <w:lang w:eastAsia="en-US"/>
        </w:rPr>
        <w:tab/>
        <w:t>15</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3.12</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Recording baseline activities—deforestation plan</w:t>
      </w:r>
      <w:r w:rsidRPr="00301DDB">
        <w:rPr>
          <w:rFonts w:ascii="Arial" w:hAnsi="Arial"/>
          <w:noProof/>
          <w:sz w:val="19"/>
          <w:szCs w:val="19"/>
          <w:lang w:eastAsia="en-US"/>
        </w:rPr>
        <w:tab/>
        <w:t>15</w:t>
      </w:r>
    </w:p>
    <w:p w:rsidR="00301DDB" w:rsidRPr="00301DDB" w:rsidRDefault="00301DDB" w:rsidP="00301DDB">
      <w:pPr>
        <w:keepNext/>
        <w:tabs>
          <w:tab w:val="right" w:pos="8278"/>
        </w:tabs>
        <w:spacing w:before="80"/>
        <w:ind w:left="1843" w:hanging="1843"/>
        <w:rPr>
          <w:rFonts w:asciiTheme="minorHAnsi" w:eastAsiaTheme="minorEastAsia" w:hAnsiTheme="minorHAnsi" w:cstheme="minorBidi"/>
          <w:noProof/>
          <w:sz w:val="22"/>
          <w:szCs w:val="22"/>
        </w:rPr>
      </w:pPr>
      <w:r w:rsidRPr="00301DDB">
        <w:rPr>
          <w:rFonts w:ascii="Arial" w:hAnsi="Arial"/>
          <w:b/>
          <w:noProof/>
          <w:sz w:val="18"/>
          <w:lang w:eastAsia="en-US"/>
        </w:rPr>
        <w:t>Subdivision 3.4.2</w:t>
      </w:r>
      <w:r w:rsidRPr="00301DDB">
        <w:rPr>
          <w:rFonts w:asciiTheme="minorHAnsi" w:eastAsiaTheme="minorEastAsia" w:hAnsiTheme="minorHAnsi" w:cstheme="minorBidi"/>
          <w:noProof/>
          <w:sz w:val="22"/>
          <w:szCs w:val="22"/>
        </w:rPr>
        <w:tab/>
      </w:r>
      <w:r w:rsidRPr="00301DDB">
        <w:rPr>
          <w:rFonts w:ascii="Arial" w:hAnsi="Arial"/>
          <w:b/>
          <w:noProof/>
          <w:sz w:val="18"/>
          <w:lang w:eastAsia="en-US"/>
        </w:rPr>
        <w:t>Allometric equations</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3.13</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Allometric equations to be validated or developed</w:t>
      </w:r>
      <w:r w:rsidRPr="00301DDB">
        <w:rPr>
          <w:rFonts w:ascii="Arial" w:hAnsi="Arial"/>
          <w:noProof/>
          <w:sz w:val="19"/>
          <w:szCs w:val="19"/>
          <w:lang w:eastAsia="en-US"/>
        </w:rPr>
        <w:tab/>
        <w:t>16</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3.14</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Validating or developing allometric equations</w:t>
      </w:r>
      <w:r w:rsidRPr="00301DDB">
        <w:rPr>
          <w:rFonts w:ascii="Arial" w:hAnsi="Arial"/>
          <w:noProof/>
          <w:sz w:val="19"/>
          <w:szCs w:val="19"/>
          <w:lang w:eastAsia="en-US"/>
        </w:rPr>
        <w:tab/>
        <w:t>16</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3.15</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1—Scope of allometry</w:t>
      </w:r>
      <w:r w:rsidRPr="00301DDB">
        <w:rPr>
          <w:rFonts w:ascii="Arial" w:hAnsi="Arial"/>
          <w:noProof/>
          <w:sz w:val="19"/>
          <w:szCs w:val="19"/>
          <w:lang w:eastAsia="en-US"/>
        </w:rPr>
        <w:tab/>
        <w:t>16</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3.16</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2—Determination of allometric domains</w:t>
      </w:r>
      <w:r w:rsidRPr="00301DDB">
        <w:rPr>
          <w:rFonts w:ascii="Arial" w:hAnsi="Arial"/>
          <w:noProof/>
          <w:sz w:val="19"/>
          <w:szCs w:val="19"/>
          <w:lang w:eastAsia="en-US"/>
        </w:rPr>
        <w:tab/>
        <w:t>16</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3.17</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3—Sample size</w:t>
      </w:r>
      <w:r w:rsidRPr="00301DDB">
        <w:rPr>
          <w:rFonts w:ascii="Arial" w:hAnsi="Arial"/>
          <w:noProof/>
          <w:sz w:val="19"/>
          <w:szCs w:val="19"/>
          <w:lang w:eastAsia="en-US"/>
        </w:rPr>
        <w:tab/>
        <w:t>17</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3.18</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4—Determination of plot design for tree selection</w:t>
      </w:r>
      <w:r w:rsidRPr="00301DDB">
        <w:rPr>
          <w:rFonts w:ascii="Arial" w:hAnsi="Arial"/>
          <w:noProof/>
          <w:sz w:val="19"/>
          <w:szCs w:val="19"/>
          <w:lang w:eastAsia="en-US"/>
        </w:rPr>
        <w:tab/>
        <w:t>17</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3.19</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5—Allocation of plots for tree selection</w:t>
      </w:r>
      <w:r w:rsidRPr="00301DDB">
        <w:rPr>
          <w:rFonts w:ascii="Arial" w:hAnsi="Arial"/>
          <w:noProof/>
          <w:sz w:val="19"/>
          <w:szCs w:val="19"/>
          <w:lang w:eastAsia="en-US"/>
        </w:rPr>
        <w:tab/>
        <w:t>17</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3.20</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6—Survey and random selection of trees for destructive sampling</w:t>
      </w:r>
      <w:r w:rsidRPr="00301DDB">
        <w:rPr>
          <w:rFonts w:ascii="Arial" w:hAnsi="Arial"/>
          <w:noProof/>
          <w:sz w:val="19"/>
          <w:szCs w:val="19"/>
          <w:lang w:eastAsia="en-US"/>
        </w:rPr>
        <w:tab/>
        <w:t>18</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3.21</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7—Size classes</w:t>
      </w:r>
      <w:r w:rsidRPr="00301DDB">
        <w:rPr>
          <w:rFonts w:ascii="Arial" w:hAnsi="Arial"/>
          <w:noProof/>
          <w:sz w:val="19"/>
          <w:szCs w:val="19"/>
          <w:lang w:eastAsia="en-US"/>
        </w:rPr>
        <w:tab/>
        <w:t>18</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3.22</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8—Destructive sampling procedure</w:t>
      </w:r>
      <w:r w:rsidRPr="00301DDB">
        <w:rPr>
          <w:rFonts w:ascii="Arial" w:hAnsi="Arial"/>
          <w:noProof/>
          <w:sz w:val="19"/>
          <w:szCs w:val="19"/>
          <w:lang w:eastAsia="en-US"/>
        </w:rPr>
        <w:tab/>
        <w:t>19</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lastRenderedPageBreak/>
        <w:tab/>
        <w:t>3.23</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9—Biomass analysis</w:t>
      </w:r>
      <w:r w:rsidRPr="00301DDB">
        <w:rPr>
          <w:rFonts w:ascii="Arial" w:hAnsi="Arial"/>
          <w:noProof/>
          <w:sz w:val="19"/>
          <w:szCs w:val="19"/>
          <w:lang w:eastAsia="en-US"/>
        </w:rPr>
        <w:tab/>
        <w:t>19</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3.24</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10—Data exploration and analysis</w:t>
      </w:r>
      <w:r w:rsidRPr="00301DDB">
        <w:rPr>
          <w:rFonts w:ascii="Arial" w:hAnsi="Arial"/>
          <w:noProof/>
          <w:sz w:val="19"/>
          <w:szCs w:val="19"/>
          <w:lang w:eastAsia="en-US"/>
        </w:rPr>
        <w:tab/>
        <w:t>21</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3.25</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11—Validation of allometric equation</w:t>
      </w:r>
      <w:r w:rsidRPr="00301DDB">
        <w:rPr>
          <w:rFonts w:ascii="Arial" w:hAnsi="Arial"/>
          <w:noProof/>
          <w:sz w:val="19"/>
          <w:szCs w:val="19"/>
          <w:lang w:eastAsia="en-US"/>
        </w:rPr>
        <w:tab/>
        <w:t>22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3.26</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Procedure if allometric equation cannot be validated</w:t>
      </w:r>
      <w:r w:rsidRPr="00301DDB">
        <w:rPr>
          <w:rFonts w:ascii="Arial" w:hAnsi="Arial"/>
          <w:noProof/>
          <w:sz w:val="19"/>
          <w:szCs w:val="19"/>
          <w:lang w:eastAsia="en-US"/>
        </w:rPr>
        <w:tab/>
        <w:t>24</w:t>
      </w:r>
    </w:p>
    <w:p w:rsidR="00301DDB" w:rsidRPr="00301DDB" w:rsidRDefault="00301DDB" w:rsidP="00301DDB">
      <w:pPr>
        <w:keepNext/>
        <w:tabs>
          <w:tab w:val="right" w:pos="8278"/>
        </w:tabs>
        <w:spacing w:before="80"/>
        <w:ind w:left="1843" w:hanging="1843"/>
        <w:rPr>
          <w:rFonts w:asciiTheme="minorHAnsi" w:eastAsiaTheme="minorEastAsia" w:hAnsiTheme="minorHAnsi" w:cstheme="minorBidi"/>
          <w:noProof/>
          <w:sz w:val="22"/>
          <w:szCs w:val="22"/>
        </w:rPr>
      </w:pPr>
      <w:r w:rsidRPr="00301DDB">
        <w:rPr>
          <w:rFonts w:ascii="Arial" w:hAnsi="Arial"/>
          <w:b/>
          <w:noProof/>
          <w:sz w:val="18"/>
          <w:lang w:eastAsia="en-US"/>
        </w:rPr>
        <w:t>Subdivision 3.4.3</w:t>
      </w:r>
      <w:r w:rsidRPr="00301DDB">
        <w:rPr>
          <w:rFonts w:asciiTheme="minorHAnsi" w:eastAsiaTheme="minorEastAsia" w:hAnsiTheme="minorHAnsi" w:cstheme="minorBidi"/>
          <w:noProof/>
          <w:sz w:val="22"/>
          <w:szCs w:val="22"/>
        </w:rPr>
        <w:tab/>
      </w:r>
      <w:r w:rsidRPr="00301DDB">
        <w:rPr>
          <w:rFonts w:ascii="Arial" w:hAnsi="Arial"/>
          <w:b/>
          <w:noProof/>
          <w:sz w:val="18"/>
          <w:lang w:eastAsia="en-US"/>
        </w:rPr>
        <w:t>Biomass survey</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3.27</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Determination of native forest biomass</w:t>
      </w:r>
      <w:r w:rsidRPr="00301DDB">
        <w:rPr>
          <w:rFonts w:ascii="Arial" w:hAnsi="Arial"/>
          <w:noProof/>
          <w:sz w:val="19"/>
          <w:szCs w:val="19"/>
          <w:lang w:eastAsia="en-US"/>
        </w:rPr>
        <w:tab/>
        <w:t>24</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3.28</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Determination of root:shoot ratios</w:t>
      </w:r>
      <w:r w:rsidRPr="00301DDB">
        <w:rPr>
          <w:rFonts w:ascii="Arial" w:hAnsi="Arial"/>
          <w:noProof/>
          <w:sz w:val="19"/>
          <w:szCs w:val="19"/>
          <w:lang w:eastAsia="en-US"/>
        </w:rPr>
        <w:tab/>
        <w:t>25</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3.29</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1—Plot design</w:t>
      </w:r>
      <w:r w:rsidRPr="00301DDB">
        <w:rPr>
          <w:rFonts w:ascii="Arial" w:hAnsi="Arial"/>
          <w:noProof/>
          <w:sz w:val="19"/>
          <w:szCs w:val="19"/>
          <w:lang w:eastAsia="en-US"/>
        </w:rPr>
        <w:tab/>
        <w:t>25</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3.30</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2—Allocation of plots</w:t>
      </w:r>
      <w:r w:rsidRPr="00301DDB">
        <w:rPr>
          <w:rFonts w:ascii="Arial" w:hAnsi="Arial"/>
          <w:noProof/>
          <w:sz w:val="19"/>
          <w:szCs w:val="19"/>
          <w:lang w:eastAsia="en-US"/>
        </w:rPr>
        <w:tab/>
        <w:t>25</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3.31</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3—Pilot survey</w:t>
      </w:r>
      <w:r w:rsidRPr="00301DDB">
        <w:rPr>
          <w:rFonts w:ascii="Arial" w:hAnsi="Arial"/>
          <w:noProof/>
          <w:sz w:val="19"/>
          <w:szCs w:val="19"/>
          <w:lang w:eastAsia="en-US"/>
        </w:rPr>
        <w:tab/>
        <w:t>26</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3.32</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4—Number of plots</w:t>
      </w:r>
      <w:r w:rsidRPr="00301DDB">
        <w:rPr>
          <w:rFonts w:ascii="Arial" w:hAnsi="Arial"/>
          <w:noProof/>
          <w:sz w:val="19"/>
          <w:szCs w:val="19"/>
          <w:lang w:eastAsia="en-US"/>
        </w:rPr>
        <w:tab/>
        <w:t>26</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3.33</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5—Preparation of biomass survey</w:t>
      </w:r>
      <w:r w:rsidRPr="00301DDB">
        <w:rPr>
          <w:rFonts w:ascii="Arial" w:hAnsi="Arial"/>
          <w:noProof/>
          <w:sz w:val="19"/>
          <w:szCs w:val="19"/>
          <w:lang w:eastAsia="en-US"/>
        </w:rPr>
        <w:tab/>
        <w:t>27</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3.34</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6—Measurements within plots</w:t>
      </w:r>
      <w:r w:rsidRPr="00301DDB">
        <w:rPr>
          <w:rFonts w:ascii="Arial" w:hAnsi="Arial"/>
          <w:noProof/>
          <w:sz w:val="19"/>
          <w:szCs w:val="19"/>
          <w:lang w:eastAsia="en-US"/>
        </w:rPr>
        <w:tab/>
        <w:t>28</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3.35</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7—Biomass of plots</w:t>
      </w:r>
      <w:r w:rsidRPr="00301DDB">
        <w:rPr>
          <w:rFonts w:ascii="Arial" w:hAnsi="Arial"/>
          <w:noProof/>
          <w:sz w:val="19"/>
          <w:szCs w:val="19"/>
          <w:lang w:eastAsia="en-US"/>
        </w:rPr>
        <w:tab/>
        <w:t>28</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3.36</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8—Edge corrections for plots crossing carbon estimation area boundaries</w:t>
      </w:r>
      <w:r w:rsidRPr="00301DDB">
        <w:rPr>
          <w:rFonts w:ascii="Arial" w:hAnsi="Arial"/>
          <w:noProof/>
          <w:sz w:val="19"/>
          <w:szCs w:val="19"/>
          <w:lang w:eastAsia="en-US"/>
        </w:rPr>
        <w:tab/>
        <w:t>30</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3.37</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9—Validation of sample size</w:t>
      </w:r>
      <w:r w:rsidRPr="00301DDB">
        <w:rPr>
          <w:rFonts w:ascii="Arial" w:hAnsi="Arial"/>
          <w:noProof/>
          <w:sz w:val="19"/>
          <w:szCs w:val="19"/>
          <w:lang w:eastAsia="en-US"/>
        </w:rPr>
        <w:tab/>
        <w:t>30</w:t>
      </w:r>
    </w:p>
    <w:p w:rsidR="00301DDB" w:rsidRPr="00301DDB" w:rsidRDefault="00301DDB" w:rsidP="00301DDB">
      <w:pPr>
        <w:keepNext/>
        <w:tabs>
          <w:tab w:val="right" w:pos="8278"/>
        </w:tabs>
        <w:spacing w:before="80"/>
        <w:ind w:left="1843" w:hanging="1843"/>
        <w:rPr>
          <w:rFonts w:asciiTheme="minorHAnsi" w:eastAsiaTheme="minorEastAsia" w:hAnsiTheme="minorHAnsi" w:cstheme="minorBidi"/>
          <w:noProof/>
          <w:sz w:val="22"/>
          <w:szCs w:val="22"/>
        </w:rPr>
      </w:pPr>
      <w:r w:rsidRPr="00301DDB">
        <w:rPr>
          <w:rFonts w:ascii="Arial" w:hAnsi="Arial"/>
          <w:b/>
          <w:noProof/>
          <w:sz w:val="18"/>
          <w:lang w:eastAsia="en-US"/>
        </w:rPr>
        <w:t>Subdivision 3.4.4</w:t>
      </w:r>
      <w:r w:rsidRPr="00301DDB">
        <w:rPr>
          <w:rFonts w:asciiTheme="minorHAnsi" w:eastAsiaTheme="minorEastAsia" w:hAnsiTheme="minorHAnsi" w:cstheme="minorBidi"/>
          <w:noProof/>
          <w:sz w:val="22"/>
          <w:szCs w:val="22"/>
        </w:rPr>
        <w:tab/>
      </w:r>
      <w:r w:rsidRPr="00301DDB">
        <w:rPr>
          <w:rFonts w:ascii="Arial" w:hAnsi="Arial"/>
          <w:b/>
          <w:noProof/>
          <w:sz w:val="18"/>
          <w:lang w:eastAsia="en-US"/>
        </w:rPr>
        <w:t>Calculation of baseline emissions</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3.38</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Calculating baseline emissions</w:t>
      </w:r>
      <w:r w:rsidRPr="00301DDB">
        <w:rPr>
          <w:rFonts w:ascii="Arial" w:hAnsi="Arial"/>
          <w:noProof/>
          <w:sz w:val="19"/>
          <w:szCs w:val="19"/>
          <w:lang w:eastAsia="en-US"/>
        </w:rPr>
        <w:tab/>
        <w:t>32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3.39</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Baseline relevant carbon pools</w:t>
      </w:r>
      <w:r w:rsidRPr="00301DDB">
        <w:rPr>
          <w:rFonts w:ascii="Arial" w:hAnsi="Arial"/>
          <w:noProof/>
          <w:sz w:val="19"/>
          <w:szCs w:val="19"/>
          <w:lang w:eastAsia="en-US"/>
        </w:rPr>
        <w:tab/>
        <w:t>32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3.40</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1—Surveying requirements</w:t>
      </w:r>
      <w:r w:rsidRPr="00301DDB">
        <w:rPr>
          <w:rFonts w:ascii="Arial" w:hAnsi="Arial"/>
          <w:noProof/>
          <w:sz w:val="19"/>
          <w:szCs w:val="19"/>
          <w:lang w:eastAsia="en-US"/>
        </w:rPr>
        <w:tab/>
        <w:t>32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3.41</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2—Calculating carbon stocks in carbon estimation area</w:t>
      </w:r>
      <w:r w:rsidRPr="00301DDB">
        <w:rPr>
          <w:rFonts w:ascii="Arial" w:hAnsi="Arial"/>
          <w:noProof/>
          <w:sz w:val="19"/>
          <w:szCs w:val="19"/>
          <w:lang w:eastAsia="en-US"/>
        </w:rPr>
        <w:tab/>
        <w:t>32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val="en-US" w:eastAsia="en-US"/>
        </w:rPr>
        <w:tab/>
        <w:t>3.42</w:t>
      </w:r>
      <w:r w:rsidRPr="00301DDB">
        <w:rPr>
          <w:rFonts w:asciiTheme="minorHAnsi" w:eastAsiaTheme="minorEastAsia" w:hAnsiTheme="minorHAnsi" w:cstheme="minorBidi"/>
          <w:noProof/>
          <w:sz w:val="22"/>
          <w:szCs w:val="22"/>
        </w:rPr>
        <w:tab/>
      </w:r>
      <w:r w:rsidRPr="00301DDB">
        <w:rPr>
          <w:rFonts w:ascii="Arial" w:hAnsi="Arial"/>
          <w:noProof/>
          <w:sz w:val="19"/>
          <w:szCs w:val="19"/>
          <w:lang w:val="en-US" w:eastAsia="en-US"/>
        </w:rPr>
        <w:t>Step 3—Calculating carbon stocks in carbon estimation area following clearing</w:t>
      </w:r>
      <w:r w:rsidRPr="00301DDB">
        <w:rPr>
          <w:rFonts w:ascii="Arial" w:hAnsi="Arial"/>
          <w:noProof/>
          <w:sz w:val="19"/>
          <w:szCs w:val="19"/>
          <w:lang w:eastAsia="en-US"/>
        </w:rPr>
        <w:tab/>
        <w:t>34</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3.43</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4—Calculating changes in baseline carbon stock in each carbon estimation area</w:t>
      </w:r>
      <w:r w:rsidRPr="00301DDB">
        <w:rPr>
          <w:rFonts w:ascii="Arial" w:hAnsi="Arial"/>
          <w:noProof/>
          <w:sz w:val="19"/>
          <w:szCs w:val="19"/>
          <w:lang w:eastAsia="en-US"/>
        </w:rPr>
        <w:tab/>
        <w:t>38</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3.44</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5—Calculation of emissions in each carbon estimation area in the baseline</w:t>
      </w:r>
      <w:r w:rsidRPr="00301DDB">
        <w:rPr>
          <w:rFonts w:ascii="Arial" w:hAnsi="Arial"/>
          <w:noProof/>
          <w:sz w:val="19"/>
          <w:szCs w:val="19"/>
          <w:lang w:eastAsia="en-US"/>
        </w:rPr>
        <w:tab/>
        <w:t>38</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3.45</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6—Calculating net baseline greenhouse gas emissions</w:t>
      </w:r>
      <w:r w:rsidRPr="00301DDB">
        <w:rPr>
          <w:rFonts w:ascii="Arial" w:hAnsi="Arial"/>
          <w:noProof/>
          <w:sz w:val="19"/>
          <w:szCs w:val="19"/>
          <w:lang w:eastAsia="en-US"/>
        </w:rPr>
        <w:tab/>
        <w:t>40</w:t>
      </w:r>
    </w:p>
    <w:p w:rsidR="00301DDB" w:rsidRPr="00301DDB" w:rsidRDefault="00301DDB" w:rsidP="00301DDB">
      <w:pPr>
        <w:keepNext/>
        <w:tabs>
          <w:tab w:val="right" w:pos="8278"/>
        </w:tabs>
        <w:spacing w:before="80"/>
        <w:ind w:left="1843" w:hanging="1843"/>
        <w:rPr>
          <w:rFonts w:asciiTheme="minorHAnsi" w:eastAsiaTheme="minorEastAsia" w:hAnsiTheme="minorHAnsi" w:cstheme="minorBidi"/>
          <w:noProof/>
          <w:sz w:val="22"/>
          <w:szCs w:val="22"/>
        </w:rPr>
      </w:pPr>
      <w:r w:rsidRPr="00301DDB">
        <w:rPr>
          <w:rFonts w:ascii="Arial" w:hAnsi="Arial"/>
          <w:b/>
          <w:noProof/>
          <w:sz w:val="18"/>
          <w:lang w:eastAsia="en-US"/>
        </w:rPr>
        <w:t>Subdivision 3.4.5</w:t>
      </w:r>
      <w:r w:rsidRPr="00301DDB">
        <w:rPr>
          <w:rFonts w:asciiTheme="minorHAnsi" w:eastAsiaTheme="minorEastAsia" w:hAnsiTheme="minorHAnsi" w:cstheme="minorBidi"/>
          <w:noProof/>
          <w:sz w:val="22"/>
          <w:szCs w:val="22"/>
        </w:rPr>
        <w:tab/>
      </w:r>
      <w:r w:rsidRPr="00301DDB">
        <w:rPr>
          <w:rFonts w:ascii="Arial" w:hAnsi="Arial"/>
          <w:b/>
          <w:noProof/>
          <w:sz w:val="18"/>
          <w:lang w:eastAsia="en-US"/>
        </w:rPr>
        <w:t>Calculation of project emissions and removals</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3.46</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Calculating project emissions and removals</w:t>
      </w:r>
      <w:r w:rsidRPr="00301DDB">
        <w:rPr>
          <w:rFonts w:ascii="Arial" w:hAnsi="Arial"/>
          <w:noProof/>
          <w:sz w:val="19"/>
          <w:szCs w:val="19"/>
          <w:lang w:eastAsia="en-US"/>
        </w:rPr>
        <w:tab/>
        <w:t>41</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3.47</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Project relevant carbon pools</w:t>
      </w:r>
      <w:r w:rsidRPr="00301DDB">
        <w:rPr>
          <w:rFonts w:ascii="Arial" w:hAnsi="Arial"/>
          <w:noProof/>
          <w:sz w:val="19"/>
          <w:szCs w:val="19"/>
          <w:lang w:eastAsia="en-US"/>
        </w:rPr>
        <w:tab/>
        <w:t>41</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3.48</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1—Project forest carbon stock changes in carbon estimation area resulting from disturbances</w:t>
      </w:r>
      <w:r w:rsidRPr="00301DDB">
        <w:rPr>
          <w:rFonts w:ascii="Arial" w:hAnsi="Arial"/>
          <w:noProof/>
          <w:sz w:val="19"/>
          <w:szCs w:val="19"/>
          <w:lang w:eastAsia="en-US"/>
        </w:rPr>
        <w:tab/>
        <w:t>41</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3.49</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2—Optional calculation of carbon stock enhancements</w:t>
      </w:r>
      <w:r w:rsidRPr="00301DDB">
        <w:rPr>
          <w:rFonts w:ascii="Arial" w:hAnsi="Arial"/>
          <w:noProof/>
          <w:sz w:val="19"/>
          <w:szCs w:val="19"/>
          <w:lang w:eastAsia="en-US"/>
        </w:rPr>
        <w:tab/>
        <w:t>43</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3.50</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3—Calculating project emissions</w:t>
      </w:r>
      <w:r w:rsidRPr="00301DDB">
        <w:rPr>
          <w:rFonts w:ascii="Arial" w:hAnsi="Arial"/>
          <w:noProof/>
          <w:sz w:val="19"/>
          <w:szCs w:val="19"/>
          <w:lang w:eastAsia="en-US"/>
        </w:rPr>
        <w:tab/>
        <w:t>43</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3.51</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Step 4—Calculating total net greenhouse gas project emissions for  reporting period and crediting period</w:t>
      </w:r>
      <w:r w:rsidRPr="00301DDB">
        <w:rPr>
          <w:rFonts w:ascii="Arial" w:hAnsi="Arial"/>
          <w:noProof/>
          <w:sz w:val="19"/>
          <w:szCs w:val="19"/>
          <w:lang w:eastAsia="en-US"/>
        </w:rPr>
        <w:tab/>
        <w:t>47</w:t>
      </w:r>
    </w:p>
    <w:p w:rsidR="00301DDB" w:rsidRPr="00301DDB" w:rsidRDefault="00301DDB" w:rsidP="00301DDB">
      <w:pPr>
        <w:keepNext/>
        <w:tabs>
          <w:tab w:val="right" w:pos="8278"/>
        </w:tabs>
        <w:spacing w:before="80"/>
        <w:ind w:left="1843" w:hanging="1843"/>
        <w:rPr>
          <w:rFonts w:asciiTheme="minorHAnsi" w:eastAsiaTheme="minorEastAsia" w:hAnsiTheme="minorHAnsi" w:cstheme="minorBidi"/>
          <w:noProof/>
          <w:sz w:val="22"/>
          <w:szCs w:val="22"/>
        </w:rPr>
      </w:pPr>
      <w:r w:rsidRPr="00301DDB">
        <w:rPr>
          <w:rFonts w:ascii="Arial" w:hAnsi="Arial"/>
          <w:b/>
          <w:noProof/>
          <w:sz w:val="18"/>
          <w:lang w:eastAsia="en-US"/>
        </w:rPr>
        <w:t>Subdivision 3.4.6 Calculating net greenhouse gas abatement</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3.52</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Net greenhouse gas abatement</w:t>
      </w:r>
      <w:r w:rsidRPr="00301DDB">
        <w:rPr>
          <w:rFonts w:ascii="Arial" w:hAnsi="Arial"/>
          <w:noProof/>
          <w:sz w:val="19"/>
          <w:szCs w:val="19"/>
          <w:lang w:eastAsia="en-US"/>
        </w:rPr>
        <w:tab/>
        <w:t>48</w:t>
      </w:r>
    </w:p>
    <w:p w:rsidR="00301DDB" w:rsidRPr="00301DDB" w:rsidRDefault="00301DDB" w:rsidP="00301DDB">
      <w:pPr>
        <w:keepNext/>
        <w:tabs>
          <w:tab w:val="right" w:pos="8278"/>
        </w:tabs>
        <w:spacing w:before="120" w:after="120"/>
        <w:ind w:left="1843" w:right="714" w:hanging="1843"/>
        <w:rPr>
          <w:rFonts w:asciiTheme="minorHAnsi" w:eastAsiaTheme="minorEastAsia" w:hAnsiTheme="minorHAnsi" w:cstheme="minorBidi"/>
          <w:noProof/>
          <w:sz w:val="22"/>
          <w:szCs w:val="22"/>
        </w:rPr>
      </w:pPr>
      <w:r w:rsidRPr="00301DDB">
        <w:rPr>
          <w:rFonts w:ascii="Arial" w:hAnsi="Arial"/>
          <w:b/>
          <w:noProof/>
          <w:sz w:val="22"/>
          <w:szCs w:val="22"/>
          <w:lang w:eastAsia="en-US"/>
        </w:rPr>
        <w:t>Part 4</w:t>
      </w:r>
      <w:r w:rsidRPr="00301DDB">
        <w:rPr>
          <w:rFonts w:asciiTheme="minorHAnsi" w:eastAsiaTheme="minorEastAsia" w:hAnsiTheme="minorHAnsi" w:cstheme="minorBidi"/>
          <w:noProof/>
          <w:sz w:val="22"/>
          <w:szCs w:val="22"/>
        </w:rPr>
        <w:tab/>
      </w:r>
      <w:r w:rsidRPr="00301DDB">
        <w:rPr>
          <w:rFonts w:ascii="Arial" w:hAnsi="Arial"/>
          <w:b/>
          <w:noProof/>
          <w:sz w:val="22"/>
          <w:szCs w:val="22"/>
          <w:lang w:eastAsia="en-US"/>
        </w:rPr>
        <w:t>Monitoring, record-keeping and reporting requirements</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t>Division 4.1</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General</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4.1</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Application</w:t>
      </w:r>
      <w:r w:rsidRPr="00301DDB">
        <w:rPr>
          <w:rFonts w:ascii="Arial" w:hAnsi="Arial"/>
          <w:noProof/>
          <w:sz w:val="19"/>
          <w:szCs w:val="19"/>
          <w:lang w:eastAsia="en-US"/>
        </w:rPr>
        <w:tab/>
        <w:t>49</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t>Division 4.2</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Monitoring requirements</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4.2</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Monitoring for disturbance</w:t>
      </w:r>
      <w:r w:rsidRPr="00301DDB">
        <w:rPr>
          <w:rFonts w:ascii="Arial" w:hAnsi="Arial"/>
          <w:noProof/>
          <w:sz w:val="19"/>
          <w:szCs w:val="19"/>
          <w:lang w:eastAsia="en-US"/>
        </w:rPr>
        <w:tab/>
        <w:t>49</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lastRenderedPageBreak/>
        <w:t>Division 4.3</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Record-keeping requirements</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4.3</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Information relating to project area and land cover assessment</w:t>
      </w:r>
      <w:r w:rsidRPr="00301DDB">
        <w:rPr>
          <w:rFonts w:ascii="Arial" w:hAnsi="Arial"/>
          <w:noProof/>
          <w:sz w:val="19"/>
          <w:szCs w:val="19"/>
          <w:lang w:eastAsia="en-US"/>
        </w:rPr>
        <w:tab/>
        <w:t>49</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4.4</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Information relating to project eligibility</w:t>
      </w:r>
      <w:r w:rsidRPr="00301DDB">
        <w:rPr>
          <w:rFonts w:ascii="Arial" w:hAnsi="Arial"/>
          <w:noProof/>
          <w:sz w:val="19"/>
          <w:szCs w:val="19"/>
          <w:lang w:eastAsia="en-US"/>
        </w:rPr>
        <w:tab/>
        <w:t>50</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4.5</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Information relating to remotely-sensed imagery</w:t>
      </w:r>
      <w:r w:rsidRPr="00301DDB">
        <w:rPr>
          <w:rFonts w:ascii="Arial" w:hAnsi="Arial"/>
          <w:noProof/>
          <w:sz w:val="19"/>
          <w:szCs w:val="19"/>
          <w:lang w:eastAsia="en-US"/>
        </w:rPr>
        <w:tab/>
        <w:t>50</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4.6</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Information relating to biomass survey report</w:t>
      </w:r>
      <w:r w:rsidRPr="00301DDB">
        <w:rPr>
          <w:rFonts w:ascii="Arial" w:hAnsi="Arial"/>
          <w:noProof/>
          <w:sz w:val="19"/>
          <w:szCs w:val="19"/>
          <w:lang w:eastAsia="en-US"/>
        </w:rPr>
        <w:tab/>
        <w:t>50</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4.7</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Information relating to allometric equations</w:t>
      </w:r>
      <w:r w:rsidRPr="00301DDB">
        <w:rPr>
          <w:rFonts w:ascii="Arial" w:hAnsi="Arial"/>
          <w:noProof/>
          <w:sz w:val="19"/>
          <w:szCs w:val="19"/>
          <w:lang w:eastAsia="en-US"/>
        </w:rPr>
        <w:tab/>
        <w:t>51</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4.8</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Information relating to emissions and abatement calculations</w:t>
      </w:r>
      <w:r w:rsidRPr="00301DDB">
        <w:rPr>
          <w:rFonts w:ascii="Arial" w:hAnsi="Arial"/>
          <w:noProof/>
          <w:sz w:val="19"/>
          <w:szCs w:val="19"/>
          <w:lang w:eastAsia="en-US"/>
        </w:rPr>
        <w:tab/>
        <w:t>52</w:t>
      </w:r>
    </w:p>
    <w:p w:rsidR="00301DDB" w:rsidRPr="00301DDB" w:rsidRDefault="00301DDB" w:rsidP="00301DDB">
      <w:pPr>
        <w:keepNext/>
        <w:tabs>
          <w:tab w:val="right" w:pos="8278"/>
        </w:tabs>
        <w:spacing w:before="180" w:after="60"/>
        <w:ind w:left="1843" w:right="714" w:hanging="1843"/>
        <w:rPr>
          <w:rFonts w:asciiTheme="minorHAnsi" w:eastAsiaTheme="minorEastAsia" w:hAnsiTheme="minorHAnsi" w:cstheme="minorBidi"/>
          <w:noProof/>
          <w:sz w:val="22"/>
          <w:szCs w:val="22"/>
        </w:rPr>
      </w:pPr>
      <w:r w:rsidRPr="00301DDB">
        <w:rPr>
          <w:rFonts w:ascii="Arial" w:hAnsi="Arial"/>
          <w:b/>
          <w:noProof/>
          <w:sz w:val="20"/>
          <w:lang w:eastAsia="en-US"/>
        </w:rPr>
        <w:t>Division 4.4</w:t>
      </w:r>
      <w:r w:rsidRPr="00301DDB">
        <w:rPr>
          <w:rFonts w:asciiTheme="minorHAnsi" w:eastAsiaTheme="minorEastAsia" w:hAnsiTheme="minorHAnsi" w:cstheme="minorBidi"/>
          <w:noProof/>
          <w:sz w:val="22"/>
          <w:szCs w:val="22"/>
        </w:rPr>
        <w:tab/>
      </w:r>
      <w:r w:rsidRPr="00301DDB">
        <w:rPr>
          <w:rFonts w:ascii="Arial" w:hAnsi="Arial"/>
          <w:b/>
          <w:noProof/>
          <w:sz w:val="20"/>
          <w:lang w:eastAsia="en-US"/>
        </w:rPr>
        <w:t>Offsets report requirements</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4.9</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Requirements for the first offsets report</w:t>
      </w:r>
      <w:r w:rsidRPr="00301DDB">
        <w:rPr>
          <w:rFonts w:ascii="Arial" w:hAnsi="Arial"/>
          <w:noProof/>
          <w:sz w:val="19"/>
          <w:szCs w:val="19"/>
          <w:lang w:eastAsia="en-US"/>
        </w:rPr>
        <w:tab/>
        <w:t>52</w:t>
      </w:r>
    </w:p>
    <w:p w:rsidR="00301DDB" w:rsidRPr="00301DDB" w:rsidRDefault="00301DDB" w:rsidP="00301DDB">
      <w:pPr>
        <w:tabs>
          <w:tab w:val="right" w:pos="1559"/>
          <w:tab w:val="right" w:pos="8278"/>
        </w:tabs>
        <w:spacing w:before="40"/>
        <w:ind w:left="1843" w:right="714" w:hanging="1843"/>
        <w:rPr>
          <w:rFonts w:asciiTheme="minorHAnsi" w:eastAsiaTheme="minorEastAsia" w:hAnsiTheme="minorHAnsi" w:cstheme="minorBidi"/>
          <w:noProof/>
          <w:sz w:val="22"/>
          <w:szCs w:val="22"/>
        </w:rPr>
      </w:pPr>
      <w:r w:rsidRPr="00301DDB">
        <w:rPr>
          <w:rFonts w:ascii="Arial" w:hAnsi="Arial"/>
          <w:noProof/>
          <w:sz w:val="19"/>
          <w:szCs w:val="19"/>
          <w:lang w:eastAsia="en-US"/>
        </w:rPr>
        <w:tab/>
        <w:t>4.10</w:t>
      </w:r>
      <w:r w:rsidRPr="00301DDB">
        <w:rPr>
          <w:rFonts w:asciiTheme="minorHAnsi" w:eastAsiaTheme="minorEastAsia" w:hAnsiTheme="minorHAnsi" w:cstheme="minorBidi"/>
          <w:noProof/>
          <w:sz w:val="22"/>
          <w:szCs w:val="22"/>
        </w:rPr>
        <w:tab/>
      </w:r>
      <w:r w:rsidRPr="00301DDB">
        <w:rPr>
          <w:rFonts w:ascii="Arial" w:hAnsi="Arial"/>
          <w:noProof/>
          <w:sz w:val="19"/>
          <w:szCs w:val="19"/>
          <w:lang w:eastAsia="en-US"/>
        </w:rPr>
        <w:t>Requirements for all offsets reports</w:t>
      </w:r>
      <w:r w:rsidRPr="00301DDB">
        <w:rPr>
          <w:rFonts w:ascii="Arial" w:hAnsi="Arial"/>
          <w:noProof/>
          <w:sz w:val="19"/>
          <w:szCs w:val="19"/>
          <w:lang w:eastAsia="en-US"/>
        </w:rPr>
        <w:tab/>
        <w:t>53</w:t>
      </w:r>
    </w:p>
    <w:p w:rsidR="00301DDB" w:rsidRPr="00301DDB" w:rsidRDefault="00301DDB" w:rsidP="00301DDB">
      <w:pPr>
        <w:keepNext/>
        <w:tabs>
          <w:tab w:val="right" w:pos="8278"/>
        </w:tabs>
        <w:spacing w:before="180" w:after="60"/>
        <w:ind w:left="1843" w:right="714" w:hanging="1843"/>
        <w:rPr>
          <w:rFonts w:ascii="Arial" w:hAnsi="Arial"/>
          <w:b/>
          <w:noProof/>
          <w:sz w:val="20"/>
          <w:lang w:eastAsia="en-US"/>
        </w:rPr>
      </w:pPr>
      <w:r w:rsidRPr="00301DDB">
        <w:rPr>
          <w:rFonts w:ascii="Arial" w:hAnsi="Arial"/>
          <w:b/>
          <w:noProof/>
          <w:sz w:val="20"/>
          <w:lang w:eastAsia="en-US"/>
        </w:rPr>
        <w:t>Schedule 1</w:t>
      </w:r>
      <w:r w:rsidRPr="00301DDB">
        <w:rPr>
          <w:rFonts w:ascii="Arial" w:hAnsi="Arial"/>
          <w:b/>
          <w:noProof/>
          <w:sz w:val="20"/>
          <w:lang w:eastAsia="en-US"/>
        </w:rPr>
        <w:tab/>
        <w:t xml:space="preserve">Partitioning of biomass </w:t>
      </w:r>
      <w:r w:rsidRPr="00301DDB">
        <w:rPr>
          <w:rFonts w:ascii="Arial" w:hAnsi="Arial"/>
          <w:b/>
          <w:noProof/>
          <w:sz w:val="20"/>
          <w:lang w:eastAsia="en-US"/>
        </w:rPr>
        <w:tab/>
      </w:r>
      <w:r w:rsidRPr="00301DDB">
        <w:rPr>
          <w:rFonts w:ascii="Arial" w:hAnsi="Arial"/>
          <w:noProof/>
          <w:sz w:val="20"/>
          <w:lang w:eastAsia="en-US"/>
        </w:rPr>
        <w:t>56</w:t>
      </w:r>
    </w:p>
    <w:p w:rsidR="00301DDB" w:rsidRPr="00301DDB" w:rsidRDefault="00301DDB" w:rsidP="00301DDB">
      <w:pPr>
        <w:keepNext/>
        <w:keepLines/>
        <w:pageBreakBefore/>
        <w:spacing w:before="360" w:after="60"/>
        <w:ind w:left="2410" w:hanging="2410"/>
        <w:jc w:val="both"/>
        <w:outlineLvl w:val="1"/>
        <w:rPr>
          <w:rFonts w:ascii="Arial" w:hAnsi="Arial" w:cs="Arial"/>
          <w:b/>
          <w:iCs/>
          <w:sz w:val="36"/>
          <w:szCs w:val="22"/>
        </w:rPr>
      </w:pPr>
      <w:bookmarkStart w:id="3" w:name="_Toc358907393"/>
      <w:r w:rsidRPr="00301DDB">
        <w:rPr>
          <w:rFonts w:ascii="Arial" w:hAnsi="Arial" w:cs="Arial"/>
          <w:b/>
          <w:iCs/>
          <w:sz w:val="36"/>
          <w:szCs w:val="22"/>
        </w:rPr>
        <w:lastRenderedPageBreak/>
        <w:t>Part 1</w:t>
      </w:r>
      <w:r w:rsidRPr="00301DDB">
        <w:rPr>
          <w:rFonts w:ascii="Arial" w:hAnsi="Arial" w:cs="Arial"/>
          <w:b/>
          <w:iCs/>
          <w:sz w:val="36"/>
          <w:szCs w:val="22"/>
        </w:rPr>
        <w:tab/>
        <w:t>Preliminary</w:t>
      </w:r>
      <w:bookmarkEnd w:id="3"/>
    </w:p>
    <w:p w:rsidR="00301DDB" w:rsidRPr="00301DDB" w:rsidRDefault="00301DDB" w:rsidP="00301DDB">
      <w:pPr>
        <w:keepNext/>
        <w:keepLines/>
        <w:spacing w:before="360" w:after="60"/>
        <w:ind w:left="964" w:hanging="964"/>
        <w:jc w:val="both"/>
        <w:outlineLvl w:val="4"/>
        <w:rPr>
          <w:rFonts w:ascii="Arial" w:hAnsi="Arial"/>
          <w:b/>
          <w:bCs/>
          <w:iCs/>
          <w:szCs w:val="26"/>
        </w:rPr>
      </w:pPr>
      <w:bookmarkStart w:id="4" w:name="_Toc358907394"/>
      <w:r w:rsidRPr="00301DDB">
        <w:rPr>
          <w:rFonts w:ascii="Arial" w:hAnsi="Arial"/>
          <w:b/>
          <w:bCs/>
          <w:iCs/>
          <w:szCs w:val="26"/>
        </w:rPr>
        <w:t>1.1</w:t>
      </w:r>
      <w:r w:rsidRPr="00301DDB">
        <w:rPr>
          <w:rFonts w:ascii="Arial" w:hAnsi="Arial"/>
          <w:b/>
          <w:bCs/>
          <w:iCs/>
          <w:szCs w:val="26"/>
        </w:rPr>
        <w:tab/>
        <w:t>Name of Determination</w:t>
      </w:r>
      <w:bookmarkEnd w:id="4"/>
    </w:p>
    <w:p w:rsidR="00301DDB" w:rsidRPr="00301DDB" w:rsidRDefault="00301DDB" w:rsidP="00301DDB">
      <w:pPr>
        <w:keepLines/>
        <w:tabs>
          <w:tab w:val="right" w:pos="794"/>
        </w:tabs>
        <w:spacing w:before="80" w:after="100" w:line="260" w:lineRule="exact"/>
        <w:ind w:left="964" w:hanging="964"/>
        <w:jc w:val="both"/>
      </w:pPr>
      <w:r w:rsidRPr="00301DDB">
        <w:tab/>
      </w:r>
      <w:r w:rsidRPr="00301DDB">
        <w:tab/>
        <w:t xml:space="preserve">This Determination is the </w:t>
      </w:r>
      <w:r w:rsidRPr="00301DDB">
        <w:rPr>
          <w:i/>
        </w:rPr>
        <w:t>Carbon Credits (Carbon Farming Initiative) (Avoided Deforestation) Methodology Determination 2013</w:t>
      </w:r>
      <w:r w:rsidRPr="00301DDB">
        <w:t>.</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5" w:name="_Toc358907395"/>
      <w:r w:rsidRPr="00301DDB">
        <w:rPr>
          <w:rFonts w:ascii="Arial" w:hAnsi="Arial"/>
          <w:b/>
          <w:bCs/>
          <w:iCs/>
          <w:szCs w:val="26"/>
        </w:rPr>
        <w:t>1.2</w:t>
      </w:r>
      <w:r w:rsidRPr="00301DDB">
        <w:rPr>
          <w:rFonts w:ascii="Arial" w:hAnsi="Arial"/>
          <w:b/>
          <w:bCs/>
          <w:iCs/>
          <w:szCs w:val="26"/>
        </w:rPr>
        <w:tab/>
        <w:t>Commencement</w:t>
      </w:r>
      <w:bookmarkEnd w:id="5"/>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This Determination is taken to have come into force on 1 July 2010.</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6" w:name="_Toc358907396"/>
      <w:r w:rsidRPr="00301DDB">
        <w:rPr>
          <w:rFonts w:ascii="Arial" w:hAnsi="Arial"/>
          <w:b/>
          <w:bCs/>
          <w:iCs/>
          <w:szCs w:val="26"/>
        </w:rPr>
        <w:t>1.3</w:t>
      </w:r>
      <w:r w:rsidRPr="00301DDB">
        <w:rPr>
          <w:rFonts w:ascii="Arial" w:hAnsi="Arial"/>
          <w:b/>
          <w:bCs/>
          <w:iCs/>
          <w:szCs w:val="26"/>
        </w:rPr>
        <w:tab/>
        <w:t>Definitions</w:t>
      </w:r>
      <w:bookmarkEnd w:id="6"/>
    </w:p>
    <w:p w:rsidR="00301DDB" w:rsidRPr="00301DDB" w:rsidRDefault="00301DDB" w:rsidP="00301DDB">
      <w:pPr>
        <w:keepLines/>
        <w:tabs>
          <w:tab w:val="right" w:pos="794"/>
        </w:tabs>
        <w:spacing w:before="80" w:after="100" w:line="260" w:lineRule="exact"/>
        <w:ind w:left="964" w:hanging="964"/>
        <w:jc w:val="both"/>
      </w:pPr>
      <w:r w:rsidRPr="00301DDB">
        <w:tab/>
      </w:r>
      <w:r w:rsidRPr="00301DDB">
        <w:tab/>
        <w:t>In this Determination:</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 xml:space="preserve">above-ground biomass </w:t>
      </w:r>
      <w:r w:rsidRPr="00301DDB">
        <w:t xml:space="preserve">means: </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stem, stump, branches, bark, seeds and foliage of a living tree; or</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dead matter attached to a living tree.</w:t>
      </w:r>
    </w:p>
    <w:p w:rsidR="00301DDB" w:rsidRPr="00301DDB" w:rsidRDefault="00301DDB" w:rsidP="00301DDB">
      <w:pPr>
        <w:spacing w:before="80" w:after="100" w:line="260" w:lineRule="exact"/>
        <w:ind w:left="964"/>
        <w:jc w:val="both"/>
      </w:pPr>
      <w:r w:rsidRPr="00301DDB">
        <w:rPr>
          <w:b/>
          <w:i/>
        </w:rPr>
        <w:t xml:space="preserve">Act </w:t>
      </w:r>
      <w:r w:rsidRPr="00301DDB">
        <w:t xml:space="preserve">means the </w:t>
      </w:r>
      <w:r w:rsidRPr="00301DDB">
        <w:rPr>
          <w:i/>
        </w:rPr>
        <w:t>Carbon Credits (Carbon Farming Initiative) Act 2011</w:t>
      </w:r>
      <w:r w:rsidRPr="00301DDB">
        <w:t>.</w:t>
      </w:r>
    </w:p>
    <w:p w:rsidR="00301DDB" w:rsidRPr="00301DDB" w:rsidRDefault="00301DDB" w:rsidP="00301DDB">
      <w:pPr>
        <w:spacing w:before="80" w:after="100" w:line="260" w:lineRule="exact"/>
        <w:ind w:left="964"/>
        <w:jc w:val="both"/>
        <w:rPr>
          <w:lang w:val="en-US"/>
        </w:rPr>
      </w:pPr>
      <w:r w:rsidRPr="00301DDB">
        <w:rPr>
          <w:b/>
          <w:i/>
        </w:rPr>
        <w:t xml:space="preserve">allometric domain </w:t>
      </w:r>
      <w:r w:rsidRPr="00301DDB">
        <w:t xml:space="preserve">means </w:t>
      </w:r>
      <w:r w:rsidRPr="00301DDB">
        <w:rPr>
          <w:lang w:val="en-US"/>
        </w:rPr>
        <w:t>the set of specific conditions under which an allometric equation is likely to apply because the assumptions that underpin the allometric equation are satisfied.</w:t>
      </w:r>
    </w:p>
    <w:p w:rsidR="00301DDB" w:rsidRPr="00301DDB" w:rsidRDefault="00301DDB" w:rsidP="00301DDB">
      <w:pPr>
        <w:spacing w:before="80" w:after="100" w:line="260" w:lineRule="exact"/>
        <w:ind w:left="964"/>
        <w:jc w:val="both"/>
      </w:pPr>
      <w:r w:rsidRPr="00301DDB">
        <w:rPr>
          <w:b/>
          <w:i/>
        </w:rPr>
        <w:t xml:space="preserve">allometric equation </w:t>
      </w:r>
      <w:r w:rsidRPr="00301DDB">
        <w:t>means an equation that quantifies the allometric relationship between different dimensions of an organism.</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basal area </w:t>
      </w:r>
      <w:r w:rsidRPr="00301DDB">
        <w:t>means the cross-sectional area of the stem or stems of a plant or of all plants in a stand, measured at a constant height above ground level.</w:t>
      </w:r>
    </w:p>
    <w:p w:rsidR="00301DDB" w:rsidRPr="00301DDB" w:rsidRDefault="00301DDB" w:rsidP="00301DDB">
      <w:pPr>
        <w:spacing w:before="80" w:after="100" w:line="260" w:lineRule="exact"/>
        <w:ind w:left="964"/>
        <w:jc w:val="both"/>
      </w:pPr>
      <w:r w:rsidRPr="00301DDB">
        <w:rPr>
          <w:b/>
          <w:i/>
        </w:rPr>
        <w:t xml:space="preserve">below-ground biomass </w:t>
      </w:r>
      <w:r w:rsidRPr="00301DDB">
        <w:t>means living biomass of the root system.</w:t>
      </w:r>
    </w:p>
    <w:p w:rsidR="00301DDB" w:rsidRPr="00301DDB" w:rsidRDefault="00301DDB" w:rsidP="00301DDB">
      <w:pPr>
        <w:spacing w:before="80" w:after="100" w:line="260" w:lineRule="exact"/>
        <w:ind w:left="964"/>
        <w:jc w:val="both"/>
      </w:pPr>
      <w:r w:rsidRPr="00301DDB">
        <w:rPr>
          <w:b/>
          <w:i/>
        </w:rPr>
        <w:t xml:space="preserve">biomass </w:t>
      </w:r>
      <w:r w:rsidRPr="00301DDB">
        <w:t>means vegetation-derived organic matter, and includes living and non</w:t>
      </w:r>
      <w:r w:rsidRPr="00301DDB">
        <w:noBreakHyphen/>
        <w:t>living matter.</w:t>
      </w:r>
    </w:p>
    <w:p w:rsidR="00301DDB" w:rsidRPr="00301DDB" w:rsidRDefault="00301DDB" w:rsidP="00301DDB">
      <w:pPr>
        <w:spacing w:before="80" w:after="100" w:line="260" w:lineRule="exact"/>
        <w:ind w:left="964"/>
        <w:jc w:val="both"/>
      </w:pPr>
      <w:r w:rsidRPr="00301DDB">
        <w:rPr>
          <w:b/>
          <w:i/>
        </w:rPr>
        <w:t xml:space="preserve">biomass fraction </w:t>
      </w:r>
      <w:r w:rsidRPr="00301DDB">
        <w:t>means the proportion of biomass in a tree component relative to the tree of which the component is a part.</w:t>
      </w:r>
    </w:p>
    <w:p w:rsidR="00301DDB" w:rsidRPr="00301DDB" w:rsidRDefault="00301DDB" w:rsidP="00301DDB">
      <w:pPr>
        <w:spacing w:before="80" w:after="100" w:line="260" w:lineRule="exact"/>
        <w:ind w:left="964"/>
        <w:jc w:val="both"/>
      </w:pPr>
      <w:r w:rsidRPr="00301DDB">
        <w:rPr>
          <w:b/>
          <w:i/>
        </w:rPr>
        <w:t xml:space="preserve">biomass residue </w:t>
      </w:r>
      <w:r w:rsidRPr="00301DDB">
        <w:t>means the estimated biomass in an area following the deforestation of the area.</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biomass stock </w:t>
      </w:r>
      <w:r w:rsidRPr="00301DDB">
        <w:t>means the amount of biomass held in a native forest or part of a native forest.</w:t>
      </w:r>
    </w:p>
    <w:p w:rsidR="00301DDB" w:rsidRPr="00301DDB" w:rsidRDefault="00301DDB" w:rsidP="00301DDB">
      <w:pPr>
        <w:spacing w:before="80" w:after="100" w:line="260" w:lineRule="exact"/>
        <w:ind w:left="244" w:firstLine="720"/>
        <w:jc w:val="both"/>
      </w:pPr>
      <w:r w:rsidRPr="00301DDB">
        <w:rPr>
          <w:b/>
          <w:i/>
        </w:rPr>
        <w:t xml:space="preserve">biomass survey </w:t>
      </w:r>
      <w:r w:rsidRPr="00301DDB">
        <w:t>means a field-based survey of biomass.</w:t>
      </w:r>
      <w:r w:rsidRPr="00301DDB">
        <w:rPr>
          <w:b/>
          <w:i/>
        </w:rPr>
        <w:tab/>
      </w:r>
      <w:r w:rsidRPr="00301DDB">
        <w:rPr>
          <w:b/>
          <w:i/>
        </w:rPr>
        <w:tab/>
      </w:r>
    </w:p>
    <w:p w:rsidR="00301DDB" w:rsidRPr="00301DDB" w:rsidRDefault="00301DDB" w:rsidP="00301DDB">
      <w:pPr>
        <w:keepLines/>
        <w:tabs>
          <w:tab w:val="right" w:pos="794"/>
        </w:tabs>
        <w:spacing w:before="80" w:after="100" w:line="260" w:lineRule="exact"/>
        <w:ind w:left="964" w:hanging="964"/>
        <w:jc w:val="both"/>
      </w:pPr>
      <w:r w:rsidRPr="00301DDB">
        <w:rPr>
          <w:b/>
        </w:rPr>
        <w:tab/>
      </w:r>
      <w:r w:rsidRPr="00301DDB">
        <w:rPr>
          <w:b/>
        </w:rPr>
        <w:tab/>
      </w:r>
      <w:r w:rsidRPr="00301DDB">
        <w:rPr>
          <w:b/>
          <w:i/>
        </w:rPr>
        <w:t xml:space="preserve">carbon dioxide equivalent </w:t>
      </w:r>
      <w:r w:rsidRPr="00301DDB">
        <w:rPr>
          <w:b/>
        </w:rPr>
        <w:t>(CO</w:t>
      </w:r>
      <w:r w:rsidRPr="00301DDB">
        <w:rPr>
          <w:b/>
          <w:vertAlign w:val="subscript"/>
        </w:rPr>
        <w:t>2</w:t>
      </w:r>
      <w:r w:rsidRPr="00301DDB">
        <w:rPr>
          <w:b/>
        </w:rPr>
        <w:t xml:space="preserve">-e) </w:t>
      </w:r>
      <w:r w:rsidRPr="00301DDB">
        <w:t>means the carbon dioxide mass equivalent of the biomass or greenhouse gas.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 xml:space="preserve">carbon estimation area </w:t>
      </w:r>
      <w:r w:rsidRPr="00301DDB">
        <w:t>has the meaning given by section 3.6.</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 xml:space="preserve">carbon stock </w:t>
      </w:r>
      <w:r w:rsidRPr="00301DDB">
        <w:t>means the amount of carbon held in a native forest or part of a native forest.</w:t>
      </w:r>
    </w:p>
    <w:p w:rsidR="00301DDB" w:rsidRPr="00301DDB" w:rsidRDefault="00301DDB" w:rsidP="00301DDB">
      <w:pPr>
        <w:keepLines/>
        <w:tabs>
          <w:tab w:val="right" w:pos="794"/>
        </w:tabs>
        <w:spacing w:before="80" w:after="100" w:line="260" w:lineRule="exact"/>
        <w:ind w:left="964" w:hanging="964"/>
        <w:jc w:val="both"/>
      </w:pPr>
      <w:r w:rsidRPr="00301DDB">
        <w:rPr>
          <w:b/>
          <w:i/>
        </w:rPr>
        <w:lastRenderedPageBreak/>
        <w:tab/>
      </w:r>
      <w:r w:rsidRPr="00301DDB">
        <w:rPr>
          <w:b/>
          <w:i/>
        </w:rPr>
        <w:tab/>
        <w:t xml:space="preserve">CFI Mapping Guidelines </w:t>
      </w:r>
      <w:r w:rsidRPr="00301DDB">
        <w:t>means the guidelines of that name, as published from time to time, and available on the website of the department that administers the Act.</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clearing </w:t>
      </w:r>
      <w:r w:rsidRPr="00301DDB">
        <w:t>means the conversion, caused by people, of native forest to a land use other than native forest.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 xml:space="preserve">clearing buffer </w:t>
      </w:r>
      <w:r w:rsidRPr="00301DDB">
        <w:t>has the meaning given by section 3.5.</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clearing consent </w:t>
      </w:r>
      <w:r w:rsidRPr="00301DDB">
        <w:t>means approval to commence clearing required by Commonwealth, State or Territory law, issued by the relevant Commonwealth, State, Territory or local regulatory authority responsible for giving the approval.</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controlled burn</w:t>
      </w:r>
      <w:r w:rsidRPr="00301DDB">
        <w:t xml:space="preserve"> means the controlled application of fire</w:t>
      </w:r>
      <w:r w:rsidRPr="00301DDB">
        <w:rPr>
          <w:lang w:val="en-CA"/>
        </w:rPr>
        <w:t xml:space="preserve"> within a carbon estimation area.</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cropland </w:t>
      </w:r>
      <w:r w:rsidRPr="00301DDB">
        <w:t>means arable or tillable land that is used for producing annual or perennial crops.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 xml:space="preserve">debris pool </w:t>
      </w:r>
      <w:r w:rsidRPr="00301DDB">
        <w:t>means the biomass from trees cleared.</w:t>
      </w:r>
    </w:p>
    <w:p w:rsidR="00301DDB" w:rsidRPr="00301DDB" w:rsidRDefault="00301DDB" w:rsidP="00301DDB">
      <w:pPr>
        <w:spacing w:before="80" w:after="100" w:line="260" w:lineRule="exact"/>
        <w:ind w:left="964"/>
        <w:jc w:val="both"/>
      </w:pPr>
      <w:r w:rsidRPr="00301DDB">
        <w:rPr>
          <w:b/>
          <w:i/>
        </w:rPr>
        <w:t>deforestation</w:t>
      </w:r>
      <w:r w:rsidRPr="00301DDB">
        <w:t xml:space="preserve"> has the meaning given in the Regulations.</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deforestation plan </w:t>
      </w:r>
      <w:r w:rsidRPr="00301DDB">
        <w:t>has the meaning given by subsection 3.12(3).</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degradation</w:t>
      </w:r>
      <w:r w:rsidRPr="00301DDB">
        <w:t xml:space="preserve"> means a detectable reduction in the biomass of the native forest in the project area where, notwithstanding the reduction, the area remains, or has the potential to remain, a native forest, and includes a reduction caused by management activities.</w:t>
      </w:r>
      <w:r w:rsidRPr="00301DDB">
        <w:rPr>
          <w:b/>
          <w:i/>
        </w:rPr>
        <w:tab/>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diameter at breast height </w:t>
      </w:r>
      <w:r w:rsidRPr="00301DDB">
        <w:t>means the diameter of the stem of a tree, including the bark, measured at 1.3 metres above ground level.</w:t>
      </w:r>
    </w:p>
    <w:p w:rsidR="00301DDB" w:rsidRPr="00301DDB" w:rsidRDefault="00301DDB" w:rsidP="00301DDB">
      <w:pPr>
        <w:spacing w:before="80" w:after="100" w:line="260" w:lineRule="exact"/>
        <w:ind w:left="964"/>
        <w:jc w:val="both"/>
      </w:pPr>
      <w:r w:rsidRPr="00301DDB">
        <w:rPr>
          <w:b/>
          <w:i/>
        </w:rPr>
        <w:t xml:space="preserve">disturbance </w:t>
      </w:r>
      <w:r w:rsidRPr="00301DDB">
        <w:t xml:space="preserve">means: </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degradation; or</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natural disturbance.</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 xml:space="preserve">exclusion area </w:t>
      </w:r>
      <w:r w:rsidRPr="00301DDB">
        <w:t>means an area of land within the project area that is not used to estimate abatement.</w:t>
      </w:r>
    </w:p>
    <w:p w:rsidR="00301DDB" w:rsidRPr="00301DDB" w:rsidRDefault="00301DDB" w:rsidP="00301DDB">
      <w:pPr>
        <w:spacing w:before="80" w:after="100" w:line="260" w:lineRule="exact"/>
        <w:ind w:left="964"/>
        <w:jc w:val="both"/>
      </w:pPr>
      <w:r w:rsidRPr="00301DDB">
        <w:rPr>
          <w:b/>
          <w:i/>
        </w:rPr>
        <w:t xml:space="preserve">forest </w:t>
      </w:r>
      <w:r w:rsidRPr="00301DDB">
        <w:t>has the meaning given in the Regulations.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fuel wood</w:t>
      </w:r>
      <w:r w:rsidRPr="00301DDB">
        <w:t xml:space="preserve"> means biomass collected from trees for burning.</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grassland</w:t>
      </w:r>
      <w:r w:rsidRPr="00301DDB">
        <w:t xml:space="preserve"> includes:</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rangeland;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 xml:space="preserve">pasture land that is not cropland; and </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 xml:space="preserve">vegetated land that is not a forest or native forest. </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rPr>
          <w:b/>
          <w:i/>
        </w:rPr>
        <w:t xml:space="preserve">growth form </w:t>
      </w:r>
      <w:r w:rsidRPr="00301DDB">
        <w:t>means a general habit of growth of a plant determined by the direction and extent of growth, and any branching of the main-shoot axis or axes and includes: subshrub; mallee; shrub; and woody vine.</w:t>
      </w:r>
    </w:p>
    <w:p w:rsidR="00301DDB" w:rsidRPr="00301DDB" w:rsidRDefault="00301DDB" w:rsidP="00301DDB">
      <w:pPr>
        <w:spacing w:before="80" w:after="100" w:line="260" w:lineRule="exact"/>
        <w:ind w:left="964"/>
        <w:jc w:val="both"/>
      </w:pPr>
      <w:r w:rsidRPr="00301DDB">
        <w:rPr>
          <w:b/>
          <w:i/>
        </w:rPr>
        <w:t xml:space="preserve">IBRA bioregion </w:t>
      </w:r>
      <w:r w:rsidRPr="00301DDB">
        <w:t>means a region described in the latest version of the Interim Biogeographic Regionalisation for Australia published by the department that administers the</w:t>
      </w:r>
      <w:r w:rsidRPr="00301DDB">
        <w:rPr>
          <w:i/>
        </w:rPr>
        <w:t xml:space="preserve"> Environment Protection and Biodiversity Conservation Act 1999.</w:t>
      </w:r>
    </w:p>
    <w:p w:rsidR="00301DDB" w:rsidRPr="00301DDB" w:rsidRDefault="00301DDB" w:rsidP="00301DDB">
      <w:pPr>
        <w:spacing w:before="80" w:after="100" w:line="260" w:lineRule="exact"/>
        <w:ind w:left="964"/>
        <w:jc w:val="both"/>
      </w:pPr>
      <w:r w:rsidRPr="00301DDB">
        <w:rPr>
          <w:b/>
          <w:i/>
        </w:rPr>
        <w:lastRenderedPageBreak/>
        <w:t xml:space="preserve">irregular feature </w:t>
      </w:r>
      <w:r w:rsidRPr="00301DDB">
        <w:t>has the meaning given by section 3.2.</w:t>
      </w:r>
      <w:r w:rsidRPr="00301DDB">
        <w:rPr>
          <w:b/>
          <w:i/>
        </w:rPr>
        <w:t xml:space="preserve"> </w:t>
      </w:r>
    </w:p>
    <w:p w:rsidR="00301DDB" w:rsidRPr="00301DDB" w:rsidRDefault="00301DDB" w:rsidP="00301DDB">
      <w:pPr>
        <w:spacing w:before="80" w:after="100" w:line="260" w:lineRule="exact"/>
        <w:ind w:left="964"/>
        <w:jc w:val="both"/>
        <w:rPr>
          <w:b/>
          <w:i/>
        </w:rPr>
      </w:pPr>
      <w:r w:rsidRPr="00301DDB">
        <w:rPr>
          <w:b/>
          <w:i/>
        </w:rPr>
        <w:t xml:space="preserve">land cover assessment </w:t>
      </w:r>
      <w:r w:rsidRPr="00301DDB">
        <w:t>means an analysis of remotely-sensed imagery.</w:t>
      </w:r>
    </w:p>
    <w:p w:rsidR="00301DDB" w:rsidRPr="00301DDB" w:rsidRDefault="00301DDB" w:rsidP="00301DDB">
      <w:pPr>
        <w:spacing w:before="80" w:after="100" w:line="260" w:lineRule="exact"/>
        <w:ind w:left="964"/>
        <w:jc w:val="both"/>
        <w:rPr>
          <w:i/>
        </w:rPr>
      </w:pPr>
      <w:r w:rsidRPr="00301DDB">
        <w:rPr>
          <w:b/>
          <w:i/>
        </w:rPr>
        <w:t xml:space="preserve">Major Vegetation Group </w:t>
      </w:r>
      <w:r w:rsidRPr="00301DDB">
        <w:t xml:space="preserve">means a category of vegetation described in the National Vegetation Information System published by the department that administers the </w:t>
      </w:r>
      <w:r w:rsidRPr="00301DDB">
        <w:rPr>
          <w:i/>
        </w:rPr>
        <w:t>Environment Protection and Biodiversity Conservation Act 1999.</w:t>
      </w:r>
    </w:p>
    <w:p w:rsidR="00301DDB" w:rsidRPr="00301DDB" w:rsidRDefault="00301DDB" w:rsidP="00301DDB">
      <w:pPr>
        <w:spacing w:before="80" w:after="100" w:line="260" w:lineRule="exact"/>
        <w:ind w:left="964"/>
        <w:jc w:val="both"/>
        <w:rPr>
          <w:i/>
        </w:rPr>
      </w:pPr>
      <w:r w:rsidRPr="00301DDB">
        <w:rPr>
          <w:b/>
          <w:i/>
        </w:rPr>
        <w:t xml:space="preserve">National Inventory System </w:t>
      </w:r>
      <w:r w:rsidRPr="00301DDB">
        <w:t xml:space="preserve">means the national inventory of greenhouse gas emissions published by the department that administers the </w:t>
      </w:r>
      <w:r w:rsidRPr="00301DDB">
        <w:rPr>
          <w:i/>
        </w:rPr>
        <w:t>National Greenhouse and Energy Reporting Act 2007.</w:t>
      </w:r>
    </w:p>
    <w:p w:rsidR="00301DDB" w:rsidRPr="00301DDB" w:rsidRDefault="00301DDB" w:rsidP="00301DDB">
      <w:pPr>
        <w:spacing w:before="80" w:after="100" w:line="260" w:lineRule="exact"/>
        <w:ind w:left="964"/>
        <w:jc w:val="both"/>
        <w:rPr>
          <w:i/>
        </w:rPr>
      </w:pPr>
      <w:r w:rsidRPr="00301DDB">
        <w:rPr>
          <w:b/>
          <w:i/>
        </w:rPr>
        <w:t xml:space="preserve">NGER Regulations </w:t>
      </w:r>
      <w:r w:rsidRPr="00301DDB">
        <w:t xml:space="preserve">means the </w:t>
      </w:r>
      <w:r w:rsidRPr="00301DDB">
        <w:rPr>
          <w:i/>
        </w:rPr>
        <w:t>National Greenhouse and Energy Reporting Regulations 2008.</w:t>
      </w:r>
    </w:p>
    <w:p w:rsidR="00301DDB" w:rsidRPr="00301DDB" w:rsidRDefault="00301DDB" w:rsidP="00301DDB">
      <w:pPr>
        <w:spacing w:before="80" w:after="100" w:line="260" w:lineRule="exact"/>
        <w:ind w:left="964"/>
        <w:jc w:val="both"/>
      </w:pPr>
      <w:r w:rsidRPr="00301DDB">
        <w:rPr>
          <w:b/>
          <w:i/>
        </w:rPr>
        <w:t xml:space="preserve">non-project tree </w:t>
      </w:r>
      <w:r w:rsidRPr="00301DDB">
        <w:t>means a tree in a carbon estimation area that, under the deforestation plan, must not be cleared.</w:t>
      </w:r>
    </w:p>
    <w:p w:rsidR="00301DDB" w:rsidRPr="00301DDB" w:rsidRDefault="00301DDB" w:rsidP="00301DDB">
      <w:pPr>
        <w:spacing w:before="80" w:after="100" w:line="260" w:lineRule="exact"/>
        <w:ind w:left="964"/>
        <w:jc w:val="both"/>
      </w:pPr>
      <w:r w:rsidRPr="00301DDB">
        <w:rPr>
          <w:b/>
          <w:i/>
        </w:rPr>
        <w:t xml:space="preserve">non-project tree buffer </w:t>
      </w:r>
      <w:r w:rsidRPr="00301DDB">
        <w:t>means the proportion of non-project tree biomass to tree biomass in a carbon estimation area.</w:t>
      </w:r>
    </w:p>
    <w:p w:rsidR="00301DDB" w:rsidRPr="00301DDB" w:rsidRDefault="00301DDB" w:rsidP="00301DDB">
      <w:pPr>
        <w:spacing w:before="80" w:after="100" w:line="260" w:lineRule="exact"/>
        <w:ind w:left="964"/>
        <w:jc w:val="both"/>
      </w:pPr>
      <w:r w:rsidRPr="00301DDB">
        <w:rPr>
          <w:b/>
          <w:i/>
        </w:rPr>
        <w:t xml:space="preserve">pool </w:t>
      </w:r>
      <w:r w:rsidRPr="00301DDB">
        <w:t>means relevant carbon pool or debris pool.</w:t>
      </w:r>
    </w:p>
    <w:p w:rsidR="00301DDB" w:rsidRPr="00301DDB" w:rsidRDefault="00301DDB" w:rsidP="00301DDB">
      <w:pPr>
        <w:spacing w:before="80" w:after="100" w:line="260" w:lineRule="exact"/>
        <w:ind w:left="964"/>
        <w:jc w:val="both"/>
      </w:pPr>
      <w:r w:rsidRPr="00301DDB">
        <w:rPr>
          <w:b/>
          <w:i/>
        </w:rPr>
        <w:t xml:space="preserve">project commencement </w:t>
      </w:r>
      <w:r w:rsidRPr="00301DDB">
        <w:t>means the day on which the declaration in relation to the project under subsection 27(2) of the Act takes effect.</w:t>
      </w:r>
    </w:p>
    <w:p w:rsidR="00301DDB" w:rsidRPr="00301DDB" w:rsidRDefault="00301DDB" w:rsidP="00301DDB">
      <w:pPr>
        <w:spacing w:before="80" w:after="100" w:line="260" w:lineRule="exact"/>
        <w:ind w:left="964"/>
        <w:jc w:val="both"/>
      </w:pPr>
      <w:r w:rsidRPr="00301DDB">
        <w:rPr>
          <w:b/>
          <w:i/>
        </w:rPr>
        <w:t xml:space="preserve">project mechanism </w:t>
      </w:r>
      <w:r w:rsidRPr="00301DDB">
        <w:t>has the meaning given by section 2.5.</w:t>
      </w:r>
    </w:p>
    <w:p w:rsidR="00301DDB" w:rsidRPr="00301DDB" w:rsidRDefault="00301DDB" w:rsidP="00301DDB">
      <w:pPr>
        <w:spacing w:before="80" w:after="100" w:line="260" w:lineRule="exact"/>
        <w:ind w:left="964"/>
        <w:jc w:val="both"/>
      </w:pPr>
      <w:r w:rsidRPr="00301DDB">
        <w:rPr>
          <w:b/>
          <w:bCs/>
          <w:i/>
          <w:iCs/>
        </w:rPr>
        <w:t xml:space="preserve">pseudo-random number generator </w:t>
      </w:r>
      <w:r w:rsidRPr="00301DDB">
        <w:t>means computer software used for generating a sequence of numbers that approximates the properties of random numbers.</w:t>
      </w:r>
    </w:p>
    <w:p w:rsidR="00301DDB" w:rsidRPr="00301DDB" w:rsidRDefault="00301DDB" w:rsidP="00301DDB">
      <w:pPr>
        <w:spacing w:before="80" w:after="100" w:line="260" w:lineRule="exact"/>
        <w:ind w:left="964"/>
        <w:jc w:val="both"/>
      </w:pPr>
      <w:r w:rsidRPr="00301DDB">
        <w:rPr>
          <w:b/>
          <w:bCs/>
          <w:i/>
          <w:iCs/>
        </w:rPr>
        <w:t xml:space="preserve">raster </w:t>
      </w:r>
      <w:r w:rsidRPr="00301DDB">
        <w:t>means, for a map, the division of the map into a grid of pixels that can be coded according to characteristics of, or relating to, the area represented by the pixel.</w:t>
      </w:r>
    </w:p>
    <w:p w:rsidR="00301DDB" w:rsidRPr="00301DDB" w:rsidRDefault="00301DDB" w:rsidP="00301DDB">
      <w:pPr>
        <w:spacing w:before="80" w:after="100" w:line="260" w:lineRule="exact"/>
        <w:ind w:left="964"/>
        <w:jc w:val="both"/>
      </w:pPr>
      <w:r w:rsidRPr="00301DDB">
        <w:rPr>
          <w:b/>
          <w:i/>
        </w:rPr>
        <w:t>Regulations</w:t>
      </w:r>
      <w:r w:rsidRPr="00301DDB">
        <w:t xml:space="preserve"> means the </w:t>
      </w:r>
      <w:r w:rsidRPr="00301DDB">
        <w:rPr>
          <w:i/>
        </w:rPr>
        <w:t>Carbon Credits (Carbon Farming Initiative) Regulations 2011</w:t>
      </w:r>
      <w:r w:rsidRPr="00301DDB">
        <w:t>.</w:t>
      </w:r>
    </w:p>
    <w:p w:rsidR="00301DDB" w:rsidRPr="00301DDB" w:rsidRDefault="00301DDB" w:rsidP="00301DDB">
      <w:pPr>
        <w:spacing w:before="80" w:after="100" w:line="260" w:lineRule="exact"/>
        <w:ind w:left="964"/>
        <w:jc w:val="both"/>
      </w:pPr>
      <w:r w:rsidRPr="00301DDB">
        <w:rPr>
          <w:b/>
          <w:i/>
        </w:rPr>
        <w:t>relevant carbon pool</w:t>
      </w:r>
      <w:r w:rsidRPr="00301DDB">
        <w:t xml:space="preserve"> has the meaning given by sections 3.39 and 3.47. </w:t>
      </w:r>
    </w:p>
    <w:p w:rsidR="00301DDB" w:rsidRPr="00301DDB" w:rsidRDefault="00301DDB" w:rsidP="00301DDB">
      <w:pPr>
        <w:spacing w:before="80" w:after="100" w:line="260" w:lineRule="exact"/>
        <w:ind w:left="964"/>
        <w:jc w:val="both"/>
        <w:rPr>
          <w:b/>
          <w:i/>
        </w:rPr>
      </w:pPr>
      <w:r w:rsidRPr="00301DDB">
        <w:rPr>
          <w:b/>
          <w:i/>
        </w:rPr>
        <w:t xml:space="preserve">residual </w:t>
      </w:r>
      <w:r w:rsidRPr="00301DDB">
        <w:t>means the deviation of one of a set of observations or numbers from the mean of a set.</w:t>
      </w:r>
      <w:r w:rsidRPr="00301DDB">
        <w:rPr>
          <w:b/>
          <w:i/>
        </w:rPr>
        <w:t xml:space="preserve"> </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 xml:space="preserve">root:shoot ratio </w:t>
      </w:r>
      <w:r w:rsidRPr="00301DDB">
        <w:t>means the ratio of below-ground biomass to above-ground biomass.</w:t>
      </w:r>
    </w:p>
    <w:p w:rsidR="00301DDB" w:rsidRPr="00301DDB" w:rsidRDefault="00301DDB" w:rsidP="00301DDB">
      <w:pPr>
        <w:keepLines/>
        <w:tabs>
          <w:tab w:val="right" w:pos="794"/>
        </w:tabs>
        <w:spacing w:before="80" w:after="100" w:line="260" w:lineRule="exact"/>
        <w:ind w:left="964" w:hanging="964"/>
        <w:jc w:val="both"/>
      </w:pPr>
      <w:r w:rsidRPr="00301DDB">
        <w:rPr>
          <w:b/>
          <w:bCs/>
          <w:i/>
          <w:iCs/>
        </w:rPr>
        <w:tab/>
      </w:r>
      <w:r w:rsidRPr="00301DDB">
        <w:rPr>
          <w:b/>
          <w:bCs/>
          <w:i/>
          <w:iCs/>
        </w:rPr>
        <w:tab/>
        <w:t xml:space="preserve">seed number </w:t>
      </w:r>
      <w:r w:rsidRPr="00301DDB">
        <w:t>means a number input into a pseudo-random number generator for the purposes of generating a sequence of numbers that approximates the properties of random numbers.</w:t>
      </w:r>
    </w:p>
    <w:p w:rsidR="00301DDB" w:rsidRPr="00301DDB" w:rsidRDefault="00301DDB" w:rsidP="00301DDB">
      <w:pPr>
        <w:spacing w:before="80" w:after="100" w:line="260" w:lineRule="exact"/>
        <w:ind w:left="964"/>
        <w:jc w:val="both"/>
      </w:pPr>
      <w:r w:rsidRPr="00301DDB">
        <w:rPr>
          <w:b/>
          <w:i/>
        </w:rPr>
        <w:t xml:space="preserve">shrub </w:t>
      </w:r>
      <w:r w:rsidRPr="00301DDB">
        <w:t>means a living plant with a stem diameter of less than 50 millimetres at a height of 1.3 metres.</w:t>
      </w:r>
    </w:p>
    <w:p w:rsidR="00301DDB" w:rsidRPr="00301DDB" w:rsidRDefault="00301DDB" w:rsidP="00301DDB">
      <w:pPr>
        <w:keepLines/>
        <w:tabs>
          <w:tab w:val="right" w:pos="794"/>
        </w:tabs>
        <w:spacing w:before="80" w:after="100" w:line="260" w:lineRule="exact"/>
        <w:ind w:left="964" w:hanging="964"/>
        <w:jc w:val="both"/>
      </w:pPr>
      <w:r w:rsidRPr="00301DDB">
        <w:rPr>
          <w:b/>
          <w:i/>
        </w:rPr>
        <w:tab/>
      </w:r>
      <w:r w:rsidRPr="00301DDB">
        <w:rPr>
          <w:b/>
          <w:i/>
        </w:rPr>
        <w:tab/>
        <w:t>stratification</w:t>
      </w:r>
      <w:r w:rsidRPr="00301DDB">
        <w:t xml:space="preserve"> means the division of the project area into strata in accordance with Division 3.2.</w:t>
      </w:r>
    </w:p>
    <w:p w:rsidR="00301DDB" w:rsidRPr="00301DDB" w:rsidRDefault="00301DDB" w:rsidP="00301DDB">
      <w:pPr>
        <w:spacing w:before="80" w:after="100" w:line="260" w:lineRule="exact"/>
        <w:ind w:left="964"/>
        <w:jc w:val="both"/>
      </w:pPr>
      <w:r w:rsidRPr="00301DDB">
        <w:rPr>
          <w:b/>
          <w:i/>
        </w:rPr>
        <w:t xml:space="preserve">stratum </w:t>
      </w:r>
      <w:r w:rsidRPr="00301DDB">
        <w:t>means:</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 carbon estimation area;</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an exclusion area; or</w:t>
      </w:r>
    </w:p>
    <w:p w:rsidR="00301DDB" w:rsidRPr="00301DDB" w:rsidRDefault="00301DDB" w:rsidP="00301DDB">
      <w:pPr>
        <w:keepLines/>
        <w:tabs>
          <w:tab w:val="right" w:pos="1531"/>
        </w:tabs>
        <w:spacing w:after="100" w:line="260" w:lineRule="exact"/>
        <w:ind w:left="1701" w:hanging="1701"/>
        <w:jc w:val="both"/>
      </w:pPr>
      <w:r w:rsidRPr="00301DDB">
        <w:lastRenderedPageBreak/>
        <w:tab/>
        <w:t>(c)</w:t>
      </w:r>
      <w:r w:rsidRPr="00301DDB">
        <w:tab/>
        <w:t>a clearing buffer.</w:t>
      </w:r>
    </w:p>
    <w:p w:rsidR="00301DDB" w:rsidRPr="00301DDB" w:rsidRDefault="00301DDB" w:rsidP="00301DDB">
      <w:pPr>
        <w:spacing w:before="80" w:after="100" w:line="260" w:lineRule="exact"/>
        <w:ind w:left="964"/>
        <w:jc w:val="both"/>
      </w:pPr>
      <w:r w:rsidRPr="00301DDB">
        <w:rPr>
          <w:b/>
          <w:i/>
        </w:rPr>
        <w:t xml:space="preserve">Targeted Precision </w:t>
      </w:r>
      <w:r w:rsidRPr="00301DDB">
        <w:t>has the meaning given by section 3.32.</w:t>
      </w:r>
    </w:p>
    <w:p w:rsidR="00301DDB" w:rsidRPr="00301DDB" w:rsidRDefault="00301DDB" w:rsidP="00301DDB">
      <w:pPr>
        <w:spacing w:before="80" w:after="100" w:line="260" w:lineRule="exact"/>
        <w:ind w:left="964"/>
        <w:jc w:val="both"/>
      </w:pPr>
      <w:r w:rsidRPr="00301DDB">
        <w:rPr>
          <w:b/>
          <w:i/>
        </w:rPr>
        <w:t xml:space="preserve">thinning </w:t>
      </w:r>
      <w:r w:rsidRPr="00301DDB">
        <w:t>means the selective removal of trees from native forest, where the removal does not:</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amount to clearing; or</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result in a reduction of estimated abatement below that already credited under the Determination.</w:t>
      </w:r>
    </w:p>
    <w:p w:rsidR="00301DDB" w:rsidRPr="00301DDB" w:rsidRDefault="00301DDB" w:rsidP="00301DDB">
      <w:pPr>
        <w:spacing w:before="80" w:after="100" w:line="260" w:lineRule="exact"/>
        <w:ind w:left="964"/>
        <w:jc w:val="both"/>
        <w:rPr>
          <w:b/>
          <w:i/>
        </w:rPr>
      </w:pPr>
      <w:r w:rsidRPr="00301DDB">
        <w:rPr>
          <w:b/>
          <w:i/>
        </w:rPr>
        <w:t xml:space="preserve">tree </w:t>
      </w:r>
      <w:r w:rsidRPr="00301DDB">
        <w:t>has the meaning given in the Regulations.</w:t>
      </w:r>
    </w:p>
    <w:p w:rsidR="00301DDB" w:rsidRPr="00301DDB" w:rsidRDefault="00301DDB" w:rsidP="00301DDB">
      <w:pPr>
        <w:spacing w:before="80" w:after="100" w:line="260" w:lineRule="exact"/>
        <w:ind w:left="964"/>
        <w:jc w:val="both"/>
      </w:pPr>
      <w:r w:rsidRPr="00301DDB">
        <w:rPr>
          <w:b/>
          <w:i/>
        </w:rPr>
        <w:t xml:space="preserve">vector </w:t>
      </w:r>
      <w:r w:rsidRPr="00301DDB">
        <w:t>means a coordinate-based spatial data layer that represents geographic features as points, lines, and polygons.</w:t>
      </w:r>
    </w:p>
    <w:p w:rsidR="00301DDB" w:rsidRPr="00301DDB" w:rsidRDefault="00301DDB" w:rsidP="00301DDB">
      <w:pPr>
        <w:spacing w:before="80" w:after="100" w:line="260" w:lineRule="exact"/>
        <w:ind w:left="964"/>
        <w:jc w:val="both"/>
      </w:pPr>
      <w:r w:rsidRPr="00301DDB">
        <w:rPr>
          <w:b/>
          <w:i/>
        </w:rPr>
        <w:t xml:space="preserve">wildfire </w:t>
      </w:r>
      <w:r w:rsidRPr="00301DDB">
        <w:t>means a fire that is not a controlled burn.</w:t>
      </w:r>
    </w:p>
    <w:p w:rsidR="00301DDB" w:rsidRPr="00301DDB" w:rsidRDefault="00301DDB" w:rsidP="00301DDB">
      <w:pPr>
        <w:keepLines/>
        <w:tabs>
          <w:tab w:val="right" w:pos="794"/>
        </w:tabs>
        <w:spacing w:before="80" w:after="100" w:line="220" w:lineRule="exact"/>
        <w:ind w:left="964" w:hanging="964"/>
        <w:jc w:val="both"/>
        <w:rPr>
          <w:sz w:val="20"/>
        </w:rPr>
      </w:pPr>
      <w:r w:rsidRPr="00301DDB">
        <w:rPr>
          <w:sz w:val="20"/>
        </w:rPr>
        <w:tab/>
      </w:r>
      <w:r w:rsidRPr="00301DDB">
        <w:rPr>
          <w:b/>
          <w:i/>
          <w:sz w:val="20"/>
        </w:rPr>
        <w:t>Note</w:t>
      </w:r>
      <w:r w:rsidRPr="00301DDB">
        <w:rPr>
          <w:sz w:val="20"/>
        </w:rPr>
        <w:tab/>
        <w:t>Other words and expressions used in this Determination have the meaning given by the Act.  These terms include:</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sz w:val="20"/>
        </w:rPr>
        <w:tab/>
      </w:r>
      <w:r w:rsidRPr="00301DDB">
        <w:rPr>
          <w:sz w:val="20"/>
        </w:rPr>
        <w:tab/>
      </w:r>
      <w:r w:rsidRPr="00301DDB">
        <w:rPr>
          <w:b/>
          <w:i/>
          <w:sz w:val="20"/>
        </w:rPr>
        <w:t>Australian carbon credit unit</w:t>
      </w:r>
    </w:p>
    <w:p w:rsidR="00301DDB" w:rsidRPr="00301DDB" w:rsidRDefault="00301DDB" w:rsidP="00301DDB">
      <w:pPr>
        <w:keepLines/>
        <w:tabs>
          <w:tab w:val="right" w:pos="794"/>
        </w:tabs>
        <w:spacing w:before="80" w:after="100" w:line="260" w:lineRule="exact"/>
        <w:ind w:left="964" w:hanging="964"/>
        <w:jc w:val="both"/>
        <w:rPr>
          <w:b/>
          <w:i/>
          <w:sz w:val="20"/>
          <w:szCs w:val="20"/>
        </w:rPr>
      </w:pPr>
      <w:r w:rsidRPr="00301DDB">
        <w:tab/>
      </w:r>
      <w:r w:rsidRPr="00301DDB">
        <w:tab/>
      </w:r>
      <w:r w:rsidRPr="00301DDB">
        <w:rPr>
          <w:b/>
          <w:i/>
          <w:sz w:val="20"/>
          <w:szCs w:val="20"/>
        </w:rPr>
        <w:t>baseline</w:t>
      </w:r>
      <w:r w:rsidRPr="00301DDB">
        <w:rPr>
          <w:b/>
          <w:i/>
          <w:sz w:val="20"/>
          <w:szCs w:val="20"/>
        </w:rPr>
        <w:tab/>
      </w:r>
    </w:p>
    <w:p w:rsidR="00301DDB" w:rsidRPr="00301DDB" w:rsidRDefault="00301DDB" w:rsidP="00301DDB">
      <w:pPr>
        <w:keepLines/>
        <w:tabs>
          <w:tab w:val="right" w:pos="794"/>
        </w:tabs>
        <w:spacing w:before="80" w:after="100" w:line="260" w:lineRule="exact"/>
        <w:ind w:left="964" w:hanging="964"/>
        <w:jc w:val="both"/>
        <w:rPr>
          <w:b/>
          <w:i/>
          <w:sz w:val="20"/>
          <w:szCs w:val="20"/>
        </w:rPr>
      </w:pPr>
      <w:r w:rsidRPr="00301DDB">
        <w:tab/>
      </w:r>
      <w:r w:rsidRPr="00301DDB">
        <w:tab/>
      </w:r>
      <w:r w:rsidRPr="00301DDB">
        <w:rPr>
          <w:b/>
          <w:i/>
          <w:sz w:val="20"/>
          <w:szCs w:val="20"/>
        </w:rPr>
        <w:t>crediting period</w:t>
      </w:r>
      <w:r w:rsidRPr="00301DDB">
        <w:rPr>
          <w:b/>
          <w:i/>
          <w:sz w:val="20"/>
          <w:szCs w:val="20"/>
        </w:rPr>
        <w:tab/>
      </w:r>
      <w:r w:rsidRPr="00301DDB">
        <w:rPr>
          <w:b/>
          <w:i/>
          <w:sz w:val="20"/>
          <w:szCs w:val="20"/>
        </w:rPr>
        <w:tab/>
      </w:r>
    </w:p>
    <w:p w:rsidR="00301DDB" w:rsidRPr="00301DDB" w:rsidRDefault="00301DDB" w:rsidP="00301DDB">
      <w:pPr>
        <w:keepLines/>
        <w:tabs>
          <w:tab w:val="right" w:pos="794"/>
        </w:tabs>
        <w:spacing w:before="80" w:after="100" w:line="260" w:lineRule="exact"/>
        <w:ind w:left="964" w:hanging="964"/>
        <w:jc w:val="both"/>
        <w:rPr>
          <w:b/>
          <w:i/>
          <w:sz w:val="20"/>
          <w:szCs w:val="20"/>
        </w:rPr>
      </w:pPr>
      <w:r w:rsidRPr="00301DDB">
        <w:tab/>
      </w:r>
      <w:r w:rsidRPr="00301DDB">
        <w:tab/>
      </w:r>
      <w:r w:rsidRPr="00301DDB">
        <w:rPr>
          <w:b/>
          <w:i/>
          <w:sz w:val="20"/>
          <w:szCs w:val="20"/>
        </w:rPr>
        <w:t>eligible offsets project</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b/>
          <w:i/>
          <w:sz w:val="20"/>
        </w:rPr>
        <w:tab/>
      </w:r>
      <w:r w:rsidRPr="00301DDB">
        <w:rPr>
          <w:b/>
          <w:i/>
          <w:sz w:val="20"/>
        </w:rPr>
        <w:tab/>
        <w:t>emission</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b/>
          <w:i/>
          <w:sz w:val="20"/>
        </w:rPr>
        <w:tab/>
      </w:r>
      <w:r w:rsidRPr="00301DDB">
        <w:rPr>
          <w:b/>
          <w:i/>
          <w:sz w:val="20"/>
        </w:rPr>
        <w:tab/>
        <w:t>greenhouse gas</w:t>
      </w:r>
    </w:p>
    <w:p w:rsidR="00301DDB" w:rsidRPr="00301DDB" w:rsidRDefault="00301DDB" w:rsidP="00301DDB">
      <w:pPr>
        <w:keepLines/>
        <w:tabs>
          <w:tab w:val="right" w:pos="794"/>
        </w:tabs>
        <w:spacing w:before="80" w:after="100" w:line="260" w:lineRule="exact"/>
        <w:ind w:left="964" w:hanging="964"/>
        <w:jc w:val="both"/>
        <w:rPr>
          <w:b/>
          <w:i/>
          <w:sz w:val="20"/>
          <w:szCs w:val="20"/>
        </w:rPr>
      </w:pPr>
      <w:r w:rsidRPr="00301DDB">
        <w:tab/>
      </w:r>
      <w:r w:rsidRPr="00301DDB">
        <w:rPr>
          <w:b/>
          <w:i/>
          <w:sz w:val="20"/>
          <w:szCs w:val="20"/>
        </w:rPr>
        <w:tab/>
        <w:t>native forest</w:t>
      </w:r>
    </w:p>
    <w:p w:rsidR="00301DDB" w:rsidRPr="00301DDB" w:rsidRDefault="00301DDB" w:rsidP="00301DDB">
      <w:pPr>
        <w:keepLines/>
        <w:tabs>
          <w:tab w:val="right" w:pos="794"/>
        </w:tabs>
        <w:spacing w:before="80" w:after="100" w:line="260" w:lineRule="exact"/>
        <w:ind w:left="964" w:hanging="964"/>
        <w:jc w:val="both"/>
        <w:rPr>
          <w:b/>
          <w:i/>
          <w:sz w:val="20"/>
          <w:szCs w:val="20"/>
        </w:rPr>
      </w:pPr>
      <w:r w:rsidRPr="00301DDB">
        <w:rPr>
          <w:b/>
          <w:i/>
          <w:sz w:val="20"/>
          <w:szCs w:val="20"/>
        </w:rPr>
        <w:tab/>
      </w:r>
      <w:r w:rsidRPr="00301DDB">
        <w:rPr>
          <w:b/>
          <w:i/>
          <w:sz w:val="20"/>
          <w:szCs w:val="20"/>
        </w:rPr>
        <w:tab/>
        <w:t>native forest protection project</w:t>
      </w:r>
    </w:p>
    <w:p w:rsidR="00301DDB" w:rsidRPr="00301DDB" w:rsidRDefault="00301DDB" w:rsidP="00301DDB">
      <w:pPr>
        <w:keepLines/>
        <w:tabs>
          <w:tab w:val="right" w:pos="794"/>
        </w:tabs>
        <w:spacing w:before="80" w:after="100" w:line="260" w:lineRule="exact"/>
        <w:ind w:left="964" w:hanging="964"/>
        <w:jc w:val="both"/>
        <w:rPr>
          <w:b/>
          <w:i/>
          <w:sz w:val="20"/>
          <w:szCs w:val="20"/>
        </w:rPr>
      </w:pPr>
      <w:r w:rsidRPr="00301DDB">
        <w:tab/>
      </w:r>
      <w:r w:rsidRPr="00301DDB">
        <w:tab/>
      </w:r>
      <w:r w:rsidRPr="00301DDB">
        <w:rPr>
          <w:b/>
          <w:i/>
          <w:sz w:val="20"/>
          <w:szCs w:val="20"/>
        </w:rPr>
        <w:t>natural disturbance</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b/>
          <w:i/>
          <w:sz w:val="20"/>
        </w:rPr>
        <w:tab/>
      </w:r>
      <w:r w:rsidRPr="00301DDB">
        <w:rPr>
          <w:b/>
          <w:i/>
          <w:sz w:val="20"/>
        </w:rPr>
        <w:tab/>
        <w:t>offsets project</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b/>
          <w:i/>
          <w:sz w:val="20"/>
        </w:rPr>
        <w:tab/>
      </w:r>
      <w:r w:rsidRPr="00301DDB">
        <w:rPr>
          <w:b/>
          <w:i/>
          <w:sz w:val="20"/>
        </w:rPr>
        <w:tab/>
        <w:t>offsets report</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b/>
          <w:i/>
          <w:sz w:val="20"/>
        </w:rPr>
        <w:tab/>
      </w:r>
      <w:r w:rsidRPr="00301DDB">
        <w:rPr>
          <w:b/>
          <w:i/>
          <w:sz w:val="20"/>
        </w:rPr>
        <w:tab/>
        <w:t>project</w:t>
      </w:r>
    </w:p>
    <w:p w:rsidR="00301DDB" w:rsidRPr="00301DDB" w:rsidRDefault="00301DDB" w:rsidP="00301DDB">
      <w:pPr>
        <w:keepLines/>
        <w:tabs>
          <w:tab w:val="right" w:pos="794"/>
        </w:tabs>
        <w:spacing w:before="80" w:after="100" w:line="260" w:lineRule="exact"/>
        <w:ind w:left="964" w:hanging="964"/>
        <w:jc w:val="both"/>
        <w:rPr>
          <w:b/>
          <w:i/>
          <w:sz w:val="20"/>
          <w:szCs w:val="20"/>
        </w:rPr>
      </w:pPr>
      <w:r w:rsidRPr="00301DDB">
        <w:tab/>
      </w:r>
      <w:r w:rsidRPr="00301DDB">
        <w:tab/>
      </w:r>
      <w:r w:rsidRPr="00301DDB">
        <w:rPr>
          <w:b/>
          <w:i/>
          <w:sz w:val="20"/>
          <w:szCs w:val="20"/>
        </w:rPr>
        <w:t>project area</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b/>
          <w:i/>
          <w:sz w:val="20"/>
        </w:rPr>
        <w:tab/>
      </w:r>
      <w:r w:rsidRPr="00301DDB">
        <w:rPr>
          <w:b/>
          <w:i/>
          <w:sz w:val="20"/>
        </w:rPr>
        <w:tab/>
        <w:t>project proponent</w:t>
      </w:r>
    </w:p>
    <w:p w:rsidR="00301DDB" w:rsidRPr="00301DDB" w:rsidRDefault="00301DDB" w:rsidP="00301DDB">
      <w:pPr>
        <w:keepLines/>
        <w:tabs>
          <w:tab w:val="right" w:pos="794"/>
        </w:tabs>
        <w:spacing w:before="80" w:after="100" w:line="220" w:lineRule="exact"/>
        <w:ind w:left="964" w:hanging="964"/>
        <w:jc w:val="both"/>
        <w:rPr>
          <w:b/>
          <w:i/>
          <w:sz w:val="20"/>
        </w:rPr>
      </w:pPr>
      <w:r w:rsidRPr="00301DDB">
        <w:rPr>
          <w:b/>
          <w:i/>
          <w:sz w:val="20"/>
        </w:rPr>
        <w:tab/>
      </w:r>
      <w:r w:rsidRPr="00301DDB">
        <w:rPr>
          <w:b/>
          <w:i/>
          <w:sz w:val="20"/>
        </w:rPr>
        <w:tab/>
        <w:t>Regulator</w:t>
      </w:r>
    </w:p>
    <w:p w:rsidR="00301DDB" w:rsidRPr="00301DDB" w:rsidRDefault="00301DDB" w:rsidP="00301DDB">
      <w:pPr>
        <w:keepLines/>
        <w:tabs>
          <w:tab w:val="right" w:pos="794"/>
        </w:tabs>
        <w:spacing w:before="80" w:after="100" w:line="220" w:lineRule="exact"/>
        <w:ind w:left="964" w:hanging="964"/>
        <w:jc w:val="both"/>
        <w:rPr>
          <w:b/>
          <w:i/>
          <w:sz w:val="20"/>
          <w:szCs w:val="20"/>
          <w:highlight w:val="yellow"/>
        </w:rPr>
      </w:pPr>
      <w:r w:rsidRPr="00301DDB">
        <w:rPr>
          <w:b/>
          <w:i/>
          <w:sz w:val="20"/>
        </w:rPr>
        <w:tab/>
      </w:r>
      <w:r w:rsidRPr="00301DDB">
        <w:rPr>
          <w:b/>
          <w:i/>
          <w:sz w:val="20"/>
        </w:rPr>
        <w:tab/>
        <w:t>reporting period</w:t>
      </w:r>
      <w:r w:rsidRPr="00301DDB">
        <w:rPr>
          <w:sz w:val="20"/>
        </w:rPr>
        <w:tab/>
      </w:r>
      <w:r w:rsidRPr="00301DDB">
        <w:rPr>
          <w:sz w:val="20"/>
        </w:rPr>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 w:name="_Toc358907397"/>
      <w:r w:rsidRPr="00301DDB">
        <w:rPr>
          <w:rFonts w:ascii="Arial" w:hAnsi="Arial"/>
          <w:b/>
          <w:bCs/>
          <w:iCs/>
          <w:szCs w:val="26"/>
        </w:rPr>
        <w:t>1.4</w:t>
      </w:r>
      <w:r w:rsidRPr="00301DDB">
        <w:rPr>
          <w:rFonts w:ascii="Arial" w:hAnsi="Arial"/>
          <w:b/>
          <w:bCs/>
          <w:iCs/>
          <w:szCs w:val="26"/>
        </w:rPr>
        <w:tab/>
        <w:t>Kind of project to which this Determination applies</w:t>
      </w:r>
      <w:bookmarkEnd w:id="7"/>
    </w:p>
    <w:p w:rsidR="00301DDB" w:rsidRPr="00301DDB" w:rsidRDefault="00301DDB" w:rsidP="00301DDB">
      <w:pPr>
        <w:keepLines/>
        <w:tabs>
          <w:tab w:val="right" w:pos="794"/>
        </w:tabs>
        <w:spacing w:before="80" w:after="100" w:line="220" w:lineRule="exact"/>
        <w:ind w:left="964" w:hanging="964"/>
        <w:jc w:val="both"/>
        <w:rPr>
          <w:sz w:val="20"/>
        </w:rPr>
      </w:pPr>
      <w:r w:rsidRPr="00301DDB">
        <w:rPr>
          <w:sz w:val="20"/>
        </w:rPr>
        <w:tab/>
      </w:r>
      <w:r w:rsidRPr="00301DDB">
        <w:rPr>
          <w:b/>
          <w:i/>
          <w:sz w:val="20"/>
        </w:rPr>
        <w:t>Note:</w:t>
      </w:r>
      <w:r w:rsidRPr="00301DDB">
        <w:rPr>
          <w:sz w:val="20"/>
        </w:rPr>
        <w:tab/>
        <w:t>See paragraph 106(1)(a) of the Act.</w:t>
      </w:r>
      <w:r w:rsidRPr="00301DDB">
        <w:rPr>
          <w:sz w:val="20"/>
        </w:rPr>
        <w:tab/>
      </w:r>
      <w:r w:rsidRPr="00301DDB">
        <w:rPr>
          <w:sz w:val="20"/>
        </w:rPr>
        <w:tab/>
        <w:t xml:space="preserve"> </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t xml:space="preserve">This Determination applies to a project that is a native forest protection project. </w:t>
      </w:r>
    </w:p>
    <w:p w:rsidR="00301DDB" w:rsidRPr="00301DDB" w:rsidRDefault="00301DDB" w:rsidP="00301DDB">
      <w:pPr>
        <w:keepLines/>
        <w:tabs>
          <w:tab w:val="right" w:pos="794"/>
        </w:tabs>
        <w:spacing w:before="80" w:after="100" w:line="260" w:lineRule="exact"/>
        <w:ind w:left="964" w:hanging="964"/>
        <w:jc w:val="both"/>
      </w:pPr>
    </w:p>
    <w:p w:rsidR="00301DDB" w:rsidRPr="00301DDB" w:rsidRDefault="00301DDB" w:rsidP="00301DDB">
      <w:pPr>
        <w:keepNext/>
        <w:keepLines/>
        <w:pageBreakBefore/>
        <w:spacing w:before="360" w:after="60"/>
        <w:ind w:left="2410" w:hanging="2410"/>
        <w:jc w:val="both"/>
        <w:outlineLvl w:val="1"/>
        <w:rPr>
          <w:rFonts w:ascii="Arial" w:hAnsi="Arial" w:cs="Arial"/>
          <w:b/>
          <w:iCs/>
          <w:sz w:val="36"/>
          <w:szCs w:val="22"/>
        </w:rPr>
      </w:pPr>
      <w:bookmarkStart w:id="8" w:name="_Toc358907398"/>
      <w:r w:rsidRPr="00301DDB">
        <w:rPr>
          <w:rFonts w:ascii="Arial" w:hAnsi="Arial" w:cs="Arial"/>
          <w:b/>
          <w:iCs/>
          <w:sz w:val="36"/>
          <w:szCs w:val="22"/>
        </w:rPr>
        <w:lastRenderedPageBreak/>
        <w:t>Part 2</w:t>
      </w:r>
      <w:r w:rsidRPr="00301DDB">
        <w:rPr>
          <w:rFonts w:ascii="Arial" w:hAnsi="Arial" w:cs="Arial"/>
          <w:b/>
          <w:iCs/>
          <w:sz w:val="36"/>
          <w:szCs w:val="22"/>
        </w:rPr>
        <w:tab/>
        <w:t>Requirements for declaration as eligible project</w:t>
      </w:r>
      <w:bookmarkEnd w:id="8"/>
    </w:p>
    <w:p w:rsidR="00301DDB" w:rsidRPr="00301DDB" w:rsidRDefault="00301DDB" w:rsidP="00301DDB">
      <w:pPr>
        <w:keepLines/>
        <w:tabs>
          <w:tab w:val="right" w:pos="794"/>
        </w:tabs>
        <w:spacing w:before="80" w:after="100" w:line="220" w:lineRule="exact"/>
        <w:ind w:left="964" w:hanging="964"/>
        <w:jc w:val="both"/>
        <w:rPr>
          <w:sz w:val="20"/>
        </w:rPr>
      </w:pPr>
      <w:r w:rsidRPr="00301DDB">
        <w:rPr>
          <w:sz w:val="20"/>
        </w:rPr>
        <w:tab/>
      </w:r>
      <w:r w:rsidRPr="00301DDB">
        <w:rPr>
          <w:b/>
          <w:i/>
          <w:sz w:val="20"/>
        </w:rPr>
        <w:t>Note</w:t>
      </w:r>
      <w:r w:rsidRPr="00301DDB">
        <w:rPr>
          <w:sz w:val="20"/>
        </w:rPr>
        <w:tab/>
        <w:t>See paragraphs 27(4)(c) and 106(1)(b) of the Act.</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9" w:name="_Toc358907399"/>
      <w:r w:rsidRPr="00301DDB">
        <w:rPr>
          <w:rFonts w:ascii="Arial" w:hAnsi="Arial"/>
          <w:b/>
          <w:bCs/>
          <w:iCs/>
          <w:szCs w:val="26"/>
        </w:rPr>
        <w:t>2.1</w:t>
      </w:r>
      <w:r w:rsidRPr="00301DDB">
        <w:rPr>
          <w:rFonts w:ascii="Arial" w:hAnsi="Arial"/>
          <w:b/>
          <w:bCs/>
          <w:iCs/>
          <w:szCs w:val="26"/>
        </w:rPr>
        <w:tab/>
        <w:t>Eligible projects</w:t>
      </w:r>
      <w:bookmarkEnd w:id="9"/>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To be declared an eligible offsets project, a project to which this Determination applies must meet the requirements in this Part.</w:t>
      </w:r>
      <w:r w:rsidRPr="00301DDB">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10" w:name="_Toc358907400"/>
      <w:r w:rsidRPr="00301DDB">
        <w:rPr>
          <w:rFonts w:ascii="Arial" w:hAnsi="Arial"/>
          <w:b/>
          <w:bCs/>
          <w:iCs/>
          <w:szCs w:val="26"/>
        </w:rPr>
        <w:t>2.2</w:t>
      </w:r>
      <w:r w:rsidRPr="00301DDB">
        <w:rPr>
          <w:rFonts w:ascii="Arial" w:hAnsi="Arial"/>
          <w:b/>
          <w:bCs/>
          <w:iCs/>
          <w:szCs w:val="26"/>
        </w:rPr>
        <w:tab/>
        <w:t>Location</w:t>
      </w:r>
      <w:bookmarkEnd w:id="10"/>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project area must be within Australia, including external territories.</w:t>
      </w:r>
      <w:r w:rsidRPr="00301DDB">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11" w:name="_Toc358907401"/>
      <w:r w:rsidRPr="00301DDB">
        <w:rPr>
          <w:rFonts w:ascii="Arial" w:hAnsi="Arial"/>
          <w:b/>
          <w:bCs/>
          <w:iCs/>
          <w:szCs w:val="26"/>
        </w:rPr>
        <w:t>2.3</w:t>
      </w:r>
      <w:r w:rsidRPr="00301DDB">
        <w:rPr>
          <w:rFonts w:ascii="Arial" w:hAnsi="Arial"/>
          <w:b/>
          <w:bCs/>
          <w:iCs/>
          <w:szCs w:val="26"/>
        </w:rPr>
        <w:tab/>
        <w:t>Project area native forest</w:t>
      </w:r>
      <w:bookmarkEnd w:id="11"/>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project area must include native forest:</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that was native forest on 31 December 1989;</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that was native forest at all times between 1 January 1990 and project commencement;</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for which there is clearing consent that:</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was issued before 1 July 2010;</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provides that clearing is permitted for the purpose of converting the native forest to cropland or grassland;</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does not provide that clearing is permitted for the purpose of converting the native forest to plantation or settlements; and</w:t>
      </w:r>
    </w:p>
    <w:p w:rsidR="00301DDB" w:rsidRPr="00301DDB" w:rsidRDefault="00301DDB" w:rsidP="00301DDB">
      <w:pPr>
        <w:keepLines/>
        <w:tabs>
          <w:tab w:val="right" w:pos="2211"/>
        </w:tabs>
        <w:spacing w:after="100" w:line="260" w:lineRule="exact"/>
        <w:ind w:left="2410" w:hanging="2410"/>
        <w:jc w:val="both"/>
      </w:pPr>
      <w:r w:rsidRPr="00301DDB">
        <w:tab/>
        <w:t>(iv)</w:t>
      </w:r>
      <w:r w:rsidRPr="00301DDB">
        <w:tab/>
        <w:t>provides that the conversion of the native forest to cropland or grassland must be maintained in perpetuity;</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from which removal of wood for the purposes of creating timber or wood products is not authorised by law; and</w:t>
      </w:r>
    </w:p>
    <w:p w:rsidR="00301DDB" w:rsidRPr="00301DDB" w:rsidRDefault="00301DDB" w:rsidP="00301DDB">
      <w:pPr>
        <w:keepLines/>
        <w:tabs>
          <w:tab w:val="right" w:pos="1531"/>
        </w:tabs>
        <w:spacing w:after="100" w:line="260" w:lineRule="exact"/>
        <w:ind w:left="1701" w:hanging="1701"/>
        <w:jc w:val="both"/>
      </w:pPr>
      <w:r w:rsidRPr="00301DDB">
        <w:tab/>
        <w:t>(e)</w:t>
      </w:r>
      <w:r w:rsidRPr="00301DDB">
        <w:tab/>
        <w:t>for which there is no permit for the collection of fuel wood.</w:t>
      </w:r>
      <w:r w:rsidRPr="00301DDB">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12" w:name="_Toc358907402"/>
      <w:r w:rsidRPr="00301DDB">
        <w:rPr>
          <w:rFonts w:ascii="Arial" w:hAnsi="Arial"/>
          <w:b/>
          <w:bCs/>
          <w:iCs/>
          <w:szCs w:val="26"/>
        </w:rPr>
        <w:t>2.4</w:t>
      </w:r>
      <w:r w:rsidRPr="00301DDB">
        <w:rPr>
          <w:rFonts w:ascii="Arial" w:hAnsi="Arial"/>
          <w:b/>
          <w:bCs/>
          <w:iCs/>
          <w:szCs w:val="26"/>
        </w:rPr>
        <w:tab/>
        <w:t>Evidence relating to project area native forest</w:t>
      </w:r>
      <w:bookmarkEnd w:id="12"/>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An application under subsection 22(1) of the Act for a declaration of an eligible offsets project to which this Determination applies must be accompanied by evidence as provided by this section.</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In relation to paragraph 2.3(a) the project proponent must provide: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National Inventory System forest cover layer data expressed in a vector or raster array in relation to the project area in 1989; or</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aerial or remotely-sensed imagery of the project area produced in 1989.</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In relation to paragraph 2.3(b) the project proponent must provide:</w:t>
      </w:r>
    </w:p>
    <w:p w:rsidR="00301DDB" w:rsidRPr="00301DDB" w:rsidRDefault="00301DDB" w:rsidP="00301DDB">
      <w:pPr>
        <w:keepLines/>
        <w:tabs>
          <w:tab w:val="right" w:pos="1531"/>
        </w:tabs>
        <w:spacing w:after="100" w:line="260" w:lineRule="exact"/>
        <w:ind w:left="1701" w:hanging="1701"/>
        <w:jc w:val="both"/>
      </w:pPr>
      <w:r w:rsidRPr="00301DDB">
        <w:lastRenderedPageBreak/>
        <w:tab/>
        <w:t>(a)</w:t>
      </w:r>
      <w:r w:rsidRPr="00301DDB">
        <w:tab/>
        <w:t>the most recent National Inventory System forest cover layer data expressed in a vector or raster array in relation to the project area; or</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aerial or remotely-sensed imagery of the project area produced no later than one year before the day on which an application under subsection 22(1) of the Act is made.</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In relation to paragraph 2.3(c) the project proponent must provide a copy of the clearing consent.</w:t>
      </w:r>
      <w:r w:rsidRPr="00301DDB">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13" w:name="_Toc358907403"/>
      <w:r w:rsidRPr="00301DDB">
        <w:rPr>
          <w:rFonts w:ascii="Arial" w:hAnsi="Arial"/>
          <w:b/>
          <w:bCs/>
          <w:iCs/>
          <w:szCs w:val="26"/>
        </w:rPr>
        <w:t>2.5</w:t>
      </w:r>
      <w:r w:rsidRPr="00301DDB">
        <w:rPr>
          <w:rFonts w:ascii="Arial" w:hAnsi="Arial"/>
          <w:b/>
          <w:bCs/>
          <w:iCs/>
          <w:szCs w:val="26"/>
        </w:rPr>
        <w:tab/>
        <w:t>Project mechanism</w:t>
      </w:r>
      <w:bookmarkEnd w:id="13"/>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The project must protect the native forest mentioned in section 2.3.</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the purposes of subsection (1) the project proponent must:</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not clear the native forest mentioned in section 2.3;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manage the native forest mentioned in section 2.3 in order to achieve a mix of native trees, shrubs and understorey species.</w:t>
      </w:r>
    </w:p>
    <w:p w:rsidR="00301DDB" w:rsidRPr="00301DDB" w:rsidRDefault="00301DDB" w:rsidP="00301DDB">
      <w:pPr>
        <w:keepNext/>
        <w:spacing w:before="120"/>
        <w:ind w:left="964"/>
        <w:jc w:val="both"/>
        <w:rPr>
          <w:rFonts w:ascii="Arial" w:hAnsi="Arial"/>
          <w:i/>
        </w:rPr>
      </w:pPr>
      <w:r w:rsidRPr="00301DDB">
        <w:rPr>
          <w:rFonts w:ascii="Arial" w:hAnsi="Arial"/>
          <w:i/>
        </w:rPr>
        <w:t>Native forest vegetation mix</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The mix mentioned in paragraph (2)(b) must reflect the structure and composition of the vegetation community in a national park, flora reserve, or state forest within the IBRA bioregion in which the project area is situated.</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If the IBRA bioregion in which the project area is situated does not contain a national park, flora reserve or state forest, then the mix mentioned in paragraph (2)(b) must reflect the structure and composition of the vegetation community in a native forest in the IBRA bioregion.</w:t>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The vegetation community mentioned in subsection (3) may be a monoculture if a monoculture can naturally occur within the IBRA bioregion in which the project area is situated.</w:t>
      </w:r>
    </w:p>
    <w:p w:rsidR="00301DDB" w:rsidRPr="00301DDB" w:rsidRDefault="00301DDB" w:rsidP="00301DDB">
      <w:pPr>
        <w:keepNext/>
        <w:keepLines/>
        <w:spacing w:before="360" w:after="60"/>
        <w:ind w:left="964" w:hanging="964"/>
        <w:outlineLvl w:val="4"/>
        <w:rPr>
          <w:rFonts w:ascii="Arial" w:hAnsi="Arial"/>
          <w:b/>
          <w:bCs/>
          <w:iCs/>
          <w:szCs w:val="26"/>
        </w:rPr>
      </w:pPr>
      <w:bookmarkStart w:id="14" w:name="_Toc358907404"/>
      <w:r w:rsidRPr="00301DDB">
        <w:rPr>
          <w:rFonts w:ascii="Arial" w:hAnsi="Arial"/>
          <w:b/>
          <w:bCs/>
          <w:iCs/>
          <w:szCs w:val="26"/>
        </w:rPr>
        <w:t>2.6</w:t>
      </w:r>
      <w:r w:rsidRPr="00301DDB">
        <w:rPr>
          <w:rFonts w:ascii="Arial" w:hAnsi="Arial"/>
          <w:b/>
          <w:bCs/>
          <w:iCs/>
          <w:szCs w:val="26"/>
        </w:rPr>
        <w:tab/>
        <w:t>Project commencement</w:t>
      </w:r>
      <w:bookmarkEnd w:id="14"/>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If the project proponent wishes the project to be backdated, the project proponent must provide the Regulator with evidence that, before submitting an application under subsection 22(1) of the Act, the project proponent met the requirements set out in section 2.5.</w:t>
      </w:r>
    </w:p>
    <w:p w:rsidR="00301DDB" w:rsidRPr="00301DDB" w:rsidRDefault="00301DDB" w:rsidP="00301DDB">
      <w:pPr>
        <w:keepLines/>
        <w:tabs>
          <w:tab w:val="right" w:pos="1531"/>
        </w:tabs>
        <w:spacing w:after="100" w:line="220" w:lineRule="exact"/>
        <w:ind w:left="1701" w:hanging="1701"/>
        <w:jc w:val="both"/>
        <w:rPr>
          <w:sz w:val="20"/>
        </w:rPr>
      </w:pPr>
      <w:r w:rsidRPr="00301DDB">
        <w:rPr>
          <w:sz w:val="20"/>
        </w:rPr>
        <w:tab/>
      </w:r>
      <w:r w:rsidRPr="00301DDB">
        <w:rPr>
          <w:b/>
          <w:i/>
          <w:sz w:val="20"/>
        </w:rPr>
        <w:t>Note</w:t>
      </w:r>
      <w:r w:rsidRPr="00301DDB">
        <w:rPr>
          <w:sz w:val="20"/>
        </w:rPr>
        <w:tab/>
        <w:t>Under subsection 27(15) of the Act, a declaration of an eligible offsets project takes effect when an application for a declaration is made or on an earlier day specified in the declaration, provided that the specified day is not earlier than 1 July 2010.</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The evidence in subsection (1) must include:</w:t>
      </w:r>
      <w:r w:rsidRPr="00301DDB">
        <w:tab/>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evidence of activities in the project area that:</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assisted native forest management; or</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contributed to native forest protection; or</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evidence of activities in the project area to estimate carbon stocks; or</w:t>
      </w:r>
    </w:p>
    <w:p w:rsidR="00301DDB" w:rsidRPr="00301DDB" w:rsidRDefault="00301DDB" w:rsidP="00301DDB">
      <w:pPr>
        <w:keepLines/>
        <w:tabs>
          <w:tab w:val="right" w:pos="1531"/>
        </w:tabs>
        <w:spacing w:after="100" w:line="260" w:lineRule="exact"/>
        <w:ind w:left="1701" w:hanging="1701"/>
        <w:jc w:val="both"/>
      </w:pPr>
      <w:r w:rsidRPr="00301DDB">
        <w:tab/>
      </w:r>
    </w:p>
    <w:p w:rsidR="00301DDB" w:rsidRPr="00301DDB" w:rsidRDefault="00301DDB" w:rsidP="00301DDB">
      <w:pPr>
        <w:keepLines/>
        <w:tabs>
          <w:tab w:val="right" w:pos="1531"/>
        </w:tabs>
        <w:spacing w:after="100" w:line="260" w:lineRule="exact"/>
        <w:ind w:left="1701" w:hanging="1701"/>
        <w:jc w:val="both"/>
      </w:pPr>
      <w:r w:rsidRPr="00301DDB">
        <w:lastRenderedPageBreak/>
        <w:tab/>
        <w:t>(c)</w:t>
      </w:r>
      <w:r w:rsidRPr="00301DDB">
        <w:tab/>
        <w:t>registration of carbon property rights under state or territory carbon rights legislation; or</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other evidence indicating an intention not to clear the native forest mentioned in section 2.3 in accordance with the clearing consent mentioned in paragraph 2.3(c).</w:t>
      </w:r>
    </w:p>
    <w:p w:rsidR="00301DDB" w:rsidRPr="00301DDB" w:rsidRDefault="00301DDB" w:rsidP="00301DDB">
      <w:pPr>
        <w:keepNext/>
        <w:keepLines/>
        <w:pageBreakBefore/>
        <w:spacing w:before="360" w:after="60"/>
        <w:ind w:left="2410" w:hanging="2410"/>
        <w:jc w:val="both"/>
        <w:outlineLvl w:val="1"/>
        <w:rPr>
          <w:rFonts w:ascii="Arial" w:hAnsi="Arial" w:cs="Arial"/>
          <w:b/>
          <w:iCs/>
          <w:sz w:val="36"/>
          <w:szCs w:val="22"/>
        </w:rPr>
      </w:pPr>
      <w:bookmarkStart w:id="15" w:name="_Toc358907405"/>
      <w:r w:rsidRPr="00301DDB">
        <w:rPr>
          <w:rFonts w:ascii="Arial" w:hAnsi="Arial" w:cs="Arial"/>
          <w:b/>
          <w:iCs/>
          <w:sz w:val="36"/>
          <w:szCs w:val="22"/>
        </w:rPr>
        <w:lastRenderedPageBreak/>
        <w:t>Part 3</w:t>
      </w:r>
      <w:r w:rsidRPr="00301DDB">
        <w:rPr>
          <w:rFonts w:ascii="Arial" w:hAnsi="Arial" w:cs="Arial"/>
          <w:b/>
          <w:iCs/>
          <w:sz w:val="36"/>
          <w:szCs w:val="22"/>
        </w:rPr>
        <w:tab/>
        <w:t>Requirements for operation of eligible projects</w:t>
      </w:r>
      <w:bookmarkEnd w:id="15"/>
    </w:p>
    <w:p w:rsidR="00301DDB" w:rsidRPr="00301DDB" w:rsidRDefault="00301DDB" w:rsidP="00301DDB">
      <w:pPr>
        <w:keepLines/>
        <w:tabs>
          <w:tab w:val="right" w:pos="794"/>
        </w:tabs>
        <w:spacing w:before="80" w:after="100" w:line="220" w:lineRule="exact"/>
        <w:ind w:left="964" w:hanging="964"/>
        <w:jc w:val="both"/>
        <w:rPr>
          <w:sz w:val="20"/>
        </w:rPr>
      </w:pPr>
      <w:r w:rsidRPr="00301DDB">
        <w:rPr>
          <w:sz w:val="20"/>
        </w:rPr>
        <w:tab/>
      </w:r>
      <w:r w:rsidRPr="00301DDB">
        <w:rPr>
          <w:b/>
          <w:i/>
          <w:sz w:val="20"/>
        </w:rPr>
        <w:t>Note</w:t>
      </w:r>
      <w:r w:rsidRPr="00301DDB">
        <w:rPr>
          <w:sz w:val="20"/>
        </w:rPr>
        <w:tab/>
        <w:t>See paragraphs 27(4)(c), 35(2)(a) and 106(1)(b) of the Act and regulation 3.26 of the Regulations.</w:t>
      </w: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16" w:name="_Toc358907406"/>
      <w:r w:rsidRPr="00301DDB">
        <w:rPr>
          <w:rFonts w:ascii="Arial" w:hAnsi="Arial" w:cs="Arial"/>
          <w:b/>
          <w:bCs/>
          <w:sz w:val="28"/>
          <w:szCs w:val="26"/>
        </w:rPr>
        <w:t>Division 3.1</w:t>
      </w:r>
      <w:r w:rsidRPr="00301DDB">
        <w:rPr>
          <w:rFonts w:ascii="Arial" w:hAnsi="Arial" w:cs="Arial"/>
          <w:b/>
          <w:bCs/>
          <w:sz w:val="28"/>
          <w:szCs w:val="26"/>
        </w:rPr>
        <w:tab/>
        <w:t>Operation of eligible projects</w:t>
      </w:r>
      <w:bookmarkEnd w:id="16"/>
    </w:p>
    <w:p w:rsidR="00301DDB" w:rsidRPr="00301DDB" w:rsidRDefault="00301DDB" w:rsidP="00301DDB">
      <w:pPr>
        <w:keepLines/>
        <w:tabs>
          <w:tab w:val="right" w:pos="794"/>
        </w:tabs>
        <w:spacing w:before="80" w:after="100" w:line="260" w:lineRule="exact"/>
        <w:ind w:left="964" w:hanging="964"/>
        <w:jc w:val="both"/>
      </w:pPr>
      <w:r w:rsidRPr="00301DDB">
        <w:tab/>
      </w:r>
      <w:r w:rsidRPr="00301DDB">
        <w:tab/>
        <w:t>An eligible offsets project to which this Determination applies must be operated in accordance with this Part.</w:t>
      </w: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17" w:name="_Toc358907407"/>
      <w:r w:rsidRPr="00301DDB">
        <w:rPr>
          <w:rFonts w:ascii="Arial" w:hAnsi="Arial" w:cs="Arial"/>
          <w:b/>
          <w:bCs/>
          <w:sz w:val="28"/>
          <w:szCs w:val="26"/>
        </w:rPr>
        <w:t>Division 3.2</w:t>
      </w:r>
      <w:r w:rsidRPr="00301DDB">
        <w:rPr>
          <w:rFonts w:ascii="Arial" w:hAnsi="Arial" w:cs="Arial"/>
          <w:b/>
          <w:bCs/>
          <w:sz w:val="28"/>
          <w:szCs w:val="26"/>
        </w:rPr>
        <w:tab/>
        <w:t>Stratification</w:t>
      </w:r>
      <w:bookmarkEnd w:id="17"/>
    </w:p>
    <w:p w:rsidR="00301DDB" w:rsidRPr="00301DDB" w:rsidRDefault="00301DDB" w:rsidP="00301DDB">
      <w:pPr>
        <w:keepNext/>
        <w:keepLines/>
        <w:spacing w:before="360" w:after="60"/>
        <w:ind w:left="964" w:hanging="964"/>
        <w:jc w:val="both"/>
        <w:outlineLvl w:val="4"/>
        <w:rPr>
          <w:rFonts w:ascii="Arial" w:hAnsi="Arial"/>
          <w:b/>
          <w:bCs/>
          <w:iCs/>
          <w:szCs w:val="26"/>
        </w:rPr>
      </w:pPr>
      <w:bookmarkStart w:id="18" w:name="_Toc358907408"/>
      <w:r w:rsidRPr="00301DDB">
        <w:rPr>
          <w:rFonts w:ascii="Arial" w:hAnsi="Arial"/>
          <w:b/>
          <w:bCs/>
          <w:iCs/>
          <w:szCs w:val="26"/>
        </w:rPr>
        <w:t>3.1</w:t>
      </w:r>
      <w:r w:rsidRPr="00301DDB">
        <w:rPr>
          <w:rFonts w:ascii="Arial" w:hAnsi="Arial"/>
          <w:b/>
          <w:bCs/>
          <w:iCs/>
          <w:szCs w:val="26"/>
        </w:rPr>
        <w:tab/>
        <w:t>Stratification</w:t>
      </w:r>
      <w:bookmarkEnd w:id="18"/>
    </w:p>
    <w:p w:rsidR="00301DDB" w:rsidRPr="00301DDB" w:rsidRDefault="00301DDB" w:rsidP="00301DDB">
      <w:pPr>
        <w:keepLines/>
        <w:tabs>
          <w:tab w:val="right" w:pos="794"/>
        </w:tabs>
        <w:spacing w:before="80" w:after="100" w:line="260" w:lineRule="exact"/>
        <w:ind w:left="964" w:hanging="964"/>
        <w:jc w:val="both"/>
      </w:pPr>
      <w:r w:rsidRPr="00301DDB">
        <w:tab/>
      </w:r>
      <w:r w:rsidRPr="00301DDB">
        <w:tab/>
        <w:t>Before the submission of the first offsets report, the project area must be stratified as set out in this Division.</w:t>
      </w:r>
      <w:r w:rsidRPr="00301DDB">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19" w:name="_Toc358907409"/>
      <w:r w:rsidRPr="00301DDB">
        <w:rPr>
          <w:rFonts w:ascii="Arial" w:hAnsi="Arial"/>
          <w:b/>
          <w:bCs/>
          <w:iCs/>
          <w:szCs w:val="26"/>
        </w:rPr>
        <w:t>3.2</w:t>
      </w:r>
      <w:r w:rsidRPr="00301DDB">
        <w:rPr>
          <w:rFonts w:ascii="Arial" w:hAnsi="Arial"/>
          <w:b/>
          <w:bCs/>
          <w:iCs/>
          <w:szCs w:val="26"/>
        </w:rPr>
        <w:tab/>
        <w:t>Remotely-sensed imagery of project area</w:t>
      </w:r>
      <w:bookmarkEnd w:id="19"/>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Remotely-sensed imagery of the project area must be acquired for the purposes of stratification or re-stratification.</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The remotely-sensed imagery must be consistent with the requirements of the CFI Mapping Guidelines.</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 xml:space="preserve">The remotely-sensed imagery must be pre-processed in order to correct any </w:t>
      </w:r>
      <w:r w:rsidRPr="00301DDB">
        <w:rPr>
          <w:b/>
          <w:i/>
        </w:rPr>
        <w:t>irregular feature</w:t>
      </w:r>
      <w:r w:rsidRPr="00301DDB">
        <w:t>.</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For the purposes of this section, irregular features include: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cloud cover;</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shadows;</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geometric distortions;</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radiometric distortions; and</w:t>
      </w:r>
    </w:p>
    <w:p w:rsidR="00301DDB" w:rsidRPr="00301DDB" w:rsidRDefault="00301DDB" w:rsidP="00301DDB">
      <w:pPr>
        <w:keepLines/>
        <w:tabs>
          <w:tab w:val="right" w:pos="1531"/>
        </w:tabs>
        <w:spacing w:after="100" w:line="260" w:lineRule="exact"/>
        <w:ind w:left="1701" w:hanging="1701"/>
        <w:jc w:val="both"/>
      </w:pPr>
      <w:r w:rsidRPr="00301DDB">
        <w:tab/>
        <w:t>(e)</w:t>
      </w:r>
      <w:r w:rsidRPr="00301DDB">
        <w:tab/>
        <w:t>sensor errors.</w:t>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If an irregular feature comprising more than 10% of the area in which the project mechanism is to be implemented is detected:</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irregular feature must be deleted;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remotely-sensed imagery must be filled from the same imagery source within the nearest possible data range.</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0" w:name="_Toc358907410"/>
      <w:r w:rsidRPr="00301DDB">
        <w:rPr>
          <w:rFonts w:ascii="Arial" w:hAnsi="Arial"/>
          <w:b/>
          <w:bCs/>
          <w:iCs/>
          <w:szCs w:val="26"/>
        </w:rPr>
        <w:t>3.3</w:t>
      </w:r>
      <w:r w:rsidRPr="00301DDB">
        <w:rPr>
          <w:rFonts w:ascii="Arial" w:hAnsi="Arial"/>
          <w:b/>
          <w:bCs/>
          <w:iCs/>
          <w:szCs w:val="26"/>
        </w:rPr>
        <w:tab/>
        <w:t>Land-cover assessment</w:t>
      </w:r>
      <w:bookmarkEnd w:id="20"/>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For the purposes of stratification or re-stratification, a land-cover assessment using the remotely</w:t>
      </w:r>
      <w:r w:rsidRPr="00301DDB">
        <w:noBreakHyphen/>
        <w:t>sensed imagery mentioned in section 3.2 must be performed in accordance with subsection (2) of this section.</w:t>
      </w:r>
    </w:p>
    <w:p w:rsidR="00301DDB" w:rsidRPr="00301DDB" w:rsidRDefault="00301DDB" w:rsidP="00301DDB">
      <w:pPr>
        <w:keepLines/>
        <w:tabs>
          <w:tab w:val="right" w:pos="794"/>
        </w:tabs>
        <w:spacing w:before="80" w:after="100" w:line="260" w:lineRule="exact"/>
        <w:ind w:left="964" w:hanging="964"/>
        <w:jc w:val="both"/>
      </w:pPr>
      <w:r w:rsidRPr="00301DDB">
        <w:lastRenderedPageBreak/>
        <w:tab/>
        <w:t>(2)</w:t>
      </w:r>
      <w:r w:rsidRPr="00301DDB">
        <w:tab/>
        <w:t>The remotely-sensed imagery must be examined and each feature must be classified as:</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an area in which the project mechanism will be implemented;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an area in which the project mechanism will not be implemented; or</w:t>
      </w:r>
      <w:r w:rsidRPr="00301DDB">
        <w:tab/>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an area of native forest in which disturbance has occurred.</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Paragraph (2)(c) does not apply in relation to the stratification undertaken before submission of the first offsets report.</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1" w:name="_Toc358907411"/>
      <w:r w:rsidRPr="00301DDB">
        <w:rPr>
          <w:rFonts w:ascii="Arial" w:hAnsi="Arial"/>
          <w:b/>
          <w:bCs/>
          <w:iCs/>
          <w:szCs w:val="26"/>
        </w:rPr>
        <w:t>3.4</w:t>
      </w:r>
      <w:r w:rsidRPr="00301DDB">
        <w:rPr>
          <w:rFonts w:ascii="Arial" w:hAnsi="Arial"/>
          <w:b/>
          <w:bCs/>
          <w:iCs/>
          <w:szCs w:val="26"/>
        </w:rPr>
        <w:tab/>
        <w:t>Requirements for an exclusion area</w:t>
      </w:r>
      <w:bookmarkEnd w:id="21"/>
    </w:p>
    <w:p w:rsidR="00301DDB" w:rsidRPr="00301DDB" w:rsidRDefault="00301DDB" w:rsidP="00301DDB">
      <w:pPr>
        <w:keepLines/>
        <w:tabs>
          <w:tab w:val="right" w:pos="794"/>
        </w:tabs>
        <w:spacing w:before="80" w:after="100" w:line="260" w:lineRule="exact"/>
        <w:ind w:left="964" w:hanging="964"/>
        <w:jc w:val="both"/>
      </w:pPr>
      <w:r w:rsidRPr="00301DDB">
        <w:tab/>
      </w:r>
      <w:r w:rsidRPr="00301DDB">
        <w:tab/>
        <w:t>An exclusion area must be delineated:</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for any area of land within the project area that is:</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not a clearing buffer; and</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an area in which the project mechanism will not be implemented;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in accordance with the CFI Mapping Guidelines.</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2" w:name="_Toc358907412"/>
      <w:r w:rsidRPr="00301DDB">
        <w:rPr>
          <w:rFonts w:ascii="Arial" w:hAnsi="Arial"/>
          <w:b/>
          <w:bCs/>
          <w:iCs/>
          <w:szCs w:val="26"/>
        </w:rPr>
        <w:t>3.5</w:t>
      </w:r>
      <w:r w:rsidRPr="00301DDB">
        <w:rPr>
          <w:rFonts w:ascii="Arial" w:hAnsi="Arial"/>
          <w:b/>
          <w:bCs/>
          <w:iCs/>
          <w:szCs w:val="26"/>
        </w:rPr>
        <w:tab/>
        <w:t>Clearing buffers</w:t>
      </w:r>
      <w:bookmarkEnd w:id="22"/>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If the clearing consent mentioned in paragraph 2.3(c) provides that an area of the native forest mentioned in section 2.3 may not be cleared, at least one clearing buffer must be included in the project area.</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A clearing buffer must cover an area of the native forest mentioned in section 2.3.</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A clearing buffer must not cover an area of native forest that is in an exclusion area.</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The clearing buffer or clearing buffers must have a total area equivalent to the area of native forest that may not be cleared under the clearing consent mentioned in paragraph 2.3(c).</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To avoid doubt, a clearing buffer is not an exclusion area or a carbon estimation area.</w:t>
      </w:r>
    </w:p>
    <w:p w:rsidR="00301DDB" w:rsidRPr="00301DDB" w:rsidRDefault="00301DDB" w:rsidP="00301DDB">
      <w:pPr>
        <w:keepLines/>
        <w:tabs>
          <w:tab w:val="right" w:pos="794"/>
        </w:tabs>
        <w:spacing w:before="80" w:after="100" w:line="260" w:lineRule="exact"/>
        <w:ind w:left="964" w:hanging="964"/>
        <w:jc w:val="both"/>
      </w:pPr>
      <w:r w:rsidRPr="00301DDB">
        <w:tab/>
        <w:t>(6)</w:t>
      </w:r>
      <w:r w:rsidRPr="00301DDB">
        <w:tab/>
        <w:t>The project mechanism must be implemented in each clearing buffer.</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3" w:name="_Toc358907413"/>
      <w:r w:rsidRPr="00301DDB">
        <w:rPr>
          <w:rFonts w:ascii="Arial" w:hAnsi="Arial"/>
          <w:b/>
          <w:bCs/>
          <w:iCs/>
          <w:szCs w:val="26"/>
        </w:rPr>
        <w:t>3.6</w:t>
      </w:r>
      <w:r w:rsidRPr="00301DDB">
        <w:rPr>
          <w:rFonts w:ascii="Arial" w:hAnsi="Arial"/>
          <w:b/>
          <w:bCs/>
          <w:iCs/>
          <w:szCs w:val="26"/>
        </w:rPr>
        <w:tab/>
        <w:t>Requirements for a carbon estimation area</w:t>
      </w:r>
      <w:bookmarkEnd w:id="23"/>
    </w:p>
    <w:p w:rsidR="00301DDB" w:rsidRPr="00301DDB" w:rsidRDefault="00301DDB" w:rsidP="00301DDB">
      <w:pPr>
        <w:keepLines/>
        <w:tabs>
          <w:tab w:val="right" w:pos="794"/>
        </w:tabs>
        <w:spacing w:before="80" w:after="100" w:line="260" w:lineRule="exact"/>
        <w:ind w:left="964" w:hanging="964"/>
        <w:jc w:val="both"/>
      </w:pPr>
      <w:r w:rsidRPr="00301DDB">
        <w:tab/>
      </w:r>
      <w:r w:rsidRPr="00301DDB">
        <w:tab/>
        <w:t>Each carbon estimation area must be: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an area where the project mechanism is to be implemented;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within the project area;</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an area of native forest that is not delineated as an exclusion area in accordance with section 3.4; and</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an area of native forest that is not delineated as a clearing buffer in accordance with section 3.5.</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4" w:name="_Toc358907414"/>
      <w:r w:rsidRPr="00301DDB">
        <w:rPr>
          <w:rFonts w:ascii="Arial" w:hAnsi="Arial"/>
          <w:b/>
          <w:bCs/>
          <w:iCs/>
          <w:szCs w:val="26"/>
        </w:rPr>
        <w:lastRenderedPageBreak/>
        <w:t>3.7</w:t>
      </w:r>
      <w:r w:rsidRPr="00301DDB">
        <w:rPr>
          <w:rFonts w:ascii="Arial" w:hAnsi="Arial"/>
          <w:b/>
          <w:bCs/>
          <w:iCs/>
          <w:szCs w:val="26"/>
        </w:rPr>
        <w:tab/>
        <w:t>Re-stratification of carbon estimation areas</w:t>
      </w:r>
      <w:bookmarkEnd w:id="24"/>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This section applies to each carbon estimation area in which:</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disturbance has been detected;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disturbance has resulted in a crown cover loss of more than 5% over an area larger than 50 hectares or 5% of the project area; and</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disturbance has not previously been re-stratified.</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Before the next offsets report following the detection of the disturbance, the spatial extent of the disturbance must be delineated as a new carbon estimation area.</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 xml:space="preserve">Any carbon estimation area the boundary of which encloses or is crossed by the carbon estimation area in subsection (2) must be re-stratified to exclude the carbon estimation area in subsection (2) before the next offsets report following the detection of the disturbance. </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5" w:name="_Toc358907415"/>
      <w:r w:rsidRPr="00301DDB">
        <w:rPr>
          <w:rFonts w:ascii="Arial" w:hAnsi="Arial"/>
          <w:b/>
          <w:bCs/>
          <w:iCs/>
          <w:szCs w:val="26"/>
        </w:rPr>
        <w:t>3.8</w:t>
      </w:r>
      <w:r w:rsidRPr="00301DDB">
        <w:rPr>
          <w:rFonts w:ascii="Arial" w:hAnsi="Arial"/>
          <w:b/>
          <w:bCs/>
          <w:iCs/>
          <w:szCs w:val="26"/>
        </w:rPr>
        <w:tab/>
        <w:t>Strata boundaries</w:t>
      </w:r>
      <w:bookmarkEnd w:id="25"/>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The geographic boundaries of each stratum within the project area must be identified on a geospatial map in accordance with the CFI Mapping Guidelines.</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The map mentioned in subsection (1) must be submitted with the first offsets report that is submitted to the Regulator.</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If a carbon estimation area is re-stratified, the map mentioned in subsection (1) must be: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 xml:space="preserve">amended to show the new strata boundaries; and </w:t>
      </w:r>
    </w:p>
    <w:p w:rsidR="00301DDB" w:rsidRPr="00301DDB" w:rsidRDefault="00301DDB" w:rsidP="00301DDB">
      <w:pPr>
        <w:keepLines/>
        <w:tabs>
          <w:tab w:val="right" w:pos="1531"/>
        </w:tabs>
        <w:spacing w:after="100" w:line="260" w:lineRule="exact"/>
        <w:ind w:left="1701" w:hanging="1701"/>
        <w:jc w:val="both"/>
        <w:rPr>
          <w:i/>
        </w:rPr>
      </w:pPr>
      <w:r w:rsidRPr="00301DDB">
        <w:tab/>
        <w:t>(b)</w:t>
      </w:r>
      <w:r w:rsidRPr="00301DDB">
        <w:tab/>
        <w:t>included with the next offsets report that is submitted to the Regulator.</w:t>
      </w: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26" w:name="_Toc358907416"/>
      <w:r w:rsidRPr="00301DDB">
        <w:rPr>
          <w:rFonts w:ascii="Arial" w:hAnsi="Arial" w:cs="Arial"/>
          <w:b/>
          <w:bCs/>
          <w:sz w:val="28"/>
          <w:szCs w:val="26"/>
        </w:rPr>
        <w:t>Division 3.3</w:t>
      </w:r>
      <w:r w:rsidRPr="00301DDB">
        <w:rPr>
          <w:rFonts w:ascii="Arial" w:hAnsi="Arial" w:cs="Arial"/>
          <w:b/>
          <w:bCs/>
          <w:sz w:val="28"/>
          <w:szCs w:val="26"/>
        </w:rPr>
        <w:tab/>
        <w:t>Restrictions on activities</w:t>
      </w:r>
      <w:bookmarkEnd w:id="26"/>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7" w:name="_Toc358907417"/>
      <w:r w:rsidRPr="00301DDB">
        <w:rPr>
          <w:rFonts w:ascii="Arial" w:hAnsi="Arial"/>
          <w:b/>
          <w:bCs/>
          <w:iCs/>
          <w:szCs w:val="26"/>
        </w:rPr>
        <w:t>3.9</w:t>
      </w:r>
      <w:r w:rsidRPr="00301DDB">
        <w:rPr>
          <w:rFonts w:ascii="Arial" w:hAnsi="Arial"/>
          <w:b/>
          <w:bCs/>
          <w:iCs/>
          <w:szCs w:val="26"/>
        </w:rPr>
        <w:tab/>
        <w:t>No commercial harvesting</w:t>
      </w:r>
      <w:bookmarkEnd w:id="27"/>
    </w:p>
    <w:p w:rsidR="00301DDB" w:rsidRPr="00301DDB" w:rsidRDefault="00301DDB" w:rsidP="00301DDB">
      <w:pPr>
        <w:keepLines/>
        <w:tabs>
          <w:tab w:val="right" w:pos="794"/>
        </w:tabs>
        <w:spacing w:before="80" w:after="100" w:line="260" w:lineRule="exact"/>
        <w:ind w:left="964" w:hanging="964"/>
        <w:jc w:val="both"/>
      </w:pPr>
      <w:r w:rsidRPr="00301DDB">
        <w:tab/>
      </w:r>
      <w:r w:rsidRPr="00301DDB">
        <w:tab/>
        <w:t>No biomass may be removed from a carbon estimation area or clearing buffer for commercial purposes.</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28" w:name="_Toc358907418"/>
      <w:r w:rsidRPr="00301DDB">
        <w:rPr>
          <w:rFonts w:ascii="Arial" w:hAnsi="Arial"/>
          <w:b/>
          <w:bCs/>
          <w:iCs/>
          <w:szCs w:val="26"/>
        </w:rPr>
        <w:t>3.10</w:t>
      </w:r>
      <w:r w:rsidRPr="00301DDB">
        <w:rPr>
          <w:rFonts w:ascii="Arial" w:hAnsi="Arial"/>
          <w:b/>
          <w:bCs/>
          <w:iCs/>
          <w:szCs w:val="26"/>
        </w:rPr>
        <w:tab/>
        <w:t>Fuel wood, fencing and thinning</w:t>
      </w:r>
      <w:bookmarkEnd w:id="28"/>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following are permitted in carbon estimation areas and clearing buffers:</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removal of fuel wood for personal use, provided that no more than 5% of carbon stocks from the carbon estimation area or clearing buffer are removed;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removal of wood for the purposes of erecting or repairing fences, provided that no more than 5% of carbon stocks from the carbon estimation area or clearing buffer are removed; and</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thinning of biomass for the purposes of:</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promoting biodiversity; or</w:t>
      </w:r>
    </w:p>
    <w:p w:rsidR="00301DDB" w:rsidRPr="00301DDB" w:rsidRDefault="00301DDB" w:rsidP="00301DDB">
      <w:pPr>
        <w:keepLines/>
        <w:tabs>
          <w:tab w:val="right" w:pos="2211"/>
        </w:tabs>
        <w:spacing w:after="100" w:line="260" w:lineRule="exact"/>
        <w:ind w:left="2410" w:hanging="2410"/>
        <w:jc w:val="both"/>
      </w:pPr>
      <w:r w:rsidRPr="00301DDB">
        <w:lastRenderedPageBreak/>
        <w:tab/>
        <w:t>(ii)</w:t>
      </w:r>
      <w:r w:rsidRPr="00301DDB">
        <w:tab/>
        <w:t>enhancing carbon stocks;</w:t>
      </w:r>
    </w:p>
    <w:p w:rsidR="00301DDB" w:rsidRPr="00301DDB" w:rsidRDefault="00301DDB" w:rsidP="00301DDB">
      <w:pPr>
        <w:keepLines/>
        <w:tabs>
          <w:tab w:val="right" w:pos="794"/>
        </w:tabs>
        <w:spacing w:before="80" w:after="100" w:line="260" w:lineRule="exact"/>
        <w:ind w:left="2160" w:hanging="964"/>
        <w:jc w:val="both"/>
      </w:pPr>
      <w:r w:rsidRPr="00301DDB">
        <w:tab/>
        <w:t>provided that 95% of the biomass thinned remains as dead wood within the carbon estimation area or clearing buffer in which it was thinned.</w:t>
      </w: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29" w:name="_Toc358907419"/>
      <w:r w:rsidRPr="00301DDB">
        <w:rPr>
          <w:rFonts w:ascii="Arial" w:hAnsi="Arial" w:cs="Arial"/>
          <w:b/>
          <w:bCs/>
          <w:sz w:val="28"/>
          <w:szCs w:val="26"/>
        </w:rPr>
        <w:t>Division 3.4</w:t>
      </w:r>
      <w:r w:rsidRPr="00301DDB">
        <w:rPr>
          <w:rFonts w:ascii="Arial" w:hAnsi="Arial" w:cs="Arial"/>
          <w:b/>
          <w:bCs/>
          <w:sz w:val="28"/>
          <w:szCs w:val="26"/>
        </w:rPr>
        <w:tab/>
        <w:t>Calculations</w:t>
      </w:r>
      <w:bookmarkEnd w:id="29"/>
    </w:p>
    <w:p w:rsidR="00301DDB" w:rsidRPr="00301DDB" w:rsidRDefault="00301DDB" w:rsidP="00301DDB">
      <w:pPr>
        <w:keepNext/>
        <w:keepLines/>
        <w:spacing w:before="360" w:after="60"/>
        <w:ind w:left="2410" w:hanging="2410"/>
        <w:jc w:val="both"/>
        <w:outlineLvl w:val="3"/>
        <w:rPr>
          <w:rFonts w:ascii="Arial" w:hAnsi="Arial"/>
          <w:b/>
          <w:bCs/>
          <w:sz w:val="28"/>
          <w:szCs w:val="28"/>
        </w:rPr>
      </w:pPr>
      <w:bookmarkStart w:id="30" w:name="_Toc358907420"/>
      <w:r w:rsidRPr="00301DDB">
        <w:rPr>
          <w:rFonts w:ascii="Arial" w:hAnsi="Arial"/>
          <w:b/>
          <w:bCs/>
          <w:sz w:val="28"/>
          <w:szCs w:val="28"/>
        </w:rPr>
        <w:t>Subdivision 3.4.1</w:t>
      </w:r>
      <w:r w:rsidRPr="00301DDB">
        <w:rPr>
          <w:rFonts w:ascii="Arial" w:hAnsi="Arial"/>
          <w:b/>
          <w:bCs/>
          <w:sz w:val="28"/>
          <w:szCs w:val="28"/>
        </w:rPr>
        <w:tab/>
        <w:t>Baseline</w:t>
      </w:r>
      <w:bookmarkEnd w:id="30"/>
    </w:p>
    <w:p w:rsidR="00301DDB" w:rsidRPr="00301DDB" w:rsidRDefault="00301DDB" w:rsidP="00301DDB">
      <w:pPr>
        <w:keepNext/>
        <w:keepLines/>
        <w:spacing w:before="360" w:after="60"/>
        <w:ind w:left="964" w:hanging="964"/>
        <w:jc w:val="both"/>
        <w:outlineLvl w:val="4"/>
        <w:rPr>
          <w:rFonts w:ascii="Arial" w:hAnsi="Arial"/>
          <w:b/>
          <w:bCs/>
          <w:iCs/>
          <w:szCs w:val="26"/>
        </w:rPr>
      </w:pPr>
      <w:bookmarkStart w:id="31" w:name="_Toc358907421"/>
      <w:r w:rsidRPr="00301DDB">
        <w:rPr>
          <w:rFonts w:ascii="Arial" w:hAnsi="Arial"/>
          <w:b/>
          <w:bCs/>
          <w:iCs/>
          <w:szCs w:val="26"/>
        </w:rPr>
        <w:t>3.11</w:t>
      </w:r>
      <w:r w:rsidRPr="00301DDB">
        <w:rPr>
          <w:rFonts w:ascii="Arial" w:hAnsi="Arial"/>
          <w:b/>
          <w:bCs/>
          <w:iCs/>
          <w:szCs w:val="26"/>
        </w:rPr>
        <w:tab/>
        <w:t>Baseline</w:t>
      </w:r>
      <w:bookmarkEnd w:id="31"/>
    </w:p>
    <w:p w:rsidR="00301DDB" w:rsidRPr="00301DDB" w:rsidRDefault="00301DDB" w:rsidP="00301DDB">
      <w:pPr>
        <w:keepLines/>
        <w:tabs>
          <w:tab w:val="right" w:pos="794"/>
        </w:tabs>
        <w:spacing w:before="80" w:after="100" w:line="260" w:lineRule="exact"/>
        <w:ind w:left="964" w:hanging="964"/>
        <w:jc w:val="both"/>
      </w:pPr>
      <w:r w:rsidRPr="00301DDB">
        <w:tab/>
      </w:r>
      <w:r w:rsidRPr="00301DDB">
        <w:tab/>
        <w:t>For the purposes of paragraph 106(4)(f) of the Act, the baseline for the offsets project is the carbon stocks in the carbon estimation areas if the deforestation plan had been implemented, calculated in accordance with Equation 27 in section 3.45.</w:t>
      </w:r>
    </w:p>
    <w:p w:rsidR="00301DDB" w:rsidRPr="00301DDB" w:rsidRDefault="00301DDB" w:rsidP="00301DDB">
      <w:pPr>
        <w:keepLines/>
        <w:tabs>
          <w:tab w:val="right" w:pos="1531"/>
        </w:tabs>
        <w:spacing w:after="100" w:line="220" w:lineRule="exact"/>
        <w:ind w:left="1701" w:hanging="1701"/>
        <w:jc w:val="both"/>
        <w:rPr>
          <w:sz w:val="20"/>
        </w:rPr>
      </w:pPr>
      <w:r w:rsidRPr="00301DDB">
        <w:rPr>
          <w:sz w:val="20"/>
        </w:rPr>
        <w:tab/>
      </w:r>
      <w:r w:rsidRPr="00301DDB">
        <w:rPr>
          <w:b/>
          <w:i/>
          <w:sz w:val="20"/>
        </w:rPr>
        <w:t>Note</w:t>
      </w:r>
      <w:r w:rsidRPr="00301DDB">
        <w:rPr>
          <w:sz w:val="20"/>
        </w:rPr>
        <w:tab/>
        <w:t>See section 107 of the Act.</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32" w:name="_Toc358907422"/>
      <w:r w:rsidRPr="00301DDB">
        <w:rPr>
          <w:rFonts w:ascii="Arial" w:hAnsi="Arial"/>
          <w:b/>
          <w:bCs/>
          <w:iCs/>
          <w:szCs w:val="26"/>
        </w:rPr>
        <w:t>3.12</w:t>
      </w:r>
      <w:r w:rsidRPr="00301DDB">
        <w:rPr>
          <w:rFonts w:ascii="Arial" w:hAnsi="Arial"/>
          <w:b/>
          <w:bCs/>
          <w:iCs/>
          <w:szCs w:val="26"/>
        </w:rPr>
        <w:tab/>
        <w:t>Recording baseline activities—deforestation plan</w:t>
      </w:r>
      <w:bookmarkEnd w:id="32"/>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A deforestation plan must be prepared in relation to the project area.</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the purposes of this Determination, the deforestation plan records the baseline activities.</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 xml:space="preserve">The </w:t>
      </w:r>
      <w:r w:rsidRPr="00301DDB">
        <w:rPr>
          <w:b/>
          <w:i/>
        </w:rPr>
        <w:t>deforestation plan</w:t>
      </w:r>
      <w:r w:rsidRPr="00301DDB">
        <w:t xml:space="preserve"> must identify:</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spatial extent of the project area;</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spatial extent of the native forest in the project area;</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spatial extent of the native forest authorised by the clearing consent mentioned in paragraph 2.3(c) to be cleared;</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 xml:space="preserve">the spatial extent of any part of the native forest not authorised by the clearing consent mentioned in paragraph 2.3(c) to be cleared; </w:t>
      </w:r>
    </w:p>
    <w:p w:rsidR="00301DDB" w:rsidRPr="00301DDB" w:rsidRDefault="00301DDB" w:rsidP="00301DDB">
      <w:pPr>
        <w:keepLines/>
        <w:tabs>
          <w:tab w:val="right" w:pos="1531"/>
        </w:tabs>
        <w:spacing w:after="100" w:line="260" w:lineRule="exact"/>
        <w:ind w:left="1701" w:hanging="1701"/>
        <w:jc w:val="both"/>
      </w:pPr>
      <w:r w:rsidRPr="00301DDB">
        <w:tab/>
        <w:t>(e)</w:t>
      </w:r>
      <w:r w:rsidRPr="00301DDB">
        <w:tab/>
        <w:t>the spatial extent of any part of the native forest in relation to which clearing is not possible or practicable;</w:t>
      </w:r>
    </w:p>
    <w:p w:rsidR="00301DDB" w:rsidRPr="00301DDB" w:rsidRDefault="00301DDB" w:rsidP="00301DDB">
      <w:pPr>
        <w:keepLines/>
        <w:tabs>
          <w:tab w:val="right" w:pos="1531"/>
        </w:tabs>
        <w:spacing w:after="100" w:line="260" w:lineRule="exact"/>
        <w:ind w:left="1701" w:hanging="1701"/>
        <w:jc w:val="both"/>
      </w:pPr>
      <w:r w:rsidRPr="00301DDB">
        <w:tab/>
        <w:t>(f)</w:t>
      </w:r>
      <w:r w:rsidRPr="00301DDB">
        <w:tab/>
        <w:t>the spatial extent of each carbon estimation area;</w:t>
      </w:r>
    </w:p>
    <w:p w:rsidR="00301DDB" w:rsidRPr="00301DDB" w:rsidRDefault="00301DDB" w:rsidP="00301DDB">
      <w:pPr>
        <w:keepLines/>
        <w:tabs>
          <w:tab w:val="right" w:pos="1531"/>
        </w:tabs>
        <w:spacing w:after="100" w:line="260" w:lineRule="exact"/>
        <w:ind w:left="1701" w:hanging="1701"/>
        <w:jc w:val="both"/>
      </w:pPr>
      <w:r w:rsidRPr="00301DDB">
        <w:tab/>
        <w:t>(g)</w:t>
      </w:r>
      <w:r w:rsidRPr="00301DDB">
        <w:tab/>
        <w:t>the spatial extent of each clearing buffer;</w:t>
      </w:r>
    </w:p>
    <w:p w:rsidR="00301DDB" w:rsidRPr="00301DDB" w:rsidRDefault="00301DDB" w:rsidP="00301DDB">
      <w:pPr>
        <w:keepLines/>
        <w:tabs>
          <w:tab w:val="right" w:pos="1531"/>
        </w:tabs>
        <w:spacing w:after="100" w:line="260" w:lineRule="exact"/>
        <w:ind w:left="1701" w:hanging="1701"/>
        <w:jc w:val="both"/>
      </w:pPr>
      <w:r w:rsidRPr="00301DDB">
        <w:tab/>
        <w:t>(h)</w:t>
      </w:r>
      <w:r w:rsidRPr="00301DDB">
        <w:tab/>
        <w:t>each proposed land use following clearing in accordance with the clearing consent mentioned in paragraph 2.3(c);</w:t>
      </w:r>
    </w:p>
    <w:p w:rsidR="00301DDB" w:rsidRPr="00301DDB" w:rsidRDefault="00301DDB" w:rsidP="00301DDB">
      <w:pPr>
        <w:keepLines/>
        <w:tabs>
          <w:tab w:val="right" w:pos="1531"/>
        </w:tabs>
        <w:spacing w:after="100" w:line="260" w:lineRule="exact"/>
        <w:ind w:left="1701" w:hanging="1701"/>
        <w:jc w:val="both"/>
      </w:pPr>
      <w:r w:rsidRPr="00301DDB">
        <w:tab/>
        <w:t>(i)</w:t>
      </w:r>
      <w:r w:rsidRPr="00301DDB">
        <w:tab/>
        <w:t>the spatial extent of each proposed land use following clearing in accordance with the clearing consent mentioned in paragraph 2.3(c); and</w:t>
      </w:r>
    </w:p>
    <w:p w:rsidR="00301DDB" w:rsidRPr="00301DDB" w:rsidRDefault="00301DDB" w:rsidP="00301DDB">
      <w:pPr>
        <w:keepLines/>
        <w:tabs>
          <w:tab w:val="right" w:pos="1531"/>
        </w:tabs>
        <w:spacing w:after="100" w:line="260" w:lineRule="exact"/>
        <w:ind w:left="1701" w:hanging="1701"/>
        <w:jc w:val="both"/>
      </w:pPr>
      <w:r w:rsidRPr="00301DDB">
        <w:tab/>
        <w:t>(j)</w:t>
      </w:r>
      <w:r w:rsidRPr="00301DDB">
        <w:tab/>
        <w:t>any requirement, whether in accordance with the clearing consent mentioned in paragraph 2.3(c) or otherwise, to maintain non-project trees.</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The deforestation plan must include a map prepared in accordance with the CFI Mapping Guidelines depicting the spatial information in subsection (3).</w:t>
      </w:r>
    </w:p>
    <w:p w:rsidR="00301DDB" w:rsidRPr="00301DDB" w:rsidRDefault="00301DDB" w:rsidP="00301DDB">
      <w:pPr>
        <w:keepNext/>
        <w:keepLines/>
        <w:spacing w:before="360" w:after="60"/>
        <w:ind w:left="2410" w:hanging="2410"/>
        <w:jc w:val="both"/>
        <w:outlineLvl w:val="3"/>
        <w:rPr>
          <w:rFonts w:ascii="Arial" w:hAnsi="Arial"/>
          <w:b/>
          <w:bCs/>
          <w:sz w:val="28"/>
          <w:szCs w:val="28"/>
        </w:rPr>
      </w:pPr>
      <w:bookmarkStart w:id="33" w:name="_Toc358907423"/>
      <w:bookmarkStart w:id="34" w:name="_Ref323896053"/>
      <w:r w:rsidRPr="00301DDB">
        <w:rPr>
          <w:rFonts w:ascii="Arial" w:hAnsi="Arial"/>
          <w:b/>
          <w:bCs/>
          <w:sz w:val="28"/>
          <w:szCs w:val="28"/>
        </w:rPr>
        <w:lastRenderedPageBreak/>
        <w:t>Subdivision 3.4.2</w:t>
      </w:r>
      <w:r w:rsidRPr="00301DDB">
        <w:rPr>
          <w:rFonts w:ascii="Arial" w:hAnsi="Arial"/>
          <w:b/>
          <w:bCs/>
          <w:sz w:val="28"/>
          <w:szCs w:val="28"/>
        </w:rPr>
        <w:tab/>
        <w:t>Allometric equations</w:t>
      </w:r>
      <w:bookmarkEnd w:id="33"/>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35" w:name="_Toc358907424"/>
      <w:r w:rsidRPr="00301DDB">
        <w:rPr>
          <w:rFonts w:ascii="Arial" w:hAnsi="Arial"/>
          <w:b/>
          <w:bCs/>
          <w:iCs/>
          <w:szCs w:val="26"/>
          <w:lang w:val="en-US"/>
        </w:rPr>
        <w:t>3.13</w:t>
      </w:r>
      <w:r w:rsidRPr="00301DDB">
        <w:rPr>
          <w:rFonts w:ascii="Arial" w:hAnsi="Arial"/>
          <w:b/>
          <w:bCs/>
          <w:iCs/>
          <w:szCs w:val="26"/>
          <w:lang w:val="en-US"/>
        </w:rPr>
        <w:tab/>
        <w:t>Allometric equations to be validated or developed</w:t>
      </w:r>
      <w:bookmarkEnd w:id="35"/>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In relation to each tree species or group of species in the project area measured as part of the biomass survey undertaken in accordance with Subdivision 3.4.3, the project proponent must:</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develop and validate a new equation for each species or group of species measured in the biomass survey in accordance with Subdivision 3.4.3; or</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validate an existing allometric equation in accordance with section 3.25, provided:</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w:t>
      </w:r>
      <w:r w:rsidRPr="00301DDB">
        <w:rPr>
          <w:lang w:val="en-US"/>
        </w:rPr>
        <w:tab/>
        <w:t>the allometric equation has been published in a peer-reviewed journal as a valid allometric equation;</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(ii)</w:t>
      </w:r>
      <w:r w:rsidRPr="00301DDB">
        <w:rPr>
          <w:lang w:val="en-US"/>
        </w:rPr>
        <w:tab/>
        <w:t>the allometric equation was developed using a dataset of more than 15 trees;</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(iii)</w:t>
      </w:r>
      <w:r w:rsidRPr="00301DDB">
        <w:rPr>
          <w:lang w:val="en-US"/>
        </w:rPr>
        <w:tab/>
        <w:t>the allometric domain is known;</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(iv)</w:t>
      </w:r>
      <w:r w:rsidRPr="00301DDB">
        <w:rPr>
          <w:lang w:val="en-US"/>
        </w:rPr>
        <w:tab/>
        <w:t xml:space="preserve">the allometric domain is consistent with the carbon estimation area to which the allometric equation is to be applied; and </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(v)</w:t>
      </w:r>
      <w:r w:rsidRPr="00301DDB">
        <w:rPr>
          <w:lang w:val="en-US"/>
        </w:rPr>
        <w:tab/>
        <w:t>the measurement protocols for the allometric equation are known and are consistently applied; or</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validate an allometric equation developed in accordance with this Determination for another offsets project.</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36" w:name="_Toc358907425"/>
      <w:r w:rsidRPr="00301DDB">
        <w:rPr>
          <w:rFonts w:ascii="Arial" w:hAnsi="Arial"/>
          <w:b/>
          <w:bCs/>
          <w:iCs/>
          <w:szCs w:val="26"/>
          <w:lang w:val="en-US"/>
        </w:rPr>
        <w:t>3.14</w:t>
      </w:r>
      <w:r w:rsidRPr="00301DDB">
        <w:rPr>
          <w:rFonts w:ascii="Arial" w:hAnsi="Arial"/>
          <w:b/>
          <w:bCs/>
          <w:iCs/>
          <w:szCs w:val="26"/>
          <w:lang w:val="en-US"/>
        </w:rPr>
        <w:tab/>
        <w:t>Validating or developing allometric equations</w:t>
      </w:r>
      <w:bookmarkEnd w:id="36"/>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Each allometric equation must be validated or developed using destructive sampling by carrying out the steps specified in this Subdivision.</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37" w:name="_Toc358907426"/>
      <w:r w:rsidRPr="00301DDB">
        <w:rPr>
          <w:rFonts w:ascii="Arial" w:hAnsi="Arial"/>
          <w:b/>
          <w:bCs/>
          <w:iCs/>
          <w:szCs w:val="26"/>
          <w:lang w:val="en-US"/>
        </w:rPr>
        <w:t>3.15</w:t>
      </w:r>
      <w:r w:rsidRPr="00301DDB">
        <w:rPr>
          <w:rFonts w:ascii="Arial" w:hAnsi="Arial"/>
          <w:b/>
          <w:bCs/>
          <w:iCs/>
          <w:szCs w:val="26"/>
          <w:lang w:val="en-US"/>
        </w:rPr>
        <w:tab/>
        <w:t>Step 1—Scope of allometry</w:t>
      </w:r>
      <w:bookmarkEnd w:id="37"/>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Allometric equations developed or validated in accordance with this Subdivision apply only to the above-ground biomass of the native forest in the project area.</w:t>
      </w:r>
    </w:p>
    <w:p w:rsidR="00301DDB" w:rsidRPr="00301DDB" w:rsidRDefault="00301DDB" w:rsidP="00301DDB">
      <w:pPr>
        <w:keepLines/>
        <w:tabs>
          <w:tab w:val="right" w:pos="1531"/>
        </w:tabs>
        <w:spacing w:after="100" w:line="220" w:lineRule="exact"/>
        <w:ind w:left="1701" w:hanging="1701"/>
        <w:jc w:val="both"/>
        <w:rPr>
          <w:sz w:val="20"/>
          <w:lang w:val="en-US"/>
        </w:rPr>
      </w:pPr>
      <w:r w:rsidRPr="00301DDB">
        <w:rPr>
          <w:sz w:val="20"/>
          <w:lang w:val="en-US"/>
        </w:rPr>
        <w:tab/>
      </w:r>
      <w:r w:rsidRPr="00301DDB">
        <w:rPr>
          <w:b/>
          <w:i/>
          <w:sz w:val="20"/>
          <w:lang w:val="en-US"/>
        </w:rPr>
        <w:t>Note</w:t>
      </w:r>
      <w:r w:rsidRPr="00301DDB">
        <w:rPr>
          <w:sz w:val="20"/>
          <w:lang w:val="en-US"/>
        </w:rPr>
        <w:tab/>
        <w:t>The below-ground biomass of the native forest in the project area is determined using root:shoot ratios as provided by section 3.28.</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The use of an allometric equation is restricted to its allometric domain as defined in section 3.16.</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38" w:name="_Toc358907427"/>
      <w:r w:rsidRPr="00301DDB">
        <w:rPr>
          <w:rFonts w:ascii="Arial" w:hAnsi="Arial"/>
          <w:b/>
          <w:bCs/>
          <w:iCs/>
          <w:szCs w:val="26"/>
          <w:lang w:val="en-US"/>
        </w:rPr>
        <w:t>3.16</w:t>
      </w:r>
      <w:r w:rsidRPr="00301DDB">
        <w:rPr>
          <w:rFonts w:ascii="Arial" w:hAnsi="Arial"/>
          <w:b/>
          <w:bCs/>
          <w:iCs/>
          <w:szCs w:val="26"/>
          <w:lang w:val="en-US"/>
        </w:rPr>
        <w:tab/>
        <w:t>Step 2—Determination of allometric domains</w:t>
      </w:r>
      <w:bookmarkEnd w:id="38"/>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An allometric domain describes the specific conditions under which an allometric equation is likely to apply because the assumptions that underpin the allometric equation are satisfied.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Allometric domains must be determined in accordance with the requirements of this section.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lastRenderedPageBreak/>
        <w:tab/>
        <w:t>(3)</w:t>
      </w:r>
      <w:r w:rsidRPr="00301DDB">
        <w:rPr>
          <w:lang w:val="en-US"/>
        </w:rPr>
        <w:tab/>
        <w:t>For each allometric equation that is to be developed or validated, the following must be defined: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a unique identifier and reference;</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the species or group of species for which the allometric equation has been or will be developed;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the species growth form for which the allometric equation has been or will be developed;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(d)</w:t>
      </w:r>
      <w:r w:rsidRPr="00301DDB">
        <w:rPr>
          <w:lang w:val="en-US"/>
        </w:rPr>
        <w:tab/>
        <w:t>the range of values of measurements for each variable used to develop the allometric equation.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If a new allometric equation is to be developed, the allometric domain must include the spatial extent in which the allometric equation applies.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If a pre-existing allometric equation is to be validated, the allometric domain must include the spatial extent in which the allometric equation applies if the spatial extent is defined.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(6)</w:t>
      </w:r>
      <w:r w:rsidRPr="00301DDB">
        <w:rPr>
          <w:lang w:val="en-US"/>
        </w:rPr>
        <w:tab/>
        <w:t>If an allometric equation is developed in respect of a group of species:</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the growth form of each species to which the allometric equation applies must be the same;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each species must be identified prior to the commencement of destructive sampling as provided by this Subdivision;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individual trees in the group of species must be selected independently of their species for destructive sampling.</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39" w:name="_Toc358907428"/>
      <w:r w:rsidRPr="00301DDB">
        <w:rPr>
          <w:rFonts w:ascii="Arial" w:hAnsi="Arial"/>
          <w:b/>
          <w:bCs/>
          <w:iCs/>
          <w:szCs w:val="26"/>
          <w:lang w:val="en-US"/>
        </w:rPr>
        <w:t>3.17</w:t>
      </w:r>
      <w:r w:rsidRPr="00301DDB">
        <w:rPr>
          <w:rFonts w:ascii="Arial" w:hAnsi="Arial"/>
          <w:b/>
          <w:bCs/>
          <w:iCs/>
          <w:szCs w:val="26"/>
          <w:lang w:val="en-US"/>
        </w:rPr>
        <w:tab/>
        <w:t>Step 3—Sample size</w:t>
      </w:r>
      <w:bookmarkEnd w:id="39"/>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For each allometric equation to be validated, at least 6 trees must be selected for destructive sampling, including at least one tree from each class size as defined in section 3.21.</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For each new allometric equation to be developed, at least 20 trees must be selected for destructive sampling, including at least one tree from each class size as defined in section 3.21.</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0" w:name="_Toc358907429"/>
      <w:r w:rsidRPr="00301DDB">
        <w:rPr>
          <w:rFonts w:ascii="Arial" w:hAnsi="Arial"/>
          <w:b/>
          <w:bCs/>
          <w:iCs/>
          <w:szCs w:val="26"/>
          <w:lang w:val="en-US"/>
        </w:rPr>
        <w:t>3.18</w:t>
      </w:r>
      <w:r w:rsidRPr="00301DDB">
        <w:rPr>
          <w:rFonts w:ascii="Arial" w:hAnsi="Arial"/>
          <w:b/>
          <w:bCs/>
          <w:iCs/>
          <w:szCs w:val="26"/>
          <w:lang w:val="en-US"/>
        </w:rPr>
        <w:tab/>
        <w:t>Step 4—Determination of plot design for tree selection</w:t>
      </w:r>
      <w:bookmarkEnd w:id="40"/>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The plot design for tree selection must be determined in accordance with section 3.29.</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Enough plots must be allocated to capture at least 100 trees across the area mentioned in subsection 3.19(1).</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1" w:name="_Toc358907430"/>
      <w:r w:rsidRPr="00301DDB">
        <w:rPr>
          <w:rFonts w:ascii="Arial" w:hAnsi="Arial"/>
          <w:b/>
          <w:bCs/>
          <w:iCs/>
          <w:szCs w:val="26"/>
          <w:lang w:val="en-US"/>
        </w:rPr>
        <w:t>3.19</w:t>
      </w:r>
      <w:r w:rsidRPr="00301DDB">
        <w:rPr>
          <w:rFonts w:ascii="Arial" w:hAnsi="Arial"/>
          <w:b/>
          <w:bCs/>
          <w:iCs/>
          <w:szCs w:val="26"/>
          <w:lang w:val="en-US"/>
        </w:rPr>
        <w:tab/>
        <w:t>Step 5—Allocation of plots for tree selection</w:t>
      </w:r>
      <w:bookmarkEnd w:id="41"/>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When developing an allometric equation, plots for tree selection must be allocated within:</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one or more carbon estimation areas;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lastRenderedPageBreak/>
        <w:tab/>
        <w:t>(b)</w:t>
      </w:r>
      <w:r w:rsidRPr="00301DDB">
        <w:rPr>
          <w:lang w:val="en-US"/>
        </w:rPr>
        <w:tab/>
        <w:t>the spatial extent of each allometric domain as defined in section 3.16.</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When validating an allometric equation, plots for tree selection must be allocated across the carbon estimation area or areas in which the allometric equation is to be applied.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Waypoints for plot locations within the areas mentioned in subsection (1) or (2) must be allocated using a pseudo-random number generator with a known seed number.</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2" w:name="_Toc358907431"/>
      <w:r w:rsidRPr="00301DDB">
        <w:rPr>
          <w:rFonts w:ascii="Arial" w:hAnsi="Arial"/>
          <w:b/>
          <w:bCs/>
          <w:iCs/>
          <w:szCs w:val="26"/>
          <w:lang w:val="en-US"/>
        </w:rPr>
        <w:t>3.20</w:t>
      </w:r>
      <w:r w:rsidRPr="00301DDB">
        <w:rPr>
          <w:rFonts w:ascii="Arial" w:hAnsi="Arial"/>
          <w:b/>
          <w:bCs/>
          <w:iCs/>
          <w:szCs w:val="26"/>
          <w:lang w:val="en-US"/>
        </w:rPr>
        <w:tab/>
        <w:t>Step 6—Survey and random selection of trees for destructive sampling</w:t>
      </w:r>
      <w:bookmarkEnd w:id="42"/>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Waypoints must be established using a GPS device with an accuracy of at least ± 4 metres.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A plot at each waypoint must be established as provided by section 3.18.</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A unique identifier must be assigned to each tree within each plot.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For each tree, each variable to be used in an allometric equation must be measured.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Enough plots to achieve the sample size prescribed in section 3.18 must be established.</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3" w:name="_Toc358907432"/>
      <w:r w:rsidRPr="00301DDB">
        <w:rPr>
          <w:rFonts w:ascii="Arial" w:hAnsi="Arial"/>
          <w:b/>
          <w:bCs/>
          <w:iCs/>
          <w:szCs w:val="26"/>
          <w:lang w:val="en-US"/>
        </w:rPr>
        <w:t>3.21</w:t>
      </w:r>
      <w:r w:rsidRPr="00301DDB">
        <w:rPr>
          <w:rFonts w:ascii="Arial" w:hAnsi="Arial"/>
          <w:b/>
          <w:bCs/>
          <w:iCs/>
          <w:szCs w:val="26"/>
          <w:lang w:val="en-US"/>
        </w:rPr>
        <w:tab/>
        <w:t>Step 7—Size classes</w:t>
      </w:r>
      <w:bookmarkEnd w:id="43"/>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The trees mentioned in section 3.20 must be:</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classified according to the species or group of species for which an allometric equation is to be developed;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further classified into at least 3 size classes per species or group of species mentioned in paragraph (a).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Each size class must have:</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a minimum range identifying the smallest variable for tree selection;</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a maximum range identifying the largest variable for tree selection;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 xml:space="preserve">a defined class size interval.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Use a pseudo-random number generator with a known seed number to rank the trees mentioned in subsection (1) within the class sizes mentioned in subsection (2).</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At least the first tree in each class size ranked in accordance with subsection (3) must be selected for destructive sampling in accordance with section 3.22.</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If more than one tree per class size is needed to achieve the sample size specified in section 3.17:</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trees must be selected sequentially according to the ranking in subsection (3); or</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the trees with the maximum or minimum variable in relation to each size class must be selected.</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4" w:name="_Toc358907433"/>
      <w:r w:rsidRPr="00301DDB">
        <w:rPr>
          <w:rFonts w:ascii="Arial" w:hAnsi="Arial"/>
          <w:b/>
          <w:bCs/>
          <w:iCs/>
          <w:szCs w:val="26"/>
          <w:lang w:val="en-US"/>
        </w:rPr>
        <w:lastRenderedPageBreak/>
        <w:t>3.22</w:t>
      </w:r>
      <w:r w:rsidRPr="00301DDB">
        <w:rPr>
          <w:rFonts w:ascii="Arial" w:hAnsi="Arial"/>
          <w:b/>
          <w:bCs/>
          <w:iCs/>
          <w:szCs w:val="26"/>
          <w:lang w:val="en-US"/>
        </w:rPr>
        <w:tab/>
        <w:t>Step 8—Destructive sampling procedure</w:t>
      </w:r>
      <w:bookmarkEnd w:id="44"/>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8.1—Wet weight of sample trees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Each sample tree selected in section 3.21 must be cut down at ground level.</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The wet weight of each tree mentioned in subsection (1) must be measured.</w:t>
      </w:r>
    </w:p>
    <w:p w:rsidR="00301DDB" w:rsidRPr="00301DDB" w:rsidRDefault="00301DDB" w:rsidP="00301DDB">
      <w:pPr>
        <w:keepLines/>
        <w:tabs>
          <w:tab w:val="right" w:pos="1531"/>
        </w:tabs>
        <w:spacing w:after="100" w:line="220" w:lineRule="exact"/>
        <w:ind w:left="1701" w:hanging="1701"/>
        <w:jc w:val="both"/>
        <w:rPr>
          <w:sz w:val="20"/>
          <w:lang w:val="en-US"/>
        </w:rPr>
      </w:pPr>
      <w:r w:rsidRPr="00301DDB">
        <w:rPr>
          <w:sz w:val="20"/>
          <w:lang w:val="en-US"/>
        </w:rPr>
        <w:tab/>
      </w:r>
      <w:r w:rsidRPr="00301DDB">
        <w:rPr>
          <w:b/>
          <w:i/>
          <w:sz w:val="20"/>
          <w:lang w:val="en-US"/>
        </w:rPr>
        <w:t>Note</w:t>
      </w:r>
      <w:r w:rsidRPr="00301DDB">
        <w:rPr>
          <w:sz w:val="20"/>
          <w:lang w:val="en-US"/>
        </w:rPr>
        <w:tab/>
        <w:t>Trees may be cut into smaller parts for the purposes of measuring their wet weight.</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8.2—Allometric equations for single species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If an allometric equation is to be developed for a single species:</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then the following must be selected:</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w:t>
      </w:r>
      <w:r w:rsidRPr="00301DDB">
        <w:rPr>
          <w:lang w:val="en-US"/>
        </w:rPr>
        <w:tab/>
        <w:t>at least every third tree cut down in accordance with subsection (1) in the order of cutting; and</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(ii)</w:t>
      </w:r>
      <w:r w:rsidRPr="00301DDB">
        <w:rPr>
          <w:lang w:val="en-US"/>
        </w:rPr>
        <w:tab/>
        <w:t>at least one tree from each class size mentioned in section 3.20;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each tree selected in accordance with paragraph (a) must be cut into its component parts.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For the purposes of this section, component parts include:</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stem;</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branches;</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crown;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(d)</w:t>
      </w:r>
      <w:r w:rsidRPr="00301DDB">
        <w:rPr>
          <w:lang w:val="en-US"/>
        </w:rPr>
        <w:tab/>
        <w:t>dead material, including dead branches, dead stem and dead crown, attached to the sample tree.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The trees mentioned in subsection (3) must have been cut down within a 30 day period.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(6)</w:t>
      </w:r>
      <w:r w:rsidRPr="00301DDB">
        <w:rPr>
          <w:lang w:val="en-US"/>
        </w:rPr>
        <w:tab/>
        <w:t>Subsection (5) does not apply if each tree mentioned in subsection (1) has been analysed in accordance with section 3.23.</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8.3—Allometric equations for groups of species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(7)</w:t>
      </w:r>
      <w:r w:rsidRPr="00301DDB">
        <w:rPr>
          <w:lang w:val="en-US"/>
        </w:rPr>
        <w:tab/>
        <w:t>If an allometric equation is to be developed for a group of species, each of the trees cut down in accordance with subsection (1) must be cut into component parts in accordance with subsection (4).</w:t>
      </w:r>
      <w:r w:rsidRPr="00301DDB">
        <w:rPr>
          <w:lang w:val="en-US"/>
        </w:rPr>
        <w:tab/>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5" w:name="_Toc358907434"/>
      <w:r w:rsidRPr="00301DDB">
        <w:rPr>
          <w:rFonts w:ascii="Arial" w:hAnsi="Arial"/>
          <w:b/>
          <w:bCs/>
          <w:iCs/>
          <w:szCs w:val="26"/>
          <w:lang w:val="en-US"/>
        </w:rPr>
        <w:t>3.23</w:t>
      </w:r>
      <w:r w:rsidRPr="00301DDB">
        <w:rPr>
          <w:rFonts w:ascii="Arial" w:hAnsi="Arial"/>
          <w:b/>
          <w:bCs/>
          <w:iCs/>
          <w:szCs w:val="26"/>
          <w:lang w:val="en-US"/>
        </w:rPr>
        <w:tab/>
        <w:t>Step 9—Biomass analysis</w:t>
      </w:r>
      <w:bookmarkEnd w:id="45"/>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For each tree cut into components in accordance with subsection 3.22:</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 xml:space="preserve">the weight of each component mentioned in subsection 3.22(3) or 3.22(7) must be recorded. </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at least 3 representative subsamples must be cut from each component mentioned in subsections 3.22(3) or 3.22(7).</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weight of each subsample mentioned in paragraph (b) must be immediately recorded in order to determine the wet weight of the subsample.</w:t>
      </w:r>
    </w:p>
    <w:p w:rsidR="00301DDB" w:rsidRPr="00301DDB" w:rsidRDefault="00301DDB" w:rsidP="00301DDB">
      <w:pPr>
        <w:keepLines/>
        <w:tabs>
          <w:tab w:val="right" w:pos="1531"/>
        </w:tabs>
        <w:spacing w:after="100" w:line="260" w:lineRule="exact"/>
        <w:ind w:left="1701" w:hanging="1701"/>
        <w:jc w:val="both"/>
      </w:pPr>
      <w:r w:rsidRPr="00301DDB">
        <w:lastRenderedPageBreak/>
        <w:tab/>
        <w:t>(d)</w:t>
      </w:r>
      <w:r w:rsidRPr="00301DDB">
        <w:tab/>
        <w:t>each subsample mentioned in paragraph (b) must be dried in an oven with a temperature between 70 and 80 degrees Celsius until the subsample has achieved a constant weight.</w:t>
      </w:r>
    </w:p>
    <w:p w:rsidR="00301DDB" w:rsidRPr="00301DDB" w:rsidRDefault="00301DDB" w:rsidP="00301DDB">
      <w:pPr>
        <w:keepLines/>
        <w:tabs>
          <w:tab w:val="right" w:pos="1531"/>
        </w:tabs>
        <w:spacing w:after="100" w:line="260" w:lineRule="exact"/>
        <w:ind w:left="1701" w:hanging="1701"/>
        <w:jc w:val="both"/>
      </w:pPr>
      <w:r w:rsidRPr="00301DDB">
        <w:tab/>
        <w:t>(e)</w:t>
      </w:r>
      <w:r w:rsidRPr="00301DDB">
        <w:tab/>
        <w:t>when the subsamples mentioned in paragraph (b) have achieved a constant weight, the weight of each subsample must be recorded in order to determine the dry weight of the subsample.</w:t>
      </w:r>
    </w:p>
    <w:p w:rsidR="00301DDB" w:rsidRPr="00301DDB" w:rsidRDefault="00301DDB" w:rsidP="00301DDB">
      <w:pPr>
        <w:keepLines/>
        <w:tabs>
          <w:tab w:val="right" w:pos="1531"/>
        </w:tabs>
        <w:spacing w:after="100" w:line="260" w:lineRule="exact"/>
        <w:ind w:left="1701" w:hanging="1701"/>
        <w:jc w:val="both"/>
      </w:pPr>
      <w:r w:rsidRPr="00301DDB">
        <w:tab/>
        <w:t>(f)</w:t>
      </w:r>
      <w:r w:rsidRPr="00301DDB">
        <w:tab/>
        <w:t>the dry to wet weight ratio for each component mentioned in subsection 3.22(3) or 3.22(7) must be estimated by dividing the dry weight of the subsample determined in paragraph (e) by the subsample wet weight determined in paragraph (c).</w:t>
      </w:r>
    </w:p>
    <w:p w:rsidR="00301DDB" w:rsidRPr="00301DDB" w:rsidRDefault="00301DDB" w:rsidP="00301DDB">
      <w:pPr>
        <w:keepLines/>
        <w:tabs>
          <w:tab w:val="right" w:pos="1531"/>
        </w:tabs>
        <w:spacing w:after="100" w:line="260" w:lineRule="exact"/>
        <w:ind w:left="1701" w:hanging="1701"/>
        <w:jc w:val="both"/>
      </w:pPr>
      <w:r w:rsidRPr="00301DDB">
        <w:tab/>
        <w:t>(g)</w:t>
      </w:r>
      <w:r w:rsidRPr="00301DDB">
        <w:tab/>
        <w:t>the dry weight of each component mentioned in subsections 3.22(3) and 3.22(7) must be estimated by multiplying the component weight determined in paragraph (a) by the average of the corresponding dry to wet weight ratio for that component for the sample tree estimated in paragraph (f).</w:t>
      </w:r>
    </w:p>
    <w:p w:rsidR="00301DDB" w:rsidRPr="00301DDB" w:rsidRDefault="00301DDB" w:rsidP="00301DDB">
      <w:pPr>
        <w:keepLines/>
        <w:tabs>
          <w:tab w:val="right" w:pos="1531"/>
        </w:tabs>
        <w:spacing w:after="100" w:line="260" w:lineRule="exact"/>
        <w:ind w:left="1701" w:hanging="1701"/>
        <w:jc w:val="both"/>
      </w:pPr>
      <w:r w:rsidRPr="00301DDB">
        <w:tab/>
        <w:t>(h)</w:t>
      </w:r>
      <w:r w:rsidRPr="00301DDB">
        <w:tab/>
        <w:t xml:space="preserve">the dry weight of each sample tree mentioned in subsection 3.22(3) or 3.22(7) must be estimated by summing dry weight of each component estimated in paragraph (g) for each sample tree. </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each tree analysed in accordance with subsection (1), the whole tree dry to wet weight ratio must be estimated by dividing the tree dry weight measured in accordance with subsection 3.22(2) by the tree wet weight estimated in paragraph (1)(h).</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 xml:space="preserve">If: </w:t>
      </w:r>
    </w:p>
    <w:p w:rsidR="00301DDB" w:rsidRPr="00301DDB" w:rsidRDefault="00301DDB" w:rsidP="00301DDB">
      <w:pPr>
        <w:keepLines/>
        <w:tabs>
          <w:tab w:val="right" w:pos="1531"/>
        </w:tabs>
        <w:spacing w:after="100" w:line="260" w:lineRule="exact"/>
        <w:ind w:left="1701" w:hanging="1701"/>
        <w:jc w:val="both"/>
      </w:pPr>
      <w:r w:rsidRPr="00301DDB">
        <w:rPr>
          <w:lang w:val="en-US"/>
        </w:rPr>
        <w:tab/>
        <w:t>(a)</w:t>
      </w:r>
      <w:r w:rsidRPr="00301DDB">
        <w:rPr>
          <w:lang w:val="en-US"/>
        </w:rPr>
        <w:tab/>
        <w:t>an allometric equation is to be developed for a single species; and</w:t>
      </w:r>
    </w:p>
    <w:p w:rsidR="00301DDB" w:rsidRPr="00301DDB" w:rsidRDefault="00301DDB" w:rsidP="00301DDB">
      <w:pPr>
        <w:keepLines/>
        <w:tabs>
          <w:tab w:val="right" w:pos="1531"/>
        </w:tabs>
        <w:spacing w:after="100" w:line="260" w:lineRule="exact"/>
        <w:ind w:left="1701" w:hanging="1701"/>
        <w:jc w:val="both"/>
        <w:rPr>
          <w:lang w:val="en-US"/>
        </w:rPr>
      </w:pPr>
      <w:r w:rsidRPr="00301DDB">
        <w:tab/>
        <w:t>(b)</w:t>
      </w:r>
      <w:r w:rsidRPr="00301DDB">
        <w:tab/>
      </w:r>
      <w:r w:rsidRPr="00301DDB">
        <w:rPr>
          <w:lang w:val="en-US"/>
        </w:rPr>
        <w:t>each of the trees cut down in accordance with subsection 3.22(1) was not analysed in accordance with this section;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 xml:space="preserve">the coefficient of variation </w:t>
      </w:r>
      <w:r w:rsidRPr="00301DDB">
        <w:t>of tree dry to wet weight ratio must be estimated by dividing the standard deviation of tree dry to wet weight ratio by its average.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If the coefficient of variation estimated in accordance with subsection (3) exceeds 15%:</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all measurements associated with trees not analysed in accordance with this section must be discarded;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destructive sampling for the equivalent number of sample trees discarded in accordance with paragraph (a) must be repeated in accordance with subsection 3.22(1);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 xml:space="preserve">analysis of the sample trees must be completed in accordance with this section. </w:t>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If the coefficient of variation calculated in accordance with subsection (3) is equal to or less than 15%, the dry weight of any sample trees not analysed in accordance with this section must be estimated by multiplying the tree wet weight by the average tree dry to wet weight ratio.</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6" w:name="_Toc358907435"/>
      <w:r w:rsidRPr="00301DDB">
        <w:rPr>
          <w:rFonts w:ascii="Arial" w:hAnsi="Arial"/>
          <w:b/>
          <w:bCs/>
          <w:iCs/>
          <w:szCs w:val="26"/>
          <w:lang w:val="en-US"/>
        </w:rPr>
        <w:lastRenderedPageBreak/>
        <w:t>3.24</w:t>
      </w:r>
      <w:r w:rsidRPr="00301DDB">
        <w:rPr>
          <w:rFonts w:ascii="Arial" w:hAnsi="Arial"/>
          <w:b/>
          <w:bCs/>
          <w:iCs/>
          <w:szCs w:val="26"/>
          <w:lang w:val="en-US"/>
        </w:rPr>
        <w:tab/>
        <w:t>Step 10—Data exploration and analysis</w:t>
      </w:r>
      <w:bookmarkEnd w:id="46"/>
      <w:r w:rsidRPr="00301DDB">
        <w:rPr>
          <w:rFonts w:ascii="Arial" w:hAnsi="Arial"/>
          <w:b/>
          <w:bCs/>
          <w:iCs/>
          <w:szCs w:val="26"/>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The whole tree dry weight data obtained in section 3.23 must be compiled into a database or spreadsheet suitable for statistical analysis or importation into a statistical analysis software package.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 xml:space="preserve">If an existing allometric equation is to be validated, Step 10.1 in this section must be skipped and Step 11 in section 3.25 must be completed.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If a new allometric equation is to be validated, Step 10.1 in this section must be completed.</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10.1—Allometric development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An allometric equation being developed must take the form of a statistical model fitted using:</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simple linear regression;</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multiple regression;</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polynomial regression; or</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(d)</w:t>
      </w:r>
      <w:r w:rsidRPr="00301DDB">
        <w:rPr>
          <w:lang w:val="en-US"/>
        </w:rPr>
        <w:tab/>
        <w:t>non-linear regression.</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Each allometric equation developed must satisfy the assumptions that:</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the means of the response variables change in a systematic way with variation in the explanatory variable;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errors are:</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w:t>
      </w:r>
      <w:r w:rsidRPr="00301DDB">
        <w:rPr>
          <w:lang w:val="en-US"/>
        </w:rPr>
        <w:tab/>
        <w:t>independent; and</w:t>
      </w:r>
    </w:p>
    <w:p w:rsidR="00301DDB" w:rsidRPr="00301DDB" w:rsidRDefault="00301DDB" w:rsidP="00301DDB">
      <w:pPr>
        <w:keepLines/>
        <w:tabs>
          <w:tab w:val="right" w:pos="2211"/>
        </w:tabs>
        <w:spacing w:after="100" w:line="260" w:lineRule="exact"/>
        <w:ind w:left="2410" w:hanging="2410"/>
        <w:jc w:val="both"/>
        <w:rPr>
          <w:lang w:val="en-US"/>
        </w:rPr>
      </w:pPr>
      <w:r w:rsidRPr="00301DDB">
        <w:rPr>
          <w:lang w:val="en-US"/>
        </w:rPr>
        <w:tab/>
        <w:t>(ii)</w:t>
      </w:r>
      <w:r w:rsidRPr="00301DDB">
        <w:rPr>
          <w:lang w:val="en-US"/>
        </w:rPr>
        <w:tab/>
        <w:t>normally distributed.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(6)</w:t>
      </w:r>
      <w:r w:rsidRPr="00301DDB">
        <w:rPr>
          <w:lang w:val="en-US"/>
        </w:rPr>
        <w:tab/>
        <w:t>To satisfy the assumptions in subsection (5), data may be transformed.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(7)</w:t>
      </w:r>
      <w:r w:rsidRPr="00301DDB">
        <w:rPr>
          <w:lang w:val="en-US"/>
        </w:rPr>
        <w:tab/>
        <w:t>If data is transformed as permitted by subsection (6), power transformations may be used.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(8)</w:t>
      </w:r>
      <w:r w:rsidRPr="00301DDB">
        <w:rPr>
          <w:lang w:val="en-US"/>
        </w:rPr>
        <w:tab/>
        <w:t>If a logarithmic transformation is applied to the response variable, the proportional bias must be estimated and applied using the ratio of the arithmetic sample mean to the mean of the back-transformed predicted variables.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(9)</w:t>
      </w:r>
      <w:r w:rsidRPr="00301DDB">
        <w:rPr>
          <w:lang w:val="en-US"/>
        </w:rPr>
        <w:tab/>
        <w:t>Each explanatory variable used in an allometric equation must be statistically significant.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(10)</w:t>
      </w:r>
      <w:r w:rsidRPr="00301DDB">
        <w:rPr>
          <w:lang w:val="en-US"/>
        </w:rPr>
        <w:tab/>
        <w:t>For the purposes of subsection (9), a variable is statistically significant if the outcome of an F</w:t>
      </w:r>
      <w:r w:rsidRPr="00301DDB">
        <w:rPr>
          <w:lang w:val="en-US"/>
        </w:rPr>
        <w:noBreakHyphen/>
        <w:t>test or a two-tailed t-test has a probability value of less than 5%.</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(11)</w:t>
      </w:r>
      <w:r w:rsidRPr="00301DDB">
        <w:rPr>
          <w:lang w:val="en-US"/>
        </w:rPr>
        <w:tab/>
        <w:t xml:space="preserve">Each allometric equation developed must be verified by comparing the statistical model’s predictions with observations of trees mentioned in subsection (1).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(12)</w:t>
      </w:r>
      <w:r w:rsidRPr="00301DDB">
        <w:rPr>
          <w:lang w:val="en-US"/>
        </w:rPr>
        <w:tab/>
        <w:t>The mean of the weighted residuals for the observed and predicted biomass estimates of the dataset of trees used to derive the allometric equation must be computed by completing Equation 1 and Equation 2.</w:t>
      </w:r>
    </w:p>
    <w:p w:rsidR="00301DDB" w:rsidRPr="00301DDB" w:rsidRDefault="00301DDB" w:rsidP="00301DDB">
      <w:pPr>
        <w:keepLines/>
        <w:tabs>
          <w:tab w:val="right" w:pos="794"/>
        </w:tabs>
        <w:spacing w:before="80" w:after="100" w:line="260" w:lineRule="exact"/>
        <w:ind w:left="964" w:hanging="964"/>
        <w:jc w:val="both"/>
        <w:rPr>
          <w:lang w:val="en-US"/>
        </w:rPr>
      </w:pPr>
    </w:p>
    <w:p w:rsidR="00301DDB" w:rsidRPr="00301DDB" w:rsidRDefault="00301DDB" w:rsidP="00301DDB">
      <w:pPr>
        <w:keepLines/>
        <w:tabs>
          <w:tab w:val="right" w:pos="794"/>
        </w:tabs>
        <w:spacing w:before="80" w:after="100" w:line="260" w:lineRule="exact"/>
        <w:ind w:left="964" w:hanging="964"/>
        <w:jc w:val="both"/>
        <w:rPr>
          <w:lang w:val="en-US"/>
        </w:rPr>
      </w:pPr>
    </w:p>
    <w:tbl>
      <w:tblPr>
        <w:tblStyle w:val="TableGrid"/>
        <w:tblW w:w="0" w:type="auto"/>
        <w:tblInd w:w="964" w:type="dxa"/>
        <w:tblLook w:val="04A0" w:firstRow="1" w:lastRow="0" w:firstColumn="1" w:lastColumn="0" w:noHBand="0" w:noVBand="1"/>
      </w:tblPr>
      <w:tblGrid>
        <w:gridCol w:w="6232"/>
        <w:gridCol w:w="2046"/>
      </w:tblGrid>
      <w:tr w:rsidR="00301DDB" w:rsidRPr="00301DDB" w:rsidTr="00DB6218">
        <w:tc>
          <w:tcPr>
            <w:tcW w:w="6232" w:type="dxa"/>
            <w:vAlign w:val="center"/>
          </w:tcPr>
          <w:p w:rsidR="00301DDB" w:rsidRPr="00301DDB" w:rsidRDefault="007142EE" w:rsidP="00301DDB">
            <w:pPr>
              <w:keepLines/>
              <w:tabs>
                <w:tab w:val="right" w:pos="794"/>
              </w:tabs>
              <w:spacing w:before="80" w:after="100" w:line="360" w:lineRule="auto"/>
              <w:ind w:left="964" w:hanging="964"/>
              <w:jc w:val="center"/>
              <w:rPr>
                <w:lang w:val="en-US"/>
              </w:rPr>
            </w:pPr>
            <m:oMathPara>
              <m:oMath>
                <m:sSub>
                  <m:sSubPr>
                    <m:ctrlPr>
                      <w:rPr>
                        <w:rFonts w:ascii="Cambria Math" w:hAnsi="Cambria Math"/>
                        <w:lang w:val="en-US"/>
                      </w:rPr>
                    </m:ctrlPr>
                  </m:sSubPr>
                  <m:e>
                    <m:r>
                      <m:rPr>
                        <m:sty m:val="p"/>
                      </m:rPr>
                      <w:rPr>
                        <w:rFonts w:ascii="Cambria Math" w:hAnsi="Cambria Math"/>
                        <w:lang w:val="en-US"/>
                      </w:rPr>
                      <m:t>WR</m:t>
                    </m:r>
                  </m:e>
                  <m:sub>
                    <m:r>
                      <m:rPr>
                        <m:sty m:val="p"/>
                      </m:rPr>
                      <w:rPr>
                        <w:rFonts w:ascii="Cambria Math" w:hAnsi="Cambria Math"/>
                        <w:lang w:val="en-US"/>
                      </w:rPr>
                      <m:t xml:space="preserve">j,md </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j,md</m:t>
                    </m:r>
                  </m:sub>
                </m:sSub>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B</m:t>
                        </m:r>
                      </m:e>
                      <m:sub>
                        <m:r>
                          <m:rPr>
                            <m:sty m:val="p"/>
                          </m:rPr>
                          <w:rPr>
                            <w:rFonts w:ascii="Cambria Math" w:hAnsi="Cambria Math"/>
                            <w:lang w:val="en-US"/>
                          </w:rPr>
                          <m:t>j,md</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PB</m:t>
                        </m:r>
                      </m:e>
                      <m:sub>
                        <m:r>
                          <m:rPr>
                            <m:sty m:val="p"/>
                          </m:rPr>
                          <w:rPr>
                            <w:rFonts w:ascii="Cambria Math" w:hAnsi="Cambria Math"/>
                            <w:lang w:val="en-US"/>
                          </w:rPr>
                          <m:t>j,md</m:t>
                        </m:r>
                      </m:sub>
                    </m:sSub>
                  </m:e>
                </m:d>
              </m:oMath>
            </m:oMathPara>
          </w:p>
        </w:tc>
        <w:tc>
          <w:tcPr>
            <w:tcW w:w="2046" w:type="dxa"/>
            <w:vAlign w:val="center"/>
          </w:tcPr>
          <w:p w:rsidR="00301DDB" w:rsidRPr="00301DDB" w:rsidRDefault="00301DDB" w:rsidP="00301DDB">
            <w:pPr>
              <w:keepLines/>
              <w:tabs>
                <w:tab w:val="right" w:pos="794"/>
              </w:tabs>
              <w:spacing w:before="80" w:after="100" w:line="360" w:lineRule="auto"/>
              <w:jc w:val="center"/>
              <w:rPr>
                <w:b/>
                <w:lang w:val="en-US"/>
              </w:rPr>
            </w:pPr>
            <w:r w:rsidRPr="00301DDB">
              <w:rPr>
                <w:b/>
                <w:lang w:val="en-US"/>
              </w:rPr>
              <w:t>Equation 1</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WR</w:t>
      </w:r>
      <w:r w:rsidRPr="00301DDB">
        <w:rPr>
          <w:vertAlign w:val="subscript"/>
          <w:lang w:val="en-US"/>
        </w:rPr>
        <w:t xml:space="preserve">j,md </w:t>
      </w:r>
      <w:r w:rsidRPr="00301DDB">
        <w:rPr>
          <w:lang w:val="en-US"/>
        </w:rPr>
        <w:t>=</w:t>
      </w:r>
      <w:r w:rsidRPr="00301DDB">
        <w:rPr>
          <w:lang w:val="en-US"/>
        </w:rPr>
        <w:tab/>
        <w:t>weighted residual (kilograms) for tree (j,md).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j,md =</w:t>
      </w:r>
      <w:r w:rsidRPr="00301DDB">
        <w:rPr>
          <w:lang w:val="en-US"/>
        </w:rPr>
        <w:tab/>
      </w:r>
      <w:r w:rsidRPr="00301DDB">
        <w:rPr>
          <w:lang w:val="en-US"/>
        </w:rPr>
        <w:tab/>
        <w:t>a test tree (j) from the data set (md) used to derive the</w:t>
      </w:r>
      <w:r w:rsidRPr="00301DDB">
        <w:rPr>
          <w:lang w:val="en-US"/>
        </w:rPr>
        <w:tab/>
      </w:r>
      <w:r w:rsidRPr="00301DDB">
        <w:rPr>
          <w:lang w:val="en-US"/>
        </w:rPr>
        <w:tab/>
      </w:r>
      <w:r w:rsidRPr="00301DDB">
        <w:rPr>
          <w:lang w:val="en-US"/>
        </w:rPr>
        <w:tab/>
      </w:r>
      <w:r w:rsidRPr="00301DDB">
        <w:rPr>
          <w:lang w:val="en-US"/>
        </w:rPr>
        <w:tab/>
        <w:t xml:space="preserve">allometric equation.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w:t>
      </w:r>
      <w:r w:rsidRPr="00301DDB">
        <w:rPr>
          <w:vertAlign w:val="subscript"/>
          <w:lang w:val="en-US"/>
        </w:rPr>
        <w:t xml:space="preserve">j,md </w:t>
      </w:r>
      <w:r w:rsidRPr="00301DDB">
        <w:rPr>
          <w:lang w:val="en-US"/>
        </w:rPr>
        <w:t>=</w:t>
      </w:r>
      <w:r w:rsidRPr="00301DDB">
        <w:rPr>
          <w:lang w:val="en-US"/>
        </w:rPr>
        <w:tab/>
      </w:r>
      <w:r w:rsidRPr="00301DDB">
        <w:rPr>
          <w:lang w:val="en-US"/>
        </w:rPr>
        <w:tab/>
        <w:t>observed biomass (kilograms) for tree (j,md) measured by</w:t>
      </w:r>
      <w:r w:rsidRPr="00301DDB">
        <w:rPr>
          <w:lang w:val="en-US"/>
        </w:rPr>
        <w:tab/>
      </w:r>
      <w:r w:rsidRPr="00301DDB">
        <w:rPr>
          <w:lang w:val="en-US"/>
        </w:rPr>
        <w:tab/>
      </w:r>
      <w:r w:rsidRPr="00301DDB">
        <w:rPr>
          <w:lang w:val="en-US"/>
        </w:rPr>
        <w:tab/>
      </w:r>
      <w:r w:rsidRPr="00301DDB">
        <w:rPr>
          <w:lang w:val="en-US"/>
        </w:rPr>
        <w:tab/>
        <w:t>destructive sampling.</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PB</w:t>
      </w:r>
      <w:r w:rsidRPr="00301DDB">
        <w:rPr>
          <w:vertAlign w:val="subscript"/>
          <w:lang w:val="en-US"/>
        </w:rPr>
        <w:t xml:space="preserve">j,md </w:t>
      </w:r>
      <w:r w:rsidRPr="00301DDB">
        <w:rPr>
          <w:lang w:val="en-US"/>
        </w:rPr>
        <w:t>=</w:t>
      </w:r>
      <w:r w:rsidRPr="00301DDB">
        <w:rPr>
          <w:lang w:val="en-US"/>
        </w:rPr>
        <w:tab/>
        <w:t>biomass (kilograms) for tree (j,md) predicted from the</w:t>
      </w:r>
      <w:r w:rsidRPr="00301DDB">
        <w:rPr>
          <w:lang w:val="en-US"/>
        </w:rPr>
        <w:tab/>
      </w:r>
      <w:r w:rsidRPr="00301DDB">
        <w:rPr>
          <w:lang w:val="en-US"/>
        </w:rPr>
        <w:tab/>
      </w:r>
      <w:r w:rsidRPr="00301DDB">
        <w:rPr>
          <w:lang w:val="en-US"/>
        </w:rPr>
        <w:tab/>
      </w:r>
      <w:r w:rsidRPr="00301DDB">
        <w:rPr>
          <w:lang w:val="en-US"/>
        </w:rPr>
        <w:tab/>
        <w:t>allometric equation.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w</w:t>
      </w:r>
      <w:r w:rsidRPr="00301DDB">
        <w:rPr>
          <w:vertAlign w:val="subscript"/>
          <w:lang w:val="en-US"/>
        </w:rPr>
        <w:t xml:space="preserve">j,md </w:t>
      </w:r>
      <w:r w:rsidRPr="00301DDB">
        <w:rPr>
          <w:lang w:val="en-US"/>
        </w:rPr>
        <w:t>=</w:t>
      </w:r>
      <w:r w:rsidRPr="00301DDB">
        <w:rPr>
          <w:lang w:val="en-US"/>
        </w:rPr>
        <w:tab/>
      </w:r>
      <w:r w:rsidRPr="00301DDB">
        <w:rPr>
          <w:lang w:val="en-US"/>
        </w:rPr>
        <w:tab/>
        <w:t>weighting factor applied to tree (j,md) calculated in accordance</w:t>
      </w:r>
      <w:r w:rsidRPr="00301DDB">
        <w:rPr>
          <w:lang w:val="en-US"/>
        </w:rPr>
        <w:tab/>
      </w:r>
      <w:r w:rsidRPr="00301DDB">
        <w:rPr>
          <w:lang w:val="en-US"/>
        </w:rPr>
        <w:tab/>
      </w:r>
      <w:r w:rsidRPr="00301DDB">
        <w:rPr>
          <w:lang w:val="en-US"/>
        </w:rPr>
        <w:tab/>
        <w:t>with Equation 2.</w:t>
      </w:r>
    </w:p>
    <w:tbl>
      <w:tblPr>
        <w:tblStyle w:val="TableGrid"/>
        <w:tblW w:w="0" w:type="auto"/>
        <w:tblInd w:w="964" w:type="dxa"/>
        <w:tblLook w:val="04A0" w:firstRow="1" w:lastRow="0" w:firstColumn="1" w:lastColumn="0" w:noHBand="0" w:noVBand="1"/>
      </w:tblPr>
      <w:tblGrid>
        <w:gridCol w:w="6232"/>
        <w:gridCol w:w="2046"/>
      </w:tblGrid>
      <w:tr w:rsidR="00301DDB" w:rsidRPr="00301DDB" w:rsidTr="00DB6218">
        <w:tc>
          <w:tcPr>
            <w:tcW w:w="6232" w:type="dxa"/>
            <w:vAlign w:val="center"/>
          </w:tcPr>
          <w:p w:rsidR="00301DDB" w:rsidRPr="00301DDB" w:rsidRDefault="007142EE" w:rsidP="00301DDB">
            <w:pPr>
              <w:keepLines/>
              <w:tabs>
                <w:tab w:val="right" w:pos="794"/>
              </w:tabs>
              <w:spacing w:before="80" w:after="100" w:line="360" w:lineRule="auto"/>
              <w:ind w:firstLine="794"/>
              <w:jc w:val="both"/>
              <w:rPr>
                <w:lang w:val="en-US"/>
              </w:rPr>
            </w:pPr>
            <m:oMathPara>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 xml:space="preserve">j,md </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BA</m:t>
                                </m:r>
                              </m:e>
                              <m:sub>
                                <m:r>
                                  <m:rPr>
                                    <m:sty m:val="p"/>
                                  </m:rPr>
                                  <w:rPr>
                                    <w:rFonts w:ascii="Cambria Math" w:hAnsi="Cambria Math"/>
                                  </w:rPr>
                                  <m:t>j,md</m:t>
                                </m:r>
                              </m:sub>
                            </m:sSub>
                          </m:e>
                        </m:d>
                      </m:e>
                      <m:sup>
                        <m:r>
                          <m:rPr>
                            <m:sty m:val="p"/>
                          </m:rPr>
                          <w:rPr>
                            <w:rFonts w:ascii="Cambria Math" w:hAnsi="Cambria Math"/>
                          </w:rPr>
                          <m:t>0.5</m:t>
                        </m:r>
                      </m:sup>
                    </m:sSup>
                  </m:den>
                </m:f>
              </m:oMath>
            </m:oMathPara>
          </w:p>
        </w:tc>
        <w:tc>
          <w:tcPr>
            <w:tcW w:w="2046"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2</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w</w:t>
      </w:r>
      <w:r w:rsidRPr="00301DDB">
        <w:rPr>
          <w:vertAlign w:val="subscript"/>
          <w:lang w:val="en-US"/>
        </w:rPr>
        <w:t xml:space="preserve">j,md </w:t>
      </w:r>
      <w:r w:rsidRPr="00301DDB">
        <w:rPr>
          <w:lang w:val="en-US"/>
        </w:rPr>
        <w:t>=</w:t>
      </w:r>
      <w:r w:rsidRPr="00301DDB">
        <w:rPr>
          <w:lang w:val="en-US"/>
        </w:rPr>
        <w:tab/>
      </w:r>
      <w:r w:rsidRPr="00301DDB">
        <w:rPr>
          <w:lang w:val="en-US"/>
        </w:rPr>
        <w:tab/>
        <w:t>weighting factor applied to tree (j,md).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BA</w:t>
      </w:r>
      <w:r w:rsidRPr="00301DDB">
        <w:rPr>
          <w:vertAlign w:val="subscript"/>
          <w:lang w:val="en-US"/>
        </w:rPr>
        <w:t xml:space="preserve">j,md </w:t>
      </w:r>
      <w:r w:rsidRPr="00301DDB">
        <w:rPr>
          <w:lang w:val="en-US"/>
        </w:rPr>
        <w:t>=</w:t>
      </w:r>
      <w:r w:rsidRPr="00301DDB">
        <w:rPr>
          <w:lang w:val="en-US"/>
        </w:rPr>
        <w:tab/>
        <w:t>basal area of tree (j,md) (square metres).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j,md =</w:t>
      </w:r>
      <w:r w:rsidRPr="00301DDB">
        <w:rPr>
          <w:lang w:val="en-US"/>
        </w:rPr>
        <w:tab/>
      </w:r>
      <w:r w:rsidRPr="00301DDB">
        <w:rPr>
          <w:lang w:val="en-US"/>
        </w:rPr>
        <w:tab/>
        <w:t>a test tree (j) from the data set (md) used to derive the</w:t>
      </w:r>
      <w:r w:rsidRPr="00301DDB">
        <w:rPr>
          <w:lang w:val="en-US"/>
        </w:rPr>
        <w:tab/>
      </w:r>
      <w:r w:rsidRPr="00301DDB">
        <w:rPr>
          <w:lang w:val="en-US"/>
        </w:rPr>
        <w:tab/>
      </w:r>
      <w:r w:rsidRPr="00301DDB">
        <w:rPr>
          <w:lang w:val="en-US"/>
        </w:rPr>
        <w:tab/>
      </w:r>
      <w:r w:rsidRPr="00301DDB">
        <w:rPr>
          <w:lang w:val="en-US"/>
        </w:rPr>
        <w:tab/>
        <w:t>allometric equation.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(13)</w:t>
      </w:r>
      <w:r w:rsidRPr="00301DDB">
        <w:rPr>
          <w:lang w:val="en-US"/>
        </w:rPr>
        <w:tab/>
        <w:t>The mean of the weighted residuals calculated in Equation 1 must not be significantly different from zero, as determined by applying a two-tailed student t</w:t>
      </w:r>
      <w:r w:rsidRPr="00301DDB">
        <w:rPr>
          <w:lang w:val="en-US"/>
        </w:rPr>
        <w:noBreakHyphen/>
        <w:t>test where α = 0.05.</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(14)</w:t>
      </w:r>
      <w:r w:rsidRPr="00301DDB">
        <w:rPr>
          <w:lang w:val="en-US"/>
        </w:rPr>
        <w:tab/>
        <w:t>If the model satisfies subsection (13), proceed to Step 11 in section 3.25.</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(15)</w:t>
      </w:r>
      <w:r w:rsidRPr="00301DDB">
        <w:rPr>
          <w:lang w:val="en-US"/>
        </w:rPr>
        <w:tab/>
        <w:t>If the model does not satisfy subsection (13):</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an existing equation must be selected in accordance with section 3.13 and validated using the procedure outlined in section 3.25; or</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a new equation must be developed following the procedure outlined in this Subdivision.</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7" w:name="_Toc358907436"/>
      <w:r w:rsidRPr="00301DDB">
        <w:rPr>
          <w:rFonts w:ascii="Arial" w:hAnsi="Arial"/>
          <w:b/>
          <w:bCs/>
          <w:iCs/>
          <w:szCs w:val="26"/>
          <w:lang w:val="en-US"/>
        </w:rPr>
        <w:t>3.25</w:t>
      </w:r>
      <w:r w:rsidRPr="00301DDB">
        <w:rPr>
          <w:rFonts w:ascii="Arial" w:hAnsi="Arial"/>
          <w:b/>
          <w:bCs/>
          <w:iCs/>
          <w:szCs w:val="26"/>
          <w:lang w:val="en-US"/>
        </w:rPr>
        <w:tab/>
        <w:t>Step 11—Validation of allometric equation</w:t>
      </w:r>
      <w:bookmarkEnd w:id="47"/>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Each allometric equation must be validated in respect of the area to which the clearing consent mentioned in section 2.3 applies.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Each allometric equation must be validated in:</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the first reporting period;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the last reporting period in the crediting period.</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lastRenderedPageBreak/>
        <w:t>Step 11.1—Confirmation of allometric domain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Once a biomass survey has been completed in accordance with Subdivision 3.4.3, an allometric domain must be confirmed in accordance with this section for each model to be applied.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Before applying a model, the project proponent must confirm that the characteristics of the species or group of species whose biomass is to be predicted fall within a valid allometric domain as defined in section 3.16.</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For trees measured in the biomass survey, a table must be prepared listing:</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 xml:space="preserve">the species of tree(s); </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 xml:space="preserve">the species growth form; </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 xml:space="preserve">the spatial extent of the species; and </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(d)</w:t>
      </w:r>
      <w:r w:rsidRPr="00301DDB">
        <w:rPr>
          <w:lang w:val="en-US"/>
        </w:rPr>
        <w:tab/>
        <w:t>the range of values of all explanatory variables measured.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(6)</w:t>
      </w:r>
      <w:r w:rsidRPr="00301DDB">
        <w:rPr>
          <w:lang w:val="en-US"/>
        </w:rPr>
        <w:tab/>
        <w:t xml:space="preserve">The information collated in the table mentioned in subsection (5) must fall within the range of values described by the dataset used to develop the allometric equation.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(7)</w:t>
      </w:r>
      <w:r w:rsidRPr="00301DDB">
        <w:rPr>
          <w:lang w:val="en-US"/>
        </w:rPr>
        <w:tab/>
        <w:t>Trees that do not fall within the allometric domain must be excluded from the results of the biomass survey.</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11.2—Predicted biomass of sample trees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(8)</w:t>
      </w:r>
      <w:r w:rsidRPr="00301DDB">
        <w:rPr>
          <w:lang w:val="en-US"/>
        </w:rPr>
        <w:tab/>
        <w:t>An estimate of the biomass contained within each sample tree must be predicted using the allometric equation to be validated in accordance with section 3.17.</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(9)</w:t>
      </w:r>
      <w:r w:rsidRPr="00301DDB">
        <w:rPr>
          <w:lang w:val="en-US"/>
        </w:rPr>
        <w:tab/>
        <w:t>For the purposes of subsection (8), the explanatory variable measurements collected for each test tree must be used as inputs.</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11.3—Comparison between predicted and observed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(10)</w:t>
      </w:r>
      <w:r w:rsidRPr="00301DDB">
        <w:rPr>
          <w:lang w:val="en-US"/>
        </w:rPr>
        <w:tab/>
        <w:t>The validity of each model for prediction must be established by comparing its predictions with observed values estimated by the destructive sampling of trees selected in accordance with sections 3.17 to 3.23.</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(11)</w:t>
      </w:r>
      <w:r w:rsidRPr="00301DDB">
        <w:rPr>
          <w:lang w:val="en-US"/>
        </w:rPr>
        <w:tab/>
        <w:t>Destructively sampled trees used for the validation of an allometric equation must not have been included in the development of the allometric equation.</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(12)</w:t>
      </w:r>
      <w:r w:rsidRPr="00301DDB">
        <w:rPr>
          <w:lang w:val="en-US"/>
        </w:rPr>
        <w:tab/>
        <w:t>The mean of weighted residuals for the observed and predicted biomass estimates of the set of test trees generated in accordance with Step 11.2 in this section must be computed using Equation 3 and Equation 4.</w:t>
      </w:r>
    </w:p>
    <w:tbl>
      <w:tblPr>
        <w:tblStyle w:val="TableGrid"/>
        <w:tblW w:w="0" w:type="auto"/>
        <w:tblInd w:w="964" w:type="dxa"/>
        <w:tblLook w:val="04A0" w:firstRow="1" w:lastRow="0" w:firstColumn="1" w:lastColumn="0" w:noHBand="0" w:noVBand="1"/>
      </w:tblPr>
      <w:tblGrid>
        <w:gridCol w:w="6232"/>
        <w:gridCol w:w="2046"/>
      </w:tblGrid>
      <w:tr w:rsidR="00301DDB" w:rsidRPr="00301DDB" w:rsidTr="00DB6218">
        <w:tc>
          <w:tcPr>
            <w:tcW w:w="6232" w:type="dxa"/>
            <w:vAlign w:val="center"/>
          </w:tcPr>
          <w:p w:rsidR="00301DDB" w:rsidRPr="00301DDB" w:rsidRDefault="007142EE" w:rsidP="00301DDB">
            <w:pPr>
              <w:keepLines/>
              <w:tabs>
                <w:tab w:val="right" w:pos="794"/>
              </w:tabs>
              <w:spacing w:before="80" w:after="100" w:line="360" w:lineRule="auto"/>
              <w:ind w:left="964" w:hanging="964"/>
              <w:jc w:val="both"/>
              <w:rPr>
                <w:lang w:val="en-US"/>
              </w:rPr>
            </w:pPr>
            <m:oMathPara>
              <m:oMath>
                <m:sSub>
                  <m:sSubPr>
                    <m:ctrlPr>
                      <w:rPr>
                        <w:rFonts w:ascii="Cambria Math" w:hAnsi="Cambria Math"/>
                        <w:lang w:val="en-US"/>
                      </w:rPr>
                    </m:ctrlPr>
                  </m:sSubPr>
                  <m:e>
                    <m:r>
                      <m:rPr>
                        <m:sty m:val="p"/>
                      </m:rPr>
                      <w:rPr>
                        <w:rFonts w:ascii="Cambria Math" w:hAnsi="Cambria Math"/>
                        <w:lang w:val="en-US"/>
                      </w:rPr>
                      <m:t>WR</m:t>
                    </m:r>
                  </m:e>
                  <m:sub>
                    <m:r>
                      <m:rPr>
                        <m:sty m:val="p"/>
                      </m:rPr>
                      <w:rPr>
                        <w:rFonts w:ascii="Cambria Math" w:hAnsi="Cambria Math"/>
                        <w:lang w:val="en-US"/>
                      </w:rPr>
                      <m:t>j</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j</m:t>
                    </m:r>
                  </m:sub>
                </m:sSub>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B</m:t>
                        </m:r>
                      </m:e>
                      <m:sub>
                        <m:r>
                          <m:rPr>
                            <m:sty m:val="p"/>
                          </m:rPr>
                          <w:rPr>
                            <w:rFonts w:ascii="Cambria Math" w:hAnsi="Cambria Math"/>
                            <w:lang w:val="en-US"/>
                          </w:rPr>
                          <m:t>j</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PB</m:t>
                        </m:r>
                      </m:e>
                      <m:sub>
                        <m:r>
                          <m:rPr>
                            <m:sty m:val="p"/>
                          </m:rPr>
                          <w:rPr>
                            <w:rFonts w:ascii="Cambria Math" w:hAnsi="Cambria Math"/>
                            <w:lang w:val="en-US"/>
                          </w:rPr>
                          <m:t>j</m:t>
                        </m:r>
                      </m:sub>
                    </m:sSub>
                  </m:e>
                </m:d>
              </m:oMath>
            </m:oMathPara>
          </w:p>
        </w:tc>
        <w:tc>
          <w:tcPr>
            <w:tcW w:w="2046"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3</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WR</w:t>
      </w:r>
      <w:r w:rsidRPr="00301DDB">
        <w:rPr>
          <w:vertAlign w:val="subscript"/>
          <w:lang w:val="en-US"/>
        </w:rPr>
        <w:t xml:space="preserve">j </w:t>
      </w:r>
      <w:r w:rsidRPr="00301DDB">
        <w:rPr>
          <w:lang w:val="en-US"/>
        </w:rPr>
        <w:t>=</w:t>
      </w:r>
      <w:r w:rsidRPr="00301DDB">
        <w:rPr>
          <w:lang w:val="en-US"/>
        </w:rPr>
        <w:tab/>
      </w:r>
      <w:r w:rsidRPr="00301DDB">
        <w:rPr>
          <w:lang w:val="en-US"/>
        </w:rPr>
        <w:tab/>
        <w:t>weighted residual in kilograms (kg) for tree (j).</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j =</w:t>
      </w:r>
      <w:r w:rsidRPr="00301DDB">
        <w:rPr>
          <w:lang w:val="en-US"/>
        </w:rPr>
        <w:tab/>
      </w:r>
      <w:r w:rsidRPr="00301DDB">
        <w:rPr>
          <w:lang w:val="en-US"/>
        </w:rPr>
        <w:tab/>
        <w:t>a test tree from a dataset not used to derive the allometric</w:t>
      </w:r>
      <w:r w:rsidRPr="00301DDB">
        <w:rPr>
          <w:lang w:val="en-US"/>
        </w:rPr>
        <w:tab/>
      </w:r>
      <w:r w:rsidRPr="00301DDB">
        <w:rPr>
          <w:lang w:val="en-US"/>
        </w:rPr>
        <w:tab/>
      </w:r>
      <w:r w:rsidRPr="00301DDB">
        <w:rPr>
          <w:lang w:val="en-US"/>
        </w:rPr>
        <w:tab/>
      </w:r>
      <w:r w:rsidRPr="00301DDB">
        <w:rPr>
          <w:lang w:val="en-US"/>
        </w:rPr>
        <w:tab/>
        <w:t>equation.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w:t>
      </w:r>
      <w:r w:rsidRPr="00301DDB">
        <w:rPr>
          <w:vertAlign w:val="subscript"/>
          <w:lang w:val="en-US"/>
        </w:rPr>
        <w:t xml:space="preserve">j </w:t>
      </w:r>
      <w:r w:rsidRPr="00301DDB">
        <w:rPr>
          <w:lang w:val="en-US"/>
        </w:rPr>
        <w:t>=</w:t>
      </w:r>
      <w:r w:rsidRPr="00301DDB">
        <w:rPr>
          <w:lang w:val="en-US"/>
        </w:rPr>
        <w:tab/>
      </w:r>
      <w:r w:rsidRPr="00301DDB">
        <w:rPr>
          <w:lang w:val="en-US"/>
        </w:rPr>
        <w:tab/>
        <w:t>biomass (kilograms) for tree (j) measured through</w:t>
      </w:r>
      <w:r w:rsidRPr="00301DDB">
        <w:rPr>
          <w:lang w:val="en-US"/>
        </w:rPr>
        <w:tab/>
      </w:r>
      <w:r w:rsidRPr="00301DDB">
        <w:rPr>
          <w:lang w:val="en-US"/>
        </w:rPr>
        <w:tab/>
      </w:r>
      <w:r w:rsidRPr="00301DDB">
        <w:rPr>
          <w:lang w:val="en-US"/>
        </w:rPr>
        <w:tab/>
      </w:r>
      <w:r w:rsidRPr="00301DDB">
        <w:rPr>
          <w:lang w:val="en-US"/>
        </w:rPr>
        <w:tab/>
      </w:r>
      <w:r w:rsidRPr="00301DDB">
        <w:rPr>
          <w:lang w:val="en-US"/>
        </w:rPr>
        <w:tab/>
        <w:t>destructive sampling.</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lastRenderedPageBreak/>
        <w:tab/>
      </w:r>
      <w:r w:rsidRPr="00301DDB">
        <w:rPr>
          <w:lang w:val="en-US"/>
        </w:rPr>
        <w:tab/>
      </w:r>
      <w:r w:rsidRPr="00301DDB">
        <w:rPr>
          <w:lang w:val="en-US"/>
        </w:rPr>
        <w:tab/>
        <w:t>PB</w:t>
      </w:r>
      <w:r w:rsidRPr="00301DDB">
        <w:rPr>
          <w:vertAlign w:val="subscript"/>
          <w:lang w:val="en-US"/>
        </w:rPr>
        <w:t xml:space="preserve">j </w:t>
      </w:r>
      <w:r w:rsidRPr="00301DDB">
        <w:rPr>
          <w:lang w:val="en-US"/>
        </w:rPr>
        <w:t>=</w:t>
      </w:r>
      <w:r w:rsidRPr="00301DDB">
        <w:rPr>
          <w:lang w:val="en-US"/>
        </w:rPr>
        <w:tab/>
      </w:r>
      <w:r w:rsidRPr="00301DDB">
        <w:rPr>
          <w:lang w:val="en-US"/>
        </w:rPr>
        <w:tab/>
        <w:t>biomass (kilograms) for tree (j) predicted from the</w:t>
      </w:r>
      <w:r w:rsidRPr="00301DDB">
        <w:rPr>
          <w:lang w:val="en-US"/>
        </w:rPr>
        <w:tab/>
      </w:r>
      <w:r w:rsidRPr="00301DDB">
        <w:rPr>
          <w:lang w:val="en-US"/>
        </w:rPr>
        <w:tab/>
      </w:r>
      <w:r w:rsidRPr="00301DDB">
        <w:rPr>
          <w:lang w:val="en-US"/>
        </w:rPr>
        <w:tab/>
      </w:r>
      <w:r w:rsidRPr="00301DDB">
        <w:rPr>
          <w:lang w:val="en-US"/>
        </w:rPr>
        <w:tab/>
      </w:r>
      <w:r w:rsidRPr="00301DDB">
        <w:rPr>
          <w:lang w:val="en-US"/>
        </w:rPr>
        <w:tab/>
        <w:t>allometric equation.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w</w:t>
      </w:r>
      <w:r w:rsidRPr="00301DDB">
        <w:rPr>
          <w:vertAlign w:val="subscript"/>
          <w:lang w:val="en-US"/>
        </w:rPr>
        <w:t>j</w:t>
      </w:r>
      <w:r w:rsidRPr="00301DDB">
        <w:rPr>
          <w:lang w:val="en-US"/>
        </w:rPr>
        <w:t xml:space="preserve"> =</w:t>
      </w:r>
      <w:r w:rsidRPr="00301DDB">
        <w:rPr>
          <w:lang w:val="en-US"/>
        </w:rPr>
        <w:tab/>
      </w:r>
      <w:r w:rsidRPr="00301DDB">
        <w:rPr>
          <w:lang w:val="en-US"/>
        </w:rPr>
        <w:tab/>
        <w:t>weighting factor applied to tree (j) calculated in accordance</w:t>
      </w:r>
      <w:r w:rsidRPr="00301DDB">
        <w:rPr>
          <w:lang w:val="en-US"/>
        </w:rPr>
        <w:tab/>
      </w:r>
      <w:r w:rsidRPr="00301DDB">
        <w:rPr>
          <w:lang w:val="en-US"/>
        </w:rPr>
        <w:tab/>
      </w:r>
      <w:r w:rsidRPr="00301DDB">
        <w:rPr>
          <w:lang w:val="en-US"/>
        </w:rPr>
        <w:tab/>
      </w:r>
      <w:r w:rsidRPr="00301DDB">
        <w:rPr>
          <w:lang w:val="en-US"/>
        </w:rPr>
        <w:tab/>
        <w:t>with Equation 4.</w:t>
      </w:r>
      <w:r w:rsidRPr="00301DDB">
        <w:rPr>
          <w:lang w:val="en-US"/>
        </w:rPr>
        <w:tab/>
      </w:r>
    </w:p>
    <w:tbl>
      <w:tblPr>
        <w:tblStyle w:val="TableGrid"/>
        <w:tblW w:w="0" w:type="auto"/>
        <w:tblInd w:w="964" w:type="dxa"/>
        <w:tblLook w:val="04A0" w:firstRow="1" w:lastRow="0" w:firstColumn="1" w:lastColumn="0" w:noHBand="0" w:noVBand="1"/>
      </w:tblPr>
      <w:tblGrid>
        <w:gridCol w:w="6232"/>
        <w:gridCol w:w="2046"/>
      </w:tblGrid>
      <w:tr w:rsidR="00301DDB" w:rsidRPr="00301DDB" w:rsidTr="00DB6218">
        <w:tc>
          <w:tcPr>
            <w:tcW w:w="6232" w:type="dxa"/>
            <w:vAlign w:val="center"/>
          </w:tcPr>
          <w:p w:rsidR="00301DDB" w:rsidRPr="00301DDB" w:rsidRDefault="007142EE" w:rsidP="00301DDB">
            <w:pPr>
              <w:keepLines/>
              <w:tabs>
                <w:tab w:val="right" w:pos="794"/>
              </w:tabs>
              <w:spacing w:before="80" w:after="100" w:line="360" w:lineRule="auto"/>
              <w:jc w:val="both"/>
              <w:rPr>
                <w:lang w:val="en-US"/>
              </w:rPr>
            </w:pPr>
            <m:oMathPara>
              <m:oMath>
                <m:sSub>
                  <m:sSubPr>
                    <m:ctrlPr>
                      <w:rPr>
                        <w:rFonts w:ascii="Cambria Math" w:hAnsi="Cambria Math"/>
                        <w:bCs/>
                        <w:lang w:val="en-US"/>
                      </w:rPr>
                    </m:ctrlPr>
                  </m:sSubPr>
                  <m:e>
                    <m:r>
                      <m:rPr>
                        <m:sty m:val="p"/>
                      </m:rPr>
                      <w:rPr>
                        <w:rFonts w:ascii="Cambria Math" w:hAnsi="Cambria Math"/>
                        <w:lang w:val="en-US"/>
                      </w:rPr>
                      <m:t>w</m:t>
                    </m:r>
                  </m:e>
                  <m:sub>
                    <m:r>
                      <m:rPr>
                        <m:sty m:val="p"/>
                      </m:rPr>
                      <w:rPr>
                        <w:rFonts w:ascii="Cambria Math" w:hAnsi="Cambria Math"/>
                        <w:lang w:val="en-US"/>
                      </w:rPr>
                      <m:t>j</m:t>
                    </m:r>
                  </m:sub>
                </m:sSub>
                <m:r>
                  <m:rPr>
                    <m:sty m:val="p"/>
                  </m:rPr>
                  <w:rPr>
                    <w:rFonts w:ascii="Cambria Math" w:hAnsi="Cambria Math"/>
                    <w:lang w:val="en-US"/>
                  </w:rPr>
                  <m:t xml:space="preserve">= </m:t>
                </m:r>
                <m:f>
                  <m:fPr>
                    <m:ctrlPr>
                      <w:rPr>
                        <w:rFonts w:ascii="Cambria Math" w:hAnsi="Cambria Math"/>
                        <w:bCs/>
                        <w:lang w:val="en-US"/>
                      </w:rPr>
                    </m:ctrlPr>
                  </m:fPr>
                  <m:num>
                    <m:r>
                      <m:rPr>
                        <m:sty m:val="p"/>
                      </m:rPr>
                      <w:rPr>
                        <w:rFonts w:ascii="Cambria Math" w:hAnsi="Cambria Math"/>
                        <w:lang w:val="en-US"/>
                      </w:rPr>
                      <m:t>1</m:t>
                    </m:r>
                  </m:num>
                  <m:den>
                    <m:sSup>
                      <m:sSupPr>
                        <m:ctrlPr>
                          <w:rPr>
                            <w:rFonts w:ascii="Cambria Math" w:hAnsi="Cambria Math"/>
                            <w:bCs/>
                            <w:lang w:val="en-US"/>
                          </w:rPr>
                        </m:ctrlPr>
                      </m:sSupPr>
                      <m:e>
                        <m:d>
                          <m:dPr>
                            <m:ctrlPr>
                              <w:rPr>
                                <w:rFonts w:ascii="Cambria Math" w:hAnsi="Cambria Math"/>
                                <w:bCs/>
                                <w:lang w:val="en-US"/>
                              </w:rPr>
                            </m:ctrlPr>
                          </m:dPr>
                          <m:e>
                            <m:sSub>
                              <m:sSubPr>
                                <m:ctrlPr>
                                  <w:rPr>
                                    <w:rFonts w:ascii="Cambria Math" w:hAnsi="Cambria Math"/>
                                    <w:bCs/>
                                    <w:lang w:val="en-US"/>
                                  </w:rPr>
                                </m:ctrlPr>
                              </m:sSubPr>
                              <m:e>
                                <m:r>
                                  <m:rPr>
                                    <m:sty m:val="p"/>
                                  </m:rPr>
                                  <w:rPr>
                                    <w:rFonts w:ascii="Cambria Math" w:hAnsi="Cambria Math"/>
                                    <w:lang w:val="en-US"/>
                                  </w:rPr>
                                  <m:t>BA</m:t>
                                </m:r>
                              </m:e>
                              <m:sub>
                                <m:r>
                                  <m:rPr>
                                    <m:sty m:val="p"/>
                                  </m:rPr>
                                  <w:rPr>
                                    <w:rFonts w:ascii="Cambria Math" w:hAnsi="Cambria Math"/>
                                    <w:lang w:val="en-US"/>
                                  </w:rPr>
                                  <m:t>j</m:t>
                                </m:r>
                              </m:sub>
                            </m:sSub>
                          </m:e>
                        </m:d>
                      </m:e>
                      <m:sup>
                        <m:r>
                          <m:rPr>
                            <m:sty m:val="p"/>
                          </m:rPr>
                          <w:rPr>
                            <w:rFonts w:ascii="Cambria Math" w:hAnsi="Cambria Math"/>
                            <w:lang w:val="en-US"/>
                          </w:rPr>
                          <m:t>0.5</m:t>
                        </m:r>
                      </m:sup>
                    </m:sSup>
                  </m:den>
                </m:f>
              </m:oMath>
            </m:oMathPara>
          </w:p>
        </w:tc>
        <w:tc>
          <w:tcPr>
            <w:tcW w:w="2046"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4</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w</w:t>
      </w:r>
      <w:r w:rsidRPr="00301DDB">
        <w:rPr>
          <w:vertAlign w:val="subscript"/>
          <w:lang w:val="en-US"/>
        </w:rPr>
        <w:t>j</w:t>
      </w:r>
      <w:r w:rsidRPr="00301DDB">
        <w:rPr>
          <w:lang w:val="en-US"/>
        </w:rPr>
        <w:t xml:space="preserve"> =</w:t>
      </w:r>
      <w:r w:rsidRPr="00301DDB">
        <w:rPr>
          <w:lang w:val="en-US"/>
        </w:rPr>
        <w:tab/>
      </w:r>
      <w:r w:rsidRPr="00301DDB">
        <w:rPr>
          <w:lang w:val="en-US"/>
        </w:rPr>
        <w:tab/>
        <w:t>weighting factor applied to tree (j).</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BA</w:t>
      </w:r>
      <w:r w:rsidRPr="00301DDB">
        <w:rPr>
          <w:vertAlign w:val="subscript"/>
          <w:lang w:val="en-US"/>
        </w:rPr>
        <w:t xml:space="preserve">j </w:t>
      </w:r>
      <w:r w:rsidRPr="00301DDB">
        <w:rPr>
          <w:lang w:val="en-US"/>
        </w:rPr>
        <w:t>=</w:t>
      </w:r>
      <w:r w:rsidRPr="00301DDB">
        <w:rPr>
          <w:lang w:val="en-US"/>
        </w:rPr>
        <w:tab/>
      </w:r>
      <w:r w:rsidRPr="00301DDB">
        <w:rPr>
          <w:lang w:val="en-US"/>
        </w:rPr>
        <w:tab/>
        <w:t>basal area (square metres) of tree (j).</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j =</w:t>
      </w:r>
      <w:r w:rsidRPr="00301DDB">
        <w:rPr>
          <w:lang w:val="en-US"/>
        </w:rPr>
        <w:tab/>
      </w:r>
      <w:r w:rsidRPr="00301DDB">
        <w:rPr>
          <w:lang w:val="en-US"/>
        </w:rPr>
        <w:tab/>
        <w:t>a test tree from a dataset not used to derive the allometric</w:t>
      </w:r>
      <w:r w:rsidRPr="00301DDB">
        <w:rPr>
          <w:lang w:val="en-US"/>
        </w:rPr>
        <w:tab/>
      </w:r>
      <w:r w:rsidRPr="00301DDB">
        <w:rPr>
          <w:lang w:val="en-US"/>
        </w:rPr>
        <w:tab/>
      </w:r>
      <w:r w:rsidRPr="00301DDB">
        <w:rPr>
          <w:lang w:val="en-US"/>
        </w:rPr>
        <w:tab/>
      </w:r>
      <w:r w:rsidRPr="00301DDB">
        <w:rPr>
          <w:lang w:val="en-US"/>
        </w:rPr>
        <w:tab/>
        <w:t>equation.</w:t>
      </w:r>
      <w:r w:rsidRPr="00301DDB">
        <w:rPr>
          <w:lang w:val="en-US"/>
        </w:rPr>
        <w:tab/>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11.4—Minimum requirements for validation of allometric equations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(13)</w:t>
      </w:r>
      <w:r w:rsidRPr="00301DDB">
        <w:rPr>
          <w:lang w:val="en-US"/>
        </w:rPr>
        <w:tab/>
        <w:t>An allometric equation is validated and may be applied only if:</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the characteristics of the species or group of species, the biomass of which is to be predicted, fall within the valid domain of the allometric function to be applied, in accordance with Step 11.1 in this section;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the mean of the weighted residuals calculated by applying Equation 3 is not significantly different from zero, as determined by applying a two-tailed student t-test where α = 0.05.</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48" w:name="_Toc358907437"/>
      <w:r w:rsidRPr="00301DDB">
        <w:rPr>
          <w:rFonts w:ascii="Arial" w:hAnsi="Arial"/>
          <w:b/>
          <w:bCs/>
          <w:iCs/>
          <w:szCs w:val="26"/>
          <w:lang w:val="en-US"/>
        </w:rPr>
        <w:t>3.26</w:t>
      </w:r>
      <w:r w:rsidRPr="00301DDB">
        <w:rPr>
          <w:rFonts w:ascii="Arial" w:hAnsi="Arial"/>
          <w:b/>
          <w:bCs/>
          <w:iCs/>
          <w:szCs w:val="26"/>
          <w:lang w:val="en-US"/>
        </w:rPr>
        <w:tab/>
        <w:t>Procedure if allometric equation cannot be validated</w:t>
      </w:r>
      <w:bookmarkEnd w:id="48"/>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If an allometric equation cannot be validated: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select another equation to validate in accordance with section 3.13; or</w:t>
      </w:r>
    </w:p>
    <w:p w:rsidR="00301DDB" w:rsidRPr="00301DDB" w:rsidRDefault="00301DDB" w:rsidP="00301DDB">
      <w:pPr>
        <w:keepLines/>
        <w:tabs>
          <w:tab w:val="right" w:pos="1531"/>
        </w:tabs>
        <w:spacing w:after="100" w:line="260" w:lineRule="exact"/>
        <w:ind w:left="1701" w:hanging="1701"/>
        <w:jc w:val="both"/>
      </w:pPr>
      <w:r w:rsidRPr="00301DDB">
        <w:rPr>
          <w:lang w:val="en-US"/>
        </w:rPr>
        <w:tab/>
        <w:t>(b)</w:t>
      </w:r>
      <w:r w:rsidRPr="00301DDB">
        <w:rPr>
          <w:lang w:val="en-US"/>
        </w:rPr>
        <w:tab/>
        <w:t>develop a new equation in accordance with section 3.24.</w:t>
      </w:r>
      <w:r w:rsidRPr="00301DDB">
        <w:rPr>
          <w:lang w:val="en-US"/>
        </w:rPr>
        <w:tab/>
      </w:r>
    </w:p>
    <w:p w:rsidR="00301DDB" w:rsidRPr="00301DDB" w:rsidRDefault="00301DDB" w:rsidP="00301DDB">
      <w:pPr>
        <w:keepNext/>
        <w:keepLines/>
        <w:spacing w:before="360" w:after="60"/>
        <w:ind w:left="2410" w:hanging="2410"/>
        <w:jc w:val="both"/>
        <w:outlineLvl w:val="3"/>
        <w:rPr>
          <w:rFonts w:ascii="Arial" w:hAnsi="Arial"/>
          <w:b/>
          <w:bCs/>
          <w:sz w:val="28"/>
          <w:szCs w:val="28"/>
        </w:rPr>
      </w:pPr>
      <w:bookmarkStart w:id="49" w:name="_Toc358907438"/>
      <w:r w:rsidRPr="00301DDB">
        <w:rPr>
          <w:rFonts w:ascii="Arial" w:hAnsi="Arial"/>
          <w:b/>
          <w:bCs/>
          <w:sz w:val="28"/>
          <w:szCs w:val="28"/>
        </w:rPr>
        <w:t>Subdivision 3.4.3</w:t>
      </w:r>
      <w:r w:rsidRPr="00301DDB">
        <w:rPr>
          <w:rFonts w:ascii="Arial" w:hAnsi="Arial"/>
          <w:b/>
          <w:bCs/>
          <w:sz w:val="28"/>
          <w:szCs w:val="28"/>
        </w:rPr>
        <w:tab/>
        <w:t>Biomass survey</w:t>
      </w:r>
      <w:bookmarkEnd w:id="49"/>
    </w:p>
    <w:p w:rsidR="00301DDB" w:rsidRPr="00301DDB" w:rsidRDefault="00301DDB" w:rsidP="00301DDB">
      <w:pPr>
        <w:keepNext/>
        <w:keepLines/>
        <w:spacing w:before="360" w:after="60"/>
        <w:ind w:left="964" w:hanging="964"/>
        <w:jc w:val="both"/>
        <w:outlineLvl w:val="4"/>
        <w:rPr>
          <w:rFonts w:ascii="Arial" w:hAnsi="Arial"/>
          <w:b/>
          <w:bCs/>
          <w:iCs/>
          <w:szCs w:val="26"/>
        </w:rPr>
      </w:pPr>
      <w:bookmarkStart w:id="50" w:name="_Toc358907439"/>
      <w:r w:rsidRPr="00301DDB">
        <w:rPr>
          <w:rFonts w:ascii="Arial" w:hAnsi="Arial"/>
          <w:b/>
          <w:bCs/>
          <w:iCs/>
          <w:szCs w:val="26"/>
        </w:rPr>
        <w:t>3.27</w:t>
      </w:r>
      <w:r w:rsidRPr="00301DDB">
        <w:rPr>
          <w:rFonts w:ascii="Arial" w:hAnsi="Arial"/>
          <w:b/>
          <w:bCs/>
          <w:iCs/>
          <w:szCs w:val="26"/>
        </w:rPr>
        <w:tab/>
        <w:t>Determination of native forest biomass</w:t>
      </w:r>
      <w:bookmarkEnd w:id="50"/>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A field-based survey must be undertaken by following the steps in this Subdivision in order to determine the biomass stocks in the native forest in each carbon estimation area.</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A biomass survey must be undertaken for all carbon estimation areas within 6 months of the submission of the first offsets report for the project.</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If no disturbance has been detected in a carbon estimation area:</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values reported in respect of the carbon estimation area in the most recent offsets report may be reported;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no further biomass survey must be undertaken.</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1" w:name="_Toc358907440"/>
      <w:r w:rsidRPr="00301DDB">
        <w:rPr>
          <w:rFonts w:ascii="Arial" w:hAnsi="Arial"/>
          <w:b/>
          <w:bCs/>
          <w:iCs/>
          <w:szCs w:val="26"/>
        </w:rPr>
        <w:lastRenderedPageBreak/>
        <w:t>3.28</w:t>
      </w:r>
      <w:r w:rsidRPr="00301DDB">
        <w:rPr>
          <w:rFonts w:ascii="Arial" w:hAnsi="Arial"/>
          <w:b/>
          <w:bCs/>
          <w:iCs/>
          <w:szCs w:val="26"/>
        </w:rPr>
        <w:tab/>
        <w:t>Determination of root:shoot ratios</w:t>
      </w:r>
      <w:bookmarkEnd w:id="51"/>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In order to determine the root:shoot ratio in Equation 8 and Equation 14:</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the Major Vegetation Group class in which plot (sp) is located must be identified;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the root:shoot ratio for the class in paragraph (a) must be selected as specified in Schedule 1.</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2" w:name="_Toc358907441"/>
      <w:r w:rsidRPr="00301DDB">
        <w:rPr>
          <w:rFonts w:ascii="Arial" w:hAnsi="Arial"/>
          <w:b/>
          <w:bCs/>
          <w:iCs/>
          <w:szCs w:val="26"/>
          <w:lang w:val="en-US"/>
        </w:rPr>
        <w:t>3.29</w:t>
      </w:r>
      <w:r w:rsidRPr="00301DDB">
        <w:rPr>
          <w:rFonts w:ascii="Arial" w:hAnsi="Arial"/>
          <w:b/>
          <w:bCs/>
          <w:iCs/>
          <w:szCs w:val="26"/>
          <w:lang w:val="en-US"/>
        </w:rPr>
        <w:tab/>
        <w:t>Step 1—Plot design</w:t>
      </w:r>
      <w:bookmarkEnd w:id="52"/>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A plot design must be selected in accordance with this section.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Each plot in a carbon estimation area must:</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(a)</w:t>
      </w:r>
      <w:r w:rsidRPr="00301DDB">
        <w:rPr>
          <w:lang w:val="en-US"/>
        </w:rPr>
        <w:tab/>
        <w:t>have a fixed orthogonal area and shape with a definite spatial boundary;</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(b)</w:t>
      </w:r>
      <w:r w:rsidRPr="00301DDB">
        <w:rPr>
          <w:lang w:val="en-US"/>
        </w:rPr>
        <w:tab/>
        <w:t>be able to be re-established for auditing purposes;</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(c)</w:t>
      </w:r>
      <w:r w:rsidRPr="00301DDB">
        <w:rPr>
          <w:lang w:val="en-US"/>
        </w:rPr>
        <w:tab/>
        <w:t>be circular, square or rectangular; and</w:t>
      </w:r>
    </w:p>
    <w:p w:rsidR="00301DDB" w:rsidRPr="00301DDB" w:rsidRDefault="00301DDB" w:rsidP="00301DDB">
      <w:pPr>
        <w:keepLines/>
        <w:tabs>
          <w:tab w:val="right" w:pos="1531"/>
        </w:tabs>
        <w:spacing w:after="100" w:line="260" w:lineRule="exact"/>
        <w:ind w:left="1701" w:hanging="1701"/>
        <w:jc w:val="both"/>
        <w:rPr>
          <w:lang w:val="en-US"/>
        </w:rPr>
      </w:pPr>
      <w:r w:rsidRPr="00301DDB">
        <w:rPr>
          <w:lang w:val="en-US"/>
        </w:rPr>
        <w:tab/>
        <w:t>(d)</w:t>
      </w:r>
      <w:r w:rsidRPr="00301DDB">
        <w:rPr>
          <w:lang w:val="en-US"/>
        </w:rPr>
        <w:tab/>
        <w:t>have an area equal to or greater than 0.05 hectares.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If the plot is circular, the plot waypoint is the centre of the circle and the plot must be established around the waypoint.</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If the plot is square or rectangular, the plot waypoint is the south-west corner of the plot and the plot must be oriented along a north-south axis.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If the plot is located on a slope greater than 10 degrees, then a correction must be applied in order to achieve a constant orthogonal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(6)</w:t>
      </w:r>
      <w:r w:rsidRPr="00301DDB">
        <w:rPr>
          <w:lang w:val="en-US"/>
        </w:rPr>
        <w:tab/>
        <w:t>The plot design selected in accordance with this section must be used for each biomass survey conducted for the purposes of this Determination.</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3" w:name="_Toc358907442"/>
      <w:r w:rsidRPr="00301DDB">
        <w:rPr>
          <w:rFonts w:ascii="Arial" w:hAnsi="Arial"/>
          <w:b/>
          <w:bCs/>
          <w:iCs/>
          <w:szCs w:val="26"/>
          <w:lang w:val="en-US"/>
        </w:rPr>
        <w:t>3.30</w:t>
      </w:r>
      <w:r w:rsidRPr="00301DDB">
        <w:rPr>
          <w:rFonts w:ascii="Arial" w:hAnsi="Arial"/>
          <w:b/>
          <w:bCs/>
          <w:iCs/>
          <w:szCs w:val="26"/>
          <w:lang w:val="en-US"/>
        </w:rPr>
        <w:tab/>
        <w:t>Step 2—Allocation of plots</w:t>
      </w:r>
      <w:bookmarkEnd w:id="53"/>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At least 200 waypoints must be assigned to each carbon estimation area in accordance with subsection (2).</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A pseudo-random number generator must be used with a defined seed number in order to allocate plot points to each carbon estimation area.</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The plot points obtained in subsection (2) are the waypoints of the plots.</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A pseudo-random generator with a known seed value must be used to assign a different number to each waypoint.</w:t>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The numbers assigned as provided by subsection (4) must be ranked from lowest to highest.</w:t>
      </w:r>
    </w:p>
    <w:p w:rsidR="00301DDB" w:rsidRPr="00301DDB" w:rsidRDefault="00301DDB" w:rsidP="00301DDB">
      <w:pPr>
        <w:keepLines/>
        <w:tabs>
          <w:tab w:val="right" w:pos="794"/>
        </w:tabs>
        <w:spacing w:before="80" w:after="100" w:line="260" w:lineRule="exact"/>
        <w:ind w:left="964" w:hanging="964"/>
        <w:jc w:val="both"/>
        <w:rPr>
          <w:i/>
        </w:rPr>
      </w:pPr>
      <w:r w:rsidRPr="00301DDB">
        <w:tab/>
        <w:t>(6)</w:t>
      </w:r>
      <w:r w:rsidRPr="00301DDB">
        <w:tab/>
        <w:t xml:space="preserve">The lowest ranked plot in subsection (5) is </w:t>
      </w:r>
      <w:r w:rsidRPr="00301DDB">
        <w:rPr>
          <w:i/>
        </w:rPr>
        <w:t xml:space="preserve">plot 1 </w:t>
      </w:r>
      <w:r w:rsidRPr="00301DDB">
        <w:t>and the highest ranked is equal to the number of waypoints assigned in subsection (1).</w:t>
      </w:r>
    </w:p>
    <w:p w:rsidR="00301DDB" w:rsidRPr="00301DDB" w:rsidRDefault="00301DDB" w:rsidP="00301DDB">
      <w:pPr>
        <w:keepLines/>
        <w:tabs>
          <w:tab w:val="right" w:pos="794"/>
        </w:tabs>
        <w:spacing w:before="80" w:after="100" w:line="260" w:lineRule="exact"/>
        <w:ind w:left="964" w:hanging="964"/>
        <w:jc w:val="both"/>
      </w:pPr>
      <w:r w:rsidRPr="00301DDB">
        <w:tab/>
        <w:t>(7)</w:t>
      </w:r>
      <w:r w:rsidRPr="00301DDB">
        <w:tab/>
        <w:t>For the purposes of a biomass survey, all the plots ranked from 1 until the number of plots obtained in Step 4.2 in section 3.32 must be surveyed.</w:t>
      </w:r>
    </w:p>
    <w:p w:rsidR="00301DDB" w:rsidRPr="00301DDB" w:rsidRDefault="00301DDB" w:rsidP="00301DDB">
      <w:pPr>
        <w:keepLines/>
        <w:tabs>
          <w:tab w:val="right" w:pos="794"/>
        </w:tabs>
        <w:spacing w:before="80" w:after="100" w:line="260" w:lineRule="exact"/>
        <w:ind w:left="964" w:hanging="964"/>
        <w:jc w:val="both"/>
      </w:pPr>
      <w:r w:rsidRPr="00301DDB">
        <w:lastRenderedPageBreak/>
        <w:tab/>
        <w:t>(8)</w:t>
      </w:r>
      <w:r w:rsidRPr="00301DDB">
        <w:tab/>
        <w:t xml:space="preserve">The area boundary used to allocate plots as provided by this section must be retained in order to enable the replication of the plot allocation using the defined seed number. </w:t>
      </w:r>
    </w:p>
    <w:p w:rsidR="00301DDB" w:rsidRPr="00301DDB" w:rsidRDefault="00301DDB" w:rsidP="00301DDB">
      <w:pPr>
        <w:keepLines/>
        <w:tabs>
          <w:tab w:val="right" w:pos="794"/>
        </w:tabs>
        <w:spacing w:before="80" w:after="100" w:line="260" w:lineRule="exact"/>
        <w:ind w:left="964" w:hanging="964"/>
        <w:jc w:val="both"/>
        <w:rPr>
          <w:b/>
          <w:bCs/>
          <w:i/>
          <w:iCs/>
          <w:color w:val="404040"/>
        </w:rPr>
      </w:pPr>
      <w:r w:rsidRPr="00301DDB">
        <w:tab/>
        <w:t>(9)</w:t>
      </w:r>
      <w:r w:rsidRPr="00301DDB">
        <w:tab/>
        <w:t>Attributes for each plot waypoint must be assigned, including:</w:t>
      </w:r>
    </w:p>
    <w:p w:rsidR="00301DDB" w:rsidRPr="00301DDB" w:rsidRDefault="00301DDB" w:rsidP="00301DDB">
      <w:pPr>
        <w:keepLines/>
        <w:tabs>
          <w:tab w:val="right" w:pos="1531"/>
        </w:tabs>
        <w:spacing w:after="100" w:line="260" w:lineRule="exact"/>
        <w:ind w:left="1701" w:hanging="1701"/>
        <w:jc w:val="both"/>
        <w:rPr>
          <w:b/>
          <w:bCs/>
          <w:i/>
          <w:iCs/>
          <w:color w:val="404040"/>
        </w:rPr>
      </w:pPr>
      <w:r w:rsidRPr="00301DDB">
        <w:tab/>
        <w:t>(a)</w:t>
      </w:r>
      <w:r w:rsidRPr="00301DDB">
        <w:tab/>
        <w:t>the project name [NAME];</w:t>
      </w:r>
    </w:p>
    <w:p w:rsidR="00301DDB" w:rsidRPr="00301DDB" w:rsidRDefault="00301DDB" w:rsidP="00301DDB">
      <w:pPr>
        <w:keepLines/>
        <w:tabs>
          <w:tab w:val="right" w:pos="1531"/>
        </w:tabs>
        <w:spacing w:after="100" w:line="260" w:lineRule="exact"/>
        <w:ind w:left="1701" w:hanging="1701"/>
        <w:jc w:val="both"/>
        <w:rPr>
          <w:b/>
          <w:bCs/>
          <w:i/>
          <w:iCs/>
          <w:color w:val="404040"/>
        </w:rPr>
      </w:pPr>
      <w:r w:rsidRPr="00301DDB">
        <w:tab/>
        <w:t>(b)</w:t>
      </w:r>
      <w:r w:rsidRPr="00301DDB">
        <w:tab/>
        <w:t xml:space="preserve">the carbon estimation area number to which points are allocated [CEA_NUM]; </w:t>
      </w:r>
    </w:p>
    <w:p w:rsidR="00301DDB" w:rsidRPr="00301DDB" w:rsidRDefault="00301DDB" w:rsidP="00301DDB">
      <w:pPr>
        <w:keepLines/>
        <w:tabs>
          <w:tab w:val="right" w:pos="1531"/>
        </w:tabs>
        <w:spacing w:after="100" w:line="260" w:lineRule="exact"/>
        <w:ind w:left="1701" w:hanging="1701"/>
        <w:jc w:val="both"/>
        <w:rPr>
          <w:b/>
          <w:bCs/>
          <w:i/>
          <w:iCs/>
          <w:color w:val="404040"/>
        </w:rPr>
      </w:pPr>
      <w:r w:rsidRPr="00301DDB">
        <w:tab/>
        <w:t>(c)</w:t>
      </w:r>
      <w:r w:rsidRPr="00301DDB">
        <w:tab/>
        <w:t>the plot point number [PLOT_NUM];</w:t>
      </w:r>
    </w:p>
    <w:p w:rsidR="00301DDB" w:rsidRPr="00301DDB" w:rsidRDefault="00301DDB" w:rsidP="00301DDB">
      <w:pPr>
        <w:keepLines/>
        <w:tabs>
          <w:tab w:val="right" w:pos="1531"/>
        </w:tabs>
        <w:spacing w:after="100" w:line="260" w:lineRule="exact"/>
        <w:ind w:left="1701" w:hanging="1701"/>
        <w:jc w:val="both"/>
        <w:rPr>
          <w:b/>
          <w:bCs/>
          <w:i/>
          <w:iCs/>
          <w:color w:val="404040"/>
        </w:rPr>
      </w:pPr>
      <w:r w:rsidRPr="00301DDB">
        <w:tab/>
        <w:t>(d)</w:t>
      </w:r>
      <w:r w:rsidRPr="00301DDB">
        <w:tab/>
        <w:t xml:space="preserve">the X coordinate in decimal degrees [X_VALUE]; </w:t>
      </w:r>
    </w:p>
    <w:p w:rsidR="00301DDB" w:rsidRPr="00301DDB" w:rsidRDefault="00301DDB" w:rsidP="00301DDB">
      <w:pPr>
        <w:keepLines/>
        <w:tabs>
          <w:tab w:val="right" w:pos="1531"/>
        </w:tabs>
        <w:spacing w:after="100" w:line="260" w:lineRule="exact"/>
        <w:ind w:left="1701" w:hanging="1701"/>
        <w:jc w:val="both"/>
        <w:rPr>
          <w:b/>
          <w:bCs/>
          <w:i/>
          <w:iCs/>
          <w:color w:val="404040"/>
        </w:rPr>
      </w:pPr>
      <w:r w:rsidRPr="00301DDB">
        <w:tab/>
        <w:t>(e)</w:t>
      </w:r>
      <w:r w:rsidRPr="00301DDB">
        <w:tab/>
        <w:t>the Y coordinate in decimal degrees [Y_VALUE]; and</w:t>
      </w:r>
    </w:p>
    <w:p w:rsidR="00301DDB" w:rsidRPr="00301DDB" w:rsidRDefault="00301DDB" w:rsidP="00301DDB">
      <w:pPr>
        <w:keepLines/>
        <w:tabs>
          <w:tab w:val="right" w:pos="1531"/>
        </w:tabs>
        <w:spacing w:after="100" w:line="260" w:lineRule="exact"/>
        <w:ind w:left="1701" w:hanging="1701"/>
        <w:jc w:val="both"/>
      </w:pPr>
      <w:r w:rsidRPr="00301DDB">
        <w:tab/>
        <w:t>(f)</w:t>
      </w:r>
      <w:r w:rsidRPr="00301DDB">
        <w:tab/>
        <w:t>the date of allocation points to the carbon estimation area [DATE_REG].</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4" w:name="_Toc358907443"/>
      <w:r w:rsidRPr="00301DDB">
        <w:rPr>
          <w:rFonts w:ascii="Arial" w:hAnsi="Arial"/>
          <w:b/>
          <w:bCs/>
          <w:iCs/>
          <w:szCs w:val="26"/>
          <w:lang w:val="en-US"/>
        </w:rPr>
        <w:t>3.31</w:t>
      </w:r>
      <w:r w:rsidRPr="00301DDB">
        <w:rPr>
          <w:rFonts w:ascii="Arial" w:hAnsi="Arial"/>
          <w:b/>
          <w:bCs/>
          <w:iCs/>
          <w:szCs w:val="26"/>
          <w:lang w:val="en-US"/>
        </w:rPr>
        <w:tab/>
        <w:t>Step 3—Pilot survey</w:t>
      </w:r>
      <w:bookmarkEnd w:id="54"/>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For each carbon estimation area, a pilot survey must be undertaken in order to perform a pre-biomass survey estimate of variance in relation to each carbon estimation area.</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In order to undertake a pilot survey:</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 xml:space="preserve">at least the first 5 plot points allocated in accordance with section 3.30 must be surveyed; and </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 biomass survey must be undertaken in accordance with sections 3.33 and 3.34.</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Data collected as part of the pilot survey may be used in order to determine the biomass of plots as provided by section 3.35.</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5" w:name="_Toc358907444"/>
      <w:r w:rsidRPr="00301DDB">
        <w:rPr>
          <w:rFonts w:ascii="Arial" w:hAnsi="Arial"/>
          <w:b/>
          <w:bCs/>
          <w:iCs/>
          <w:szCs w:val="26"/>
          <w:lang w:val="en-US"/>
        </w:rPr>
        <w:t>3.32</w:t>
      </w:r>
      <w:r w:rsidRPr="00301DDB">
        <w:rPr>
          <w:rFonts w:ascii="Arial" w:hAnsi="Arial"/>
          <w:b/>
          <w:bCs/>
          <w:iCs/>
          <w:szCs w:val="26"/>
          <w:lang w:val="en-US"/>
        </w:rPr>
        <w:tab/>
        <w:t>Step 4—Number of plots</w:t>
      </w:r>
      <w:bookmarkEnd w:id="55"/>
      <w:r w:rsidRPr="00301DDB">
        <w:rPr>
          <w:rFonts w:ascii="Arial" w:hAnsi="Arial"/>
          <w:b/>
          <w:bCs/>
          <w:iCs/>
          <w:szCs w:val="26"/>
          <w:lang w:val="en-US"/>
        </w:rPr>
        <w:t xml:space="preserve"> </w:t>
      </w:r>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In order to determine the final sample size required to estimate carbon stocks in the native forest in the project area, Steps 4.1 and 4.2 in this section must be completed in relation to each carbon estimation area.</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4.1—Coefficient of variation of each carbon estimation area</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 xml:space="preserve">The data from the pilot survey undertaken in accordance with section 3.31 must be used when completing Step 4.1. </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In order to determine the population coefficient of variation within each carbon estimation area, the following formula must be completed:</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rPr>
                    </m:ctrlPr>
                  </m:sSubPr>
                  <m:e>
                    <m:r>
                      <m:rPr>
                        <m:sty m:val="p"/>
                      </m:rPr>
                      <w:rPr>
                        <w:rFonts w:ascii="Cambria Math" w:hAnsi="Cambria Math"/>
                      </w:rPr>
                      <m:t>CV</m:t>
                    </m:r>
                  </m:e>
                  <m:sub>
                    <m:r>
                      <m:rPr>
                        <m:sty m:val="p"/>
                      </m:rPr>
                      <w:rPr>
                        <w:rFonts w:ascii="Cambria Math" w:hAnsi="Cambria Math"/>
                      </w:rPr>
                      <m:t>i</m:t>
                    </m:r>
                  </m:sub>
                </m:sSub>
                <m:r>
                  <m:rPr>
                    <m:sty m:val="p"/>
                  </m:rPr>
                  <w:rPr>
                    <w:rFonts w:ascii="Cambria Math" w:hAnsi="Cambria Math"/>
                  </w:rPr>
                  <m:t>=</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prelim</m:t>
                            </m:r>
                          </m:sub>
                        </m:sSub>
                      </m:num>
                      <m:den>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prelim</m:t>
                            </m:r>
                          </m:sub>
                        </m:sSub>
                      </m:den>
                    </m:f>
                  </m:e>
                </m:d>
                <m:r>
                  <m:rPr>
                    <m:sty m:val="p"/>
                  </m:rPr>
                  <w:rPr>
                    <w:rFonts w:ascii="Cambria Math" w:hAnsi="Cambria Math"/>
                  </w:rPr>
                  <m:t xml:space="preserve"> × 10</m:t>
                </m:r>
                <m:r>
                  <w:rPr>
                    <w:rFonts w:ascii="Cambria Math" w:hAnsi="Cambria Math"/>
                  </w:rPr>
                  <m:t>0</m:t>
                </m:r>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5</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CV</w:t>
      </w:r>
      <w:r w:rsidRPr="00301DDB">
        <w:rPr>
          <w:vertAlign w:val="subscript"/>
        </w:rPr>
        <w:t xml:space="preserve">i </w:t>
      </w:r>
      <w:r w:rsidRPr="00301DDB">
        <w:t>=</w:t>
      </w:r>
      <w:r w:rsidRPr="00301DDB">
        <w:tab/>
      </w:r>
      <w:r w:rsidRPr="00301DDB">
        <w:tab/>
        <w:t>coefficient of variation of pilot sample in carbon estimation</w:t>
      </w:r>
      <w:r w:rsidRPr="00301DDB">
        <w:tab/>
      </w:r>
      <w:r w:rsidRPr="00301DDB">
        <w:tab/>
      </w:r>
      <w:r w:rsidRPr="00301DDB">
        <w:tab/>
      </w:r>
      <w:r w:rsidRPr="00301DDB">
        <w:tab/>
        <w:t>area.</w:t>
      </w:r>
    </w:p>
    <w:p w:rsidR="00301DDB" w:rsidRPr="00301DDB" w:rsidRDefault="00301DDB" w:rsidP="00301DDB">
      <w:pPr>
        <w:keepLines/>
        <w:tabs>
          <w:tab w:val="right" w:pos="794"/>
        </w:tabs>
        <w:spacing w:before="80" w:after="100" w:line="260" w:lineRule="exact"/>
        <w:ind w:left="964" w:hanging="964"/>
        <w:jc w:val="both"/>
      </w:pPr>
      <w:r w:rsidRPr="00301DDB">
        <w:lastRenderedPageBreak/>
        <w:tab/>
      </w:r>
      <w:r w:rsidRPr="00301DDB">
        <w:tab/>
      </w:r>
      <w:r w:rsidRPr="00301DDB">
        <w:tab/>
        <w:t>s</w:t>
      </w:r>
      <w:r w:rsidRPr="00301DDB">
        <w:rPr>
          <w:vertAlign w:val="subscript"/>
        </w:rPr>
        <w:t>prelim,i</w:t>
      </w:r>
      <w:r w:rsidRPr="00301DDB">
        <w:t xml:space="preserve"> =</w:t>
      </w:r>
      <w:r w:rsidRPr="00301DDB">
        <w:tab/>
        <w:t>sample standard deviation from pilot data in carbon</w:t>
      </w:r>
      <w:r w:rsidRPr="00301DDB">
        <w:tab/>
        <w:t>estimation</w:t>
      </w:r>
      <w:r w:rsidRPr="00301DDB">
        <w:tab/>
      </w:r>
      <w:r w:rsidRPr="00301DDB">
        <w:tab/>
      </w:r>
      <w:r w:rsidRPr="00301DDB">
        <w:tab/>
        <w:t>area (tonnes of biomass).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r>
      <m:oMath>
        <m:acc>
          <m:accPr>
            <m:chr m:val="̅"/>
            <m:ctrlPr>
              <w:rPr>
                <w:rFonts w:ascii="Cambria Math" w:hAnsi="Cambria Math"/>
              </w:rPr>
            </m:ctrlPr>
          </m:accPr>
          <m:e>
            <m:r>
              <m:rPr>
                <m:sty m:val="p"/>
              </m:rPr>
              <w:rPr>
                <w:rFonts w:ascii="Cambria Math" w:hAnsi="Cambria Math"/>
              </w:rPr>
              <m:t>x</m:t>
            </m:r>
          </m:e>
        </m:acc>
      </m:oMath>
      <w:r w:rsidRPr="00301DDB">
        <w:rPr>
          <w:vertAlign w:val="subscript"/>
        </w:rPr>
        <w:t xml:space="preserve">prelim,i </w:t>
      </w:r>
      <w:r w:rsidRPr="00301DDB">
        <w:t>=</w:t>
      </w:r>
      <w:r w:rsidRPr="00301DDB">
        <w:tab/>
        <w:t>sample mean from pilot data in carbon estimation area</w:t>
      </w:r>
      <w:r w:rsidRPr="00301DDB">
        <w:tab/>
      </w:r>
      <w:r w:rsidRPr="00301DDB">
        <w:tab/>
      </w:r>
      <w:r w:rsidRPr="00301DDB">
        <w:tab/>
      </w:r>
      <w:r w:rsidRPr="00301DDB">
        <w:tab/>
        <w:t>(tonnes of biomass).</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4.2—Number of plots to sample in each carbon estimation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For the purposes of this Determination, carbon stocks for each carbon estimation area must be estimated within ±10% of the true value of the mean at a 90% confidence level.</w:t>
      </w:r>
    </w:p>
    <w:p w:rsidR="00301DDB" w:rsidRPr="00301DDB" w:rsidRDefault="00301DDB" w:rsidP="00301DDB">
      <w:pPr>
        <w:keepLines/>
        <w:tabs>
          <w:tab w:val="right" w:pos="794"/>
        </w:tabs>
        <w:spacing w:before="80" w:after="100" w:line="260" w:lineRule="exact"/>
        <w:ind w:left="964" w:hanging="964"/>
        <w:jc w:val="both"/>
        <w:rPr>
          <w:i/>
          <w:sz w:val="28"/>
        </w:rPr>
      </w:pPr>
      <w:r w:rsidRPr="00301DDB">
        <w:rPr>
          <w:lang w:val="en-US"/>
        </w:rPr>
        <w:tab/>
        <w:t>(5)</w:t>
      </w:r>
      <w:r w:rsidRPr="00301DDB">
        <w:rPr>
          <w:lang w:val="en-US"/>
        </w:rPr>
        <w:tab/>
        <w:t xml:space="preserve">In this Determination, the requirement in subsection (4) is referred to as the </w:t>
      </w:r>
      <w:r w:rsidRPr="00301DDB">
        <w:rPr>
          <w:b/>
          <w:i/>
          <w:lang w:val="en-US"/>
        </w:rPr>
        <w:t>Targeted Precision</w:t>
      </w:r>
      <w:r w:rsidRPr="00301DDB">
        <w:rPr>
          <w:lang w:val="en-US"/>
        </w:rPr>
        <w:t xml:space="preserve">. </w:t>
      </w:r>
    </w:p>
    <w:p w:rsidR="00301DDB" w:rsidRPr="00301DDB" w:rsidRDefault="00301DDB" w:rsidP="00301DDB">
      <w:pPr>
        <w:keepLines/>
        <w:tabs>
          <w:tab w:val="right" w:pos="794"/>
        </w:tabs>
        <w:spacing w:before="80" w:after="100" w:line="260" w:lineRule="exact"/>
        <w:ind w:left="964" w:hanging="964"/>
        <w:jc w:val="both"/>
      </w:pPr>
      <w:r w:rsidRPr="00301DDB">
        <w:tab/>
        <w:t>(6)</w:t>
      </w:r>
      <w:r w:rsidRPr="00301DDB">
        <w:tab/>
        <w:t>In order to estimate the required sample size to achieve the Targeted Precision</w:t>
      </w:r>
      <w:r w:rsidRPr="00301DDB">
        <w:rPr>
          <w:i/>
        </w:rPr>
        <w:t xml:space="preserve"> </w:t>
      </w:r>
      <w:r w:rsidRPr="00301DDB">
        <w:t>in each carbon estimation area, the following formula must be completed:</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m:rPr>
                                <m:sty m:val="p"/>
                              </m:rPr>
                              <w:rPr>
                                <w:rFonts w:ascii="Cambria Math" w:hAnsi="Cambria Math"/>
                              </w:rPr>
                              <m:t>CV</m:t>
                            </m:r>
                          </m:e>
                          <m:sub>
                            <m:r>
                              <m:rPr>
                                <m:sty m:val="p"/>
                              </m:rPr>
                              <w:rPr>
                                <w:rFonts w:ascii="Cambria Math" w:hAnsi="Cambria Math"/>
                              </w:rPr>
                              <m:t>i</m:t>
                            </m:r>
                          </m:sub>
                        </m:sSub>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val</m:t>
                            </m:r>
                          </m:sub>
                        </m:sSub>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sup>
                    </m:sSup>
                  </m:den>
                </m:f>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6</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n</w:t>
      </w:r>
      <w:r w:rsidRPr="00301DDB">
        <w:rPr>
          <w:vertAlign w:val="subscript"/>
        </w:rPr>
        <w:t xml:space="preserve">i </w:t>
      </w:r>
      <w:r w:rsidRPr="00301DDB">
        <w:t>=</w:t>
      </w:r>
      <w:r w:rsidRPr="00301DDB">
        <w:tab/>
      </w:r>
      <w:r w:rsidRPr="00301DDB">
        <w:tab/>
        <w:t>estimated number of sample plots required to meet Targeted</w:t>
      </w:r>
      <w:r w:rsidRPr="00301DDB">
        <w:tab/>
      </w:r>
      <w:r w:rsidRPr="00301DDB">
        <w:tab/>
      </w:r>
      <w:r w:rsidRPr="00301DDB">
        <w:tab/>
        <w:t>Precision in carbon estimation area (i).</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CV</w:t>
      </w:r>
      <w:r w:rsidRPr="00301DDB">
        <w:rPr>
          <w:vertAlign w:val="subscript"/>
        </w:rPr>
        <w:t>i</w:t>
      </w:r>
      <w:r w:rsidRPr="00301DDB">
        <w:t xml:space="preserve"> =</w:t>
      </w:r>
      <w:r w:rsidRPr="00301DDB">
        <w:tab/>
      </w:r>
      <w:r w:rsidRPr="00301DDB">
        <w:tab/>
        <w:t>coefficient of variation in pilot data as calculated in</w:t>
      </w:r>
      <w:r w:rsidRPr="00301DDB">
        <w:tab/>
      </w:r>
      <w:r w:rsidRPr="00301DDB">
        <w:tab/>
      </w:r>
      <w:r w:rsidRPr="00301DDB">
        <w:tab/>
      </w:r>
      <w:r w:rsidRPr="00301DDB">
        <w:tab/>
      </w:r>
      <w:r w:rsidRPr="00301DDB">
        <w:tab/>
        <w:t>Equation 5 (expressed as a percentage).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w:t>
      </w:r>
      <w:r w:rsidRPr="00301DDB">
        <w:rPr>
          <w:vertAlign w:val="subscript"/>
        </w:rPr>
        <w:t xml:space="preserve">val </w:t>
      </w:r>
      <w:r w:rsidRPr="00301DDB">
        <w:t>=</w:t>
      </w:r>
      <w:r w:rsidRPr="00301DDB">
        <w:tab/>
      </w:r>
      <w:r w:rsidRPr="00301DDB">
        <w:tab/>
        <w:t>two-sided students t-value, at the degree of freedom equal to</w:t>
      </w:r>
      <w:r w:rsidRPr="00301DDB">
        <w:tab/>
      </w:r>
      <w:r w:rsidRPr="00301DDB">
        <w:tab/>
      </w:r>
      <w:r w:rsidRPr="00301DDB">
        <w:tab/>
        <w:t>(n-1) where (n) is the number of plots established in the</w:t>
      </w:r>
      <w:r w:rsidRPr="00301DDB">
        <w:tab/>
      </w:r>
      <w:r w:rsidRPr="00301DDB">
        <w:tab/>
      </w:r>
      <w:r w:rsidRPr="00301DDB">
        <w:tab/>
      </w:r>
      <w:r w:rsidRPr="00301DDB">
        <w:tab/>
        <w:t>biomass survey in each carbon estimation area, for a 90%</w:t>
      </w:r>
      <w:r w:rsidRPr="00301DDB">
        <w:tab/>
      </w:r>
      <w:r w:rsidRPr="00301DDB">
        <w:tab/>
      </w:r>
      <w:r w:rsidRPr="00301DDB">
        <w:tab/>
      </w:r>
      <w:r w:rsidRPr="00301DDB">
        <w:tab/>
        <w:t>confidence level.</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E =</w:t>
      </w:r>
      <w:r w:rsidRPr="00301DDB">
        <w:tab/>
      </w:r>
      <w:r w:rsidRPr="00301DDB">
        <w:tab/>
        <w:t>allowable level of sampling error (expressed as a</w:t>
      </w:r>
      <w:r w:rsidRPr="00301DDB">
        <w:tab/>
      </w:r>
      <w:r w:rsidRPr="00301DDB">
        <w:tab/>
      </w:r>
      <w:r w:rsidRPr="00301DDB">
        <w:tab/>
      </w:r>
      <w:r w:rsidRPr="00301DDB">
        <w:tab/>
      </w:r>
      <w:r w:rsidRPr="00301DDB">
        <w:tab/>
        <w:t xml:space="preserve">percentage and fixed as 10%). </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6" w:name="_Toc358907445"/>
      <w:r w:rsidRPr="00301DDB">
        <w:rPr>
          <w:rFonts w:ascii="Arial" w:hAnsi="Arial"/>
          <w:b/>
          <w:bCs/>
          <w:iCs/>
          <w:szCs w:val="26"/>
          <w:lang w:val="en-US"/>
        </w:rPr>
        <w:t>3.33</w:t>
      </w:r>
      <w:r w:rsidRPr="00301DDB">
        <w:rPr>
          <w:rFonts w:ascii="Arial" w:hAnsi="Arial"/>
          <w:b/>
          <w:bCs/>
          <w:iCs/>
          <w:szCs w:val="26"/>
          <w:lang w:val="en-US"/>
        </w:rPr>
        <w:tab/>
        <w:t>Step 5—Preparation of biomass survey</w:t>
      </w:r>
      <w:bookmarkEnd w:id="56"/>
    </w:p>
    <w:p w:rsidR="00301DDB" w:rsidRPr="00301DDB" w:rsidRDefault="00301DDB" w:rsidP="00301DDB">
      <w:pPr>
        <w:keepLines/>
        <w:tabs>
          <w:tab w:val="right" w:pos="794"/>
        </w:tabs>
        <w:spacing w:before="80" w:after="100" w:line="260" w:lineRule="exact"/>
        <w:ind w:left="964" w:hanging="964"/>
        <w:jc w:val="both"/>
      </w:pPr>
      <w:r w:rsidRPr="00301DDB">
        <w:tab/>
      </w:r>
      <w:r w:rsidRPr="00301DDB">
        <w:tab/>
        <w:t>In order to ensure accuracy in measurements and to minimise error, for each carbon estimation area:</w:t>
      </w:r>
    </w:p>
    <w:p w:rsidR="00301DDB" w:rsidRPr="00301DDB" w:rsidRDefault="00301DDB" w:rsidP="00301DDB">
      <w:pPr>
        <w:keepLines/>
        <w:tabs>
          <w:tab w:val="right" w:pos="1531"/>
        </w:tabs>
        <w:spacing w:after="100" w:line="260" w:lineRule="exact"/>
        <w:ind w:left="1701" w:hanging="1701"/>
        <w:jc w:val="both"/>
        <w:rPr>
          <w:b/>
          <w:bCs/>
          <w:i/>
          <w:iCs/>
          <w:color w:val="404040"/>
        </w:rPr>
      </w:pPr>
      <w:r w:rsidRPr="00301DDB">
        <w:tab/>
        <w:t>(a)</w:t>
      </w:r>
      <w:r w:rsidRPr="00301DDB">
        <w:tab/>
        <w:t>the required measures to be surveyed must be identified for all allometric equations used in the project area in accordance with Subdivision 3.4.2;</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each plot that must be surveyed must be identified; and</w:t>
      </w:r>
    </w:p>
    <w:p w:rsidR="00301DDB" w:rsidRPr="00301DDB" w:rsidRDefault="00301DDB" w:rsidP="00301DDB">
      <w:pPr>
        <w:keepLines/>
        <w:tabs>
          <w:tab w:val="right" w:pos="2211"/>
        </w:tabs>
        <w:spacing w:after="100" w:line="220" w:lineRule="exact"/>
        <w:ind w:left="2410" w:hanging="2410"/>
        <w:jc w:val="both"/>
        <w:rPr>
          <w:b/>
          <w:bCs/>
          <w:i/>
          <w:iCs/>
          <w:color w:val="404040"/>
          <w:sz w:val="20"/>
        </w:rPr>
      </w:pPr>
      <w:r w:rsidRPr="00301DDB">
        <w:rPr>
          <w:sz w:val="20"/>
        </w:rPr>
        <w:tab/>
      </w:r>
      <w:r w:rsidRPr="00301DDB">
        <w:rPr>
          <w:b/>
          <w:i/>
          <w:sz w:val="20"/>
        </w:rPr>
        <w:t>Note</w:t>
      </w:r>
      <w:r w:rsidRPr="00301DDB">
        <w:rPr>
          <w:sz w:val="20"/>
        </w:rPr>
        <w:tab/>
        <w:t xml:space="preserve">These will be the plots identified in Step 2 numbering from </w:t>
      </w:r>
      <w:r w:rsidRPr="00301DDB">
        <w:rPr>
          <w:i/>
          <w:sz w:val="20"/>
        </w:rPr>
        <w:t>plot 1</w:t>
      </w:r>
      <w:r w:rsidRPr="00301DDB">
        <w:rPr>
          <w:sz w:val="20"/>
        </w:rPr>
        <w:t xml:space="preserve"> through to </w:t>
      </w:r>
      <w:r w:rsidRPr="00301DDB">
        <w:rPr>
          <w:i/>
          <w:sz w:val="20"/>
        </w:rPr>
        <w:t>plot n</w:t>
      </w:r>
      <w:r w:rsidRPr="00301DDB">
        <w:rPr>
          <w:sz w:val="20"/>
          <w:vertAlign w:val="subscript"/>
        </w:rPr>
        <w:t>i</w:t>
      </w:r>
      <w:r w:rsidRPr="00301DDB">
        <w:rPr>
          <w:sz w:val="20"/>
        </w:rPr>
        <w:t>.</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a survey protocol that states the requirements and processes of the biomass survey must be developed, including for the checking and calibration of measuring equipment.</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7" w:name="_Toc358907446"/>
      <w:r w:rsidRPr="00301DDB">
        <w:rPr>
          <w:rFonts w:ascii="Arial" w:hAnsi="Arial"/>
          <w:b/>
          <w:bCs/>
          <w:iCs/>
          <w:szCs w:val="26"/>
          <w:lang w:val="en-US"/>
        </w:rPr>
        <w:lastRenderedPageBreak/>
        <w:t>3.34</w:t>
      </w:r>
      <w:r w:rsidRPr="00301DDB">
        <w:rPr>
          <w:rFonts w:ascii="Arial" w:hAnsi="Arial"/>
          <w:b/>
          <w:bCs/>
          <w:iCs/>
          <w:szCs w:val="26"/>
          <w:lang w:val="en-US"/>
        </w:rPr>
        <w:tab/>
        <w:t>Step 6—Measurements within plots</w:t>
      </w:r>
      <w:bookmarkEnd w:id="57"/>
      <w:r w:rsidRPr="00301DDB">
        <w:rPr>
          <w:rFonts w:ascii="Arial" w:hAnsi="Arial"/>
          <w:b/>
          <w:bCs/>
          <w:iCs/>
          <w:szCs w:val="26"/>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Waypoints must be established using a GPS device with an accuracy of at least ± 4 metres.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A plot at each waypoint must be established as provided by section 3.29.</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The explanatory variables identified in section 3.33 must be measured in each plot established in accordance with subsection (2).</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For the purposes of subsection (3), each explanatory variable required by the allometric equation applicable to each species or group of species within the plot must be measured.</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8" w:name="_Toc358907447"/>
      <w:r w:rsidRPr="00301DDB">
        <w:rPr>
          <w:rFonts w:ascii="Arial" w:hAnsi="Arial"/>
          <w:b/>
          <w:bCs/>
          <w:iCs/>
          <w:szCs w:val="26"/>
          <w:lang w:val="en-US"/>
        </w:rPr>
        <w:t>3.35</w:t>
      </w:r>
      <w:r w:rsidRPr="00301DDB">
        <w:rPr>
          <w:rFonts w:ascii="Arial" w:hAnsi="Arial"/>
          <w:b/>
          <w:bCs/>
          <w:iCs/>
          <w:szCs w:val="26"/>
          <w:lang w:val="en-US"/>
        </w:rPr>
        <w:tab/>
        <w:t>Step 7—Biomass of plots</w:t>
      </w:r>
      <w:bookmarkEnd w:id="58"/>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The biomass of each plot surveyed as provided by section 3.34 must be determined in accordance with Steps 7.1 to 7.4.</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7.1—Determination of above-ground biomass by applying allometric equations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The measurements made in the field sample plots as provided by section 3.34 must be converted into above-ground biomass stock estimates for each tree.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 xml:space="preserve">For the purposes of the conversion in subsection (2), the allometric equation obtained in Subdivision 3.4.2 applicable to the species or group of species to which the tree belongs must be used.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The output of the conversion in subsection (2) is AB</w:t>
      </w:r>
      <w:r w:rsidRPr="00301DDB">
        <w:rPr>
          <w:vertAlign w:val="subscript"/>
          <w:lang w:val="en-US"/>
        </w:rPr>
        <w:t>j,sp,i,r</w:t>
      </w:r>
      <w:r w:rsidRPr="00301DDB">
        <w:rPr>
          <w:iCs/>
          <w:lang w:val="en-US"/>
        </w:rPr>
        <w:t xml:space="preserve"> where:</w:t>
      </w:r>
      <w:r w:rsidRPr="00301DDB">
        <w:rPr>
          <w:lang w:val="en-US"/>
        </w:rPr>
        <w:tab/>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AB</w:t>
      </w:r>
      <w:r w:rsidRPr="00301DDB">
        <w:rPr>
          <w:vertAlign w:val="subscript"/>
          <w:lang w:val="en-US"/>
        </w:rPr>
        <w:t>j,sp,i,r</w:t>
      </w:r>
      <w:r w:rsidRPr="00301DDB">
        <w:rPr>
          <w:lang w:val="en-US"/>
        </w:rPr>
        <w:t xml:space="preserve"> =</w:t>
      </w:r>
      <w:r w:rsidRPr="00301DDB">
        <w:rPr>
          <w:lang w:val="en-US"/>
        </w:rPr>
        <w:tab/>
        <w:t>above-ground biomass of tree (j) in sample plot (sp) in carbon</w:t>
      </w:r>
      <w:r w:rsidRPr="00301DDB">
        <w:rPr>
          <w:lang w:val="en-US"/>
        </w:rPr>
        <w:tab/>
      </w:r>
      <w:r w:rsidRPr="00301DDB">
        <w:rPr>
          <w:lang w:val="en-US"/>
        </w:rPr>
        <w:tab/>
      </w:r>
      <w:r w:rsidRPr="00301DDB">
        <w:rPr>
          <w:lang w:val="en-US"/>
        </w:rPr>
        <w:tab/>
        <w:t>estimation area (i) for reporting period (r) estimated based on</w:t>
      </w:r>
      <w:r w:rsidRPr="00301DDB">
        <w:rPr>
          <w:lang w:val="en-US"/>
        </w:rPr>
        <w:tab/>
      </w:r>
      <w:r w:rsidRPr="00301DDB">
        <w:rPr>
          <w:lang w:val="en-US"/>
        </w:rPr>
        <w:tab/>
      </w:r>
      <w:r w:rsidRPr="00301DDB">
        <w:rPr>
          <w:lang w:val="en-US"/>
        </w:rPr>
        <w:tab/>
        <w:t>direct non-destructive measures of explanatory variables using</w:t>
      </w:r>
      <w:r w:rsidRPr="00301DDB">
        <w:rPr>
          <w:lang w:val="en-US"/>
        </w:rPr>
        <w:tab/>
      </w:r>
      <w:r w:rsidRPr="00301DDB">
        <w:rPr>
          <w:lang w:val="en-US"/>
        </w:rPr>
        <w:tab/>
      </w:r>
      <w:r w:rsidRPr="00301DDB">
        <w:rPr>
          <w:lang w:val="en-US"/>
        </w:rPr>
        <w:tab/>
        <w:t>allometric equation applicable to tree (j) (tonnes of biomass per</w:t>
      </w:r>
      <w:r w:rsidRPr="00301DDB">
        <w:rPr>
          <w:lang w:val="en-US"/>
        </w:rPr>
        <w:tab/>
      </w:r>
      <w:r w:rsidRPr="00301DDB">
        <w:rPr>
          <w:lang w:val="en-US"/>
        </w:rPr>
        <w:tab/>
      </w:r>
      <w:r w:rsidRPr="00301DDB">
        <w:rPr>
          <w:lang w:val="en-US"/>
        </w:rPr>
        <w:tab/>
        <w:t>tree).</w:t>
      </w:r>
      <w:r w:rsidRPr="00301DDB">
        <w:rPr>
          <w:lang w:val="en-US"/>
        </w:rPr>
        <w:tab/>
      </w:r>
      <w:r w:rsidRPr="00301DDB">
        <w:rPr>
          <w:lang w:val="en-US"/>
        </w:rPr>
        <w:tab/>
      </w:r>
      <w:r w:rsidRPr="00301DDB">
        <w:rPr>
          <w:lang w:val="en-US"/>
        </w:rPr>
        <w:tab/>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 xml:space="preserve">j = </w:t>
      </w:r>
      <w:r w:rsidRPr="00301DDB">
        <w:rPr>
          <w:lang w:val="en-US"/>
        </w:rPr>
        <w:tab/>
      </w:r>
      <w:r w:rsidRPr="00301DDB">
        <w:rPr>
          <w:lang w:val="en-US"/>
        </w:rPr>
        <w:tab/>
        <w:t>the j</w:t>
      </w:r>
      <w:r w:rsidRPr="00301DDB">
        <w:rPr>
          <w:vertAlign w:val="superscript"/>
          <w:lang w:val="en-US"/>
        </w:rPr>
        <w:t>th</w:t>
      </w:r>
      <w:r w:rsidRPr="00301DDB">
        <w:rPr>
          <w:lang w:val="en-US"/>
        </w:rPr>
        <w:t xml:space="preserve"> tree in sample plot (sp) in carbon estimation area (i) for</w:t>
      </w:r>
      <w:r w:rsidRPr="00301DDB">
        <w:rPr>
          <w:lang w:val="en-US"/>
        </w:rPr>
        <w:tab/>
      </w:r>
      <w:r w:rsidRPr="00301DDB">
        <w:rPr>
          <w:lang w:val="en-US"/>
        </w:rPr>
        <w:tab/>
      </w:r>
      <w:r w:rsidRPr="00301DDB">
        <w:rPr>
          <w:lang w:val="en-US"/>
        </w:rPr>
        <w:tab/>
        <w:t>reporting period (r).</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t>the sp</w:t>
      </w:r>
      <w:r w:rsidRPr="00301DDB">
        <w:rPr>
          <w:vertAlign w:val="superscript"/>
          <w:lang w:val="en-US"/>
        </w:rPr>
        <w:t xml:space="preserve">th </w:t>
      </w:r>
      <w:r w:rsidRPr="00301DDB">
        <w:rPr>
          <w:lang w:val="en-US"/>
        </w:rPr>
        <w:t>sample plot in each carbon estimation area.</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t>the i</w:t>
      </w:r>
      <w:r w:rsidRPr="00301DDB">
        <w:rPr>
          <w:vertAlign w:val="superscript"/>
          <w:lang w:val="en-US"/>
        </w:rPr>
        <w:t xml:space="preserve">th </w:t>
      </w:r>
      <w:r w:rsidRPr="00301DDB">
        <w:rPr>
          <w:lang w:val="en-US"/>
        </w:rPr>
        <w:t>carbon estimation area.</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r =</w:t>
      </w:r>
      <w:r w:rsidRPr="00301DDB">
        <w:rPr>
          <w:lang w:val="en-US"/>
        </w:rPr>
        <w:tab/>
      </w:r>
      <w:r w:rsidRPr="00301DDB">
        <w:rPr>
          <w:lang w:val="en-US"/>
        </w:rPr>
        <w:tab/>
        <w:t>the r</w:t>
      </w:r>
      <w:r w:rsidRPr="00301DDB">
        <w:rPr>
          <w:vertAlign w:val="superscript"/>
          <w:lang w:val="en-US"/>
        </w:rPr>
        <w:t xml:space="preserve">th </w:t>
      </w:r>
      <w:r w:rsidRPr="00301DDB">
        <w:rPr>
          <w:lang w:val="en-US"/>
        </w:rPr>
        <w:t>reporting period.</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7.2—Determination of above-ground biomass in survey plots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The above-ground biomass stock in survey plot (sp) in carbon estimation area (i) must be determined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rPr>
                <w:lang w:val="en-US"/>
              </w:rPr>
            </w:pPr>
            <m:oMathPara>
              <m:oMath>
                <m:sSub>
                  <m:sSubPr>
                    <m:ctrlPr>
                      <w:rPr>
                        <w:rFonts w:ascii="Cambria Math" w:hAnsi="Cambria Math"/>
                      </w:rPr>
                    </m:ctrlPr>
                  </m:sSubPr>
                  <m:e>
                    <m:r>
                      <m:rPr>
                        <m:sty m:val="p"/>
                      </m:rPr>
                      <w:rPr>
                        <w:rFonts w:ascii="Cambria Math" w:hAnsi="Cambria Math"/>
                      </w:rPr>
                      <m:t>AB</m:t>
                    </m:r>
                  </m:e>
                  <m:sub>
                    <m:r>
                      <m:rPr>
                        <m:sty m:val="p"/>
                      </m:rPr>
                      <w:rPr>
                        <w:rFonts w:ascii="Cambria Math" w:hAnsi="Cambria Math"/>
                      </w:rPr>
                      <m:t>sp,i,r</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j=1</m:t>
                    </m:r>
                  </m:sub>
                  <m:sup/>
                  <m:e>
                    <m:sSub>
                      <m:sSubPr>
                        <m:ctrlPr>
                          <w:rPr>
                            <w:rFonts w:ascii="Cambria Math" w:hAnsi="Cambria Math"/>
                          </w:rPr>
                        </m:ctrlPr>
                      </m:sSubPr>
                      <m:e>
                        <m:r>
                          <m:rPr>
                            <m:sty m:val="p"/>
                          </m:rPr>
                          <w:rPr>
                            <w:rFonts w:ascii="Cambria Math" w:hAnsi="Cambria Math"/>
                          </w:rPr>
                          <m:t>AB</m:t>
                        </m:r>
                      </m:e>
                      <m:sub>
                        <m:r>
                          <m:rPr>
                            <m:sty m:val="p"/>
                          </m:rPr>
                          <w:rPr>
                            <w:rFonts w:ascii="Cambria Math" w:hAnsi="Cambria Math"/>
                          </w:rPr>
                          <m:t>j,sp,i,r</m:t>
                        </m:r>
                      </m:sub>
                    </m:sSub>
                  </m:e>
                </m:nary>
                <m:r>
                  <m:rPr>
                    <m:sty m:val="p"/>
                  </m:rPr>
                  <w:rPr>
                    <w:rFonts w:ascii="Cambria Math" w:hAnsi="Cambria Math"/>
                  </w:rPr>
                  <m:t xml:space="preserve"> </m:t>
                </m:r>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7</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AB</w:t>
      </w:r>
      <w:r w:rsidRPr="00301DDB">
        <w:rPr>
          <w:vertAlign w:val="subscript"/>
        </w:rPr>
        <w:t xml:space="preserve">sp,i,r </w:t>
      </w:r>
      <w:r w:rsidRPr="00301DDB">
        <w:t>=</w:t>
      </w:r>
      <w:r w:rsidRPr="00301DDB">
        <w:tab/>
        <w:t>total above-ground biomass of all trees in sample plot (sp) in</w:t>
      </w:r>
      <w:r w:rsidRPr="00301DDB">
        <w:tab/>
      </w:r>
      <w:r w:rsidRPr="00301DDB">
        <w:tab/>
      </w:r>
      <w:r w:rsidRPr="00301DDB">
        <w:tab/>
        <w:t>carbon estimation area (i) for reporting period (r) (tonnes of dry</w:t>
      </w:r>
      <w:r w:rsidRPr="00301DDB">
        <w:tab/>
      </w:r>
      <w:r w:rsidRPr="00301DDB">
        <w:tab/>
      </w:r>
      <w:r w:rsidRPr="00301DDB">
        <w:tab/>
        <w:t>matter).</w:t>
      </w:r>
    </w:p>
    <w:p w:rsidR="00301DDB" w:rsidRPr="00301DDB" w:rsidRDefault="00301DDB" w:rsidP="00301DDB">
      <w:pPr>
        <w:keepLines/>
        <w:tabs>
          <w:tab w:val="right" w:pos="794"/>
        </w:tabs>
        <w:spacing w:before="240" w:after="100" w:line="260" w:lineRule="exact"/>
        <w:ind w:left="964" w:hanging="964"/>
        <w:jc w:val="both"/>
        <w:rPr>
          <w:lang w:val="en-US"/>
        </w:rPr>
      </w:pPr>
      <w:r w:rsidRPr="00301DDB">
        <w:tab/>
      </w:r>
      <w:r w:rsidRPr="00301DDB">
        <w:tab/>
      </w:r>
      <w:r w:rsidRPr="00301DDB">
        <w:tab/>
      </w:r>
      <w:r w:rsidRPr="00301DDB">
        <w:rPr>
          <w:lang w:val="en-US"/>
        </w:rPr>
        <w:t>AB</w:t>
      </w:r>
      <w:r w:rsidRPr="00301DDB">
        <w:rPr>
          <w:vertAlign w:val="subscript"/>
          <w:lang w:val="en-US"/>
        </w:rPr>
        <w:t>j,sp,i,r</w:t>
      </w:r>
      <w:r w:rsidRPr="00301DDB">
        <w:rPr>
          <w:lang w:val="en-US"/>
        </w:rPr>
        <w:t xml:space="preserve"> =</w:t>
      </w:r>
      <w:r w:rsidRPr="00301DDB">
        <w:rPr>
          <w:lang w:val="en-US"/>
        </w:rPr>
        <w:tab/>
        <w:t>above-ground biomass of tree (j) in sample plot (sp) in carbon</w:t>
      </w:r>
      <w:r w:rsidRPr="00301DDB">
        <w:rPr>
          <w:lang w:val="en-US"/>
        </w:rPr>
        <w:tab/>
      </w:r>
      <w:r w:rsidRPr="00301DDB">
        <w:rPr>
          <w:lang w:val="en-US"/>
        </w:rPr>
        <w:tab/>
      </w:r>
      <w:r w:rsidRPr="00301DDB">
        <w:rPr>
          <w:lang w:val="en-US"/>
        </w:rPr>
        <w:tab/>
        <w:t>estimation area (i) for reporting period (r) (tonnes of biomass</w:t>
      </w:r>
      <w:r w:rsidRPr="00301DDB">
        <w:rPr>
          <w:lang w:val="en-US"/>
        </w:rPr>
        <w:tab/>
      </w:r>
      <w:r w:rsidRPr="00301DDB">
        <w:rPr>
          <w:lang w:val="en-US"/>
        </w:rPr>
        <w:tab/>
      </w:r>
      <w:r w:rsidRPr="00301DDB">
        <w:rPr>
          <w:lang w:val="en-US"/>
        </w:rPr>
        <w:tab/>
        <w:t>per tree).</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 xml:space="preserve">j = </w:t>
      </w:r>
      <w:r w:rsidRPr="00301DDB">
        <w:rPr>
          <w:lang w:val="en-US"/>
        </w:rPr>
        <w:tab/>
      </w:r>
      <w:r w:rsidRPr="00301DDB">
        <w:rPr>
          <w:lang w:val="en-US"/>
        </w:rPr>
        <w:tab/>
        <w:t>the j</w:t>
      </w:r>
      <w:r w:rsidRPr="00301DDB">
        <w:rPr>
          <w:vertAlign w:val="superscript"/>
          <w:lang w:val="en-US"/>
        </w:rPr>
        <w:t>th</w:t>
      </w:r>
      <w:r w:rsidRPr="00301DDB">
        <w:rPr>
          <w:lang w:val="en-US"/>
        </w:rPr>
        <w:t xml:space="preserve"> tree in sample plot (sp) in carbon</w:t>
      </w:r>
      <w:r w:rsidRPr="00301DDB">
        <w:rPr>
          <w:lang w:val="en-US"/>
        </w:rPr>
        <w:tab/>
      </w:r>
      <w:r w:rsidRPr="00301DDB">
        <w:rPr>
          <w:lang w:val="en-US"/>
        </w:rPr>
        <w:tab/>
      </w:r>
      <w:r w:rsidRPr="00301DDB">
        <w:rPr>
          <w:lang w:val="en-US"/>
        </w:rPr>
        <w:tab/>
      </w:r>
      <w:r w:rsidRPr="00301DDB">
        <w:rPr>
          <w:lang w:val="en-US"/>
        </w:rPr>
        <w:tab/>
      </w:r>
      <w:r w:rsidRPr="00301DDB">
        <w:rPr>
          <w:lang w:val="en-US"/>
        </w:rPr>
        <w:tab/>
      </w:r>
      <w:r w:rsidRPr="00301DDB">
        <w:rPr>
          <w:lang w:val="en-US"/>
        </w:rPr>
        <w:tab/>
        <w:t xml:space="preserve">estimation area (i) at time (t). </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color w:val="000000" w:themeColor="text1"/>
        </w:rPr>
        <w:t>the sp</w:t>
      </w:r>
      <w:r w:rsidRPr="00301DDB">
        <w:rPr>
          <w:color w:val="000000" w:themeColor="text1"/>
          <w:vertAlign w:val="superscript"/>
        </w:rPr>
        <w:t>th</w:t>
      </w:r>
      <w:r w:rsidRPr="00301DDB">
        <w:rPr>
          <w:iCs/>
          <w:color w:val="000000" w:themeColor="text1"/>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r =</w:t>
      </w:r>
      <w:r w:rsidRPr="00301DDB">
        <w:rPr>
          <w:lang w:val="en-US"/>
        </w:rPr>
        <w:tab/>
      </w:r>
      <w:r w:rsidRPr="00301DDB">
        <w:rPr>
          <w:lang w:val="en-US"/>
        </w:rPr>
        <w:tab/>
        <w:t>the r</w:t>
      </w:r>
      <w:r w:rsidRPr="00301DDB">
        <w:rPr>
          <w:vertAlign w:val="superscript"/>
          <w:lang w:val="en-US"/>
        </w:rPr>
        <w:t xml:space="preserve">th </w:t>
      </w:r>
      <w:r w:rsidRPr="00301DDB">
        <w:rPr>
          <w:lang w:val="en-US"/>
        </w:rPr>
        <w:t>reporting period.</w:t>
      </w:r>
    </w:p>
    <w:p w:rsidR="00301DDB" w:rsidRPr="00301DDB" w:rsidRDefault="00301DDB" w:rsidP="00301DDB">
      <w:pPr>
        <w:keepNext/>
        <w:spacing w:before="120"/>
        <w:ind w:left="964"/>
        <w:jc w:val="both"/>
        <w:rPr>
          <w:rFonts w:ascii="Arial" w:hAnsi="Arial"/>
          <w:bCs/>
          <w:i/>
          <w:iCs/>
          <w:lang w:val="en-US"/>
        </w:rPr>
      </w:pPr>
      <w:r w:rsidRPr="00301DDB">
        <w:rPr>
          <w:rFonts w:ascii="Arial" w:hAnsi="Arial"/>
          <w:i/>
          <w:lang w:val="en-US"/>
        </w:rPr>
        <w:t>Step 7.3—Determination of below-ground tree biomass in survey plots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(6)</w:t>
      </w:r>
      <w:r w:rsidRPr="00301DDB">
        <w:rPr>
          <w:lang w:val="en-US"/>
        </w:rPr>
        <w:tab/>
        <w:t>The below-ground tree biomass in each plot surveyed as provided by Step 6 in section 3.34 must be determined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ind w:left="964" w:hanging="964"/>
              <w:jc w:val="both"/>
              <w:rPr>
                <w:lang w:val="en-US"/>
              </w:rPr>
            </w:pPr>
            <m:oMathPara>
              <m:oMath>
                <m:sSub>
                  <m:sSubPr>
                    <m:ctrlPr>
                      <w:rPr>
                        <w:rFonts w:ascii="Cambria Math" w:hAnsi="Cambria Math"/>
                      </w:rPr>
                    </m:ctrlPr>
                  </m:sSubPr>
                  <m:e>
                    <m:r>
                      <m:rPr>
                        <m:sty m:val="p"/>
                      </m:rPr>
                      <w:rPr>
                        <w:rFonts w:ascii="Cambria Math" w:hAnsi="Cambria Math"/>
                      </w:rPr>
                      <m:t>BB</m:t>
                    </m:r>
                  </m:e>
                  <m:sub>
                    <m:r>
                      <m:rPr>
                        <m:sty m:val="p"/>
                      </m:rPr>
                      <w:rPr>
                        <w:rFonts w:ascii="Cambria Math" w:hAnsi="Cambria Math"/>
                      </w:rPr>
                      <m:t xml:space="preserve">sp,i,r </m:t>
                    </m:r>
                  </m:sub>
                </m:sSub>
                <m:r>
                  <m:rPr>
                    <m:sty m:val="p"/>
                  </m:rPr>
                  <w:rPr>
                    <w:rFonts w:ascii="Cambria Math" w:hAnsi="Cambria Math"/>
                  </w:rPr>
                  <m:t>=RSR×</m:t>
                </m:r>
                <m:sSub>
                  <m:sSubPr>
                    <m:ctrlPr>
                      <w:rPr>
                        <w:rFonts w:ascii="Cambria Math" w:hAnsi="Cambria Math"/>
                      </w:rPr>
                    </m:ctrlPr>
                  </m:sSubPr>
                  <m:e>
                    <m:r>
                      <m:rPr>
                        <m:sty m:val="p"/>
                      </m:rPr>
                      <w:rPr>
                        <w:rFonts w:ascii="Cambria Math" w:hAnsi="Cambria Math"/>
                      </w:rPr>
                      <m:t>AB</m:t>
                    </m:r>
                  </m:e>
                  <m:sub>
                    <m:r>
                      <m:rPr>
                        <m:sty m:val="p"/>
                      </m:rPr>
                      <w:rPr>
                        <w:rFonts w:ascii="Cambria Math" w:hAnsi="Cambria Math"/>
                      </w:rPr>
                      <m:t>sp,i,r</m:t>
                    </m:r>
                  </m:sub>
                </m:sSub>
              </m:oMath>
            </m:oMathPara>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lang w:val="en-US"/>
              </w:rPr>
            </w:pPr>
            <w:r w:rsidRPr="00301DDB">
              <w:rPr>
                <w:b/>
                <w:lang w:val="en-US"/>
              </w:rPr>
              <w:t>Equation 8</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 xml:space="preserve">Where: </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t>BB</w:t>
      </w:r>
      <w:r w:rsidRPr="00301DDB">
        <w:rPr>
          <w:vertAlign w:val="subscript"/>
        </w:rPr>
        <w:t xml:space="preserve">sp,i,t </w:t>
      </w:r>
      <w:r w:rsidRPr="00301DDB">
        <w:t>=</w:t>
      </w:r>
      <w:r w:rsidRPr="00301DDB">
        <w:tab/>
        <w:t>total below</w:t>
      </w:r>
      <w:r w:rsidRPr="00301DDB">
        <w:rPr>
          <w:lang w:val="en-US"/>
        </w:rPr>
        <w:t>-ground tree biomass stock of trees in plot (</w:t>
      </w:r>
      <w:r w:rsidRPr="00301DDB">
        <w:rPr>
          <w:iCs/>
          <w:lang w:val="en-US"/>
        </w:rPr>
        <w:t>sp)</w:t>
      </w:r>
      <w:r w:rsidRPr="00301DDB">
        <w:rPr>
          <w:lang w:val="en-US"/>
        </w:rPr>
        <w:t>, in</w:t>
      </w:r>
      <w:r w:rsidRPr="00301DDB">
        <w:rPr>
          <w:lang w:val="en-US"/>
        </w:rPr>
        <w:tab/>
      </w:r>
      <w:r w:rsidRPr="00301DDB">
        <w:rPr>
          <w:lang w:val="en-US"/>
        </w:rPr>
        <w:tab/>
      </w:r>
      <w:r w:rsidRPr="00301DDB">
        <w:rPr>
          <w:lang w:val="en-US"/>
        </w:rPr>
        <w:tab/>
        <w:t>carbon estimation area (</w:t>
      </w:r>
      <w:r w:rsidRPr="00301DDB">
        <w:rPr>
          <w:iCs/>
          <w:lang w:val="en-US"/>
        </w:rPr>
        <w:t xml:space="preserve">i) </w:t>
      </w:r>
      <w:r w:rsidRPr="00301DDB">
        <w:t>for reporting period (r)</w:t>
      </w:r>
      <w:r w:rsidRPr="00301DDB">
        <w:rPr>
          <w:lang w:val="en-US"/>
        </w:rPr>
        <w:t xml:space="preserve"> (tonnes of dry</w:t>
      </w:r>
      <w:r w:rsidRPr="00301DDB">
        <w:rPr>
          <w:lang w:val="en-US"/>
        </w:rPr>
        <w:tab/>
      </w:r>
      <w:r w:rsidRPr="00301DDB">
        <w:rPr>
          <w:lang w:val="en-US"/>
        </w:rPr>
        <w:tab/>
      </w:r>
      <w:r w:rsidRPr="00301DDB">
        <w:rPr>
          <w:lang w:val="en-US"/>
        </w:rPr>
        <w:tab/>
        <w:t>matter).</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AB</w:t>
      </w:r>
      <w:r w:rsidRPr="00301DDB">
        <w:rPr>
          <w:vertAlign w:val="subscript"/>
          <w:lang w:val="en-US"/>
        </w:rPr>
        <w:t xml:space="preserve">sp,i,t </w:t>
      </w:r>
      <w:r w:rsidRPr="00301DDB">
        <w:rPr>
          <w:lang w:val="en-US"/>
        </w:rPr>
        <w:t>=</w:t>
      </w:r>
      <w:r w:rsidRPr="00301DDB">
        <w:rPr>
          <w:lang w:val="en-US"/>
        </w:rPr>
        <w:tab/>
        <w:t>total above-ground tree biomass stock of trees in plot (sp) in</w:t>
      </w:r>
      <w:r w:rsidRPr="00301DDB">
        <w:rPr>
          <w:lang w:val="en-US"/>
        </w:rPr>
        <w:tab/>
      </w:r>
      <w:r w:rsidRPr="00301DDB">
        <w:rPr>
          <w:lang w:val="en-US"/>
        </w:rPr>
        <w:tab/>
      </w:r>
      <w:r w:rsidRPr="00301DDB">
        <w:rPr>
          <w:lang w:val="en-US"/>
        </w:rPr>
        <w:tab/>
        <w:t xml:space="preserve">carbon estimation area (i) </w:t>
      </w:r>
      <w:r w:rsidRPr="00301DDB">
        <w:t xml:space="preserve">for reporting period (r) </w:t>
      </w:r>
      <w:r w:rsidRPr="00301DDB">
        <w:rPr>
          <w:lang w:val="en-US"/>
        </w:rPr>
        <w:t>(tonnes of dry</w:t>
      </w:r>
      <w:r w:rsidRPr="00301DDB">
        <w:rPr>
          <w:lang w:val="en-US"/>
        </w:rPr>
        <w:tab/>
      </w:r>
      <w:r w:rsidRPr="00301DDB">
        <w:rPr>
          <w:lang w:val="en-US"/>
        </w:rPr>
        <w:tab/>
      </w:r>
      <w:r w:rsidRPr="00301DDB">
        <w:rPr>
          <w:lang w:val="en-US"/>
        </w:rPr>
        <w:tab/>
        <w:t>matter).</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RSR =</w:t>
      </w:r>
      <w:r w:rsidRPr="00301DDB">
        <w:rPr>
          <w:lang w:val="en-US"/>
        </w:rPr>
        <w:tab/>
      </w:r>
      <w:r w:rsidRPr="00301DDB">
        <w:rPr>
          <w:lang w:val="en-US"/>
        </w:rPr>
        <w:tab/>
        <w:t>root:shoot ratio determined in accordance with section 3.28</w:t>
      </w:r>
      <w:r w:rsidRPr="00301DDB">
        <w:rPr>
          <w:lang w:val="en-US"/>
        </w:rPr>
        <w:tab/>
      </w:r>
      <w:r w:rsidRPr="00301DDB">
        <w:rPr>
          <w:lang w:val="en-US"/>
        </w:rPr>
        <w:tab/>
      </w:r>
      <w:r w:rsidRPr="00301DDB">
        <w:rPr>
          <w:lang w:val="en-US"/>
        </w:rPr>
        <w:tab/>
      </w:r>
      <w:r w:rsidRPr="00301DDB">
        <w:rPr>
          <w:lang w:val="en-US"/>
        </w:rPr>
        <w:tab/>
        <w:t>(tonnes of root biomass per tonnes of shoot biomass).</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rPr>
        <w:t>the sp</w:t>
      </w:r>
      <w:r w:rsidRPr="00301DDB">
        <w:rPr>
          <w:vertAlign w:val="superscript"/>
        </w:rPr>
        <w:t>th</w:t>
      </w:r>
      <w:r w:rsidRPr="00301DDB">
        <w:rPr>
          <w:iCs/>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r w:rsidRPr="00301DDB">
        <w:rPr>
          <w:lang w:val="en-US"/>
        </w:rPr>
        <w:tab/>
      </w:r>
      <w:r w:rsidRPr="00301DDB">
        <w:rPr>
          <w:lang w:val="en-US"/>
        </w:rPr>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p>
    <w:p w:rsidR="00301DDB" w:rsidRPr="00301DDB" w:rsidRDefault="00301DDB" w:rsidP="00301DDB">
      <w:pPr>
        <w:keepNext/>
        <w:spacing w:before="120"/>
        <w:ind w:left="964"/>
        <w:jc w:val="both"/>
        <w:rPr>
          <w:rFonts w:ascii="Arial" w:hAnsi="Arial"/>
          <w:bCs/>
          <w:i/>
          <w:iCs/>
          <w:lang w:val="en-US"/>
        </w:rPr>
      </w:pPr>
      <w:r w:rsidRPr="00301DDB">
        <w:rPr>
          <w:rFonts w:ascii="Arial" w:hAnsi="Arial"/>
          <w:i/>
          <w:lang w:val="en-US"/>
        </w:rPr>
        <w:lastRenderedPageBreak/>
        <w:t>Step 7.4—Determination of total tree biomass in each plot</w:t>
      </w:r>
    </w:p>
    <w:p w:rsidR="00301DDB" w:rsidRPr="00301DDB" w:rsidRDefault="00301DDB" w:rsidP="00301DDB">
      <w:pPr>
        <w:keepLines/>
        <w:tabs>
          <w:tab w:val="right" w:pos="794"/>
        </w:tabs>
        <w:spacing w:before="80" w:after="100" w:line="260" w:lineRule="exact"/>
        <w:ind w:left="964" w:hanging="964"/>
        <w:jc w:val="both"/>
      </w:pPr>
      <w:r w:rsidRPr="00301DDB">
        <w:tab/>
        <w:t>(7)</w:t>
      </w:r>
      <w:r w:rsidRPr="00301DDB">
        <w:tab/>
        <w:t xml:space="preserve">The total tree biomass for each plot surveyed as provided by section 3.34 </w:t>
      </w:r>
      <w:r w:rsidRPr="00301DDB">
        <w:rPr>
          <w:lang w:val="en-US"/>
        </w:rPr>
        <w:t>must be determined using the following formula:</w:t>
      </w:r>
      <w:r w:rsidRPr="00301DDB">
        <w:t xml:space="preserve"> </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sp,i,r</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AB</m:t>
                    </m:r>
                  </m:e>
                  <m:sub>
                    <m:r>
                      <m:rPr>
                        <m:sty m:val="p"/>
                      </m:rPr>
                      <w:rPr>
                        <w:rFonts w:ascii="Cambria Math" w:hAnsi="Cambria Math"/>
                      </w:rPr>
                      <m:t>sp,i,r</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BB</m:t>
                    </m:r>
                  </m:e>
                  <m:sub>
                    <m:r>
                      <m:rPr>
                        <m:sty m:val="p"/>
                      </m:rPr>
                      <w:rPr>
                        <w:rFonts w:ascii="Cambria Math" w:hAnsi="Cambria Math"/>
                      </w:rPr>
                      <m:t>sp,i,r</m:t>
                    </m:r>
                  </m:sub>
                </m:sSub>
              </m:oMath>
            </m:oMathPara>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rPr>
            </w:pPr>
            <w:r w:rsidRPr="00301DDB">
              <w:rPr>
                <w:b/>
              </w:rPr>
              <w:t>Equation 9</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 xml:space="preserve">Where: </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sp,i </w:t>
      </w:r>
      <w:r w:rsidRPr="00301DDB">
        <w:t>=</w:t>
      </w:r>
      <w:r w:rsidRPr="00301DDB">
        <w:tab/>
      </w:r>
      <w:r w:rsidRPr="00301DDB">
        <w:tab/>
        <w:t>total biomass stock in sample plot (sp) in carbon estimation</w:t>
      </w:r>
      <w:r w:rsidRPr="00301DDB">
        <w:tab/>
      </w:r>
      <w:r w:rsidRPr="00301DDB">
        <w:tab/>
      </w:r>
      <w:r w:rsidRPr="00301DDB">
        <w:tab/>
      </w:r>
      <w:r w:rsidRPr="00301DDB">
        <w:tab/>
        <w:t>area (i) for reporting period (r) (tonnes of biomass).</w:t>
      </w:r>
      <w:r w:rsidRPr="00301DDB">
        <w:tab/>
      </w: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AB</w:t>
      </w:r>
      <w:r w:rsidRPr="00301DDB">
        <w:rPr>
          <w:vertAlign w:val="subscript"/>
        </w:rPr>
        <w:t>sp,I,r</w:t>
      </w:r>
      <w:r w:rsidRPr="00301DDB">
        <w:t xml:space="preserve"> =</w:t>
      </w:r>
      <w:r w:rsidRPr="00301DDB">
        <w:tab/>
        <w:t>total above-ground biomass stock of all trees in sample plot</w:t>
      </w:r>
      <w:r w:rsidRPr="00301DDB">
        <w:tab/>
        <w:t>(sp)</w:t>
      </w:r>
      <w:r w:rsidRPr="00301DDB">
        <w:tab/>
      </w:r>
      <w:r w:rsidRPr="00301DDB">
        <w:tab/>
      </w:r>
      <w:r w:rsidRPr="00301DDB">
        <w:tab/>
        <w:t>of carbon estimation area (i) for reporting period (r) (tonnes of</w:t>
      </w:r>
      <w:r w:rsidRPr="00301DDB">
        <w:tab/>
      </w:r>
      <w:r w:rsidRPr="00301DDB">
        <w:tab/>
      </w:r>
      <w:r w:rsidRPr="00301DDB">
        <w:tab/>
        <w:t>biomass).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BB</w:t>
      </w:r>
      <w:r w:rsidRPr="00301DDB">
        <w:rPr>
          <w:vertAlign w:val="subscript"/>
        </w:rPr>
        <w:t xml:space="preserve">sp,I,r </w:t>
      </w:r>
      <w:r w:rsidRPr="00301DDB">
        <w:t>=</w:t>
      </w:r>
      <w:r w:rsidRPr="00301DDB">
        <w:tab/>
        <w:t>total below-ground tree biomass of trees in plot (sp) in carbon</w:t>
      </w:r>
      <w:r w:rsidRPr="00301DDB">
        <w:tab/>
      </w:r>
      <w:r w:rsidRPr="00301DDB">
        <w:tab/>
      </w:r>
      <w:r w:rsidRPr="00301DDB">
        <w:tab/>
        <w:t>estimation area (i) for reporting period (r) (tonnes of dry</w:t>
      </w:r>
      <w:r w:rsidRPr="00301DDB">
        <w:tab/>
      </w:r>
      <w:r w:rsidRPr="00301DDB">
        <w:tab/>
      </w:r>
      <w:r w:rsidRPr="00301DDB">
        <w:tab/>
      </w:r>
      <w:r w:rsidRPr="00301DDB">
        <w:tab/>
        <w:t>matter).</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rPr>
        <w:t>denotes the sp</w:t>
      </w:r>
      <w:r w:rsidRPr="00301DDB">
        <w:rPr>
          <w:vertAlign w:val="superscript"/>
        </w:rPr>
        <w:t>th</w:t>
      </w:r>
      <w:r w:rsidRPr="00301DDB">
        <w:rPr>
          <w:iCs/>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r>
      <w:r w:rsidRPr="00301DDB">
        <w:rPr>
          <w:lang w:val="en-US"/>
        </w:rPr>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rPr>
          <w:b/>
        </w:rPr>
      </w:pPr>
      <w:r w:rsidRPr="00301DDB">
        <w:tab/>
      </w:r>
      <w:r w:rsidRPr="00301DDB">
        <w:tab/>
      </w:r>
      <w:r w:rsidRPr="00301DDB">
        <w:tab/>
        <w:t>r =</w:t>
      </w:r>
      <w:r w:rsidRPr="00301DDB">
        <w:tab/>
      </w:r>
      <w:r w:rsidRPr="00301DDB">
        <w:tab/>
        <w:t>the r</w:t>
      </w:r>
      <w:r w:rsidRPr="00301DDB">
        <w:rPr>
          <w:vertAlign w:val="superscript"/>
        </w:rPr>
        <w:t>th</w:t>
      </w:r>
      <w:r w:rsidRPr="00301DDB">
        <w:t xml:space="preserve"> reporting period.</w:t>
      </w:r>
      <w:r w:rsidRPr="00301DDB">
        <w:rPr>
          <w:lang w:val="en-US"/>
        </w:rPr>
        <w:tab/>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59" w:name="_Toc358907448"/>
      <w:r w:rsidRPr="00301DDB">
        <w:rPr>
          <w:rFonts w:ascii="Arial" w:hAnsi="Arial"/>
          <w:b/>
          <w:bCs/>
          <w:iCs/>
          <w:szCs w:val="26"/>
          <w:lang w:val="en-US"/>
        </w:rPr>
        <w:t>3.36</w:t>
      </w:r>
      <w:r w:rsidRPr="00301DDB">
        <w:rPr>
          <w:rFonts w:ascii="Arial" w:hAnsi="Arial"/>
          <w:b/>
          <w:bCs/>
          <w:iCs/>
          <w:szCs w:val="26"/>
          <w:lang w:val="en-US"/>
        </w:rPr>
        <w:tab/>
        <w:t>Step 8—Edge corrections for plots crossing carbon estimation area boundaries</w:t>
      </w:r>
      <w:bookmarkEnd w:id="59"/>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If a plot crosses the boundary of a carbon estimation area, the resulting edge effects must be corrected in accordance with this section.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If more than 20% of the plot falls outside the carbon estimation area that is to be surveyed, the plot must be omitted from the biomass survey.</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If less than 20% of the plot falls outside the carbon estimation area that is to be surveyed, the mirage method must be used.</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The effective orthogonal area of plots established using the mirage method must be consistent with the area of all other plots.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In this section:</w:t>
      </w:r>
    </w:p>
    <w:p w:rsidR="00301DDB" w:rsidRPr="00301DDB" w:rsidRDefault="00301DDB" w:rsidP="00301DDB">
      <w:pPr>
        <w:spacing w:before="80" w:after="100" w:line="260" w:lineRule="exact"/>
        <w:ind w:left="964"/>
        <w:jc w:val="both"/>
        <w:rPr>
          <w:lang w:val="en-US"/>
        </w:rPr>
      </w:pPr>
      <w:r w:rsidRPr="00301DDB">
        <w:rPr>
          <w:b/>
          <w:i/>
          <w:lang w:val="en-US"/>
        </w:rPr>
        <w:t>mirage method</w:t>
      </w:r>
      <w:r w:rsidRPr="00301DDB">
        <w:rPr>
          <w:lang w:val="en-US"/>
        </w:rPr>
        <w:t xml:space="preserve"> means the process whereby the area of the plot falling outside of the carbon estimation area is established within the carbon estimation area that is being surveyed.</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60" w:name="_Toc358907449"/>
      <w:r w:rsidRPr="00301DDB">
        <w:rPr>
          <w:rFonts w:ascii="Arial" w:hAnsi="Arial"/>
          <w:b/>
          <w:bCs/>
          <w:iCs/>
          <w:szCs w:val="26"/>
          <w:lang w:val="en-US"/>
        </w:rPr>
        <w:t>3.37</w:t>
      </w:r>
      <w:r w:rsidRPr="00301DDB">
        <w:rPr>
          <w:rFonts w:ascii="Arial" w:hAnsi="Arial"/>
          <w:b/>
          <w:bCs/>
          <w:iCs/>
          <w:szCs w:val="26"/>
          <w:lang w:val="en-US"/>
        </w:rPr>
        <w:tab/>
        <w:t>Step 9—Validation of sample size</w:t>
      </w:r>
      <w:bookmarkEnd w:id="60"/>
    </w:p>
    <w:p w:rsidR="00301DDB" w:rsidRPr="00301DDB" w:rsidRDefault="00301DDB" w:rsidP="00301DDB">
      <w:pPr>
        <w:keepLines/>
        <w:tabs>
          <w:tab w:val="right" w:pos="794"/>
        </w:tabs>
        <w:spacing w:before="80" w:after="100" w:line="260" w:lineRule="exact"/>
        <w:ind w:left="964" w:hanging="964"/>
        <w:jc w:val="both"/>
        <w:rPr>
          <w:b/>
        </w:rPr>
      </w:pPr>
      <w:r w:rsidRPr="00301DDB">
        <w:rPr>
          <w:lang w:val="en-US"/>
        </w:rPr>
        <w:tab/>
        <w:t>(1)</w:t>
      </w:r>
      <w:r w:rsidRPr="00301DDB">
        <w:rPr>
          <w:lang w:val="en-US"/>
        </w:rPr>
        <w:tab/>
        <w:t xml:space="preserve">An ex-post analysis of the data obtained in the biomass survey must be performed in order to verify that the survey performed in accordance with this Subdivision has achieved Targeted Precision.  </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9.1—Standard error</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The standard error must be calculated</w:t>
      </w:r>
      <w:r w:rsidRPr="00301DDB">
        <w:rPr>
          <w:lang w:val="en-US"/>
        </w:rPr>
        <w:t xml:space="preserve">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bottom"/>
          </w:tcPr>
          <w:p w:rsidR="00301DDB" w:rsidRPr="00301DDB" w:rsidRDefault="007142EE" w:rsidP="00301DDB">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SE</m:t>
                    </m:r>
                  </m:e>
                  <m:sub>
                    <m:r>
                      <m:rPr>
                        <m:sty m:val="p"/>
                      </m:rPr>
                      <w:rPr>
                        <w:rFonts w:ascii="Cambria Math" w:hAnsi="Cambria Math"/>
                      </w:rPr>
                      <m:t>survey,i,r</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i,r</m:t>
                        </m:r>
                      </m:sub>
                    </m:sSub>
                  </m:num>
                  <m:den>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i,r</m:t>
                            </m:r>
                          </m:sub>
                        </m:sSub>
                      </m:e>
                    </m:rad>
                  </m:den>
                </m:f>
              </m:oMath>
            </m:oMathPara>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rPr>
            </w:pPr>
            <w:r w:rsidRPr="00301DDB">
              <w:rPr>
                <w:b/>
              </w:rPr>
              <w:t>Equation 10</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SE</w:t>
      </w:r>
      <w:r w:rsidRPr="00301DDB">
        <w:rPr>
          <w:vertAlign w:val="subscript"/>
        </w:rPr>
        <w:t>survey, i</w:t>
      </w:r>
      <w:r w:rsidRPr="00301DDB">
        <w:t xml:space="preserve"> =</w:t>
      </w:r>
      <w:r w:rsidRPr="00301DDB">
        <w:tab/>
        <w:t>standard error of the biomass survey in carbon estimation area</w:t>
      </w:r>
      <w:r w:rsidRPr="00301DDB">
        <w:tab/>
      </w:r>
      <w:r w:rsidRPr="00301DDB">
        <w:tab/>
      </w:r>
      <w:r w:rsidRPr="00301DDB">
        <w:tab/>
        <w:t>(i) for reporting period (r).</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s</w:t>
      </w:r>
      <w:r w:rsidRPr="00301DDB">
        <w:rPr>
          <w:vertAlign w:val="subscript"/>
        </w:rPr>
        <w:t xml:space="preserve">i,r </w:t>
      </w:r>
      <w:r w:rsidRPr="00301DDB">
        <w:t xml:space="preserve">= </w:t>
      </w:r>
      <w:r w:rsidRPr="00301DDB">
        <w:tab/>
      </w:r>
      <w:r w:rsidRPr="00301DDB">
        <w:tab/>
        <w:t>standard deviation of the primary biomass survey data in</w:t>
      </w:r>
      <w:r w:rsidRPr="00301DDB">
        <w:tab/>
      </w:r>
      <w:r w:rsidRPr="00301DDB">
        <w:tab/>
      </w:r>
      <w:r w:rsidRPr="00301DDB">
        <w:tab/>
      </w:r>
      <w:r w:rsidRPr="00301DDB">
        <w:tab/>
        <w:t>carbon estimation area (i) for reporting period (r) (tonnes of dry</w:t>
      </w:r>
      <w:r w:rsidRPr="00301DDB">
        <w:tab/>
      </w:r>
      <w:r w:rsidRPr="00301DDB">
        <w:tab/>
      </w:r>
      <w:r w:rsidRPr="00301DDB">
        <w:tab/>
        <w:t>matter).</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n</w:t>
      </w:r>
      <w:r w:rsidRPr="00301DDB">
        <w:rPr>
          <w:vertAlign w:val="subscript"/>
        </w:rPr>
        <w:t xml:space="preserve">i,r </w:t>
      </w:r>
      <w:r w:rsidRPr="00301DDB">
        <w:t>=</w:t>
      </w:r>
      <w:r w:rsidRPr="00301DDB">
        <w:tab/>
      </w:r>
      <w:r w:rsidRPr="00301DDB">
        <w:tab/>
        <w:t>number of samples in carbon estimation area (i) for reporting</w:t>
      </w:r>
      <w:r w:rsidRPr="00301DDB">
        <w:tab/>
      </w:r>
      <w:r w:rsidRPr="00301DDB">
        <w:tab/>
      </w:r>
      <w:r w:rsidRPr="00301DDB">
        <w:tab/>
        <w:t>period (r).</w:t>
      </w:r>
    </w:p>
    <w:p w:rsidR="00301DDB" w:rsidRPr="00301DDB" w:rsidRDefault="00301DDB" w:rsidP="00301DDB">
      <w:pPr>
        <w:keepLines/>
        <w:tabs>
          <w:tab w:val="right" w:pos="794"/>
        </w:tabs>
        <w:spacing w:before="80" w:after="100" w:line="260" w:lineRule="exact"/>
        <w:ind w:left="964" w:hanging="964"/>
        <w:jc w:val="both"/>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 xml:space="preserve">Step 9.2.—Determination of Targeted Precision </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In order to determine whether the survey has achieved Targeted Precision, the following formula must be used:</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TP</m:t>
                    </m:r>
                  </m:e>
                  <m:sub>
                    <m:r>
                      <m:rPr>
                        <m:sty m:val="p"/>
                      </m:rPr>
                      <w:rPr>
                        <w:rFonts w:ascii="Cambria Math" w:hAnsi="Cambria Math"/>
                      </w:rPr>
                      <m:t>survey,i,r</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SE</m:t>
                        </m:r>
                      </m:e>
                      <m:sub>
                        <m:r>
                          <m:rPr>
                            <m:sty m:val="p"/>
                          </m:rPr>
                          <w:rPr>
                            <w:rFonts w:ascii="Cambria Math" w:hAnsi="Cambria Math"/>
                          </w:rPr>
                          <m:t>survey,i,r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val</m:t>
                        </m:r>
                      </m:sub>
                    </m:sSub>
                  </m:num>
                  <m:den>
                    <m:sSub>
                      <m:sSubPr>
                        <m:ctrlPr>
                          <w:rPr>
                            <w:rFonts w:ascii="Cambria Math" w:hAnsi="Cambria Math"/>
                          </w:rPr>
                        </m:ctrlPr>
                      </m:sSubPr>
                      <m:e>
                        <m:bar>
                          <m:barPr>
                            <m:pos m:val="top"/>
                            <m:ctrlPr>
                              <w:rPr>
                                <w:rFonts w:ascii="Cambria Math" w:hAnsi="Cambria Math"/>
                              </w:rPr>
                            </m:ctrlPr>
                          </m:barPr>
                          <m:e>
                            <m:r>
                              <m:rPr>
                                <m:sty m:val="p"/>
                              </m:rPr>
                              <w:rPr>
                                <w:rFonts w:ascii="Cambria Math" w:hAnsi="Cambria Math"/>
                              </w:rPr>
                              <m:t>X</m:t>
                            </m:r>
                          </m:e>
                        </m:bar>
                      </m:e>
                      <m:sub>
                        <m:r>
                          <m:rPr>
                            <m:sty m:val="p"/>
                          </m:rPr>
                          <w:rPr>
                            <w:rFonts w:ascii="Cambria Math" w:hAnsi="Cambria Math"/>
                          </w:rPr>
                          <m:t>i,r</m:t>
                        </m:r>
                      </m:sub>
                    </m:sSub>
                  </m:den>
                </m:f>
              </m:oMath>
            </m:oMathPara>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rPr>
            </w:pPr>
            <w:r w:rsidRPr="00301DDB">
              <w:rPr>
                <w:b/>
              </w:rPr>
              <w:t>Equation 11</w:t>
            </w:r>
          </w:p>
        </w:tc>
      </w:tr>
    </w:tbl>
    <w:p w:rsidR="00301DDB" w:rsidRPr="00301DDB" w:rsidRDefault="00301DDB" w:rsidP="00301DDB">
      <w:pPr>
        <w:keepLines/>
        <w:tabs>
          <w:tab w:val="right" w:pos="794"/>
        </w:tabs>
        <w:spacing w:before="80" w:after="100" w:line="260" w:lineRule="exact"/>
        <w:ind w:left="964" w:hanging="964"/>
        <w:jc w:val="both"/>
      </w:pPr>
      <w:r w:rsidRPr="00301DDB">
        <w:t xml:space="preserve"> </w:t>
      </w: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TP</w:t>
      </w:r>
      <w:r w:rsidRPr="00301DDB">
        <w:rPr>
          <w:vertAlign w:val="subscript"/>
        </w:rPr>
        <w:t xml:space="preserve">survey, i </w:t>
      </w:r>
      <w:r w:rsidRPr="00301DDB">
        <w:t>=</w:t>
      </w:r>
      <w:r w:rsidRPr="00301DDB">
        <w:tab/>
        <w:t>Targeted Precision error limit of the primary biomass survey</w:t>
      </w:r>
      <w:r w:rsidRPr="00301DDB">
        <w:tab/>
      </w:r>
      <w:r w:rsidRPr="00301DDB">
        <w:tab/>
      </w:r>
      <w:r w:rsidRPr="00301DDB">
        <w:tab/>
        <w:t>for a carbon estimation area (i) for reporting period (r).</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SE</w:t>
      </w:r>
      <w:r w:rsidRPr="00301DDB">
        <w:rPr>
          <w:vertAlign w:val="subscript"/>
        </w:rPr>
        <w:t xml:space="preserve">survey, i </w:t>
      </w:r>
      <w:r w:rsidRPr="00301DDB">
        <w:t>=</w:t>
      </w:r>
      <w:r w:rsidRPr="00301DDB">
        <w:tab/>
        <w:t>standard error of the biomass survey in carbon estimation area</w:t>
      </w:r>
      <w:r w:rsidRPr="00301DDB">
        <w:tab/>
      </w:r>
      <w:r w:rsidRPr="00301DDB">
        <w:tab/>
      </w:r>
      <w:r w:rsidRPr="00301DDB">
        <w:tab/>
        <w:t>(i) for reporting period (r).</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w:t>
      </w:r>
      <w:r w:rsidRPr="00301DDB">
        <w:rPr>
          <w:vertAlign w:val="subscript"/>
        </w:rPr>
        <w:t xml:space="preserve">val </w:t>
      </w:r>
      <w:r w:rsidRPr="00301DDB">
        <w:t>=</w:t>
      </w:r>
      <w:r w:rsidRPr="00301DDB">
        <w:tab/>
      </w:r>
      <w:r w:rsidRPr="00301DDB">
        <w:tab/>
        <w:t>two-sided students t-value, at the degree of freedom equal to</w:t>
      </w:r>
      <w:r w:rsidRPr="00301DDB">
        <w:tab/>
      </w:r>
      <w:r w:rsidRPr="00301DDB">
        <w:tab/>
      </w:r>
      <w:r w:rsidRPr="00301DDB">
        <w:tab/>
        <w:t>(n-1) where (n) is the number of plots established in the</w:t>
      </w:r>
      <w:r w:rsidRPr="00301DDB">
        <w:tab/>
      </w:r>
      <w:r w:rsidRPr="00301DDB">
        <w:tab/>
      </w:r>
      <w:r w:rsidRPr="00301DDB">
        <w:tab/>
      </w:r>
      <w:r w:rsidRPr="00301DDB">
        <w:tab/>
        <w:t>biomass survey in each carbon estimation area, for a 90%</w:t>
      </w:r>
      <w:r w:rsidRPr="00301DDB">
        <w:tab/>
      </w:r>
      <w:r w:rsidRPr="00301DDB">
        <w:tab/>
      </w:r>
      <w:r w:rsidRPr="00301DDB">
        <w:tab/>
      </w:r>
      <w:r w:rsidRPr="00301DDB">
        <w:tab/>
        <w:t>confidence level.</w:t>
      </w:r>
      <w:r w:rsidRPr="00301DDB">
        <w:tab/>
      </w:r>
      <w:r w:rsidRPr="00301DDB">
        <w:tab/>
      </w: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r>
      <m:oMath>
        <m:bar>
          <m:barPr>
            <m:pos m:val="top"/>
            <m:ctrlPr>
              <w:rPr>
                <w:rFonts w:ascii="Cambria Math" w:hAnsi="Cambria Math"/>
              </w:rPr>
            </m:ctrlPr>
          </m:barPr>
          <m:e>
            <m:r>
              <m:rPr>
                <m:sty m:val="p"/>
              </m:rPr>
              <w:rPr>
                <w:rFonts w:ascii="Cambria Math" w:hAnsi="Cambria Math"/>
              </w:rPr>
              <m:t>X</m:t>
            </m:r>
          </m:e>
        </m:bar>
      </m:oMath>
      <w:r w:rsidRPr="00301DDB">
        <w:t xml:space="preserve"> =</w:t>
      </w:r>
      <w:r w:rsidRPr="00301DDB">
        <w:tab/>
      </w:r>
      <w:r w:rsidRPr="00301DDB">
        <w:tab/>
        <w:t>sample mean from biomass survey data in carbon estimation</w:t>
      </w:r>
      <w:r w:rsidRPr="00301DDB">
        <w:tab/>
      </w:r>
      <w:r w:rsidRPr="00301DDB">
        <w:tab/>
      </w:r>
      <w:r w:rsidRPr="00301DDB">
        <w:tab/>
        <w:t>area (i) for the reporting period (r) (tonnes of biomass).</w:t>
      </w:r>
    </w:p>
    <w:p w:rsidR="00301DDB" w:rsidRPr="00301DDB" w:rsidRDefault="00301DDB" w:rsidP="00301DDB">
      <w:pPr>
        <w:keepLines/>
        <w:tabs>
          <w:tab w:val="right" w:pos="794"/>
        </w:tabs>
        <w:spacing w:before="80" w:after="100" w:line="260" w:lineRule="exact"/>
        <w:ind w:left="964" w:hanging="964"/>
        <w:jc w:val="both"/>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Lines/>
        <w:tabs>
          <w:tab w:val="right" w:pos="794"/>
        </w:tabs>
        <w:spacing w:before="80" w:after="100" w:line="260" w:lineRule="exact"/>
        <w:ind w:left="964" w:hanging="964"/>
        <w:jc w:val="both"/>
        <w:rPr>
          <w:rFonts w:eastAsia="MS Gothic"/>
        </w:rPr>
      </w:pPr>
      <w:r w:rsidRPr="00301DDB">
        <w:rPr>
          <w:rFonts w:eastAsia="MS Gothic"/>
        </w:rPr>
        <w:tab/>
        <w:t>(4)</w:t>
      </w:r>
      <w:r w:rsidRPr="00301DDB">
        <w:rPr>
          <w:rFonts w:eastAsia="MS Gothic"/>
        </w:rPr>
        <w:tab/>
        <w:t>The 90% confidence level must be used when determining the t-value.</w:t>
      </w:r>
    </w:p>
    <w:p w:rsidR="00301DDB" w:rsidRPr="00301DDB" w:rsidRDefault="00301DDB" w:rsidP="00301DDB">
      <w:pPr>
        <w:keepLines/>
        <w:tabs>
          <w:tab w:val="right" w:pos="794"/>
        </w:tabs>
        <w:spacing w:before="80" w:after="100" w:line="260" w:lineRule="exact"/>
        <w:ind w:left="964" w:hanging="964"/>
        <w:jc w:val="both"/>
        <w:rPr>
          <w:rFonts w:eastAsia="MS Gothic"/>
        </w:rPr>
      </w:pPr>
      <w:r w:rsidRPr="00301DDB">
        <w:rPr>
          <w:rFonts w:eastAsia="MS Gothic"/>
        </w:rPr>
        <w:tab/>
        <w:t>(5)</w:t>
      </w:r>
      <w:r w:rsidRPr="00301DDB">
        <w:rPr>
          <w:rFonts w:eastAsia="MS Gothic"/>
        </w:rPr>
        <w:tab/>
        <w:t>The</w:t>
      </w:r>
      <w:r w:rsidRPr="00301DDB">
        <w:t xml:space="preserve"> final value of TP</w:t>
      </w:r>
      <w:r w:rsidRPr="00301DDB">
        <w:rPr>
          <w:vertAlign w:val="subscript"/>
        </w:rPr>
        <w:t>survey,i</w:t>
      </w:r>
      <w:r w:rsidRPr="00301DDB">
        <w:t xml:space="preserve"> must be less than or equal to </w:t>
      </w:r>
      <w:r w:rsidRPr="00301DDB">
        <w:rPr>
          <w:rFonts w:eastAsia="MS Gothic"/>
        </w:rPr>
        <w:t>10%.</w:t>
      </w:r>
    </w:p>
    <w:p w:rsidR="00301DDB" w:rsidRPr="00301DDB" w:rsidRDefault="00301DDB" w:rsidP="00301DDB">
      <w:pPr>
        <w:keepLines/>
        <w:tabs>
          <w:tab w:val="right" w:pos="794"/>
        </w:tabs>
        <w:spacing w:before="80" w:after="100" w:line="260" w:lineRule="exact"/>
        <w:ind w:left="964" w:hanging="964"/>
        <w:jc w:val="both"/>
      </w:pPr>
      <w:r w:rsidRPr="00301DDB">
        <w:rPr>
          <w:rFonts w:eastAsia="MS Gothic"/>
          <w:color w:val="000000"/>
        </w:rPr>
        <w:tab/>
        <w:t>(6)</w:t>
      </w:r>
      <w:r w:rsidRPr="00301DDB">
        <w:rPr>
          <w:rFonts w:eastAsia="MS Gothic"/>
          <w:color w:val="000000"/>
        </w:rPr>
        <w:tab/>
        <w:t xml:space="preserve">If </w:t>
      </w:r>
      <w:r w:rsidRPr="00301DDB">
        <w:t>TP</w:t>
      </w:r>
      <w:r w:rsidRPr="00301DDB">
        <w:rPr>
          <w:vertAlign w:val="subscript"/>
        </w:rPr>
        <w:t>survey,i</w:t>
      </w:r>
      <w:r w:rsidRPr="00301DDB">
        <w:rPr>
          <w:i/>
        </w:rPr>
        <w:t xml:space="preserve"> </w:t>
      </w:r>
      <w:r w:rsidRPr="00301DDB">
        <w:t>is greater than 10%, additional plots must be surveyed consistently with the requirements of this Subdivision until the Targeted Precision is less than or equal to 10%.</w:t>
      </w:r>
    </w:p>
    <w:p w:rsidR="00301DDB" w:rsidRPr="00301DDB" w:rsidRDefault="00301DDB" w:rsidP="00301DDB">
      <w:pPr>
        <w:keepNext/>
        <w:keepLines/>
        <w:spacing w:before="360" w:after="60"/>
        <w:ind w:left="2410" w:hanging="2410"/>
        <w:jc w:val="both"/>
        <w:outlineLvl w:val="3"/>
        <w:rPr>
          <w:rFonts w:ascii="Arial" w:hAnsi="Arial"/>
          <w:b/>
          <w:bCs/>
          <w:sz w:val="28"/>
          <w:szCs w:val="28"/>
        </w:rPr>
      </w:pPr>
      <w:bookmarkStart w:id="61" w:name="_Toc358907450"/>
      <w:bookmarkEnd w:id="34"/>
      <w:r w:rsidRPr="00301DDB">
        <w:rPr>
          <w:rFonts w:ascii="Arial" w:hAnsi="Arial"/>
          <w:b/>
          <w:bCs/>
          <w:sz w:val="28"/>
          <w:szCs w:val="28"/>
        </w:rPr>
        <w:lastRenderedPageBreak/>
        <w:t>Subdivision 3.4.4</w:t>
      </w:r>
      <w:r w:rsidRPr="00301DDB">
        <w:rPr>
          <w:rFonts w:ascii="Arial" w:hAnsi="Arial"/>
          <w:b/>
          <w:bCs/>
          <w:sz w:val="28"/>
          <w:szCs w:val="28"/>
        </w:rPr>
        <w:tab/>
        <w:t>Calculation of baseline emissions</w:t>
      </w:r>
      <w:bookmarkEnd w:id="61"/>
    </w:p>
    <w:p w:rsidR="00301DDB" w:rsidRPr="00301DDB" w:rsidRDefault="00301DDB" w:rsidP="00301DDB">
      <w:pPr>
        <w:keepNext/>
        <w:keepLines/>
        <w:spacing w:before="360" w:after="60"/>
        <w:ind w:left="964" w:hanging="964"/>
        <w:jc w:val="both"/>
        <w:outlineLvl w:val="4"/>
        <w:rPr>
          <w:rFonts w:ascii="Arial" w:hAnsi="Arial"/>
          <w:b/>
          <w:bCs/>
          <w:iCs/>
          <w:szCs w:val="26"/>
        </w:rPr>
      </w:pPr>
      <w:bookmarkStart w:id="62" w:name="_Toc358907451"/>
      <w:r w:rsidRPr="00301DDB">
        <w:rPr>
          <w:rFonts w:ascii="Arial" w:hAnsi="Arial"/>
          <w:b/>
          <w:bCs/>
          <w:iCs/>
          <w:szCs w:val="26"/>
        </w:rPr>
        <w:t>3.38</w:t>
      </w:r>
      <w:r w:rsidRPr="00301DDB">
        <w:rPr>
          <w:rFonts w:ascii="Arial" w:hAnsi="Arial"/>
          <w:b/>
          <w:bCs/>
          <w:iCs/>
          <w:szCs w:val="26"/>
        </w:rPr>
        <w:tab/>
        <w:t>Calculating baseline emissions</w:t>
      </w:r>
      <w:bookmarkEnd w:id="62"/>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steps outlined in this Subdivision must be followed for the purposes of calculating the baseline emissions in the project area.</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63" w:name="_Toc358907452"/>
      <w:r w:rsidRPr="00301DDB">
        <w:rPr>
          <w:rFonts w:ascii="Arial" w:hAnsi="Arial"/>
          <w:b/>
          <w:bCs/>
          <w:iCs/>
          <w:szCs w:val="26"/>
        </w:rPr>
        <w:t>3.39</w:t>
      </w:r>
      <w:r w:rsidRPr="00301DDB">
        <w:rPr>
          <w:rFonts w:ascii="Arial" w:hAnsi="Arial"/>
          <w:b/>
          <w:bCs/>
          <w:iCs/>
          <w:szCs w:val="26"/>
        </w:rPr>
        <w:tab/>
        <w:t>Baseline relevant carbon pools</w:t>
      </w:r>
      <w:bookmarkEnd w:id="63"/>
    </w:p>
    <w:p w:rsidR="00301DDB" w:rsidRPr="00301DDB" w:rsidRDefault="00301DDB" w:rsidP="00301DDB">
      <w:pPr>
        <w:keepLines/>
        <w:tabs>
          <w:tab w:val="right" w:pos="794"/>
        </w:tabs>
        <w:spacing w:before="80" w:after="100" w:line="260" w:lineRule="exact"/>
        <w:ind w:left="964" w:hanging="964"/>
        <w:jc w:val="both"/>
      </w:pPr>
      <w:r w:rsidRPr="00301DDB">
        <w:tab/>
      </w:r>
      <w:r w:rsidRPr="00301DDB">
        <w:tab/>
        <w:t>For the purposes of this Subdivision, relevant carbon pools are limited to:</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above-ground tree biomass;</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below-ground tree biomass; and</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burning of biomass for the purposes of clearing.</w:t>
      </w:r>
      <w:r w:rsidRPr="00301DDB">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64" w:name="_Toc358907453"/>
      <w:r w:rsidRPr="00301DDB">
        <w:rPr>
          <w:rFonts w:ascii="Arial" w:hAnsi="Arial"/>
          <w:b/>
          <w:bCs/>
          <w:iCs/>
          <w:szCs w:val="26"/>
        </w:rPr>
        <w:t>3.40</w:t>
      </w:r>
      <w:r w:rsidRPr="00301DDB">
        <w:rPr>
          <w:rFonts w:ascii="Arial" w:hAnsi="Arial"/>
          <w:b/>
          <w:bCs/>
          <w:iCs/>
          <w:szCs w:val="26"/>
        </w:rPr>
        <w:tab/>
        <w:t>Step 1—Surveying requirements</w:t>
      </w:r>
      <w:bookmarkEnd w:id="64"/>
    </w:p>
    <w:p w:rsidR="00301DDB" w:rsidRPr="00301DDB" w:rsidRDefault="00301DDB" w:rsidP="00301DDB">
      <w:pPr>
        <w:keepLines/>
        <w:tabs>
          <w:tab w:val="right" w:pos="794"/>
        </w:tabs>
        <w:spacing w:before="80" w:after="100" w:line="260" w:lineRule="exact"/>
        <w:ind w:left="964" w:hanging="964"/>
        <w:jc w:val="both"/>
      </w:pPr>
      <w:r w:rsidRPr="00301DDB">
        <w:tab/>
      </w:r>
      <w:r w:rsidRPr="00301DDB">
        <w:tab/>
        <w:t>A biomass survey must be conducted in accordance with Subdivision 3.5.3.</w:t>
      </w:r>
    </w:p>
    <w:p w:rsidR="00301DDB" w:rsidRPr="00301DDB" w:rsidRDefault="00301DDB" w:rsidP="00301DDB">
      <w:pPr>
        <w:keepNext/>
        <w:keepLines/>
        <w:spacing w:before="360" w:after="60"/>
        <w:ind w:left="964" w:hanging="964"/>
        <w:jc w:val="both"/>
        <w:outlineLvl w:val="4"/>
        <w:rPr>
          <w:rFonts w:ascii="Arial" w:hAnsi="Arial"/>
          <w:b/>
          <w:bCs/>
          <w:iCs/>
          <w:szCs w:val="26"/>
          <w:lang w:val="en-US"/>
        </w:rPr>
      </w:pPr>
      <w:bookmarkStart w:id="65" w:name="_Toc358907454"/>
      <w:r w:rsidRPr="00301DDB">
        <w:rPr>
          <w:rFonts w:ascii="Arial" w:hAnsi="Arial"/>
          <w:b/>
          <w:bCs/>
          <w:iCs/>
          <w:szCs w:val="26"/>
          <w:lang w:val="en-US"/>
        </w:rPr>
        <w:t>3.41</w:t>
      </w:r>
      <w:r w:rsidRPr="00301DDB">
        <w:rPr>
          <w:rFonts w:ascii="Arial" w:hAnsi="Arial"/>
          <w:b/>
          <w:bCs/>
          <w:iCs/>
          <w:szCs w:val="26"/>
          <w:lang w:val="en-US"/>
        </w:rPr>
        <w:tab/>
        <w:t>Step 2—Calculating carbon stocks in carbon estimation area</w:t>
      </w:r>
      <w:bookmarkEnd w:id="65"/>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2.1—Determination of mean carbon stocks in each carbon estimation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Following a biomass survey, the mean carbon stock in each carbon estimation area must be calculated using the following formula:</w:t>
      </w:r>
    </w:p>
    <w:tbl>
      <w:tblPr>
        <w:tblStyle w:val="TableGrid"/>
        <w:tblpPr w:leftFromText="180" w:rightFromText="180" w:vertAnchor="text" w:tblpX="964" w:tblpY="1"/>
        <w:tblOverlap w:val="never"/>
        <w:tblW w:w="0" w:type="auto"/>
        <w:tblLook w:val="04A0" w:firstRow="1" w:lastRow="0" w:firstColumn="1" w:lastColumn="0" w:noHBand="0" w:noVBand="1"/>
      </w:tblPr>
      <w:tblGrid>
        <w:gridCol w:w="6090"/>
        <w:gridCol w:w="2188"/>
      </w:tblGrid>
      <w:tr w:rsidR="00301DDB" w:rsidRPr="00301DDB" w:rsidTr="00DB6218">
        <w:trPr>
          <w:trHeight w:val="46"/>
        </w:trPr>
        <w:tc>
          <w:tcPr>
            <w:tcW w:w="6090" w:type="dxa"/>
          </w:tcPr>
          <w:p w:rsidR="00301DDB" w:rsidRPr="00301DDB" w:rsidRDefault="007142EE" w:rsidP="00301DDB">
            <w:pPr>
              <w:keepLines/>
              <w:tabs>
                <w:tab w:val="right" w:pos="794"/>
              </w:tabs>
              <w:spacing w:before="80" w:after="100" w:line="360" w:lineRule="auto"/>
              <w:ind w:left="964" w:hanging="964"/>
              <w:jc w:val="both"/>
            </w:pPr>
            <m:oMath>
              <m:sSub>
                <m:sSubPr>
                  <m:ctrlPr>
                    <w:rPr>
                      <w:rFonts w:ascii="Cambria Math" w:hAnsi="Cambria Math"/>
                      <w:lang w:val="en-US"/>
                    </w:rPr>
                  </m:ctrlPr>
                </m:sSubPr>
                <m:e>
                  <m:r>
                    <m:rPr>
                      <m:sty m:val="p"/>
                    </m:rPr>
                    <w:rPr>
                      <w:rFonts w:ascii="Cambria Math" w:hAnsi="Cambria Math"/>
                      <w:lang w:val="en-US"/>
                    </w:rPr>
                    <m:t xml:space="preserve">            C</m:t>
                  </m:r>
                </m:e>
                <m:sub>
                  <m:r>
                    <m:rPr>
                      <m:sty m:val="p"/>
                    </m:rPr>
                    <w:rPr>
                      <w:rFonts w:ascii="Cambria Math" w:hAnsi="Cambria Math"/>
                      <w:vertAlign w:val="subscript"/>
                      <w:lang w:val="en-US"/>
                    </w:rPr>
                    <m:t>i,r</m:t>
                  </m:r>
                  <m:r>
                    <m:rPr>
                      <m:sty m:val="p"/>
                    </m:rPr>
                    <w:rPr>
                      <w:rFonts w:ascii="Cambria Math" w:hAnsi="Cambria Math"/>
                      <w:lang w:val="en-US"/>
                    </w:rPr>
                    <m:t xml:space="preserve"> </m:t>
                  </m:r>
                </m:sub>
              </m:sSub>
              <m:r>
                <m:rPr>
                  <m:sty m:val="p"/>
                </m:rPr>
                <w:rPr>
                  <w:rFonts w:ascii="Cambria Math" w:hAnsi="Cambria Math"/>
                  <w:lang w:val="en-US"/>
                </w:rPr>
                <m:t>=</m:t>
              </m:r>
              <m:f>
                <m:fPr>
                  <m:ctrlPr>
                    <w:rPr>
                      <w:rFonts w:ascii="Cambria Math" w:hAnsi="Cambria Math"/>
                      <w:lang w:val="en-US"/>
                    </w:rPr>
                  </m:ctrlPr>
                </m:fPr>
                <m:num>
                  <m:d>
                    <m:dPr>
                      <m:ctrlPr>
                        <w:rPr>
                          <w:rFonts w:ascii="Cambria Math" w:hAnsi="Cambria Math"/>
                          <w:lang w:val="en-US"/>
                        </w:rPr>
                      </m:ctrlPr>
                    </m:dPr>
                    <m:e>
                      <m:nary>
                        <m:naryPr>
                          <m:chr m:val="∑"/>
                          <m:limLoc m:val="undOvr"/>
                          <m:ctrlPr>
                            <w:rPr>
                              <w:rFonts w:ascii="Cambria Math" w:hAnsi="Cambria Math"/>
                              <w:lang w:val="en-US"/>
                            </w:rPr>
                          </m:ctrlPr>
                        </m:naryPr>
                        <m:sub>
                          <m:r>
                            <m:rPr>
                              <m:sty m:val="p"/>
                            </m:rPr>
                            <w:rPr>
                              <w:rFonts w:ascii="Cambria Math" w:hAnsi="Cambria Math"/>
                              <w:lang w:val="en-US"/>
                            </w:rPr>
                            <m:t>sp=1</m:t>
                          </m:r>
                        </m:sub>
                        <m:sup>
                          <m:r>
                            <m:rPr>
                              <m:sty m:val="p"/>
                            </m:rPr>
                            <w:rPr>
                              <w:rFonts w:ascii="Cambria Math" w:hAnsi="Cambria Math"/>
                              <w:lang w:val="en-US"/>
                            </w:rPr>
                            <m:t>P</m:t>
                          </m:r>
                        </m:sup>
                        <m:e>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B</m:t>
                                  </m:r>
                                </m:e>
                                <m:sub>
                                  <m:r>
                                    <m:rPr>
                                      <m:sty m:val="p"/>
                                    </m:rPr>
                                    <w:rPr>
                                      <w:rFonts w:ascii="Cambria Math" w:hAnsi="Cambria Math"/>
                                      <w:lang w:val="en-US"/>
                                    </w:rPr>
                                    <m:t>sp,i,r</m:t>
                                  </m:r>
                                </m:sub>
                              </m:sSub>
                            </m:num>
                            <m:den>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sp,i</m:t>
                                  </m:r>
                                </m:sub>
                              </m:sSub>
                            </m:den>
                          </m:f>
                        </m:e>
                      </m:nary>
                    </m:e>
                  </m:d>
                </m:num>
                <m:den>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i,r</m:t>
                      </m:r>
                    </m:sub>
                  </m:sSub>
                </m:den>
              </m:f>
              <m:r>
                <m:rPr>
                  <m:sty m:val="p"/>
                </m:rPr>
                <w:rPr>
                  <w:rFonts w:ascii="Cambria Math" w:hAnsi="Cambria Math"/>
                  <w:lang w:val="en-US"/>
                </w:rPr>
                <m:t>×CF×</m:t>
              </m:r>
              <m:f>
                <m:fPr>
                  <m:ctrlPr>
                    <w:rPr>
                      <w:rFonts w:ascii="Cambria Math" w:hAnsi="Cambria Math"/>
                      <w:lang w:val="en-US"/>
                    </w:rPr>
                  </m:ctrlPr>
                </m:fPr>
                <m:num>
                  <m:r>
                    <m:rPr>
                      <m:sty m:val="p"/>
                    </m:rPr>
                    <w:rPr>
                      <w:rFonts w:ascii="Cambria Math" w:hAnsi="Cambria Math"/>
                      <w:lang w:val="en-US"/>
                    </w:rPr>
                    <m:t>44</m:t>
                  </m:r>
                </m:num>
                <m:den>
                  <m:r>
                    <m:rPr>
                      <m:sty m:val="p"/>
                    </m:rPr>
                    <w:rPr>
                      <w:rFonts w:ascii="Cambria Math" w:hAnsi="Cambria Math"/>
                      <w:lang w:val="en-US"/>
                    </w:rPr>
                    <m:t>12</m:t>
                  </m:r>
                </m:den>
              </m:f>
              <m:r>
                <m:rPr>
                  <m:sty m:val="p"/>
                </m:rPr>
                <w:rPr>
                  <w:rFonts w:ascii="Cambria Math" w:hAnsi="Cambria Math"/>
                  <w:lang w:val="en-US"/>
                </w:rPr>
                <m:t>×(1-</m:t>
              </m:r>
              <m:sSub>
                <m:sSubPr>
                  <m:ctrlPr>
                    <w:rPr>
                      <w:rFonts w:ascii="Cambria Math" w:hAnsi="Cambria Math"/>
                      <w:lang w:val="en-US"/>
                    </w:rPr>
                  </m:ctrlPr>
                </m:sSubPr>
                <m:e>
                  <m:r>
                    <m:rPr>
                      <m:sty m:val="p"/>
                    </m:rPr>
                    <w:rPr>
                      <w:rFonts w:ascii="Cambria Math" w:hAnsi="Cambria Math"/>
                      <w:lang w:val="en-US"/>
                    </w:rPr>
                    <m:t>NPT</m:t>
                  </m:r>
                </m:e>
                <m:sub>
                  <m:r>
                    <m:rPr>
                      <m:sty m:val="p"/>
                    </m:rPr>
                    <w:rPr>
                      <w:rFonts w:ascii="Cambria Math" w:hAnsi="Cambria Math"/>
                      <w:lang w:val="en-US"/>
                    </w:rPr>
                    <m:t>i</m:t>
                  </m:r>
                </m:sub>
              </m:sSub>
              <m:r>
                <m:rPr>
                  <m:sty m:val="p"/>
                </m:rPr>
                <w:rPr>
                  <w:rFonts w:ascii="Cambria Math" w:hAnsi="Cambria Math"/>
                  <w:lang w:val="en-US"/>
                </w:rPr>
                <m:t>)</m:t>
              </m:r>
            </m:oMath>
            <w:r w:rsidR="00301DDB" w:rsidRPr="00301DDB">
              <w:rPr>
                <w:lang w:val="en-US"/>
              </w:rPr>
              <w:t xml:space="preserve"> </w:t>
            </w:r>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rPr>
            </w:pPr>
            <w:r w:rsidRPr="00301DDB">
              <w:rPr>
                <w:b/>
              </w:rPr>
              <w:t>Equation 12</w:t>
            </w:r>
          </w:p>
        </w:tc>
      </w:tr>
    </w:tbl>
    <w:p w:rsidR="00301DDB" w:rsidRPr="00301DDB" w:rsidRDefault="00301DDB" w:rsidP="00301DDB">
      <w:pPr>
        <w:keepLines/>
        <w:tabs>
          <w:tab w:val="right" w:pos="794"/>
        </w:tabs>
        <w:spacing w:before="80" w:after="100" w:line="260" w:lineRule="exact"/>
        <w:ind w:left="964" w:hanging="964"/>
        <w:jc w:val="both"/>
      </w:pPr>
      <w:r w:rsidRPr="00301DDB">
        <w:br/>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w:t>
      </w:r>
      <w:r w:rsidRPr="00301DDB">
        <w:rPr>
          <w:vertAlign w:val="subscript"/>
        </w:rPr>
        <w:t xml:space="preserve">,i,r </w:t>
      </w:r>
      <w:r w:rsidRPr="00301DDB">
        <w:t xml:space="preserve">=  </w:t>
      </w:r>
      <w:r w:rsidRPr="00301DDB">
        <w:tab/>
      </w:r>
      <w:r w:rsidRPr="00301DDB">
        <w:tab/>
        <w:t>mean carbon stock in all pools in carbon estimation</w:t>
      </w:r>
      <w:r w:rsidRPr="00301DDB">
        <w:tab/>
        <w:t>area (i)  for</w:t>
      </w:r>
      <w:r w:rsidRPr="00301DDB">
        <w:tab/>
      </w:r>
      <w:r w:rsidRPr="00301DDB">
        <w:tab/>
      </w:r>
      <w:r w:rsidRPr="00301DDB">
        <w:tab/>
        <w:t>reporting period (r) (tonnes of carbon dioxide equivalent per</w:t>
      </w:r>
      <w:r w:rsidRPr="00301DDB">
        <w:tab/>
      </w:r>
      <w:r w:rsidRPr="00301DDB">
        <w:tab/>
      </w:r>
      <w:r w:rsidRPr="00301DDB">
        <w:tab/>
        <w:t>hectare).</w:t>
      </w:r>
    </w:p>
    <w:p w:rsidR="00301DDB" w:rsidRPr="00301DDB" w:rsidRDefault="00301DDB" w:rsidP="00301DDB">
      <w:pPr>
        <w:keepLines/>
        <w:tabs>
          <w:tab w:val="right" w:pos="794"/>
        </w:tabs>
        <w:spacing w:before="80" w:after="100" w:line="260" w:lineRule="exact"/>
        <w:ind w:left="964" w:hanging="964"/>
        <w:jc w:val="both"/>
      </w:pPr>
      <w:r w:rsidRPr="00301DDB">
        <w:rPr>
          <w:vertAlign w:val="superscript"/>
        </w:rPr>
        <w:tab/>
      </w:r>
      <w:r w:rsidRPr="00301DDB">
        <w:rPr>
          <w:vertAlign w:val="superscript"/>
        </w:rPr>
        <w:tab/>
      </w:r>
      <w:r w:rsidRPr="00301DDB">
        <w:rPr>
          <w:vertAlign w:val="superscript"/>
        </w:rPr>
        <w:tab/>
      </w:r>
      <w:r w:rsidRPr="00301DDB">
        <w:t>B</w:t>
      </w:r>
      <w:r w:rsidRPr="00301DDB">
        <w:rPr>
          <w:vertAlign w:val="subscript"/>
        </w:rPr>
        <w:t>sp,i,r</w:t>
      </w:r>
      <w:r w:rsidRPr="00301DDB">
        <w:t xml:space="preserve"> =</w:t>
      </w:r>
      <w:r w:rsidRPr="00301DDB">
        <w:tab/>
      </w:r>
      <w:r w:rsidRPr="00301DDB">
        <w:tab/>
        <w:t>total biomass stock of trees in sample plot (sp) of carbon</w:t>
      </w:r>
      <w:r w:rsidRPr="00301DDB">
        <w:tab/>
      </w:r>
      <w:r w:rsidRPr="00301DDB">
        <w:tab/>
      </w:r>
      <w:r w:rsidRPr="00301DDB">
        <w:tab/>
      </w:r>
      <w:r w:rsidRPr="00301DDB">
        <w:tab/>
        <w:t>estimation area (i) for reporting period (r) (tonnes of dry</w:t>
      </w:r>
      <w:r w:rsidRPr="00301DDB">
        <w:tab/>
      </w:r>
      <w:r w:rsidRPr="00301DDB">
        <w:tab/>
      </w:r>
      <w:r w:rsidRPr="00301DDB">
        <w:tab/>
      </w:r>
      <w:r w:rsidRPr="00301DDB">
        <w:tab/>
        <w:t>matter)</w:t>
      </w:r>
      <w:r w:rsidRPr="00301DDB">
        <w:tab/>
        <w:t xml:space="preserve"> as calculated in section 3.35.</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A</w:t>
      </w:r>
      <w:r w:rsidRPr="00301DDB">
        <w:rPr>
          <w:vertAlign w:val="subscript"/>
        </w:rPr>
        <w:t xml:space="preserve">sp,i </w:t>
      </w:r>
      <w:r w:rsidRPr="00301DDB">
        <w:t>=</w:t>
      </w:r>
      <w:r w:rsidRPr="00301DDB">
        <w:tab/>
      </w:r>
      <w:r w:rsidRPr="00301DDB">
        <w:tab/>
        <w:t>area of sample plot (sp) in carbon estimation area (i) (hectares).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CF =</w:t>
      </w:r>
      <w:r w:rsidRPr="00301DDB">
        <w:tab/>
      </w:r>
      <w:r w:rsidRPr="00301DDB">
        <w:tab/>
        <w:t>0.5, being the fraction of carbon in biomass.</w:t>
      </w:r>
      <w:r w:rsidRPr="00301DDB">
        <w:tab/>
      </w:r>
      <w:r w:rsidRPr="00301DDB">
        <w:tab/>
      </w:r>
    </w:p>
    <w:p w:rsidR="00301DDB" w:rsidRPr="00301DDB" w:rsidRDefault="00301DDB" w:rsidP="00301DDB">
      <w:pPr>
        <w:keepLines/>
        <w:tabs>
          <w:tab w:val="right" w:pos="794"/>
        </w:tabs>
        <w:spacing w:before="80" w:after="100" w:line="260" w:lineRule="exact"/>
        <w:ind w:left="964" w:hanging="964"/>
        <w:jc w:val="both"/>
        <w:rPr>
          <w:vertAlign w:val="superscript"/>
        </w:rPr>
      </w:pPr>
      <w:r w:rsidRPr="00301DDB">
        <w:tab/>
      </w:r>
      <w:r w:rsidRPr="00301DDB">
        <w:tab/>
      </w:r>
      <w:r w:rsidRPr="00301DDB">
        <w:tab/>
        <w:t>44/12 =</w:t>
      </w:r>
      <w:r w:rsidRPr="00301DDB">
        <w:tab/>
        <w:t>ratio of molecular weight of carbon dioxide</w:t>
      </w:r>
      <w:r w:rsidRPr="00301DDB">
        <w:rPr>
          <w:vertAlign w:val="subscript"/>
        </w:rPr>
        <w:t xml:space="preserve"> </w:t>
      </w:r>
      <w:r w:rsidRPr="00301DDB">
        <w:t>to carbon.</w:t>
      </w:r>
    </w:p>
    <w:p w:rsidR="00301DDB" w:rsidRPr="00301DDB" w:rsidRDefault="00301DDB" w:rsidP="00301DDB">
      <w:pPr>
        <w:keepLines/>
        <w:tabs>
          <w:tab w:val="right" w:pos="794"/>
        </w:tabs>
        <w:spacing w:before="80" w:after="100" w:line="260" w:lineRule="exact"/>
        <w:ind w:left="964" w:hanging="964"/>
        <w:jc w:val="both"/>
      </w:pPr>
      <w:r w:rsidRPr="00301DDB">
        <w:rPr>
          <w:vertAlign w:val="superscript"/>
        </w:rPr>
        <w:tab/>
      </w:r>
      <w:r w:rsidRPr="00301DDB">
        <w:rPr>
          <w:vertAlign w:val="superscript"/>
        </w:rPr>
        <w:tab/>
      </w:r>
      <w:r w:rsidRPr="00301DDB">
        <w:rPr>
          <w:vertAlign w:val="superscript"/>
        </w:rPr>
        <w:tab/>
      </w:r>
      <w:r w:rsidRPr="00301DDB">
        <w:t>NPT</w:t>
      </w:r>
      <w:r w:rsidRPr="00301DDB">
        <w:rPr>
          <w:vertAlign w:val="subscript"/>
        </w:rPr>
        <w:t xml:space="preserve">i </w:t>
      </w:r>
      <w:r w:rsidRPr="00301DDB">
        <w:t>=</w:t>
      </w:r>
      <w:r w:rsidRPr="00301DDB">
        <w:tab/>
      </w:r>
      <w:r w:rsidRPr="00301DDB">
        <w:tab/>
        <w:t>buffer representing the proportion of non-project tree biomass</w:t>
      </w:r>
      <w:r w:rsidRPr="00301DDB">
        <w:tab/>
      </w:r>
      <w:r w:rsidRPr="00301DDB">
        <w:tab/>
      </w:r>
      <w:r w:rsidRPr="00301DDB">
        <w:tab/>
        <w:t>within area of carbon estimation area (i)</w:t>
      </w:r>
      <w:r w:rsidRPr="00301DDB">
        <w:rPr>
          <w:vertAlign w:val="subscript"/>
        </w:rPr>
        <w:t xml:space="preserve"> </w:t>
      </w:r>
      <w:r w:rsidRPr="00301DDB">
        <w:t>as calculated using</w:t>
      </w:r>
      <w:r w:rsidRPr="00301DDB">
        <w:tab/>
      </w:r>
      <w:r w:rsidRPr="00301DDB">
        <w:tab/>
      </w:r>
      <w:r w:rsidRPr="00301DDB">
        <w:tab/>
      </w:r>
      <w:r w:rsidRPr="00301DDB">
        <w:tab/>
        <w:t>Equation 13).</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rPr>
        <w:t>the sp</w:t>
      </w:r>
      <w:r w:rsidRPr="00301DDB">
        <w:rPr>
          <w:vertAlign w:val="superscript"/>
        </w:rPr>
        <w:t>th</w:t>
      </w:r>
      <w:r w:rsidRPr="00301DDB">
        <w:rPr>
          <w:iCs/>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r>
      <w:r w:rsidRPr="00301DDB">
        <w:rPr>
          <w:lang w:val="en-US"/>
        </w:rPr>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r w:rsidRPr="00301DDB">
        <w:tab/>
      </w:r>
    </w:p>
    <w:p w:rsidR="00301DDB" w:rsidRPr="00301DDB" w:rsidRDefault="00301DDB" w:rsidP="00301DDB">
      <w:pPr>
        <w:keepLines/>
        <w:tabs>
          <w:tab w:val="right" w:pos="794"/>
        </w:tabs>
        <w:spacing w:before="80" w:after="100" w:line="260" w:lineRule="exact"/>
        <w:ind w:left="964" w:hanging="964"/>
        <w:jc w:val="both"/>
      </w:pPr>
      <w:r w:rsidRPr="00301DDB">
        <w:lastRenderedPageBreak/>
        <w:tab/>
      </w:r>
      <w:r w:rsidRPr="00301DDB">
        <w:tab/>
      </w:r>
      <w:r w:rsidRPr="00301DDB">
        <w:ta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n</w:t>
      </w:r>
      <w:r w:rsidRPr="00301DDB">
        <w:rPr>
          <w:vertAlign w:val="subscript"/>
        </w:rPr>
        <w:t>i,r</w:t>
      </w:r>
      <w:r w:rsidRPr="00301DDB">
        <w:t xml:space="preserve"> =</w:t>
      </w:r>
      <w:r w:rsidRPr="00301DDB">
        <w:tab/>
      </w:r>
      <w:r w:rsidRPr="00301DDB">
        <w:tab/>
        <w:t>number of sample plots measured in carbon estimation area (i)</w:t>
      </w:r>
      <w:r w:rsidRPr="00301DDB">
        <w:tab/>
      </w:r>
      <w:r w:rsidRPr="00301DDB">
        <w:tab/>
      </w:r>
      <w:r w:rsidRPr="00301DDB">
        <w:tab/>
        <w:t>for reporting period (r).</w:t>
      </w:r>
    </w:p>
    <w:p w:rsidR="00301DDB" w:rsidRPr="00301DDB" w:rsidRDefault="00301DDB" w:rsidP="00301DDB">
      <w:pPr>
        <w:keepLines/>
        <w:tabs>
          <w:tab w:val="right" w:pos="1531"/>
        </w:tabs>
        <w:spacing w:after="100" w:line="220" w:lineRule="exact"/>
        <w:ind w:left="1701" w:hanging="1701"/>
        <w:jc w:val="both"/>
        <w:rPr>
          <w:sz w:val="20"/>
          <w:lang w:val="en-US"/>
        </w:rPr>
      </w:pPr>
      <w:r w:rsidRPr="00301DDB">
        <w:rPr>
          <w:sz w:val="20"/>
          <w:lang w:val="en-US"/>
        </w:rPr>
        <w:tab/>
      </w:r>
      <w:r w:rsidRPr="00301DDB">
        <w:rPr>
          <w:b/>
          <w:i/>
          <w:sz w:val="20"/>
          <w:lang w:val="en-US"/>
        </w:rPr>
        <w:t>Note</w:t>
      </w:r>
      <w:r w:rsidRPr="00301DDB">
        <w:rPr>
          <w:sz w:val="20"/>
          <w:lang w:val="en-US"/>
        </w:rPr>
        <w:tab/>
        <w:t>Equation 12 is also used to calculate the mean carbon stocks in carbon estimation areas for each reporting period in which a biomass survey is undertaken.</w:t>
      </w:r>
    </w:p>
    <w:p w:rsidR="00301DDB" w:rsidRPr="00301DDB" w:rsidRDefault="00301DDB" w:rsidP="00301DDB">
      <w:pPr>
        <w:keepNext/>
        <w:spacing w:before="120"/>
        <w:ind w:left="964"/>
        <w:jc w:val="both"/>
        <w:rPr>
          <w:rFonts w:ascii="Arial" w:hAnsi="Arial"/>
          <w:i/>
        </w:rPr>
      </w:pPr>
      <w:r w:rsidRPr="00301DDB">
        <w:rPr>
          <w:rFonts w:ascii="Arial" w:hAnsi="Arial"/>
          <w:i/>
        </w:rPr>
        <w:t>Step 2.2—Non-project tree buffer</w:t>
      </w:r>
      <w:r w:rsidRPr="00301DDB">
        <w:rPr>
          <w:rFonts w:ascii="Arial" w:hAnsi="Arial"/>
          <w:i/>
        </w:rPr>
        <w:tab/>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If the deforestation plan provides that certain trees in the project area must not be cleared, the following formula must be used to compute the constant, non</w:t>
      </w:r>
      <w:r w:rsidRPr="00301DDB">
        <w:noBreakHyphen/>
        <w:t>project tree buffer for each carbon estimation area using data collected in the first reporting period:</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tcPr>
          <w:p w:rsidR="00301DDB" w:rsidRPr="00301DDB" w:rsidRDefault="007142EE" w:rsidP="00301DDB">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NPT</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sp=1</m:t>
                        </m:r>
                      </m:sub>
                      <m:sup>
                        <m:r>
                          <m:rPr>
                            <m:sty m:val="p"/>
                          </m:rPr>
                          <w:rPr>
                            <w:rFonts w:ascii="Cambria Math" w:hAnsi="Cambria Math"/>
                          </w:rPr>
                          <m:t>SP</m:t>
                        </m:r>
                      </m:sup>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NPT,sp,i,r</m:t>
                            </m:r>
                          </m:sub>
                        </m:sSub>
                      </m:e>
                    </m:nary>
                  </m:num>
                  <m:den>
                    <m:nary>
                      <m:naryPr>
                        <m:chr m:val="∑"/>
                        <m:limLoc m:val="undOvr"/>
                        <m:ctrlPr>
                          <w:rPr>
                            <w:rFonts w:ascii="Cambria Math" w:hAnsi="Cambria Math"/>
                          </w:rPr>
                        </m:ctrlPr>
                      </m:naryPr>
                      <m:sub>
                        <m:r>
                          <m:rPr>
                            <m:sty m:val="p"/>
                          </m:rPr>
                          <w:rPr>
                            <w:rFonts w:ascii="Cambria Math" w:hAnsi="Cambria Math"/>
                          </w:rPr>
                          <m:t>sp=1</m:t>
                        </m:r>
                      </m:sub>
                      <m:sup>
                        <m:r>
                          <m:rPr>
                            <m:sty m:val="p"/>
                          </m:rPr>
                          <w:rPr>
                            <w:rFonts w:ascii="Cambria Math" w:hAnsi="Cambria Math"/>
                          </w:rPr>
                          <m:t>SP</m:t>
                        </m:r>
                      </m:sup>
                      <m:e>
                        <m:sSub>
                          <m:sSubPr>
                            <m:ctrlPr>
                              <w:rPr>
                                <w:rFonts w:ascii="Cambria Math" w:hAnsi="Cambria Math"/>
                              </w:rPr>
                            </m:ctrlPr>
                          </m:sSubPr>
                          <m:e>
                            <m:r>
                              <m:rPr>
                                <m:sty m:val="p"/>
                              </m:rPr>
                              <w:rPr>
                                <w:rFonts w:ascii="Cambria Math" w:hAnsi="Cambria Math"/>
                              </w:rPr>
                              <m:t>B</m:t>
                            </m:r>
                          </m:e>
                          <m:sub>
                            <m:r>
                              <m:rPr>
                                <m:sty m:val="p"/>
                              </m:rPr>
                              <w:rPr>
                                <w:rFonts w:ascii="Cambria Math" w:hAnsi="Cambria Math"/>
                              </w:rPr>
                              <m:t>sp,i,r</m:t>
                            </m:r>
                          </m:sub>
                        </m:sSub>
                      </m:e>
                    </m:nary>
                  </m:den>
                </m:f>
              </m:oMath>
            </m:oMathPara>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rPr>
            </w:pPr>
            <w:r w:rsidRPr="00301DDB">
              <w:rPr>
                <w:b/>
              </w:rPr>
              <w:t>Equation 13</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t>NPT</w:t>
      </w:r>
      <w:r w:rsidRPr="00301DDB">
        <w:rPr>
          <w:vertAlign w:val="subscript"/>
        </w:rPr>
        <w:t xml:space="preserve">i </w:t>
      </w:r>
      <w:r w:rsidRPr="00301DDB">
        <w:t>=</w:t>
      </w:r>
      <w:r w:rsidRPr="00301DDB">
        <w:tab/>
      </w:r>
      <w:r w:rsidRPr="00301DDB">
        <w:tab/>
        <w:t>buffer representing the</w:t>
      </w:r>
      <w:r w:rsidRPr="00301DDB">
        <w:rPr>
          <w:lang w:val="en-US"/>
        </w:rPr>
        <w:t xml:space="preserve"> proportion of non-project tree biomass</w:t>
      </w:r>
      <w:r w:rsidRPr="00301DDB">
        <w:rPr>
          <w:lang w:val="en-US"/>
        </w:rPr>
        <w:tab/>
      </w:r>
      <w:r w:rsidRPr="00301DDB">
        <w:rPr>
          <w:lang w:val="en-US"/>
        </w:rPr>
        <w:tab/>
      </w:r>
      <w:r w:rsidRPr="00301DDB">
        <w:rPr>
          <w:lang w:val="en-US"/>
        </w:rPr>
        <w:tab/>
        <w:t>within area of carbon estimation area (i) in the first reporting</w:t>
      </w:r>
      <w:r w:rsidRPr="00301DDB">
        <w:rPr>
          <w:lang w:val="en-US"/>
        </w:rPr>
        <w:tab/>
      </w:r>
      <w:r w:rsidRPr="00301DDB">
        <w:rPr>
          <w:lang w:val="en-US"/>
        </w:rPr>
        <w:tab/>
      </w:r>
      <w:r w:rsidRPr="00301DDB">
        <w:rPr>
          <w:lang w:val="en-US"/>
        </w:rPr>
        <w:tab/>
        <w:t>period (r=1) estimated from in-field measurements as provided</w:t>
      </w:r>
      <w:r w:rsidRPr="00301DDB">
        <w:rPr>
          <w:lang w:val="en-US"/>
        </w:rPr>
        <w:tab/>
      </w:r>
      <w:r w:rsidRPr="00301DDB">
        <w:rPr>
          <w:lang w:val="en-US"/>
        </w:rPr>
        <w:tab/>
      </w:r>
      <w:r w:rsidRPr="00301DDB">
        <w:rPr>
          <w:lang w:val="en-US"/>
        </w:rPr>
        <w:tab/>
        <w:t>by Subdivision 3.4.3 and expressed as a decimal.</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w:t>
      </w:r>
      <w:r w:rsidRPr="00301DDB">
        <w:rPr>
          <w:vertAlign w:val="subscript"/>
          <w:lang w:val="en-US"/>
        </w:rPr>
        <w:t xml:space="preserve">sp,i,r </w:t>
      </w:r>
      <w:r w:rsidRPr="00301DDB">
        <w:rPr>
          <w:lang w:val="en-US"/>
        </w:rPr>
        <w:t>=</w:t>
      </w:r>
      <w:r w:rsidRPr="00301DDB">
        <w:rPr>
          <w:lang w:val="en-US"/>
        </w:rPr>
        <w:tab/>
      </w:r>
      <w:r w:rsidRPr="00301DDB">
        <w:rPr>
          <w:lang w:val="en-US"/>
        </w:rPr>
        <w:tab/>
        <w:t>total biomass stock of trees in sample plot (sp) of carbon</w:t>
      </w:r>
      <w:r w:rsidRPr="00301DDB">
        <w:rPr>
          <w:lang w:val="en-US"/>
        </w:rPr>
        <w:tab/>
      </w:r>
      <w:r w:rsidRPr="00301DDB">
        <w:rPr>
          <w:lang w:val="en-US"/>
        </w:rPr>
        <w:tab/>
      </w:r>
      <w:r w:rsidRPr="00301DDB">
        <w:rPr>
          <w:lang w:val="en-US"/>
        </w:rPr>
        <w:tab/>
      </w:r>
      <w:r w:rsidRPr="00301DDB">
        <w:rPr>
          <w:lang w:val="en-US"/>
        </w:rPr>
        <w:tab/>
        <w:t>estimation area (i) for the first reporting period (r = 1) (tonnes</w:t>
      </w:r>
      <w:r w:rsidRPr="00301DDB">
        <w:rPr>
          <w:lang w:val="en-US"/>
        </w:rPr>
        <w:tab/>
      </w:r>
      <w:r w:rsidRPr="00301DDB">
        <w:rPr>
          <w:lang w:val="en-US"/>
        </w:rPr>
        <w:tab/>
      </w:r>
      <w:r w:rsidRPr="00301DDB">
        <w:rPr>
          <w:lang w:val="en-US"/>
        </w:rPr>
        <w:tab/>
        <w:t>of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w:t>
      </w:r>
      <w:r w:rsidRPr="00301DDB">
        <w:rPr>
          <w:vertAlign w:val="subscript"/>
          <w:lang w:val="en-US"/>
        </w:rPr>
        <w:t>NPT,sp,i,r</w:t>
      </w:r>
      <w:r w:rsidRPr="00301DDB">
        <w:rPr>
          <w:lang w:val="en-US"/>
        </w:rPr>
        <w:t xml:space="preserve"> =</w:t>
      </w:r>
      <w:r w:rsidRPr="00301DDB">
        <w:rPr>
          <w:lang w:val="en-US"/>
        </w:rPr>
        <w:tab/>
        <w:t>total biomass stock of non-project trees in sample plot (sp) of</w:t>
      </w:r>
      <w:r w:rsidRPr="00301DDB">
        <w:rPr>
          <w:lang w:val="en-US"/>
        </w:rPr>
        <w:tab/>
      </w:r>
      <w:r w:rsidRPr="00301DDB">
        <w:rPr>
          <w:lang w:val="en-US"/>
        </w:rPr>
        <w:tab/>
      </w:r>
      <w:r w:rsidRPr="00301DDB">
        <w:rPr>
          <w:lang w:val="en-US"/>
        </w:rPr>
        <w:tab/>
        <w:t>carbon estimation area (i) for the first reporting period (r = 1)</w:t>
      </w:r>
      <w:r w:rsidRPr="00301DDB">
        <w:rPr>
          <w:lang w:val="en-US"/>
        </w:rPr>
        <w:tab/>
      </w:r>
      <w:r w:rsidRPr="00301DDB">
        <w:rPr>
          <w:lang w:val="en-US"/>
        </w:rPr>
        <w:tab/>
      </w:r>
      <w:r w:rsidRPr="00301DDB">
        <w:rPr>
          <w:lang w:val="en-US"/>
        </w:rPr>
        <w:tab/>
        <w:t>(tonnes of biomass) calculated by completing Equation 14.</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rPr>
        <w:t>the sp</w:t>
      </w:r>
      <w:r w:rsidRPr="00301DDB">
        <w:rPr>
          <w:vertAlign w:val="superscript"/>
        </w:rPr>
        <w:t>th</w:t>
      </w:r>
      <w:r w:rsidRPr="00301DDB">
        <w:rPr>
          <w:iCs/>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For the purposes of this Determination the non-project tree buffer is the percentage of biomass within a carbon estimation area not cleared under the deforestation plan.</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If a carbon estimation area is re-stratified following disturbance, the non-project tree buffer of the carbon estimation area after re-stratification is equal to the non-project tree buffer of the carbon estimation area before re-stratification.</w:t>
      </w:r>
    </w:p>
    <w:p w:rsidR="00301DDB" w:rsidRPr="00301DDB" w:rsidRDefault="00301DDB" w:rsidP="00301DDB">
      <w:pPr>
        <w:keepNext/>
        <w:spacing w:before="120"/>
        <w:ind w:left="964"/>
        <w:jc w:val="both"/>
        <w:rPr>
          <w:rFonts w:ascii="Arial" w:hAnsi="Arial"/>
          <w:i/>
        </w:rPr>
      </w:pPr>
      <w:r w:rsidRPr="00301DDB">
        <w:rPr>
          <w:rFonts w:ascii="Arial" w:hAnsi="Arial"/>
          <w:i/>
          <w:lang w:val="en-US"/>
        </w:rPr>
        <w:t>Step 2.3—Total biomass of non-project trees within each plot</w:t>
      </w:r>
      <w:r w:rsidRPr="00301DDB">
        <w:rPr>
          <w:rFonts w:ascii="Arial" w:hAnsi="Arial"/>
          <w:i/>
        </w:rPr>
        <w:tab/>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The total biomass of non-project trees in each plot must be calculated using the following formula:</w:t>
      </w:r>
    </w:p>
    <w:tbl>
      <w:tblPr>
        <w:tblStyle w:val="TableGrid"/>
        <w:tblW w:w="0" w:type="auto"/>
        <w:tblInd w:w="675" w:type="dxa"/>
        <w:tblLook w:val="04A0" w:firstRow="1" w:lastRow="0" w:firstColumn="1" w:lastColumn="0" w:noHBand="0" w:noVBand="1"/>
      </w:tblPr>
      <w:tblGrid>
        <w:gridCol w:w="6379"/>
        <w:gridCol w:w="2188"/>
      </w:tblGrid>
      <w:tr w:rsidR="00301DDB" w:rsidRPr="00301DDB" w:rsidTr="00DB6218">
        <w:tc>
          <w:tcPr>
            <w:tcW w:w="6379" w:type="dxa"/>
          </w:tcPr>
          <w:p w:rsidR="00301DDB" w:rsidRPr="00301DDB" w:rsidRDefault="007142EE" w:rsidP="00301DDB">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NPT,sp, i,r</m:t>
                    </m:r>
                  </m:sub>
                </m:sSub>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NPT,j,sp,i,r</m:t>
                            </m:r>
                          </m:sub>
                        </m:sSub>
                        <m:r>
                          <m:rPr>
                            <m:sty m:val="p"/>
                          </m:rPr>
                          <w:rPr>
                            <w:rFonts w:ascii="Cambria Math" w:hAnsi="Cambria Math"/>
                          </w:rPr>
                          <m:t>+(B</m:t>
                        </m:r>
                      </m:e>
                      <m:sub>
                        <m:r>
                          <m:rPr>
                            <m:sty m:val="p"/>
                          </m:rPr>
                          <w:rPr>
                            <w:rFonts w:ascii="Cambria Math" w:hAnsi="Cambria Math"/>
                          </w:rPr>
                          <m:t>NPT,j,sp,i,r</m:t>
                        </m:r>
                      </m:sub>
                    </m:sSub>
                  </m:e>
                </m:nary>
                <m:r>
                  <m:rPr>
                    <m:sty m:val="p"/>
                  </m:rPr>
                  <w:rPr>
                    <w:rFonts w:ascii="Cambria Math" w:hAnsi="Cambria Math"/>
                  </w:rPr>
                  <m:t>×RSR))</m:t>
                </m:r>
              </m:oMath>
            </m:oMathPara>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rPr>
            </w:pPr>
            <w:r w:rsidRPr="00301DDB">
              <w:rPr>
                <w:b/>
              </w:rPr>
              <w:t>Equation 14</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r w:rsidRPr="00301DDB">
        <w:lastRenderedPageBreak/>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NPT,sp,i,r </w:t>
      </w:r>
      <w:r w:rsidRPr="00301DDB">
        <w:t>=</w:t>
      </w:r>
      <w:r w:rsidRPr="00301DDB">
        <w:tab/>
        <w:t>total biomass of non-project trees in sample plot (sp), in carbon</w:t>
      </w:r>
      <w:r w:rsidRPr="00301DDB">
        <w:tab/>
      </w:r>
      <w:r w:rsidRPr="00301DDB">
        <w:tab/>
      </w:r>
      <w:r w:rsidRPr="00301DDB">
        <w:tab/>
        <w:t>estimation area (i) in the first reporting period (r=1)(tonnes of</w:t>
      </w:r>
      <w:r w:rsidRPr="00301DDB">
        <w:tab/>
      </w:r>
      <w:r w:rsidRPr="00301DDB">
        <w:tab/>
      </w:r>
      <w:r w:rsidRPr="00301DDB">
        <w:tab/>
        <w:t xml:space="preserve">biomass). </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NPT,j,sp,i,r </w:t>
      </w:r>
      <w:r w:rsidRPr="00301DDB">
        <w:t>=</w:t>
      </w:r>
      <w:r w:rsidRPr="00301DDB">
        <w:tab/>
        <w:t>above-ground biomass of trees that may not be cleared under</w:t>
      </w:r>
      <w:r w:rsidRPr="00301DDB">
        <w:tab/>
      </w:r>
      <w:r w:rsidRPr="00301DDB">
        <w:tab/>
      </w:r>
      <w:r w:rsidRPr="00301DDB">
        <w:tab/>
        <w:t>deforestation plan (j) in sample plot (sp) in carbon estimation</w:t>
      </w:r>
      <w:r w:rsidRPr="00301DDB">
        <w:tab/>
      </w:r>
      <w:r w:rsidRPr="00301DDB">
        <w:tab/>
      </w:r>
      <w:r w:rsidRPr="00301DDB">
        <w:tab/>
        <w:t>area (i) in the first reporting period (r=1) (tonnes of biomass</w:t>
      </w:r>
      <w:r w:rsidRPr="00301DDB">
        <w:tab/>
      </w:r>
      <w:r w:rsidRPr="00301DDB">
        <w:tab/>
      </w:r>
      <w:r w:rsidRPr="00301DDB">
        <w:tab/>
        <w:t>per tree).</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t>RSR =</w:t>
      </w:r>
      <w:r w:rsidRPr="00301DDB">
        <w:tab/>
      </w:r>
      <w:r w:rsidRPr="00301DDB">
        <w:tab/>
      </w:r>
      <w:r w:rsidRPr="00301DDB">
        <w:rPr>
          <w:lang w:val="en-US"/>
        </w:rPr>
        <w:t>root:shoot ratio determined in accordance with section 3.28</w:t>
      </w:r>
      <w:r w:rsidRPr="00301DDB">
        <w:rPr>
          <w:lang w:val="en-US"/>
        </w:rPr>
        <w:tab/>
      </w:r>
      <w:r w:rsidRPr="00301DDB">
        <w:rPr>
          <w:lang w:val="en-US"/>
        </w:rPr>
        <w:tab/>
      </w:r>
      <w:r w:rsidRPr="00301DDB">
        <w:rPr>
          <w:lang w:val="en-US"/>
        </w:rPr>
        <w:tab/>
      </w:r>
      <w:r w:rsidRPr="00301DDB">
        <w:rPr>
          <w:lang w:val="en-US"/>
        </w:rPr>
        <w:tab/>
        <w:t>(tonnes of root biomass per tonne of shoot biomass).</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 xml:space="preserve">j = </w:t>
      </w:r>
      <w:r w:rsidRPr="00301DDB">
        <w:rPr>
          <w:lang w:val="en-US"/>
        </w:rPr>
        <w:tab/>
      </w:r>
      <w:r w:rsidRPr="00301DDB">
        <w:rPr>
          <w:lang w:val="en-US"/>
        </w:rPr>
        <w:tab/>
        <w:t>the j</w:t>
      </w:r>
      <w:r w:rsidRPr="00301DDB">
        <w:rPr>
          <w:vertAlign w:val="superscript"/>
          <w:lang w:val="en-US"/>
        </w:rPr>
        <w:t>th</w:t>
      </w:r>
      <w:r w:rsidRPr="00301DDB">
        <w:rPr>
          <w:lang w:val="en-US"/>
        </w:rPr>
        <w:t xml:space="preserve"> tree in sample plot (sp) in carbon estimation area (i) at</w:t>
      </w:r>
      <w:r w:rsidRPr="00301DDB">
        <w:rPr>
          <w:lang w:val="en-US"/>
        </w:rPr>
        <w:tab/>
      </w:r>
      <w:r w:rsidRPr="00301DDB">
        <w:rPr>
          <w:lang w:val="en-US"/>
        </w:rPr>
        <w:tab/>
      </w:r>
      <w:r w:rsidRPr="00301DDB">
        <w:rPr>
          <w:lang w:val="en-US"/>
        </w:rPr>
        <w:tab/>
        <w:t xml:space="preserve">time (t).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rPr>
        <w:t>denotes the sp</w:t>
      </w:r>
      <w:r w:rsidRPr="00301DDB">
        <w:rPr>
          <w:vertAlign w:val="superscript"/>
        </w:rPr>
        <w:t>th</w:t>
      </w:r>
      <w:r w:rsidRPr="00301DDB">
        <w:rPr>
          <w:iCs/>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Next/>
        <w:keepLines/>
        <w:spacing w:before="360" w:after="60"/>
        <w:ind w:left="964" w:hanging="964"/>
        <w:jc w:val="both"/>
        <w:outlineLvl w:val="4"/>
        <w:rPr>
          <w:rFonts w:ascii="Arial" w:hAnsi="Arial"/>
          <w:b/>
          <w:bCs/>
          <w:i/>
          <w:iCs/>
          <w:szCs w:val="26"/>
          <w:lang w:val="en-US"/>
        </w:rPr>
      </w:pPr>
      <w:bookmarkStart w:id="66" w:name="_Toc358907455"/>
      <w:r w:rsidRPr="00301DDB">
        <w:rPr>
          <w:rFonts w:ascii="Arial" w:hAnsi="Arial"/>
          <w:b/>
          <w:bCs/>
          <w:iCs/>
          <w:szCs w:val="26"/>
          <w:lang w:val="en-US"/>
        </w:rPr>
        <w:t>3.42</w:t>
      </w:r>
      <w:r w:rsidRPr="00301DDB">
        <w:rPr>
          <w:rFonts w:ascii="Arial" w:hAnsi="Arial"/>
          <w:b/>
          <w:bCs/>
          <w:iCs/>
          <w:szCs w:val="26"/>
          <w:lang w:val="en-US"/>
        </w:rPr>
        <w:tab/>
        <w:t>Step 3—Calculating carbon stocks in carbon estimation area following clearing</w:t>
      </w:r>
      <w:bookmarkEnd w:id="66"/>
      <w:r w:rsidRPr="00301DDB">
        <w:rPr>
          <w:rFonts w:ascii="Arial" w:hAnsi="Arial"/>
          <w:b/>
          <w:bCs/>
          <w:iCs/>
          <w:szCs w:val="26"/>
          <w:lang w:val="en-US"/>
        </w:rPr>
        <w:t xml:space="preserve"> </w:t>
      </w:r>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The long-term average carbon stocks in each carbon estimation area if clearing had been carried out in accordance with the deforestation plan must be calculated in accordance with this section.</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The long-term average mean carbon stocks in all pools in each carbon estimation if clearing had been carried out in accordance with the deforestation plan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vertAlign w:val="subscript"/>
                        <w:lang w:val="en-US"/>
                      </w:rPr>
                      <m:t>BSL,i,post</m:t>
                    </m:r>
                    <m:r>
                      <m:rPr>
                        <m:sty m:val="p"/>
                      </m:rPr>
                      <w:rPr>
                        <w:rFonts w:ascii="Cambria Math" w:hAnsi="Cambria Math"/>
                        <w:lang w:val="en-US"/>
                      </w:rPr>
                      <m:t xml:space="preserve"> </m:t>
                    </m:r>
                  </m:sub>
                </m:sSub>
                <m:r>
                  <m:rPr>
                    <m:sty m:val="p"/>
                  </m:rPr>
                  <w:rPr>
                    <w:rFonts w:ascii="Cambria Math" w:hAnsi="Cambria Math"/>
                    <w:lang w:val="en-US"/>
                  </w:rPr>
                  <m:t>=</m:t>
                </m:r>
                <m:f>
                  <m:fPr>
                    <m:ctrlPr>
                      <w:rPr>
                        <w:rFonts w:ascii="Cambria Math" w:hAnsi="Cambria Math"/>
                        <w:lang w:val="en-US"/>
                      </w:rPr>
                    </m:ctrlPr>
                  </m:fPr>
                  <m:num>
                    <m:d>
                      <m:dPr>
                        <m:ctrlPr>
                          <w:rPr>
                            <w:rFonts w:ascii="Cambria Math" w:hAnsi="Cambria Math"/>
                            <w:lang w:val="en-US"/>
                          </w:rPr>
                        </m:ctrlPr>
                      </m:dPr>
                      <m:e>
                        <m:nary>
                          <m:naryPr>
                            <m:chr m:val="∑"/>
                            <m:limLoc m:val="undOvr"/>
                            <m:ctrlPr>
                              <w:rPr>
                                <w:rFonts w:ascii="Cambria Math" w:hAnsi="Cambria Math"/>
                                <w:lang w:val="en-US"/>
                              </w:rPr>
                            </m:ctrlPr>
                          </m:naryPr>
                          <m:sub>
                            <m:r>
                              <m:rPr>
                                <m:sty m:val="p"/>
                              </m:rPr>
                              <w:rPr>
                                <w:rFonts w:ascii="Cambria Math" w:hAnsi="Cambria Math"/>
                                <w:lang w:val="en-US"/>
                              </w:rPr>
                              <m:t>sp=1</m:t>
                            </m:r>
                          </m:sub>
                          <m:sup>
                            <m:r>
                              <m:rPr>
                                <m:sty m:val="p"/>
                              </m:rPr>
                              <w:rPr>
                                <w:rFonts w:ascii="Cambria Math" w:hAnsi="Cambria Math"/>
                                <w:lang w:val="en-US"/>
                              </w:rPr>
                              <m:t>P</m:t>
                            </m:r>
                          </m:sup>
                          <m:e>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B</m:t>
                                    </m:r>
                                  </m:e>
                                  <m:sub>
                                    <m:r>
                                      <m:rPr>
                                        <m:sty m:val="p"/>
                                      </m:rPr>
                                      <w:rPr>
                                        <w:rFonts w:ascii="Cambria Math" w:hAnsi="Cambria Math"/>
                                        <w:lang w:val="en-US"/>
                                      </w:rPr>
                                      <m:t>lt,sp,i</m:t>
                                    </m:r>
                                  </m:sub>
                                </m:sSub>
                              </m:num>
                              <m:den>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sp,i</m:t>
                                    </m:r>
                                  </m:sub>
                                </m:sSub>
                              </m:den>
                            </m:f>
                          </m:e>
                        </m:nary>
                      </m:e>
                    </m:d>
                  </m:num>
                  <m:den>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i</m:t>
                        </m:r>
                      </m:sub>
                    </m:sSub>
                  </m:den>
                </m:f>
                <m:r>
                  <m:rPr>
                    <m:sty m:val="p"/>
                  </m:rPr>
                  <w:rPr>
                    <w:rFonts w:ascii="Cambria Math" w:hAnsi="Cambria Math"/>
                    <w:lang w:val="en-US"/>
                  </w:rPr>
                  <m:t xml:space="preserve">×CF× </m:t>
                </m:r>
                <m:f>
                  <m:fPr>
                    <m:ctrlPr>
                      <w:rPr>
                        <w:rFonts w:ascii="Cambria Math" w:hAnsi="Cambria Math"/>
                        <w:lang w:val="en-US"/>
                      </w:rPr>
                    </m:ctrlPr>
                  </m:fPr>
                  <m:num>
                    <m:r>
                      <m:rPr>
                        <m:sty m:val="p"/>
                      </m:rPr>
                      <w:rPr>
                        <w:rFonts w:ascii="Cambria Math" w:hAnsi="Cambria Math"/>
                        <w:lang w:val="en-US"/>
                      </w:rPr>
                      <m:t>44</m:t>
                    </m:r>
                  </m:num>
                  <m:den>
                    <m:r>
                      <m:rPr>
                        <m:sty m:val="p"/>
                      </m:rPr>
                      <w:rPr>
                        <w:rFonts w:ascii="Cambria Math" w:hAnsi="Cambria Math"/>
                        <w:lang w:val="en-US"/>
                      </w:rPr>
                      <m:t>12</m:t>
                    </m:r>
                  </m:den>
                </m:f>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15</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C</w:t>
      </w:r>
      <w:r w:rsidRPr="00301DDB">
        <w:rPr>
          <w:vertAlign w:val="subscript"/>
          <w:lang w:val="en-US"/>
        </w:rPr>
        <w:t xml:space="preserve">BSL,i,post </w:t>
      </w:r>
      <w:r w:rsidRPr="00301DDB">
        <w:rPr>
          <w:lang w:val="en-US"/>
        </w:rPr>
        <w:t>=</w:t>
      </w:r>
      <w:r w:rsidRPr="00301DDB">
        <w:rPr>
          <w:lang w:val="en-US"/>
        </w:rPr>
        <w:tab/>
        <w:t>long term average mean carbon stock in all pools in carbon</w:t>
      </w:r>
      <w:r w:rsidRPr="00301DDB">
        <w:rPr>
          <w:lang w:val="en-US"/>
        </w:rPr>
        <w:tab/>
      </w:r>
      <w:r w:rsidRPr="00301DDB">
        <w:rPr>
          <w:lang w:val="en-US"/>
        </w:rPr>
        <w:tab/>
      </w:r>
      <w:r w:rsidRPr="00301DDB">
        <w:rPr>
          <w:lang w:val="en-US"/>
        </w:rPr>
        <w:tab/>
      </w:r>
      <w:r w:rsidRPr="00301DDB">
        <w:rPr>
          <w:lang w:val="en-US"/>
        </w:rPr>
        <w:tab/>
        <w:t>estimation area (i) following clearing in accordance with the</w:t>
      </w:r>
      <w:r w:rsidRPr="00301DDB">
        <w:rPr>
          <w:lang w:val="en-US"/>
        </w:rPr>
        <w:tab/>
      </w:r>
      <w:r w:rsidRPr="00301DDB">
        <w:rPr>
          <w:lang w:val="en-US"/>
        </w:rPr>
        <w:tab/>
      </w:r>
      <w:r w:rsidRPr="00301DDB">
        <w:rPr>
          <w:lang w:val="en-US"/>
        </w:rPr>
        <w:tab/>
        <w:t>deforestation plan (tonnes of carbon dioxide equivalent per</w:t>
      </w:r>
      <w:r w:rsidRPr="00301DDB">
        <w:rPr>
          <w:lang w:val="en-US"/>
        </w:rPr>
        <w:tab/>
      </w:r>
      <w:r w:rsidRPr="00301DDB">
        <w:rPr>
          <w:lang w:val="en-US"/>
        </w:rPr>
        <w:tab/>
      </w:r>
      <w:r w:rsidRPr="00301DDB">
        <w:rPr>
          <w:lang w:val="en-US"/>
        </w:rPr>
        <w:tab/>
      </w:r>
      <w:r w:rsidRPr="00301DDB">
        <w:rPr>
          <w:lang w:val="en-US"/>
        </w:rPr>
        <w:tab/>
        <w:t>hectare).</w:t>
      </w:r>
    </w:p>
    <w:p w:rsidR="00301DDB" w:rsidRPr="00301DDB" w:rsidRDefault="00301DDB" w:rsidP="00301DDB">
      <w:pPr>
        <w:keepLines/>
        <w:tabs>
          <w:tab w:val="right" w:pos="794"/>
        </w:tabs>
        <w:spacing w:before="80" w:after="100" w:line="260" w:lineRule="exact"/>
        <w:ind w:left="964" w:hanging="964"/>
        <w:jc w:val="both"/>
        <w:rPr>
          <w:vertAlign w:val="superscript"/>
        </w:rPr>
      </w:pPr>
      <w:r w:rsidRPr="00301DDB">
        <w:rPr>
          <w:vertAlign w:val="superscript"/>
        </w:rPr>
        <w:tab/>
      </w:r>
      <w:r w:rsidRPr="00301DDB">
        <w:rPr>
          <w:vertAlign w:val="superscript"/>
        </w:rPr>
        <w:tab/>
      </w:r>
      <w:r w:rsidRPr="00301DDB">
        <w:rPr>
          <w:vertAlign w:val="superscript"/>
        </w:rPr>
        <w:tab/>
      </w:r>
      <w:r w:rsidRPr="00301DDB">
        <w:t>B</w:t>
      </w:r>
      <w:r w:rsidRPr="00301DDB">
        <w:rPr>
          <w:vertAlign w:val="subscript"/>
        </w:rPr>
        <w:t xml:space="preserve">lt,sp,i </w:t>
      </w:r>
      <w:r w:rsidRPr="00301DDB">
        <w:t>=</w:t>
      </w:r>
      <w:r w:rsidRPr="00301DDB">
        <w:tab/>
      </w:r>
      <w:r w:rsidRPr="00301DDB">
        <w:tab/>
        <w:t>long term average biomass stock of trees in sample plot (sp) of</w:t>
      </w:r>
      <w:r w:rsidRPr="00301DDB">
        <w:tab/>
      </w:r>
      <w:r w:rsidRPr="00301DDB">
        <w:tab/>
      </w:r>
      <w:r w:rsidRPr="00301DDB">
        <w:tab/>
        <w:t>carbon estimation area (i) following clearing in accordance</w:t>
      </w:r>
      <w:r w:rsidRPr="00301DDB">
        <w:tab/>
      </w:r>
      <w:r w:rsidRPr="00301DDB">
        <w:tab/>
      </w:r>
      <w:r w:rsidRPr="00301DDB">
        <w:tab/>
      </w:r>
      <w:r w:rsidRPr="00301DDB">
        <w:tab/>
        <w:t>with the  deforestation plan (tonnes of biomass) calculated in</w:t>
      </w:r>
      <w:r w:rsidRPr="00301DDB">
        <w:tab/>
      </w:r>
      <w:r w:rsidRPr="00301DDB">
        <w:tab/>
      </w:r>
      <w:r w:rsidRPr="00301DDB">
        <w:tab/>
        <w:t>accordance with Equation 20.</w:t>
      </w:r>
    </w:p>
    <w:p w:rsidR="00301DDB" w:rsidRPr="00301DDB" w:rsidRDefault="00301DDB" w:rsidP="00301DDB">
      <w:pPr>
        <w:keepLines/>
        <w:tabs>
          <w:tab w:val="right" w:pos="794"/>
        </w:tabs>
        <w:spacing w:before="80" w:after="100" w:line="260" w:lineRule="exact"/>
        <w:ind w:left="964" w:hanging="964"/>
        <w:jc w:val="both"/>
      </w:pPr>
      <w:r w:rsidRPr="00301DDB">
        <w:rPr>
          <w:vertAlign w:val="superscript"/>
        </w:rPr>
        <w:tab/>
      </w:r>
      <w:r w:rsidRPr="00301DDB">
        <w:rPr>
          <w:vertAlign w:val="superscript"/>
        </w:rPr>
        <w:tab/>
      </w:r>
      <w:r w:rsidRPr="00301DDB">
        <w:rPr>
          <w:vertAlign w:val="superscript"/>
        </w:rPr>
        <w:tab/>
      </w:r>
      <w:r w:rsidRPr="00301DDB">
        <w:t>A</w:t>
      </w:r>
      <w:r w:rsidRPr="00301DDB">
        <w:rPr>
          <w:vertAlign w:val="subscript"/>
        </w:rPr>
        <w:t xml:space="preserve">sp,i </w:t>
      </w:r>
      <w:r w:rsidRPr="00301DDB">
        <w:t>=</w:t>
      </w:r>
      <w:r w:rsidRPr="00301DDB">
        <w:tab/>
      </w:r>
      <w:r w:rsidRPr="00301DDB">
        <w:tab/>
        <w:t>area of sample plot (sp) in carbon estimation area (i) (hectares).</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color w:val="000000" w:themeColor="text1"/>
        </w:rPr>
        <w:t>the sp</w:t>
      </w:r>
      <w:r w:rsidRPr="00301DDB">
        <w:rPr>
          <w:color w:val="000000" w:themeColor="text1"/>
          <w:vertAlign w:val="superscript"/>
        </w:rPr>
        <w:t>th</w:t>
      </w:r>
      <w:r w:rsidRPr="00301DDB">
        <w:rPr>
          <w:iCs/>
          <w:color w:val="000000" w:themeColor="text1"/>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pPr>
      <w:r w:rsidRPr="00301DDB">
        <w:lastRenderedPageBreak/>
        <w:tab/>
      </w:r>
      <w:r w:rsidRPr="00301DDB">
        <w:tab/>
      </w:r>
      <w:r w:rsidRPr="00301DDB">
        <w:tab/>
        <w:t>CF =</w:t>
      </w:r>
      <w:r w:rsidRPr="00301DDB">
        <w:tab/>
      </w:r>
      <w:r w:rsidRPr="00301DDB">
        <w:tab/>
        <w:t>fraction of carbon in biomass, set at 0.5 as consistent with the</w:t>
      </w:r>
      <w:r w:rsidRPr="00301DDB">
        <w:tab/>
      </w:r>
      <w:r w:rsidRPr="00301DDB">
        <w:tab/>
      </w:r>
      <w:r w:rsidRPr="00301DDB">
        <w:tab/>
        <w:t>National Inventory System.</w:t>
      </w:r>
    </w:p>
    <w:p w:rsidR="00301DDB" w:rsidRPr="00301DDB" w:rsidRDefault="00301DDB" w:rsidP="00301DDB">
      <w:pPr>
        <w:keepLines/>
        <w:tabs>
          <w:tab w:val="right" w:pos="794"/>
        </w:tabs>
        <w:spacing w:before="80" w:after="100" w:line="260" w:lineRule="exact"/>
        <w:ind w:left="964" w:hanging="964"/>
        <w:jc w:val="both"/>
        <w:rPr>
          <w:vertAlign w:val="superscript"/>
        </w:rPr>
      </w:pPr>
      <w:r w:rsidRPr="00301DDB">
        <w:tab/>
      </w:r>
      <w:r w:rsidRPr="00301DDB">
        <w:tab/>
      </w:r>
      <w:r w:rsidRPr="00301DDB">
        <w:tab/>
        <w:t>44/12 =</w:t>
      </w:r>
      <w:r w:rsidRPr="00301DDB">
        <w:tab/>
        <w:t>ratio of molecular weight of carbon dioxide to carbon</w:t>
      </w:r>
      <w:r w:rsidRPr="00301DDB">
        <w:rPr>
          <w:vertAlign w:val="subscript"/>
        </w:rPr>
        <w:t xml:space="preserve"> </w:t>
      </w:r>
      <w:r w:rsidRPr="00301DDB">
        <w:t>(tonnes</w:t>
      </w:r>
      <w:r w:rsidRPr="00301DDB">
        <w:tab/>
      </w:r>
      <w:r w:rsidRPr="00301DDB">
        <w:tab/>
      </w:r>
      <w:r w:rsidRPr="00301DDB">
        <w:tab/>
        <w:t>of carbon dioxide equivalent per tonnes of carbon).</w:t>
      </w:r>
    </w:p>
    <w:p w:rsidR="00301DDB" w:rsidRPr="00301DDB" w:rsidRDefault="00301DDB" w:rsidP="00301DDB">
      <w:pPr>
        <w:keepLines/>
        <w:tabs>
          <w:tab w:val="right" w:pos="794"/>
        </w:tabs>
        <w:spacing w:before="80" w:after="100" w:line="260" w:lineRule="exact"/>
        <w:ind w:left="964" w:hanging="964"/>
        <w:jc w:val="both"/>
      </w:pPr>
      <w:r w:rsidRPr="00301DDB">
        <w:rPr>
          <w:vertAlign w:val="superscript"/>
        </w:rPr>
        <w:tab/>
      </w:r>
      <w:r w:rsidRPr="00301DDB">
        <w:rPr>
          <w:vertAlign w:val="superscript"/>
        </w:rPr>
        <w:tab/>
      </w:r>
      <w:r w:rsidRPr="00301DDB">
        <w:rPr>
          <w:vertAlign w:val="superscript"/>
        </w:rPr>
        <w:tab/>
      </w:r>
      <w:r w:rsidRPr="00301DDB">
        <w:t>n</w:t>
      </w:r>
      <w:r w:rsidRPr="00301DDB">
        <w:rPr>
          <w:vertAlign w:val="subscript"/>
        </w:rPr>
        <w:t>i</w:t>
      </w:r>
      <w:r w:rsidRPr="00301DDB">
        <w:t xml:space="preserve"> =</w:t>
      </w:r>
      <w:r w:rsidRPr="00301DDB">
        <w:tab/>
      </w:r>
      <w:r w:rsidRPr="00301DDB">
        <w:tab/>
        <w:t>number of sample plots measured in carbon estimation area (i).</w:t>
      </w:r>
    </w:p>
    <w:p w:rsidR="00301DDB" w:rsidRPr="00301DDB" w:rsidRDefault="00301DDB" w:rsidP="00301DDB">
      <w:pPr>
        <w:keepLines/>
        <w:tabs>
          <w:tab w:val="right" w:pos="794"/>
        </w:tabs>
        <w:spacing w:before="80" w:after="100" w:line="260" w:lineRule="exact"/>
        <w:ind w:left="964" w:hanging="964"/>
        <w:jc w:val="both"/>
        <w:rPr>
          <w:b/>
          <w:i/>
        </w:rPr>
      </w:pPr>
    </w:p>
    <w:p w:rsidR="00301DDB" w:rsidRPr="00301DDB" w:rsidRDefault="00301DDB" w:rsidP="00301DDB">
      <w:pPr>
        <w:keepNext/>
        <w:spacing w:before="120"/>
        <w:ind w:left="964"/>
        <w:jc w:val="both"/>
        <w:rPr>
          <w:rFonts w:ascii="Arial" w:hAnsi="Arial"/>
          <w:i/>
        </w:rPr>
      </w:pPr>
      <w:r w:rsidRPr="00301DDB">
        <w:rPr>
          <w:rFonts w:ascii="Arial" w:hAnsi="Arial"/>
          <w:i/>
        </w:rPr>
        <w:t xml:space="preserve">Step 3.1—100 year average of biomass within sample plots following clearing </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Steps 3.1.1 to 3.1.5 must be completed in order to determine the 100 year average biomass stock in the sample plots following clearing in accordance with the deforestation plan.</w:t>
      </w:r>
    </w:p>
    <w:p w:rsidR="00301DDB" w:rsidRPr="00301DDB" w:rsidRDefault="00301DDB" w:rsidP="00301DDB">
      <w:pPr>
        <w:keepNext/>
        <w:spacing w:before="120"/>
        <w:ind w:left="964"/>
        <w:jc w:val="both"/>
        <w:rPr>
          <w:rFonts w:ascii="Arial" w:hAnsi="Arial"/>
          <w:i/>
        </w:rPr>
      </w:pPr>
      <w:r w:rsidRPr="00301DDB">
        <w:rPr>
          <w:rFonts w:ascii="Arial" w:hAnsi="Arial"/>
          <w:i/>
          <w:lang w:val="en-US"/>
        </w:rPr>
        <w:t>Step 3.1.1—Model biomass in debris pool</w:t>
      </w:r>
      <w:r w:rsidRPr="00301DDB">
        <w:rPr>
          <w:rFonts w:ascii="Arial" w:hAnsi="Arial"/>
          <w:i/>
        </w:rPr>
        <w:tab/>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The biomass stock in the debris pool within each plot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ind w:left="964" w:hanging="964"/>
              <w:jc w:val="both"/>
              <w:rPr>
                <w:bCs/>
              </w:rPr>
            </w:pPr>
            <m:oMathPara>
              <m:oMath>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Debris,sp,i</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sp,i,r</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bCs/>
              </w:rPr>
            </w:pPr>
            <w:r w:rsidRPr="00301DDB">
              <w:rPr>
                <w:b/>
                <w:bCs/>
              </w:rPr>
              <w:t>Equation 16</w:t>
            </w:r>
          </w:p>
        </w:tc>
      </w:tr>
    </w:tbl>
    <w:p w:rsidR="00301DDB" w:rsidRPr="00301DDB" w:rsidRDefault="00301DDB" w:rsidP="00301DDB">
      <w:pPr>
        <w:keepNext/>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Next/>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Debris,sp,i </w:t>
      </w:r>
      <w:r w:rsidRPr="00301DDB">
        <w:t>=</w:t>
      </w:r>
      <w:r w:rsidRPr="00301DDB">
        <w:tab/>
        <w:t>biomass in the debris pool following clearing in accordance</w:t>
      </w:r>
      <w:r w:rsidRPr="00301DDB">
        <w:tab/>
      </w:r>
      <w:r w:rsidRPr="00301DDB">
        <w:tab/>
      </w:r>
      <w:r w:rsidRPr="00301DDB">
        <w:tab/>
      </w:r>
      <w:r w:rsidRPr="00301DDB">
        <w:tab/>
        <w:t>with the deforestation plan in sample plot (sp) in carbon</w:t>
      </w:r>
      <w:r w:rsidRPr="00301DDB">
        <w:tab/>
      </w:r>
      <w:r w:rsidRPr="00301DDB">
        <w:tab/>
      </w:r>
      <w:r w:rsidRPr="00301DDB">
        <w:tab/>
      </w:r>
      <w:r w:rsidRPr="00301DDB">
        <w:tab/>
        <w:t>estimation area (i) (tonnes of biomass).</w:t>
      </w:r>
    </w:p>
    <w:p w:rsidR="00301DDB" w:rsidRPr="00301DDB" w:rsidRDefault="00301DDB" w:rsidP="00301DDB">
      <w:pPr>
        <w:keepNext/>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sp,i,r </w:t>
      </w:r>
      <w:r w:rsidRPr="00301DDB">
        <w:t>=</w:t>
      </w:r>
      <w:r w:rsidRPr="00301DDB">
        <w:tab/>
      </w:r>
      <w:r w:rsidRPr="00301DDB">
        <w:tab/>
        <w:t>biomass stock in all pools within plot</w:t>
      </w:r>
      <w:r w:rsidRPr="00301DDB">
        <w:tab/>
        <w:t xml:space="preserve"> (sp) prior to clearing in</w:t>
      </w:r>
      <w:r w:rsidRPr="00301DDB">
        <w:tab/>
      </w:r>
      <w:r w:rsidRPr="00301DDB">
        <w:tab/>
      </w:r>
      <w:r w:rsidRPr="00301DDB">
        <w:tab/>
        <w:t>accordance with the deforestation plan in carbon estimation</w:t>
      </w:r>
      <w:r w:rsidRPr="00301DDB">
        <w:tab/>
      </w:r>
      <w:r w:rsidRPr="00301DDB">
        <w:tab/>
      </w:r>
      <w:r w:rsidRPr="00301DDB">
        <w:tab/>
      </w:r>
      <w:r w:rsidRPr="00301DDB">
        <w:tab/>
        <w:t>area (i) for the first reporting period (r=1) (tonnes of dry</w:t>
      </w:r>
      <w:r w:rsidRPr="00301DDB">
        <w:tab/>
      </w:r>
      <w:r w:rsidRPr="00301DDB">
        <w:tab/>
      </w:r>
      <w:r w:rsidRPr="00301DDB">
        <w:tab/>
      </w:r>
      <w:r w:rsidRPr="00301DDB">
        <w:tab/>
        <w:t xml:space="preserve">matter) as calculated in accordance with Equation 9. </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color w:val="000000" w:themeColor="text1"/>
        </w:rPr>
        <w:t>the sp</w:t>
      </w:r>
      <w:r w:rsidRPr="00301DDB">
        <w:rPr>
          <w:color w:val="000000" w:themeColor="text1"/>
          <w:vertAlign w:val="superscript"/>
        </w:rPr>
        <w:t>th</w:t>
      </w:r>
      <w:r w:rsidRPr="00301DDB">
        <w:rPr>
          <w:iCs/>
          <w:color w:val="000000" w:themeColor="text1"/>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p>
    <w:p w:rsidR="00301DDB" w:rsidRPr="00301DDB" w:rsidRDefault="00301DDB" w:rsidP="00301DDB">
      <w:pPr>
        <w:keepLines/>
        <w:tabs>
          <w:tab w:val="right" w:pos="794"/>
        </w:tabs>
        <w:spacing w:before="240" w:after="100" w:line="260" w:lineRule="exact"/>
        <w:ind w:left="964" w:hanging="964"/>
        <w:jc w:val="both"/>
        <w:rPr>
          <w:lang w:val="en-US"/>
        </w:rPr>
      </w:pPr>
      <w:r w:rsidRPr="00301DDB">
        <w:rPr>
          <w:lang w:val="en-US"/>
        </w:rPr>
        <w:tab/>
      </w:r>
      <w:r w:rsidRPr="00301DDB">
        <w:rPr>
          <w:lang w:val="en-US"/>
        </w:rPr>
        <w:tab/>
      </w:r>
      <w:r w:rsidRPr="00301DDB">
        <w:rPr>
          <w:lang w:val="en-US"/>
        </w:rPr>
        <w:tab/>
        <w:t>r =</w:t>
      </w:r>
      <w:r w:rsidRPr="00301DDB">
        <w:rPr>
          <w:lang w:val="en-US"/>
        </w:rPr>
        <w:tab/>
      </w:r>
      <w:r w:rsidRPr="00301DDB">
        <w:rPr>
          <w:lang w:val="en-US"/>
        </w:rPr>
        <w:tab/>
        <w:t>the r</w:t>
      </w:r>
      <w:r w:rsidRPr="00301DDB">
        <w:rPr>
          <w:vertAlign w:val="superscript"/>
          <w:lang w:val="en-US"/>
        </w:rPr>
        <w:t xml:space="preserve">th </w:t>
      </w:r>
      <w:r w:rsidRPr="00301DDB">
        <w:rPr>
          <w:lang w:val="en-US"/>
        </w:rPr>
        <w:t>reporting period.</w:t>
      </w:r>
    </w:p>
    <w:p w:rsidR="00301DDB" w:rsidRPr="00301DDB" w:rsidRDefault="00301DDB" w:rsidP="00301DDB">
      <w:pPr>
        <w:keepLines/>
        <w:tabs>
          <w:tab w:val="right" w:pos="1531"/>
        </w:tabs>
        <w:spacing w:after="100" w:line="220" w:lineRule="exact"/>
        <w:ind w:left="1701" w:hanging="1701"/>
        <w:jc w:val="both"/>
        <w:rPr>
          <w:sz w:val="20"/>
          <w:lang w:val="en-US"/>
        </w:rPr>
      </w:pP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3.1.2—Partition of biomass into Major Vegetation Group tree components</w:t>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 xml:space="preserve">The biomass of each plot must be partitioned into its Major Vegetation Group tree components in order to determine the impact of treatment and decay on each component of the tree. </w:t>
      </w:r>
    </w:p>
    <w:p w:rsidR="00301DDB" w:rsidRPr="00301DDB" w:rsidRDefault="00301DDB" w:rsidP="00301DDB">
      <w:pPr>
        <w:keepLines/>
        <w:tabs>
          <w:tab w:val="right" w:pos="794"/>
        </w:tabs>
        <w:spacing w:before="80" w:after="100" w:line="260" w:lineRule="exact"/>
        <w:ind w:left="964" w:hanging="964"/>
        <w:jc w:val="both"/>
      </w:pPr>
      <w:r w:rsidRPr="00301DDB">
        <w:tab/>
        <w:t>(6)</w:t>
      </w:r>
      <w:r w:rsidRPr="00301DDB">
        <w:tab/>
        <w:t xml:space="preserve">Biomass partitioning must be performed in accordance with the biomass fractions in Schedule 1. </w:t>
      </w:r>
    </w:p>
    <w:p w:rsidR="00301DDB" w:rsidRPr="00301DDB" w:rsidRDefault="00301DDB" w:rsidP="00301DDB">
      <w:pPr>
        <w:keepLines/>
        <w:tabs>
          <w:tab w:val="right" w:pos="794"/>
        </w:tabs>
        <w:spacing w:before="80" w:after="100" w:line="260" w:lineRule="exact"/>
        <w:ind w:left="964" w:hanging="964"/>
        <w:jc w:val="both"/>
      </w:pPr>
      <w:r w:rsidRPr="00301DDB">
        <w:tab/>
        <w:t>(7)</w:t>
      </w:r>
      <w:r w:rsidRPr="00301DDB">
        <w:tab/>
        <w:t>The biomass of stems, branches, bark, leaves, coarse roots and fine roots in each sample plot in each carbon estimation area must be determined using the applicable biomass fractions in Schedule 1 and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tc,sp,i</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Debris,sp,i</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fraction tc in MVG</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17</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tc,sp,i</w:t>
      </w:r>
      <w:r w:rsidRPr="00301DDB">
        <w:t xml:space="preserve"> =</w:t>
      </w:r>
      <w:r w:rsidRPr="00301DDB">
        <w:tab/>
        <w:t>biomass of tree component (tc) in sample plot (sp) in carbon</w:t>
      </w:r>
      <w:r w:rsidRPr="00301DDB">
        <w:tab/>
      </w:r>
      <w:r w:rsidRPr="00301DDB">
        <w:tab/>
      </w:r>
      <w:r w:rsidRPr="00301DDB">
        <w:tab/>
        <w:t>estimation area (i) as determined for each tree component (tc)</w:t>
      </w:r>
      <w:r w:rsidRPr="00301DDB">
        <w:tab/>
      </w:r>
      <w:r w:rsidRPr="00301DDB">
        <w:tab/>
      </w:r>
      <w:r w:rsidRPr="00301DDB">
        <w:tab/>
        <w:t>(tonnes of biomass).</w:t>
      </w: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tc =</w:t>
      </w:r>
      <w:r w:rsidRPr="00301DDB">
        <w:tab/>
      </w:r>
      <w:r w:rsidRPr="00301DDB">
        <w:tab/>
        <w:t>tree component (B</w:t>
      </w:r>
      <w:r w:rsidRPr="00301DDB">
        <w:rPr>
          <w:vertAlign w:val="subscript"/>
        </w:rPr>
        <w:t>stem,i</w:t>
      </w:r>
      <w:r w:rsidRPr="00301DDB">
        <w:t>, B</w:t>
      </w:r>
      <w:r w:rsidRPr="00301DDB">
        <w:rPr>
          <w:vertAlign w:val="subscript"/>
        </w:rPr>
        <w:t>branch,i</w:t>
      </w:r>
      <w:r w:rsidRPr="00301DDB">
        <w:t>, B</w:t>
      </w:r>
      <w:r w:rsidRPr="00301DDB">
        <w:rPr>
          <w:vertAlign w:val="subscript"/>
        </w:rPr>
        <w:t>bark,i</w:t>
      </w:r>
      <w:r w:rsidRPr="00301DDB">
        <w:t>, B</w:t>
      </w:r>
      <w:r w:rsidRPr="00301DDB">
        <w:rPr>
          <w:vertAlign w:val="subscript"/>
        </w:rPr>
        <w:t>leaves,i</w:t>
      </w:r>
      <w:r w:rsidRPr="00301DDB">
        <w:t>, B</w:t>
      </w:r>
      <w:r w:rsidRPr="00301DDB">
        <w:rPr>
          <w:vertAlign w:val="subscript"/>
        </w:rPr>
        <w:t>coarse_roots,i</w:t>
      </w:r>
      <w:r w:rsidRPr="00301DDB">
        <w:t>,</w:t>
      </w:r>
      <w:r w:rsidRPr="00301DDB">
        <w:tab/>
      </w:r>
      <w:r w:rsidRPr="00301DDB">
        <w:tab/>
      </w:r>
      <w:r w:rsidRPr="00301DDB">
        <w:tab/>
      </w:r>
      <w:r w:rsidRPr="00301DDB">
        <w:tab/>
        <w:t>B</w:t>
      </w:r>
      <w:r w:rsidRPr="00301DDB">
        <w:rPr>
          <w:vertAlign w:val="subscript"/>
        </w:rPr>
        <w:t>fine_roots,i</w:t>
      </w:r>
      <w:r w:rsidRPr="00301DDB">
        <w:t>).</w:t>
      </w:r>
    </w:p>
    <w:p w:rsidR="00301DDB" w:rsidRPr="00301DDB" w:rsidRDefault="00301DDB" w:rsidP="00301DDB">
      <w:pPr>
        <w:keepLines/>
        <w:tabs>
          <w:tab w:val="right" w:pos="794"/>
        </w:tabs>
        <w:spacing w:before="80" w:after="100" w:line="260" w:lineRule="exact"/>
        <w:ind w:left="964" w:hanging="964"/>
        <w:jc w:val="both"/>
        <w:rPr>
          <w:iC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rPr>
        <w:t>the sp</w:t>
      </w:r>
      <w:r w:rsidRPr="00301DDB">
        <w:rPr>
          <w:vertAlign w:val="superscript"/>
        </w:rPr>
        <w:t>th</w:t>
      </w:r>
      <w:r w:rsidRPr="00301DDB">
        <w:rPr>
          <w:iCs/>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debris,sp,i </w:t>
      </w:r>
      <w:r w:rsidRPr="00301DDB">
        <w:t>=</w:t>
      </w:r>
      <w:r w:rsidRPr="00301DDB">
        <w:tab/>
        <w:t>biomass in the debris pool following clearing in accordance</w:t>
      </w:r>
      <w:r w:rsidRPr="00301DDB">
        <w:tab/>
      </w:r>
      <w:r w:rsidRPr="00301DDB">
        <w:tab/>
      </w:r>
      <w:r w:rsidRPr="00301DDB">
        <w:tab/>
      </w:r>
      <w:r w:rsidRPr="00301DDB">
        <w:tab/>
        <w:t xml:space="preserve">with the deforestation plan </w:t>
      </w:r>
      <w:r w:rsidRPr="00301DDB">
        <w:rPr>
          <w:lang w:val="en-US"/>
        </w:rPr>
        <w:t>in sample plot (sp), in carbon</w:t>
      </w:r>
      <w:r w:rsidRPr="00301DDB">
        <w:rPr>
          <w:lang w:val="en-US"/>
        </w:rPr>
        <w:tab/>
      </w:r>
      <w:r w:rsidRPr="00301DDB">
        <w:rPr>
          <w:lang w:val="en-US"/>
        </w:rPr>
        <w:tab/>
      </w:r>
      <w:r w:rsidRPr="00301DDB">
        <w:rPr>
          <w:lang w:val="en-US"/>
        </w:rPr>
        <w:tab/>
      </w:r>
      <w:r w:rsidRPr="00301DDB">
        <w:rPr>
          <w:lang w:val="en-US"/>
        </w:rPr>
        <w:tab/>
        <w:t>estimation area (</w:t>
      </w:r>
      <w:r w:rsidRPr="00301DDB">
        <w:rPr>
          <w:iCs/>
          <w:lang w:val="en-US"/>
        </w:rPr>
        <w:t xml:space="preserve">i) </w:t>
      </w:r>
      <w:r w:rsidRPr="00301DDB">
        <w:t>(tonnes of biomass).</w:t>
      </w:r>
    </w:p>
    <w:p w:rsidR="00301DDB" w:rsidRPr="00301DDB" w:rsidRDefault="00301DDB" w:rsidP="00301DDB">
      <w:pPr>
        <w:keepLines/>
        <w:tabs>
          <w:tab w:val="right" w:pos="794"/>
        </w:tabs>
        <w:spacing w:before="80" w:after="100" w:line="260" w:lineRule="exact"/>
        <w:ind w:left="964" w:hanging="964"/>
        <w:jc w:val="both"/>
      </w:pPr>
      <w:r w:rsidRPr="00301DDB">
        <w:tab/>
        <w:t>(8)</w:t>
      </w:r>
      <w:r w:rsidRPr="00301DDB">
        <w:tab/>
        <w:t>In relation to B</w:t>
      </w:r>
      <w:r w:rsidRPr="00301DDB">
        <w:rPr>
          <w:vertAlign w:val="subscript"/>
        </w:rPr>
        <w:t>fraction tc in MVG</w:t>
      </w:r>
      <w:r w:rsidRPr="00301DDB">
        <w:t>, the biomass fraction for each tree component is: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stem,sp,i </w:t>
      </w:r>
      <w:r w:rsidRPr="00301DDB">
        <w:t>=</w:t>
      </w:r>
      <w:r w:rsidRPr="00301DDB">
        <w:tab/>
        <w:t>biomass fraction of stems for Major Vegetation Group of plot;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branch,sp,i </w:t>
      </w:r>
      <w:r w:rsidRPr="00301DDB">
        <w:t>=</w:t>
      </w:r>
      <w:r w:rsidRPr="00301DDB">
        <w:tab/>
        <w:t>biomass fraction of branches for Major Vegetation Group of</w:t>
      </w:r>
      <w:r w:rsidRPr="00301DDB">
        <w:tab/>
      </w:r>
      <w:r w:rsidRPr="00301DDB">
        <w:tab/>
      </w:r>
      <w:r w:rsidRPr="00301DDB">
        <w:tab/>
        <w:t>plot;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bark,sp,i </w:t>
      </w:r>
      <w:r w:rsidRPr="00301DDB">
        <w:t>=</w:t>
      </w:r>
      <w:r w:rsidRPr="00301DDB">
        <w:tab/>
        <w:t>biomass fraction of bark for Major Vegetation Group of plot;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leaves,sp,i </w:t>
      </w:r>
      <w:r w:rsidRPr="00301DDB">
        <w:t>=</w:t>
      </w:r>
      <w:r w:rsidRPr="00301DDB">
        <w:tab/>
        <w:t>biomass fraction of leaves for Major Vegetation Group of plot;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coarse_roots,sp,i </w:t>
      </w:r>
      <w:r w:rsidRPr="00301DDB">
        <w:t>= biomass fraction of coarse roots for Major Vegetation Group</w:t>
      </w:r>
      <w:r w:rsidRPr="00301DDB">
        <w:tab/>
      </w:r>
      <w:r w:rsidRPr="00301DDB">
        <w:tab/>
      </w:r>
      <w:r w:rsidRPr="00301DDB">
        <w:tab/>
        <w:t>of plot; and</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fine_roots,sp,i </w:t>
      </w:r>
      <w:r w:rsidRPr="00301DDB">
        <w:t>=</w:t>
      </w:r>
      <w:r w:rsidRPr="00301DDB">
        <w:tab/>
        <w:t>biomass fraction of fine roots for Major Vegetation Group of</w:t>
      </w:r>
      <w:r w:rsidRPr="00301DDB">
        <w:tab/>
      </w:r>
      <w:r w:rsidRPr="00301DDB">
        <w:tab/>
      </w:r>
      <w:r w:rsidRPr="00301DDB">
        <w:tab/>
        <w:t>plot;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as specified in Table 1.1 and Table 1.2 in Schedule 1.</w:t>
      </w:r>
    </w:p>
    <w:p w:rsidR="00301DDB" w:rsidRPr="00301DDB" w:rsidRDefault="00301DDB" w:rsidP="00301DDB">
      <w:pPr>
        <w:keepLines/>
        <w:tabs>
          <w:tab w:val="right" w:pos="794"/>
        </w:tabs>
        <w:spacing w:before="80" w:after="100" w:line="260" w:lineRule="exact"/>
        <w:ind w:left="964" w:hanging="964"/>
        <w:jc w:val="both"/>
        <w:rPr>
          <w:b/>
          <w:bCs/>
          <w:iCs/>
          <w:lang w:val="en-US"/>
        </w:rPr>
      </w:pPr>
    </w:p>
    <w:p w:rsidR="00301DDB" w:rsidRPr="00301DDB" w:rsidRDefault="00301DDB" w:rsidP="00301DDB">
      <w:pPr>
        <w:keepNext/>
        <w:spacing w:before="120"/>
        <w:ind w:left="964"/>
        <w:jc w:val="both"/>
        <w:rPr>
          <w:rFonts w:ascii="Arial" w:hAnsi="Arial"/>
          <w:i/>
        </w:rPr>
      </w:pPr>
      <w:r w:rsidRPr="00301DDB">
        <w:rPr>
          <w:rFonts w:ascii="Arial" w:hAnsi="Arial"/>
          <w:i/>
          <w:lang w:val="en-US"/>
        </w:rPr>
        <w:t>Step 3.1.3—Treatment of the debris pool</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t>(9)</w:t>
      </w:r>
      <w:r w:rsidRPr="00301DDB">
        <w:tab/>
        <w:t>The biomass residue following a burning event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rPr>
                    </m:ctrlPr>
                  </m:sSubPr>
                  <m:e>
                    <m:r>
                      <m:rPr>
                        <m:sty m:val="p"/>
                      </m:rPr>
                      <w:rPr>
                        <w:rFonts w:ascii="Cambria Math" w:hAnsi="Cambria Math"/>
                      </w:rPr>
                      <m:t>B</m:t>
                    </m:r>
                  </m:e>
                  <m:sub>
                    <m:r>
                      <m:rPr>
                        <m:sty m:val="p"/>
                      </m:rPr>
                      <w:rPr>
                        <w:rFonts w:ascii="Cambria Math" w:hAnsi="Cambria Math"/>
                        <w:vertAlign w:val="subscript"/>
                      </w:rPr>
                      <m:t>residue,tc,sp,i</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B</m:t>
                    </m:r>
                  </m:e>
                  <m:sub>
                    <m:r>
                      <m:rPr>
                        <m:sty m:val="p"/>
                      </m:rPr>
                      <w:rPr>
                        <w:rFonts w:ascii="Cambria Math" w:hAnsi="Cambria Math"/>
                        <w:vertAlign w:val="subscript"/>
                      </w:rPr>
                      <m:t>tc,sp,i</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 xml:space="preserve">(BB – (BB × </m:t>
                    </m:r>
                    <m:sSub>
                      <m:sSubPr>
                        <m:ctrlPr>
                          <w:rPr>
                            <w:rFonts w:ascii="Cambria Math" w:hAnsi="Cambria Math"/>
                          </w:rPr>
                        </m:ctrlPr>
                      </m:sSubPr>
                      <m:e>
                        <m:r>
                          <m:rPr>
                            <m:sty m:val="p"/>
                          </m:rPr>
                          <w:rPr>
                            <w:rFonts w:ascii="Cambria Math" w:hAnsi="Cambria Math"/>
                          </w:rPr>
                          <m:t>BE</m:t>
                        </m:r>
                      </m:e>
                      <m:sub>
                        <m:r>
                          <m:rPr>
                            <m:sty m:val="p"/>
                          </m:rPr>
                          <w:rPr>
                            <w:rFonts w:ascii="Cambria Math" w:hAnsi="Cambria Math"/>
                          </w:rPr>
                          <m:t>tc</m:t>
                        </m:r>
                      </m:sub>
                    </m:sSub>
                    <m:r>
                      <m:rPr>
                        <m:sty m:val="p"/>
                      </m:rPr>
                      <w:rPr>
                        <w:rFonts w:ascii="Cambria Math" w:hAnsi="Cambria Math"/>
                      </w:rPr>
                      <m:t>) + UB)</m:t>
                    </m:r>
                  </m:e>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18</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residue,tc,sp,i </w:t>
      </w:r>
      <w:r w:rsidRPr="00301DDB">
        <w:t>=</w:t>
      </w:r>
      <w:r w:rsidRPr="00301DDB">
        <w:tab/>
        <w:t>biomass residue post burning event, of tree component (tc) in</w:t>
      </w:r>
      <w:r w:rsidRPr="00301DDB">
        <w:tab/>
      </w:r>
      <w:r w:rsidRPr="00301DDB">
        <w:tab/>
      </w:r>
      <w:r w:rsidRPr="00301DDB">
        <w:tab/>
        <w:t>sample plot (sp) in carbon estimation area (i) (tonnes of dry</w:t>
      </w:r>
      <w:r w:rsidRPr="00301DDB">
        <w:tab/>
      </w:r>
      <w:r w:rsidRPr="00301DDB">
        <w:tab/>
      </w:r>
      <w:r w:rsidRPr="00301DDB">
        <w:tab/>
      </w:r>
      <w:r w:rsidRPr="00301DDB">
        <w:tab/>
        <w:t>matter).</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tc,sp,i </w:t>
      </w:r>
      <w:r w:rsidRPr="00301DDB">
        <w:t xml:space="preserve">= </w:t>
      </w:r>
      <w:r w:rsidRPr="00301DDB">
        <w:tab/>
        <w:t>biomass of tree component (tc) in sample plot (sp) in carbon</w:t>
      </w:r>
      <w:r w:rsidRPr="00301DDB">
        <w:tab/>
      </w:r>
      <w:r w:rsidRPr="00301DDB">
        <w:tab/>
      </w:r>
      <w:r w:rsidRPr="00301DDB">
        <w:tab/>
        <w:t>estimation area (i) as determined for each tree component in</w:t>
      </w:r>
      <w:r w:rsidRPr="00301DDB">
        <w:tab/>
      </w:r>
      <w:r w:rsidRPr="00301DDB">
        <w:tab/>
      </w:r>
      <w:r w:rsidRPr="00301DDB">
        <w:tab/>
        <w:t>Step 3.1.2 in this section (tonnes of biomass).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BB =</w:t>
      </w:r>
      <w:r w:rsidRPr="00301DDB">
        <w:tab/>
      </w:r>
      <w:r w:rsidRPr="00301DDB">
        <w:tab/>
        <w:t>0.25, being the proportion of biomass burnt as a result of fire.</w:t>
      </w:r>
    </w:p>
    <w:p w:rsidR="00301DDB" w:rsidRPr="00301DDB" w:rsidRDefault="00301DDB" w:rsidP="00301DDB">
      <w:pPr>
        <w:keepLines/>
        <w:tabs>
          <w:tab w:val="right" w:pos="794"/>
        </w:tabs>
        <w:spacing w:before="80" w:after="100" w:line="260" w:lineRule="exact"/>
        <w:ind w:left="964" w:hanging="964"/>
        <w:jc w:val="both"/>
      </w:pPr>
      <w:r w:rsidRPr="00301DDB">
        <w:lastRenderedPageBreak/>
        <w:tab/>
      </w:r>
      <w:r w:rsidRPr="00301DDB">
        <w:tab/>
      </w:r>
      <w:r w:rsidRPr="00301DDB">
        <w:tab/>
        <w:t>BE</w:t>
      </w:r>
      <w:r w:rsidRPr="00301DDB">
        <w:rPr>
          <w:vertAlign w:val="subscript"/>
        </w:rPr>
        <w:t>tc</w:t>
      </w:r>
      <w:r w:rsidRPr="00301DDB">
        <w:t xml:space="preserve"> =</w:t>
      </w:r>
      <w:r w:rsidRPr="00301DDB">
        <w:tab/>
      </w:r>
      <w:r w:rsidRPr="00301DDB">
        <w:tab/>
        <w:t>burn efficiency for tree component (tc) (see Schedule 1 for tree</w:t>
      </w:r>
      <w:r w:rsidRPr="00301DDB">
        <w:tab/>
      </w:r>
      <w:r w:rsidRPr="00301DDB">
        <w:tab/>
      </w:r>
      <w:r w:rsidRPr="00301DDB">
        <w:tab/>
        <w:t>component burn efficiencies).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UB =</w:t>
      </w:r>
      <w:r w:rsidRPr="00301DDB">
        <w:tab/>
      </w:r>
      <w:r w:rsidRPr="00301DDB">
        <w:tab/>
        <w:t>0.75, being the proportion of biomass unburnt as a result of fire.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tc =</w:t>
      </w:r>
      <w:r w:rsidRPr="00301DDB">
        <w:tab/>
      </w:r>
      <w:r w:rsidRPr="00301DDB">
        <w:tab/>
        <w:t>tree component (B</w:t>
      </w:r>
      <w:r w:rsidRPr="00301DDB">
        <w:rPr>
          <w:vertAlign w:val="subscript"/>
        </w:rPr>
        <w:t>stem,i</w:t>
      </w:r>
      <w:r w:rsidRPr="00301DDB">
        <w:t>, B</w:t>
      </w:r>
      <w:r w:rsidRPr="00301DDB">
        <w:rPr>
          <w:vertAlign w:val="subscript"/>
        </w:rPr>
        <w:t>branch,i</w:t>
      </w:r>
      <w:r w:rsidRPr="00301DDB">
        <w:t>, B</w:t>
      </w:r>
      <w:r w:rsidRPr="00301DDB">
        <w:rPr>
          <w:vertAlign w:val="subscript"/>
        </w:rPr>
        <w:t>bark,i</w:t>
      </w:r>
      <w:r w:rsidRPr="00301DDB">
        <w:t>, B</w:t>
      </w:r>
      <w:r w:rsidRPr="00301DDB">
        <w:rPr>
          <w:vertAlign w:val="subscript"/>
        </w:rPr>
        <w:t>leaves,i</w:t>
      </w:r>
      <w:r w:rsidRPr="00301DDB">
        <w:t>, B</w:t>
      </w:r>
      <w:r w:rsidRPr="00301DDB">
        <w:rPr>
          <w:vertAlign w:val="subscript"/>
        </w:rPr>
        <w:t>coarse_roots,i</w:t>
      </w:r>
      <w:r w:rsidRPr="00301DDB">
        <w:t>,</w:t>
      </w:r>
      <w:r w:rsidRPr="00301DDB">
        <w:tab/>
      </w:r>
      <w:r w:rsidRPr="00301DDB">
        <w:tab/>
      </w:r>
      <w:r w:rsidRPr="00301DDB">
        <w:tab/>
      </w:r>
      <w:r w:rsidRPr="00301DDB">
        <w:tab/>
        <w:t>B</w:t>
      </w:r>
      <w:r w:rsidRPr="00301DDB">
        <w:rPr>
          <w:vertAlign w:val="subscript"/>
        </w:rPr>
        <w:t>fine_roots,i</w:t>
      </w:r>
      <w:r w:rsidRPr="00301DDB">
        <w:t>).</w:t>
      </w:r>
    </w:p>
    <w:p w:rsidR="00301DDB" w:rsidRPr="00301DDB" w:rsidRDefault="00301DDB" w:rsidP="00301DDB">
      <w:pPr>
        <w:keepLines/>
        <w:tabs>
          <w:tab w:val="right" w:pos="794"/>
        </w:tabs>
        <w:spacing w:before="80" w:after="100" w:line="260" w:lineRule="exact"/>
        <w:ind w:left="964" w:hanging="964"/>
        <w:jc w:val="both"/>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sidDel="00AD09B2">
        <w:t xml:space="preserve">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color w:val="000000" w:themeColor="text1"/>
        </w:rPr>
        <w:t>the sp</w:t>
      </w:r>
      <w:r w:rsidRPr="00301DDB">
        <w:rPr>
          <w:color w:val="000000" w:themeColor="text1"/>
          <w:vertAlign w:val="superscript"/>
        </w:rPr>
        <w:t>th</w:t>
      </w:r>
      <w:r w:rsidRPr="00301DDB">
        <w:rPr>
          <w:iCs/>
          <w:color w:val="000000" w:themeColor="text1"/>
        </w:rPr>
        <w:t xml:space="preserve"> sample</w:t>
      </w:r>
      <w:r w:rsidRPr="00301DDB">
        <w:rPr>
          <w:lang w:val="en-US"/>
        </w:rPr>
        <w:t xml:space="preserve"> plot in each carbon estimation area.</w:t>
      </w:r>
    </w:p>
    <w:p w:rsidR="00301DDB" w:rsidRPr="00301DDB" w:rsidRDefault="00301DDB" w:rsidP="00301DDB">
      <w:pPr>
        <w:keepLines/>
        <w:tabs>
          <w:tab w:val="right" w:pos="794"/>
        </w:tabs>
        <w:spacing w:before="80" w:after="100" w:line="260" w:lineRule="exact"/>
        <w:ind w:left="964" w:hanging="964"/>
        <w:jc w:val="both"/>
      </w:pP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3.1.4—Average long term carbon stock of tree components</w:t>
      </w:r>
    </w:p>
    <w:p w:rsidR="00301DDB" w:rsidRPr="00301DDB" w:rsidRDefault="00301DDB" w:rsidP="00301DDB">
      <w:pPr>
        <w:keepLines/>
        <w:tabs>
          <w:tab w:val="right" w:pos="794"/>
        </w:tabs>
        <w:spacing w:before="80" w:after="100" w:line="260" w:lineRule="exact"/>
        <w:ind w:left="964" w:hanging="964"/>
        <w:jc w:val="both"/>
      </w:pPr>
      <w:r w:rsidRPr="00301DDB">
        <w:tab/>
        <w:t>(10)</w:t>
      </w:r>
      <w:r w:rsidRPr="00301DDB">
        <w:tab/>
        <w:t>The long-term average carbon stock of the biomass residue must be calculated using the following formula:</w:t>
      </w:r>
    </w:p>
    <w:tbl>
      <w:tblPr>
        <w:tblW w:w="0" w:type="auto"/>
        <w:jc w:val="center"/>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7447"/>
        <w:gridCol w:w="1560"/>
      </w:tblGrid>
      <w:tr w:rsidR="00301DDB" w:rsidRPr="00301DDB" w:rsidTr="00DB6218">
        <w:trPr>
          <w:trHeight w:val="1397"/>
          <w:jc w:val="center"/>
        </w:trPr>
        <w:tc>
          <w:tcPr>
            <w:tcW w:w="7447" w:type="dxa"/>
            <w:vAlign w:val="center"/>
          </w:tcPr>
          <w:p w:rsidR="00301DDB" w:rsidRPr="00301DDB" w:rsidRDefault="007142EE" w:rsidP="00301DDB">
            <w:pPr>
              <w:spacing w:line="360" w:lineRule="auto"/>
              <w:jc w:val="both"/>
              <w:rPr>
                <w:b/>
                <w:bCs/>
              </w:rPr>
            </w:pPr>
            <m:oMathPara>
              <m:oMath>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average,tc,sp,i</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td</m:t>
                        </m:r>
                      </m:sub>
                      <m:sup>
                        <m:r>
                          <m:rPr>
                            <m:sty m:val="p"/>
                          </m:rPr>
                          <w:rPr>
                            <w:rFonts w:ascii="Cambria Math" w:hAnsi="Cambria Math"/>
                          </w:rPr>
                          <m:t>100</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residue, tc,sp,i</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1-DR</m:t>
                                </m:r>
                              </m:e>
                            </m:d>
                          </m:e>
                          <m:sup>
                            <m:r>
                              <m:rPr>
                                <m:sty m:val="p"/>
                              </m:rPr>
                              <w:rPr>
                                <w:rFonts w:ascii="Cambria Math" w:hAnsi="Cambria Math"/>
                              </w:rPr>
                              <m:t>td</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residue,tc,sp,i</m:t>
                            </m:r>
                          </m:sub>
                        </m:sSub>
                      </m:e>
                    </m:nary>
                  </m:num>
                  <m:den>
                    <m:r>
                      <m:rPr>
                        <m:sty m:val="p"/>
                      </m:rPr>
                      <w:rPr>
                        <w:rFonts w:ascii="Cambria Math" w:hAnsi="Cambria Math"/>
                      </w:rPr>
                      <m:t>100</m:t>
                    </m:r>
                  </m:den>
                </m:f>
              </m:oMath>
            </m:oMathPara>
          </w:p>
        </w:tc>
        <w:tc>
          <w:tcPr>
            <w:tcW w:w="1560" w:type="dxa"/>
            <w:vAlign w:val="center"/>
          </w:tcPr>
          <w:p w:rsidR="00301DDB" w:rsidRPr="00301DDB" w:rsidRDefault="00301DDB" w:rsidP="00301DDB">
            <w:pPr>
              <w:jc w:val="center"/>
              <w:rPr>
                <w:b/>
                <w:bCs/>
              </w:rPr>
            </w:pPr>
            <w:r w:rsidRPr="00301DDB">
              <w:rPr>
                <w:b/>
                <w:bCs/>
              </w:rPr>
              <w:t>Equation 19</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average,sp,tc,i </w:t>
      </w:r>
      <w:r w:rsidRPr="00301DDB">
        <w:t>=</w:t>
      </w:r>
      <w:r w:rsidRPr="00301DDB">
        <w:tab/>
        <w:t>100 year average biomass of tree component (tc) in sample plot</w:t>
      </w:r>
      <w:r w:rsidRPr="00301DDB">
        <w:tab/>
      </w:r>
      <w:r w:rsidRPr="00301DDB">
        <w:tab/>
      </w:r>
      <w:r w:rsidRPr="00301DDB">
        <w:tab/>
        <w:t>(sp) in carbon estimation area (i) (tonnes of biomass).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residue,tc,sp,i </w:t>
      </w:r>
      <w:r w:rsidRPr="00301DDB">
        <w:t>=</w:t>
      </w:r>
      <w:r w:rsidRPr="00301DDB">
        <w:tab/>
        <w:t>biomass residue post burning event, of tree component (tc), in</w:t>
      </w:r>
      <w:r w:rsidRPr="00301DDB">
        <w:tab/>
      </w:r>
      <w:r w:rsidRPr="00301DDB">
        <w:tab/>
      </w:r>
      <w:r w:rsidRPr="00301DDB">
        <w:tab/>
        <w:t>sample plot (sp), in carbon estimation area (i) (tonnes of dry</w:t>
      </w:r>
      <w:r w:rsidRPr="00301DDB">
        <w:tab/>
      </w:r>
      <w:r w:rsidRPr="00301DDB">
        <w:tab/>
      </w:r>
      <w:r w:rsidRPr="00301DDB">
        <w:tab/>
        <w:t>matter).</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DR =</w:t>
      </w:r>
      <w:r w:rsidRPr="00301DDB">
        <w:tab/>
      </w:r>
      <w:r w:rsidRPr="00301DDB">
        <w:tab/>
        <w:t>decay rate for tree component (tc) in sample plot (sp v), as</w:t>
      </w:r>
      <w:r w:rsidRPr="00301DDB">
        <w:tab/>
      </w:r>
      <w:r w:rsidRPr="00301DDB">
        <w:tab/>
      </w:r>
      <w:r w:rsidRPr="00301DDB">
        <w:tab/>
      </w:r>
      <w:r w:rsidRPr="00301DDB">
        <w:tab/>
        <w:t>determined in Schedule 1.</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td =</w:t>
      </w:r>
      <w:r w:rsidRPr="00301DDB">
        <w:tab/>
      </w:r>
      <w:r w:rsidRPr="00301DDB">
        <w:tab/>
        <w:t>the td</w:t>
      </w:r>
      <w:r w:rsidRPr="00301DDB">
        <w:rPr>
          <w:vertAlign w:val="superscript"/>
        </w:rPr>
        <w:t xml:space="preserve">th </w:t>
      </w:r>
      <w:r w:rsidRPr="00301DDB">
        <w:t>year for each year of decay in the 100 year</w:t>
      </w:r>
      <w:r w:rsidRPr="00301DDB">
        <w:tab/>
      </w:r>
      <w:r w:rsidRPr="00301DDB">
        <w:tab/>
      </w:r>
      <w:r w:rsidRPr="00301DDB">
        <w:tab/>
      </w:r>
      <w:r w:rsidRPr="00301DDB">
        <w:tab/>
      </w:r>
      <w:r w:rsidRPr="00301DDB">
        <w:tab/>
        <w:t>modelling period where td = 1 to 100.</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tc =</w:t>
      </w:r>
      <w:r w:rsidRPr="00301DDB">
        <w:tab/>
      </w:r>
      <w:r w:rsidRPr="00301DDB">
        <w:tab/>
        <w:t>tree component (B</w:t>
      </w:r>
      <w:r w:rsidRPr="00301DDB">
        <w:rPr>
          <w:vertAlign w:val="subscript"/>
        </w:rPr>
        <w:t>stem,i</w:t>
      </w:r>
      <w:r w:rsidRPr="00301DDB">
        <w:t>, B</w:t>
      </w:r>
      <w:r w:rsidRPr="00301DDB">
        <w:rPr>
          <w:vertAlign w:val="subscript"/>
        </w:rPr>
        <w:t>branch,i</w:t>
      </w:r>
      <w:r w:rsidRPr="00301DDB">
        <w:t>, B</w:t>
      </w:r>
      <w:r w:rsidRPr="00301DDB">
        <w:rPr>
          <w:vertAlign w:val="subscript"/>
        </w:rPr>
        <w:t>bark,i</w:t>
      </w:r>
      <w:r w:rsidRPr="00301DDB">
        <w:t>, B</w:t>
      </w:r>
      <w:r w:rsidRPr="00301DDB">
        <w:rPr>
          <w:vertAlign w:val="subscript"/>
        </w:rPr>
        <w:t>leaves,i</w:t>
      </w:r>
      <w:r w:rsidRPr="00301DDB">
        <w:t>, B</w:t>
      </w:r>
      <w:r w:rsidRPr="00301DDB">
        <w:rPr>
          <w:vertAlign w:val="subscript"/>
        </w:rPr>
        <w:t>coarse_roots,i</w:t>
      </w:r>
      <w:r w:rsidRPr="00301DDB">
        <w:t>,</w:t>
      </w:r>
      <w:r w:rsidRPr="00301DDB">
        <w:tab/>
      </w:r>
      <w:r w:rsidRPr="00301DDB">
        <w:tab/>
      </w:r>
      <w:r w:rsidRPr="00301DDB">
        <w:tab/>
      </w:r>
      <w:r w:rsidRPr="00301DDB">
        <w:tab/>
        <w:t>B</w:t>
      </w:r>
      <w:r w:rsidRPr="00301DDB">
        <w:rPr>
          <w:vertAlign w:val="subscript"/>
        </w:rPr>
        <w:t>fine_roots,i</w:t>
      </w:r>
      <w:r w:rsidRPr="00301DDB">
        <w:t>).</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r>
      <w:r w:rsidRPr="00301DDB">
        <w:rPr>
          <w:lang w:val="en-US"/>
        </w:rPr>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color w:val="000000" w:themeColor="text1"/>
        </w:rPr>
        <w:t>the sp</w:t>
      </w:r>
      <w:r w:rsidRPr="00301DDB">
        <w:rPr>
          <w:color w:val="000000" w:themeColor="text1"/>
          <w:vertAlign w:val="superscript"/>
        </w:rPr>
        <w:t>th</w:t>
      </w:r>
      <w:r w:rsidRPr="00301DDB">
        <w:rPr>
          <w:iCs/>
          <w:color w:val="000000" w:themeColor="text1"/>
        </w:rPr>
        <w:t xml:space="preserve"> sample</w:t>
      </w:r>
      <w:r w:rsidRPr="00301DDB">
        <w:rPr>
          <w:lang w:val="en-US"/>
        </w:rPr>
        <w:t xml:space="preserve"> plot in each carbon estimation area.</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3.1.5—Sum of average long term carbon stock of each tree component</w:t>
      </w:r>
    </w:p>
    <w:p w:rsidR="00301DDB" w:rsidRPr="00301DDB" w:rsidRDefault="00301DDB" w:rsidP="00301DDB">
      <w:pPr>
        <w:keepLines/>
        <w:tabs>
          <w:tab w:val="right" w:pos="794"/>
        </w:tabs>
        <w:spacing w:before="80" w:after="100" w:line="260" w:lineRule="exact"/>
        <w:ind w:left="964" w:hanging="964"/>
        <w:jc w:val="both"/>
      </w:pPr>
      <w:r w:rsidRPr="00301DDB">
        <w:tab/>
        <w:t>(11)</w:t>
      </w:r>
      <w:r w:rsidRPr="00301DDB">
        <w:tab/>
        <w:t>The average biomass in each sample plot in each carbon estimation area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tcPr>
          <w:p w:rsidR="00301DDB" w:rsidRPr="00301DDB" w:rsidRDefault="007142EE" w:rsidP="00301DDB">
            <w:pPr>
              <w:keepLines/>
              <w:tabs>
                <w:tab w:val="right" w:pos="794"/>
              </w:tabs>
              <w:spacing w:before="80" w:after="100" w:line="360" w:lineRule="auto"/>
              <w:ind w:left="964" w:hanging="964"/>
              <w:jc w:val="both"/>
            </w:pPr>
            <m:oMathPara>
              <m:oMath>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lt,sp,i</m:t>
                    </m:r>
                  </m:sub>
                </m:sSub>
                <m:r>
                  <m:rPr>
                    <m:sty m:val="p"/>
                  </m:rPr>
                  <w:rPr>
                    <w:rFonts w:ascii="Cambria Math" w:hAnsi="Cambria Math"/>
                  </w:rPr>
                  <m:t xml:space="preserve">= </m:t>
                </m:r>
                <m:nary>
                  <m:naryPr>
                    <m:chr m:val="∑"/>
                    <m:limLoc m:val="undOvr"/>
                    <m:ctrlPr>
                      <w:rPr>
                        <w:rFonts w:ascii="Cambria Math" w:hAnsi="Cambria Math"/>
                        <w:bCs/>
                      </w:rPr>
                    </m:ctrlPr>
                  </m:naryPr>
                  <m:sub>
                    <m:r>
                      <m:rPr>
                        <m:sty m:val="p"/>
                      </m:rPr>
                      <w:rPr>
                        <w:rFonts w:ascii="Cambria Math" w:hAnsi="Cambria Math"/>
                      </w:rPr>
                      <m:t>tc</m:t>
                    </m:r>
                  </m:sub>
                  <m:sup/>
                  <m:e>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average,tc,sp,i</m:t>
                        </m:r>
                      </m:sub>
                    </m:sSub>
                  </m:e>
                </m:nary>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20</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lastRenderedPageBreak/>
        <w:tab/>
      </w:r>
      <w:r w:rsidRPr="00301DDB">
        <w:tab/>
      </w:r>
      <w:r w:rsidRPr="00301DDB">
        <w:tab/>
        <w:t>B</w:t>
      </w:r>
      <w:r w:rsidRPr="00301DDB">
        <w:rPr>
          <w:vertAlign w:val="subscript"/>
        </w:rPr>
        <w:t xml:space="preserve">lt,sp,i </w:t>
      </w:r>
      <w:r w:rsidRPr="00301DDB">
        <w:t>=</w:t>
      </w:r>
      <w:r w:rsidRPr="00301DDB">
        <w:tab/>
      </w:r>
      <w:r w:rsidRPr="00301DDB">
        <w:tab/>
        <w:t>long term average biomass for sample plot (sp) in carbon</w:t>
      </w:r>
      <w:r w:rsidRPr="00301DDB">
        <w:tab/>
      </w:r>
      <w:r w:rsidRPr="00301DDB">
        <w:tab/>
      </w:r>
      <w:r w:rsidRPr="00301DDB">
        <w:tab/>
      </w:r>
      <w:r w:rsidRPr="00301DDB">
        <w:tab/>
        <w:t>estimation area (i) (tonnes of biomass).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B</w:t>
      </w:r>
      <w:r w:rsidRPr="00301DDB">
        <w:rPr>
          <w:vertAlign w:val="subscript"/>
        </w:rPr>
        <w:t xml:space="preserve">average,tc,sp,i </w:t>
      </w:r>
      <w:r w:rsidRPr="00301DDB">
        <w:t>=</w:t>
      </w:r>
      <w:r w:rsidRPr="00301DDB">
        <w:tab/>
        <w:t>100 year average biomass of tree component (tc) for sample</w:t>
      </w:r>
      <w:r w:rsidRPr="00301DDB">
        <w:tab/>
      </w:r>
      <w:r w:rsidRPr="00301DDB">
        <w:tab/>
      </w:r>
      <w:r w:rsidRPr="00301DDB">
        <w:tab/>
        <w:t>plot (sp) in carbon estimation area (i) (tonnes of biomass).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tc =</w:t>
      </w:r>
      <w:r w:rsidRPr="00301DDB">
        <w:tab/>
      </w:r>
      <w:r w:rsidRPr="00301DDB">
        <w:tab/>
        <w:t>tree component (B</w:t>
      </w:r>
      <w:r w:rsidRPr="00301DDB">
        <w:rPr>
          <w:vertAlign w:val="subscript"/>
        </w:rPr>
        <w:t>stem,i</w:t>
      </w:r>
      <w:r w:rsidRPr="00301DDB">
        <w:t>, B</w:t>
      </w:r>
      <w:r w:rsidRPr="00301DDB">
        <w:rPr>
          <w:vertAlign w:val="subscript"/>
        </w:rPr>
        <w:t>branch,i</w:t>
      </w:r>
      <w:r w:rsidRPr="00301DDB">
        <w:t>, B</w:t>
      </w:r>
      <w:r w:rsidRPr="00301DDB">
        <w:rPr>
          <w:vertAlign w:val="subscript"/>
        </w:rPr>
        <w:t>bark,i</w:t>
      </w:r>
      <w:r w:rsidRPr="00301DDB">
        <w:t>, B</w:t>
      </w:r>
      <w:r w:rsidRPr="00301DDB">
        <w:rPr>
          <w:vertAlign w:val="subscript"/>
        </w:rPr>
        <w:t>leaves,i</w:t>
      </w:r>
      <w:r w:rsidRPr="00301DDB">
        <w:t>, B</w:t>
      </w:r>
      <w:r w:rsidRPr="00301DDB">
        <w:rPr>
          <w:vertAlign w:val="subscript"/>
        </w:rPr>
        <w:t>coarse_roots,i</w:t>
      </w:r>
      <w:r w:rsidRPr="00301DDB">
        <w:t>,</w:t>
      </w:r>
      <w:r w:rsidRPr="00301DDB">
        <w:tab/>
      </w:r>
      <w:r w:rsidRPr="00301DDB">
        <w:tab/>
      </w:r>
      <w:r w:rsidRPr="00301DDB">
        <w:tab/>
      </w:r>
      <w:r w:rsidRPr="00301DDB">
        <w:tab/>
        <w:t>B</w:t>
      </w:r>
      <w:r w:rsidRPr="00301DDB">
        <w:rPr>
          <w:vertAlign w:val="subscript"/>
        </w:rPr>
        <w:t>fine_roots,i</w:t>
      </w:r>
      <w:r w:rsidRPr="00301DDB">
        <w:t>).</w:t>
      </w:r>
    </w:p>
    <w:p w:rsidR="00301DDB" w:rsidRPr="00301DDB" w:rsidRDefault="00301DDB" w:rsidP="00301DDB">
      <w:pPr>
        <w:keepLines/>
        <w:tabs>
          <w:tab w:val="right" w:pos="794"/>
        </w:tabs>
        <w:spacing w:before="80" w:after="100" w:line="260" w:lineRule="exact"/>
        <w:ind w:left="964" w:hanging="964"/>
        <w:jc w:val="both"/>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sidDel="00AD09B2">
        <w:t xml:space="preserve">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sp =</w:t>
      </w:r>
      <w:r w:rsidRPr="00301DDB">
        <w:rPr>
          <w:lang w:val="en-US"/>
        </w:rPr>
        <w:tab/>
      </w:r>
      <w:r w:rsidRPr="00301DDB">
        <w:rPr>
          <w:lang w:val="en-US"/>
        </w:rPr>
        <w:tab/>
      </w:r>
      <w:r w:rsidRPr="00301DDB">
        <w:rPr>
          <w:iCs/>
          <w:color w:val="000000" w:themeColor="text1"/>
        </w:rPr>
        <w:t>the sp</w:t>
      </w:r>
      <w:r w:rsidRPr="00301DDB">
        <w:rPr>
          <w:color w:val="000000" w:themeColor="text1"/>
          <w:vertAlign w:val="superscript"/>
        </w:rPr>
        <w:t>th</w:t>
      </w:r>
      <w:r w:rsidRPr="00301DDB">
        <w:rPr>
          <w:iCs/>
          <w:color w:val="000000" w:themeColor="text1"/>
        </w:rPr>
        <w:t xml:space="preserve"> sample</w:t>
      </w:r>
      <w:r w:rsidRPr="00301DDB">
        <w:rPr>
          <w:lang w:val="en-US"/>
        </w:rPr>
        <w:t xml:space="preserve"> plot in each carbon estimation area.</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67" w:name="_Toc358907456"/>
      <w:r w:rsidRPr="00301DDB">
        <w:rPr>
          <w:rFonts w:ascii="Arial" w:hAnsi="Arial"/>
          <w:b/>
          <w:bCs/>
          <w:iCs/>
          <w:szCs w:val="26"/>
        </w:rPr>
        <w:t>3.43</w:t>
      </w:r>
      <w:r w:rsidRPr="00301DDB">
        <w:rPr>
          <w:rFonts w:ascii="Arial" w:hAnsi="Arial"/>
          <w:b/>
          <w:bCs/>
          <w:iCs/>
          <w:szCs w:val="26"/>
        </w:rPr>
        <w:tab/>
        <w:t>Step 4—Calculating changes in baseline carbon stock in each carbon estimation area</w:t>
      </w:r>
      <w:bookmarkEnd w:id="67"/>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change in baseline carbon stocks during the crediting period as a result of the implementation of the deforestation plan must be calculated in the first reporting period using the parameters obtained in Step 2.1 in section 3.41 and Step 3 in subsection 3.42(2) and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301DDB" w:rsidP="00301DDB">
            <w:pPr>
              <w:keepLines/>
              <w:tabs>
                <w:tab w:val="right" w:pos="794"/>
              </w:tabs>
              <w:spacing w:before="80" w:after="100" w:line="360" w:lineRule="auto"/>
              <w:ind w:left="964" w:hanging="964"/>
              <w:jc w:val="both"/>
            </w:pPr>
            <m:oMathPara>
              <m:oMath>
                <m:r>
                  <m:rPr>
                    <m:sty m:val="p"/>
                  </m:rPr>
                  <w:rPr>
                    <w:rFonts w:ascii="Cambria Math" w:hAnsi="Cambria Math"/>
                    <w:lang w:val="en-US"/>
                  </w:rPr>
                  <m:t>Δ</m:t>
                </m:r>
                <m:sSub>
                  <m:sSubPr>
                    <m:ctrlPr>
                      <w:rPr>
                        <w:rFonts w:ascii="Cambria Math" w:hAnsi="Cambria Math"/>
                        <w:bCs/>
                        <w:lang w:val="en-US"/>
                      </w:rPr>
                    </m:ctrlPr>
                  </m:sSubPr>
                  <m:e>
                    <m:r>
                      <m:rPr>
                        <m:sty m:val="p"/>
                      </m:rPr>
                      <w:rPr>
                        <w:rFonts w:ascii="Cambria Math" w:hAnsi="Cambria Math"/>
                        <w:lang w:val="en-US"/>
                      </w:rPr>
                      <m:t>C</m:t>
                    </m:r>
                  </m:e>
                  <m:sub>
                    <m:r>
                      <m:rPr>
                        <m:sty m:val="p"/>
                      </m:rPr>
                      <w:rPr>
                        <w:rFonts w:ascii="Cambria Math" w:hAnsi="Cambria Math"/>
                        <w:lang w:val="en-US"/>
                      </w:rPr>
                      <m:t>BSL,i</m:t>
                    </m:r>
                  </m:sub>
                </m:sSub>
                <m:r>
                  <m:rPr>
                    <m:sty m:val="p"/>
                  </m:rPr>
                  <w:rPr>
                    <w:rFonts w:ascii="Cambria Math" w:hAnsi="Cambria Math"/>
                    <w:lang w:val="en-US"/>
                  </w:rPr>
                  <m:t>=</m:t>
                </m:r>
                <m:sSub>
                  <m:sSubPr>
                    <m:ctrlPr>
                      <w:rPr>
                        <w:rFonts w:ascii="Cambria Math" w:hAnsi="Cambria Math"/>
                        <w:bCs/>
                        <w:vertAlign w:val="subscript"/>
                        <w:lang w:val="en-US"/>
                      </w:rPr>
                    </m:ctrlPr>
                  </m:sSubPr>
                  <m:e>
                    <m:r>
                      <m:rPr>
                        <m:sty m:val="p"/>
                      </m:rPr>
                      <w:rPr>
                        <w:rFonts w:ascii="Cambria Math" w:hAnsi="Cambria Math"/>
                        <w:lang w:val="en-US"/>
                      </w:rPr>
                      <m:t>C</m:t>
                    </m:r>
                  </m:e>
                  <m:sub>
                    <m:r>
                      <m:rPr>
                        <m:sty m:val="p"/>
                      </m:rPr>
                      <w:rPr>
                        <w:rFonts w:ascii="Cambria Math" w:hAnsi="Cambria Math"/>
                        <w:vertAlign w:val="subscript"/>
                        <w:lang w:val="en-US"/>
                      </w:rPr>
                      <m:t>i,r</m:t>
                    </m:r>
                  </m:sub>
                </m:sSub>
                <m:r>
                  <m:rPr>
                    <m:sty m:val="p"/>
                  </m:rPr>
                  <w:rPr>
                    <w:rFonts w:ascii="Cambria Math" w:hAnsi="Cambria Math"/>
                    <w:lang w:val="en-US"/>
                  </w:rPr>
                  <m:t xml:space="preserve"> - </m:t>
                </m:r>
                <m:sSub>
                  <m:sSubPr>
                    <m:ctrlPr>
                      <w:rPr>
                        <w:rFonts w:ascii="Cambria Math" w:hAnsi="Cambria Math"/>
                        <w:bCs/>
                        <w:lang w:val="en-US"/>
                      </w:rPr>
                    </m:ctrlPr>
                  </m:sSubPr>
                  <m:e>
                    <m:r>
                      <m:rPr>
                        <m:sty m:val="p"/>
                      </m:rPr>
                      <w:rPr>
                        <w:rFonts w:ascii="Cambria Math" w:hAnsi="Cambria Math"/>
                        <w:lang w:val="en-US"/>
                      </w:rPr>
                      <m:t>C</m:t>
                    </m:r>
                  </m:e>
                  <m:sub>
                    <m:r>
                      <m:rPr>
                        <m:sty m:val="p"/>
                      </m:rPr>
                      <w:rPr>
                        <w:rFonts w:ascii="Cambria Math" w:hAnsi="Cambria Math"/>
                        <w:vertAlign w:val="subscript"/>
                        <w:lang w:val="en-US"/>
                      </w:rPr>
                      <m:t>BSL,i,post</m:t>
                    </m:r>
                    <m:r>
                      <m:rPr>
                        <m:sty m:val="p"/>
                      </m:rPr>
                      <w:rPr>
                        <w:rFonts w:ascii="Cambria Math" w:hAnsi="Cambria Math"/>
                        <w:lang w:val="en-US"/>
                      </w:rPr>
                      <m:t xml:space="preserve"> </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21</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iCs/>
          <w:lang w:val="en-US"/>
        </w:rPr>
      </w:pPr>
      <w:r w:rsidRPr="00301DDB">
        <w:rPr>
          <w:lang w:val="en-US"/>
        </w:rPr>
        <w:tab/>
      </w:r>
      <w:r w:rsidRPr="00301DDB">
        <w:rPr>
          <w:lang w:val="en-US"/>
        </w:rPr>
        <w:tab/>
      </w:r>
      <w:r w:rsidRPr="00301DDB">
        <w:rPr>
          <w:lang w:val="en-US"/>
        </w:rPr>
        <w:tab/>
        <w:t>Δ</w:t>
      </w:r>
      <w:r w:rsidRPr="00301DDB">
        <w:rPr>
          <w:iCs/>
          <w:lang w:val="en-US"/>
        </w:rPr>
        <w:t>C</w:t>
      </w:r>
      <w:r w:rsidRPr="00301DDB">
        <w:rPr>
          <w:iCs/>
          <w:vertAlign w:val="subscript"/>
          <w:lang w:val="en-US"/>
        </w:rPr>
        <w:t xml:space="preserve">BSL,i </w:t>
      </w:r>
      <w:r w:rsidRPr="00301DDB">
        <w:rPr>
          <w:iCs/>
          <w:lang w:val="en-US"/>
        </w:rPr>
        <w:t>=</w:t>
      </w:r>
      <w:r w:rsidRPr="00301DDB">
        <w:rPr>
          <w:iCs/>
          <w:lang w:val="en-US"/>
        </w:rPr>
        <w:tab/>
        <w:t>mean carbon stock changes in all pools in the baseline</w:t>
      </w:r>
      <w:r w:rsidRPr="00301DDB">
        <w:rPr>
          <w:iCs/>
          <w:lang w:val="en-US"/>
        </w:rPr>
        <w:tab/>
      </w:r>
      <w:r w:rsidRPr="00301DDB">
        <w:rPr>
          <w:iCs/>
          <w:lang w:val="en-US"/>
        </w:rPr>
        <w:tab/>
      </w:r>
      <w:r w:rsidRPr="00301DDB">
        <w:rPr>
          <w:iCs/>
          <w:lang w:val="en-US"/>
        </w:rPr>
        <w:tab/>
      </w:r>
      <w:r w:rsidRPr="00301DDB">
        <w:rPr>
          <w:iCs/>
          <w:lang w:val="en-US"/>
        </w:rPr>
        <w:tab/>
        <w:t>within carbon estimation area (i) (tonnes of carbon dioxide</w:t>
      </w:r>
      <w:r w:rsidRPr="00301DDB">
        <w:rPr>
          <w:iCs/>
          <w:lang w:val="en-US"/>
        </w:rPr>
        <w:tab/>
      </w:r>
      <w:r w:rsidRPr="00301DDB">
        <w:rPr>
          <w:iCs/>
          <w:lang w:val="en-US"/>
        </w:rPr>
        <w:tab/>
      </w:r>
      <w:r w:rsidRPr="00301DDB">
        <w:rPr>
          <w:iCs/>
          <w:lang w:val="en-US"/>
        </w:rPr>
        <w:tab/>
      </w:r>
      <w:r w:rsidRPr="00301DDB">
        <w:rPr>
          <w:iCs/>
          <w:lang w:val="en-US"/>
        </w:rPr>
        <w:tab/>
        <w:t>equivalent per hectare).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iCs/>
          <w:vertAlign w:val="superscript"/>
          <w:lang w:val="en-US"/>
        </w:rPr>
        <w:tab/>
      </w:r>
      <w:r w:rsidRPr="00301DDB">
        <w:rPr>
          <w:iCs/>
          <w:vertAlign w:val="superscript"/>
          <w:lang w:val="en-US"/>
        </w:rPr>
        <w:tab/>
      </w:r>
      <w:r w:rsidRPr="00301DDB">
        <w:rPr>
          <w:iCs/>
          <w:vertAlign w:val="superscript"/>
          <w:lang w:val="en-US"/>
        </w:rPr>
        <w:tab/>
      </w:r>
      <w:r w:rsidRPr="00301DDB">
        <w:rPr>
          <w:iCs/>
          <w:lang w:val="en-US"/>
        </w:rPr>
        <w:t>C</w:t>
      </w:r>
      <w:r w:rsidRPr="00301DDB">
        <w:rPr>
          <w:iCs/>
          <w:vertAlign w:val="subscript"/>
          <w:lang w:val="en-US"/>
        </w:rPr>
        <w:t xml:space="preserve">i,r </w:t>
      </w:r>
      <w:r w:rsidRPr="00301DDB">
        <w:rPr>
          <w:lang w:val="en-US"/>
        </w:rPr>
        <w:t>=</w:t>
      </w:r>
      <w:r w:rsidRPr="00301DDB">
        <w:rPr>
          <w:lang w:val="en-US"/>
        </w:rPr>
        <w:tab/>
      </w:r>
      <w:r w:rsidRPr="00301DDB">
        <w:rPr>
          <w:lang w:val="en-US"/>
        </w:rPr>
        <w:tab/>
        <w:t>mean carbon stock in all pools within carbon estimation area (i)</w:t>
      </w:r>
      <w:r w:rsidRPr="00301DDB">
        <w:rPr>
          <w:lang w:val="en-US"/>
        </w:rPr>
        <w:tab/>
      </w:r>
      <w:r w:rsidRPr="00301DDB">
        <w:rPr>
          <w:lang w:val="en-US"/>
        </w:rPr>
        <w:tab/>
      </w:r>
      <w:r w:rsidRPr="00301DDB">
        <w:rPr>
          <w:lang w:val="en-US"/>
        </w:rPr>
        <w:tab/>
        <w:t>in carbon estimation area (</w:t>
      </w:r>
      <w:r w:rsidRPr="00301DDB">
        <w:rPr>
          <w:iCs/>
          <w:lang w:val="en-US"/>
        </w:rPr>
        <w:t>i) for the first reporting period (r = 1)</w:t>
      </w:r>
      <w:r w:rsidRPr="00301DDB">
        <w:rPr>
          <w:iCs/>
          <w:lang w:val="en-US"/>
        </w:rPr>
        <w:tab/>
      </w:r>
      <w:r w:rsidRPr="00301DDB">
        <w:rPr>
          <w:iCs/>
          <w:lang w:val="en-US"/>
        </w:rPr>
        <w:tab/>
      </w:r>
      <w:r w:rsidRPr="00301DDB">
        <w:rPr>
          <w:iCs/>
          <w:lang w:val="en-US"/>
        </w:rPr>
        <w:tab/>
        <w:t>(tonnes of carbon dioxide equivalent per hectare)</w:t>
      </w:r>
      <w:r w:rsidRPr="00301DDB">
        <w:rPr>
          <w:lang w:val="en-US"/>
        </w:rPr>
        <w:t xml:space="preserve"> calculated in</w:t>
      </w:r>
      <w:r w:rsidRPr="00301DDB">
        <w:rPr>
          <w:lang w:val="en-US"/>
        </w:rPr>
        <w:tab/>
      </w:r>
      <w:r w:rsidRPr="00301DDB">
        <w:rPr>
          <w:lang w:val="en-US"/>
        </w:rPr>
        <w:tab/>
      </w:r>
      <w:r w:rsidRPr="00301DDB">
        <w:rPr>
          <w:lang w:val="en-US"/>
        </w:rPr>
        <w:tab/>
        <w:t>Equation 12.</w:t>
      </w:r>
    </w:p>
    <w:p w:rsidR="00301DDB" w:rsidRPr="00301DDB" w:rsidRDefault="00301DDB" w:rsidP="00301DDB">
      <w:pPr>
        <w:keepLines/>
        <w:tabs>
          <w:tab w:val="right" w:pos="794"/>
        </w:tabs>
        <w:spacing w:before="80" w:after="100" w:line="260" w:lineRule="exact"/>
        <w:ind w:left="964" w:hanging="964"/>
        <w:jc w:val="both"/>
        <w:rPr>
          <w:iCs/>
          <w:lang w:val="en-US"/>
        </w:rPr>
      </w:pPr>
      <w:r w:rsidRPr="00301DDB">
        <w:rPr>
          <w:iCs/>
          <w:lang w:val="en-US"/>
        </w:rPr>
        <w:tab/>
      </w:r>
      <w:r w:rsidRPr="00301DDB">
        <w:rPr>
          <w:iCs/>
          <w:lang w:val="en-US"/>
        </w:rPr>
        <w:tab/>
      </w:r>
      <w:r w:rsidRPr="00301DDB">
        <w:rPr>
          <w:iCs/>
          <w:lang w:val="en-US"/>
        </w:rPr>
        <w:tab/>
        <w:t>C</w:t>
      </w:r>
      <w:r w:rsidRPr="00301DDB">
        <w:rPr>
          <w:iCs/>
          <w:vertAlign w:val="subscript"/>
          <w:lang w:val="en-US"/>
        </w:rPr>
        <w:t xml:space="preserve">BSL,i,post </w:t>
      </w:r>
      <w:r w:rsidRPr="00301DDB">
        <w:rPr>
          <w:iCs/>
          <w:lang w:val="en-US"/>
        </w:rPr>
        <w:t>=</w:t>
      </w:r>
      <w:r w:rsidRPr="00301DDB">
        <w:rPr>
          <w:iCs/>
          <w:lang w:val="en-US"/>
        </w:rPr>
        <w:tab/>
        <w:t>mean carbon stock in all pools in the baseline at end of</w:t>
      </w:r>
      <w:r w:rsidRPr="00301DDB">
        <w:rPr>
          <w:iCs/>
          <w:lang w:val="en-US"/>
        </w:rPr>
        <w:tab/>
      </w:r>
      <w:r w:rsidRPr="00301DDB">
        <w:rPr>
          <w:iCs/>
          <w:lang w:val="en-US"/>
        </w:rPr>
        <w:tab/>
      </w:r>
      <w:r w:rsidRPr="00301DDB">
        <w:rPr>
          <w:iCs/>
          <w:lang w:val="en-US"/>
        </w:rPr>
        <w:tab/>
      </w:r>
      <w:r w:rsidRPr="00301DDB">
        <w:rPr>
          <w:iCs/>
          <w:lang w:val="en-US"/>
        </w:rPr>
        <w:tab/>
        <w:t>crediting period in carbon estimation area (i) (tonnes of carbon</w:t>
      </w:r>
      <w:r w:rsidRPr="00301DDB">
        <w:rPr>
          <w:iCs/>
          <w:lang w:val="en-US"/>
        </w:rPr>
        <w:tab/>
      </w:r>
      <w:r w:rsidRPr="00301DDB">
        <w:rPr>
          <w:iCs/>
          <w:lang w:val="en-US"/>
        </w:rPr>
        <w:tab/>
      </w:r>
      <w:r w:rsidRPr="00301DDB">
        <w:rPr>
          <w:iCs/>
          <w:lang w:val="en-US"/>
        </w:rPr>
        <w:tab/>
        <w:t>dioxide equivalent per hectare) calculated in Equation 15.</w:t>
      </w:r>
    </w:p>
    <w:p w:rsidR="00301DDB" w:rsidRPr="00301DDB" w:rsidRDefault="00301DDB" w:rsidP="00301DDB">
      <w:pPr>
        <w:keepLines/>
        <w:tabs>
          <w:tab w:val="right" w:pos="794"/>
        </w:tabs>
        <w:spacing w:before="80" w:after="100" w:line="260" w:lineRule="exact"/>
        <w:ind w:left="964" w:hanging="964"/>
        <w:jc w:val="both"/>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sidDel="00AD09B2">
        <w:t xml:space="preserve"> </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t>r =</w:t>
      </w:r>
      <w:r w:rsidRPr="00301DDB">
        <w:tab/>
      </w:r>
      <w:r w:rsidRPr="00301DDB">
        <w:tab/>
        <w:t>the r</w:t>
      </w:r>
      <w:r w:rsidRPr="00301DDB">
        <w:rPr>
          <w:vertAlign w:val="superscript"/>
        </w:rPr>
        <w:t xml:space="preserve">th </w:t>
      </w:r>
      <w:r w:rsidRPr="00301DDB">
        <w:t>reporting period.</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68" w:name="_Toc358907457"/>
      <w:r w:rsidRPr="00301DDB">
        <w:rPr>
          <w:rFonts w:ascii="Arial" w:hAnsi="Arial"/>
          <w:b/>
          <w:bCs/>
          <w:iCs/>
          <w:szCs w:val="26"/>
        </w:rPr>
        <w:t>3.44</w:t>
      </w:r>
      <w:r w:rsidRPr="00301DDB">
        <w:rPr>
          <w:rFonts w:ascii="Arial" w:hAnsi="Arial"/>
          <w:b/>
          <w:bCs/>
          <w:iCs/>
          <w:szCs w:val="26"/>
        </w:rPr>
        <w:tab/>
        <w:t>Step 5—Calculation of emissions in each carbon estimation area in the baseline</w:t>
      </w:r>
      <w:bookmarkEnd w:id="68"/>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(1)</w:t>
      </w:r>
      <w:r w:rsidRPr="00301DDB">
        <w:rPr>
          <w:lang w:val="en-US"/>
        </w:rPr>
        <w:tab/>
        <w:t xml:space="preserve">The methane and nitrous oxide emissions released as a result of the burning of biomass following clearing in accordance with the deforestation plan must be accounted for in accordance with this section. </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5.1—Pre-fire above-ground biomass stock</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The above-ground biomass stock in each carbon estimation area that will be burned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ind w:left="964" w:hanging="964"/>
              <w:jc w:val="both"/>
              <w:rPr>
                <w:lang w:val="en-US"/>
              </w:rPr>
            </w:pPr>
            <m:oMathPara>
              <m:oMath>
                <m:sSub>
                  <m:sSubPr>
                    <m:ctrlPr>
                      <w:rPr>
                        <w:rFonts w:ascii="Cambria Math" w:hAnsi="Cambria Math"/>
                        <w:bCs/>
                      </w:rPr>
                    </m:ctrlPr>
                  </m:sSubPr>
                  <m:e>
                    <m:r>
                      <m:rPr>
                        <m:sty m:val="p"/>
                      </m:rPr>
                      <w:rPr>
                        <w:rFonts w:ascii="Cambria Math" w:hAnsi="Cambria Math"/>
                      </w:rPr>
                      <m:t>B</m:t>
                    </m:r>
                  </m:e>
                  <m:sub>
                    <m:r>
                      <m:rPr>
                        <m:sty m:val="p"/>
                      </m:rPr>
                      <w:rPr>
                        <w:rFonts w:ascii="Cambria Math" w:hAnsi="Cambria Math"/>
                      </w:rPr>
                      <m:t>i</m:t>
                    </m:r>
                  </m:sub>
                </m:sSub>
                <m:r>
                  <m:rPr>
                    <m:sty m:val="p"/>
                  </m:rPr>
                  <w:rPr>
                    <w:rFonts w:ascii="Cambria Math" w:hAnsi="Cambria Math"/>
                  </w:rPr>
                  <m:t xml:space="preserve">= </m:t>
                </m:r>
                <m:sSub>
                  <m:sSubPr>
                    <m:ctrlPr>
                      <w:rPr>
                        <w:rFonts w:ascii="Cambria Math" w:hAnsi="Cambria Math"/>
                        <w:bCs/>
                      </w:rPr>
                    </m:ctrlPr>
                  </m:sSubPr>
                  <m:e>
                    <m:sSub>
                      <m:sSubPr>
                        <m:ctrlPr>
                          <w:rPr>
                            <w:rFonts w:ascii="Cambria Math" w:hAnsi="Cambria Math"/>
                            <w:bCs/>
                          </w:rPr>
                        </m:ctrlPr>
                      </m:sSubPr>
                      <m:e>
                        <m:r>
                          <m:rPr>
                            <m:sty m:val="p"/>
                          </m:rPr>
                          <w:rPr>
                            <w:rFonts w:ascii="Cambria Math" w:hAnsi="Cambria Math"/>
                          </w:rPr>
                          <m:t>C</m:t>
                        </m:r>
                      </m:e>
                      <m:sub>
                        <m:r>
                          <m:rPr>
                            <m:sty m:val="p"/>
                          </m:rPr>
                          <w:rPr>
                            <w:rFonts w:ascii="Cambria Math" w:hAnsi="Cambria Math"/>
                          </w:rPr>
                          <m:t xml:space="preserve">i,r </m:t>
                        </m:r>
                      </m:sub>
                    </m:sSub>
                    <m:r>
                      <m:rPr>
                        <m:sty m:val="p"/>
                      </m:rPr>
                      <w:rPr>
                        <w:rFonts w:ascii="Cambria Math" w:hAnsi="Cambria Math"/>
                      </w:rPr>
                      <m:t xml:space="preserve"> × A</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12</m:t>
                    </m:r>
                  </m:num>
                  <m:den>
                    <m:r>
                      <m:rPr>
                        <m:sty m:val="p"/>
                      </m:rPr>
                      <w:rPr>
                        <w:rFonts w:ascii="Cambria Math" w:hAnsi="Cambria Math"/>
                      </w:rPr>
                      <m:t>44</m:t>
                    </m:r>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CF</m:t>
                    </m:r>
                  </m:den>
                </m:f>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22</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w:t>
      </w:r>
      <w:r w:rsidRPr="00301DDB">
        <w:rPr>
          <w:vertAlign w:val="subscript"/>
          <w:lang w:val="en-US"/>
        </w:rPr>
        <w:t xml:space="preserve">i </w:t>
      </w:r>
      <w:r w:rsidRPr="00301DDB">
        <w:rPr>
          <w:lang w:val="en-US"/>
        </w:rPr>
        <w:t>=</w:t>
      </w:r>
      <w:r w:rsidRPr="00301DDB">
        <w:rPr>
          <w:lang w:val="en-US"/>
        </w:rPr>
        <w:tab/>
      </w:r>
      <w:r w:rsidRPr="00301DDB">
        <w:rPr>
          <w:lang w:val="en-US"/>
        </w:rPr>
        <w:tab/>
        <w:t>biomass within the debris pool from clearing in carbon</w:t>
      </w:r>
      <w:r w:rsidRPr="00301DDB">
        <w:rPr>
          <w:lang w:val="en-US"/>
        </w:rPr>
        <w:tab/>
      </w:r>
      <w:r w:rsidRPr="00301DDB">
        <w:rPr>
          <w:lang w:val="en-US"/>
        </w:rPr>
        <w:tab/>
      </w:r>
      <w:r w:rsidRPr="00301DDB">
        <w:rPr>
          <w:lang w:val="en-US"/>
        </w:rPr>
        <w:tab/>
      </w:r>
      <w:r w:rsidRPr="00301DDB">
        <w:rPr>
          <w:lang w:val="en-US"/>
        </w:rPr>
        <w:tab/>
        <w:t>estimation area (i) (tonnes of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A</w:t>
      </w:r>
      <w:r w:rsidRPr="00301DDB">
        <w:rPr>
          <w:vertAlign w:val="subscript"/>
          <w:lang w:val="en-US"/>
        </w:rPr>
        <w:t xml:space="preserve">i </w:t>
      </w:r>
      <w:r w:rsidRPr="00301DDB">
        <w:rPr>
          <w:lang w:val="en-US"/>
        </w:rPr>
        <w:t>=</w:t>
      </w:r>
      <w:r w:rsidRPr="00301DDB">
        <w:rPr>
          <w:lang w:val="en-US"/>
        </w:rPr>
        <w:tab/>
      </w:r>
      <w:r w:rsidRPr="00301DDB">
        <w:rPr>
          <w:lang w:val="en-US"/>
        </w:rPr>
        <w:tab/>
        <w:t>area of carbon estimation area (i) (hectares).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C</w:t>
      </w:r>
      <w:r w:rsidRPr="00301DDB">
        <w:rPr>
          <w:vertAlign w:val="subscript"/>
          <w:lang w:val="en-US"/>
        </w:rPr>
        <w:t xml:space="preserve">i,r </w:t>
      </w:r>
      <w:r w:rsidRPr="00301DDB">
        <w:rPr>
          <w:lang w:val="en-US"/>
        </w:rPr>
        <w:t>=</w:t>
      </w:r>
      <w:r w:rsidRPr="00301DDB">
        <w:rPr>
          <w:lang w:val="en-US"/>
        </w:rPr>
        <w:tab/>
      </w:r>
      <w:r w:rsidRPr="00301DDB">
        <w:rPr>
          <w:lang w:val="en-US"/>
        </w:rPr>
        <w:tab/>
        <w:t>mean carbon stock in all pools in the baseline in carbon</w:t>
      </w:r>
      <w:r w:rsidRPr="00301DDB">
        <w:rPr>
          <w:lang w:val="en-US"/>
        </w:rPr>
        <w:tab/>
      </w:r>
      <w:r w:rsidRPr="00301DDB">
        <w:rPr>
          <w:lang w:val="en-US"/>
        </w:rPr>
        <w:tab/>
      </w:r>
      <w:r w:rsidRPr="00301DDB">
        <w:rPr>
          <w:lang w:val="en-US"/>
        </w:rPr>
        <w:tab/>
      </w:r>
      <w:r w:rsidRPr="00301DDB">
        <w:rPr>
          <w:lang w:val="en-US"/>
        </w:rPr>
        <w:tab/>
        <w:t>estimation area (i) for the first reporting period (r = 1)</w:t>
      </w:r>
      <w:r w:rsidRPr="00301DDB">
        <w:rPr>
          <w:lang w:val="en-US"/>
        </w:rPr>
        <w:tab/>
      </w:r>
      <w:r w:rsidRPr="00301DDB">
        <w:rPr>
          <w:lang w:val="en-US"/>
        </w:rPr>
        <w:tab/>
      </w:r>
      <w:r w:rsidRPr="00301DDB">
        <w:rPr>
          <w:lang w:val="en-US"/>
        </w:rPr>
        <w:tab/>
      </w:r>
      <w:r w:rsidRPr="00301DDB">
        <w:rPr>
          <w:lang w:val="en-US"/>
        </w:rPr>
        <w:tab/>
        <w:t>(tonnes of carbon dioxide equivalent per hectare) calculated in</w:t>
      </w:r>
      <w:r w:rsidRPr="00301DDB">
        <w:rPr>
          <w:lang w:val="en-US"/>
        </w:rPr>
        <w:tab/>
      </w:r>
      <w:r w:rsidRPr="00301DDB">
        <w:rPr>
          <w:lang w:val="en-US"/>
        </w:rPr>
        <w:tab/>
      </w:r>
      <w:r w:rsidRPr="00301DDB">
        <w:rPr>
          <w:lang w:val="en-US"/>
        </w:rPr>
        <w:tab/>
        <w:t>Equation 12.</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r =</w:t>
      </w:r>
      <w:r w:rsidRPr="00301DDB">
        <w:rPr>
          <w:lang w:val="en-US"/>
        </w:rPr>
        <w:tab/>
      </w:r>
      <w:r w:rsidRPr="00301DDB">
        <w:rPr>
          <w:lang w:val="en-US"/>
        </w:rPr>
        <w:tab/>
        <w:t>the r</w:t>
      </w:r>
      <w:r w:rsidRPr="00301DDB">
        <w:rPr>
          <w:vertAlign w:val="superscript"/>
          <w:lang w:val="en-US"/>
        </w:rPr>
        <w:t xml:space="preserve">th </w:t>
      </w:r>
      <w:r w:rsidRPr="00301DDB">
        <w:rPr>
          <w:lang w:val="en-US"/>
        </w:rPr>
        <w:t>reporting period.</w:t>
      </w:r>
      <w:r w:rsidRPr="00301DDB">
        <w:rPr>
          <w:lang w:val="en-US"/>
        </w:rPr>
        <w:tab/>
      </w:r>
      <w:r w:rsidRPr="00301DDB">
        <w:rPr>
          <w:lang w:val="en-US"/>
        </w:rPr>
        <w:tab/>
      </w:r>
    </w:p>
    <w:p w:rsidR="00301DDB" w:rsidRPr="00301DDB" w:rsidRDefault="00301DDB" w:rsidP="00301DDB">
      <w:pPr>
        <w:keepLines/>
        <w:tabs>
          <w:tab w:val="right" w:pos="794"/>
        </w:tabs>
        <w:spacing w:before="80" w:after="100" w:line="260" w:lineRule="exact"/>
        <w:ind w:left="964" w:firstLine="454"/>
        <w:jc w:val="both"/>
        <w:rPr>
          <w:lang w:val="en-US"/>
        </w:rPr>
      </w:pPr>
      <w:r w:rsidRPr="00301DDB">
        <w:rPr>
          <w:lang w:val="en-US"/>
        </w:rPr>
        <w:t>1/CF =</w:t>
      </w:r>
      <w:r w:rsidRPr="00301DDB">
        <w:rPr>
          <w:lang w:val="en-US"/>
        </w:rPr>
        <w:tab/>
      </w:r>
      <w:r w:rsidRPr="00301DDB">
        <w:rPr>
          <w:lang w:val="en-US"/>
        </w:rPr>
        <w:tab/>
        <w:t>inverse of the carbon fraction of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12/44 =</w:t>
      </w:r>
      <w:r w:rsidRPr="00301DDB">
        <w:rPr>
          <w:lang w:val="en-US"/>
        </w:rPr>
        <w:tab/>
        <w:t>inverse ratio of molecular weight of carbon dioxide to carbon.</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5.2—Determination of methane and nitrous oxide emissions from biomass burns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The methane and nitrous oxide emissions associated with the burning event must be calculated using the following formulas:</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5.2.1—Determination of methane emissions from fire events</w:t>
      </w:r>
      <w:r w:rsidRPr="00301DDB">
        <w:rPr>
          <w:rFonts w:ascii="Arial" w:hAnsi="Arial"/>
          <w:i/>
          <w:lang w:val="en-US"/>
        </w:rPr>
        <w:tab/>
      </w:r>
      <w:r w:rsidRPr="00301DDB">
        <w:rPr>
          <w:rFonts w:ascii="Arial" w:hAnsi="Arial"/>
          <w:i/>
          <w:lang w:val="en-US"/>
        </w:rPr>
        <w:tab/>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rPr>
                <w:lang w:val="en-US"/>
              </w:rPr>
            </w:pPr>
            <m:oMathPara>
              <m:oMath>
                <m:sSub>
                  <m:sSubPr>
                    <m:ctrlPr>
                      <w:rPr>
                        <w:rFonts w:ascii="Cambria Math" w:hAnsi="Cambria Math"/>
                        <w:bCs/>
                        <w:lang w:val="en-US"/>
                      </w:rPr>
                    </m:ctrlPr>
                  </m:sSubPr>
                  <m:e>
                    <m:r>
                      <m:rPr>
                        <m:sty m:val="p"/>
                      </m:rPr>
                      <w:rPr>
                        <w:rFonts w:ascii="Cambria Math" w:hAnsi="Cambria Math"/>
                        <w:lang w:val="en-US"/>
                      </w:rPr>
                      <m:t>E</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m:t>
                    </m:r>
                  </m:sub>
                </m:sSub>
                <m:r>
                  <m:rPr>
                    <m:sty m:val="p"/>
                  </m:rPr>
                  <w:rPr>
                    <w:rFonts w:ascii="Cambria Math" w:hAnsi="Cambria Math"/>
                    <w:lang w:val="en-US"/>
                  </w:rPr>
                  <m:t xml:space="preserve">= </m:t>
                </m:r>
                <m:sSub>
                  <m:sSubPr>
                    <m:ctrlPr>
                      <w:rPr>
                        <w:rFonts w:ascii="Cambria Math" w:hAnsi="Cambria Math"/>
                        <w:bCs/>
                        <w:lang w:val="en-US"/>
                      </w:rPr>
                    </m:ctrlPr>
                  </m:sSubPr>
                  <m:e>
                    <m:r>
                      <m:rPr>
                        <m:sty m:val="p"/>
                      </m:rPr>
                      <w:rPr>
                        <w:rFonts w:ascii="Cambria Math" w:hAnsi="Cambria Math"/>
                        <w:lang w:val="en-US"/>
                      </w:rPr>
                      <m:t>B</m:t>
                    </m:r>
                  </m:e>
                  <m:sub>
                    <m:r>
                      <m:rPr>
                        <m:sty m:val="p"/>
                      </m:rPr>
                      <w:rPr>
                        <w:rFonts w:ascii="Cambria Math" w:hAnsi="Cambria Math"/>
                        <w:lang w:val="en-US"/>
                      </w:rPr>
                      <m:t>i</m:t>
                    </m:r>
                  </m:sub>
                </m:sSub>
                <m:r>
                  <m:rPr>
                    <m:sty m:val="p"/>
                  </m:rPr>
                  <w:rPr>
                    <w:rFonts w:ascii="Cambria Math" w:hAnsi="Cambria Math"/>
                    <w:lang w:val="en-US"/>
                  </w:rPr>
                  <m:t>×CF×</m:t>
                </m:r>
                <m:sSub>
                  <m:sSubPr>
                    <m:ctrlPr>
                      <w:rPr>
                        <w:rFonts w:ascii="Cambria Math" w:hAnsi="Cambria Math"/>
                        <w:bCs/>
                        <w:lang w:val="en-US"/>
                      </w:rPr>
                    </m:ctrlPr>
                  </m:sSubPr>
                  <m:e>
                    <m:r>
                      <m:rPr>
                        <m:sty m:val="p"/>
                      </m:rPr>
                      <w:rPr>
                        <w:rFonts w:ascii="Cambria Math" w:hAnsi="Cambria Math"/>
                        <w:lang w:val="en-US"/>
                      </w:rPr>
                      <m:t>EF</m:t>
                    </m:r>
                  </m:e>
                  <m:sub>
                    <m:r>
                      <m:rPr>
                        <m:sty m:val="p"/>
                      </m:rPr>
                      <w:rPr>
                        <w:rFonts w:ascii="Cambria Math" w:hAnsi="Cambria Math"/>
                        <w:lang w:val="en-US"/>
                      </w:rPr>
                      <m:t>i,g</m:t>
                    </m:r>
                  </m:sub>
                </m:sSub>
                <m:r>
                  <m:rPr>
                    <m:sty m:val="p"/>
                  </m:rPr>
                  <w:rPr>
                    <w:rFonts w:ascii="Cambria Math" w:hAnsi="Cambria Math"/>
                    <w:lang w:val="en-US"/>
                  </w:rPr>
                  <m:t xml:space="preserve"> × </m:t>
                </m:r>
                <m:sSub>
                  <m:sSubPr>
                    <m:ctrlPr>
                      <w:rPr>
                        <w:rFonts w:ascii="Cambria Math" w:hAnsi="Cambria Math"/>
                        <w:lang w:val="en-US"/>
                      </w:rPr>
                    </m:ctrlPr>
                  </m:sSubPr>
                  <m:e>
                    <m:r>
                      <m:rPr>
                        <m:sty m:val="p"/>
                      </m:rPr>
                      <w:rPr>
                        <w:rFonts w:ascii="Cambria Math" w:hAnsi="Cambria Math"/>
                        <w:lang w:val="en-US"/>
                      </w:rPr>
                      <m:t>GWP</m:t>
                    </m:r>
                  </m:e>
                  <m:sub>
                    <m:r>
                      <m:rPr>
                        <m:sty m:val="p"/>
                      </m:rPr>
                      <w:rPr>
                        <w:rFonts w:ascii="Cambria Math" w:hAnsi="Cambria Math"/>
                        <w:lang w:val="en-US"/>
                      </w:rPr>
                      <m:t>g</m:t>
                    </m:r>
                  </m:sub>
                </m:sSub>
                <m:r>
                  <m:rPr>
                    <m:sty m:val="p"/>
                  </m:rPr>
                  <w:rPr>
                    <w:rFonts w:ascii="Cambria Math" w:hAnsi="Cambria Math"/>
                    <w:lang w:val="en-US"/>
                  </w:rPr>
                  <m:t>×MM</m:t>
                </m:r>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23</w:t>
            </w:r>
          </w:p>
        </w:tc>
      </w:tr>
    </w:tbl>
    <w:p w:rsidR="00301DDB" w:rsidRPr="00301DDB" w:rsidRDefault="00301DDB" w:rsidP="00301DDB">
      <w:pPr>
        <w:jc w:val="both"/>
      </w:pP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5.2.2—Determination of nitrous oxide emissions from fire events</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ind w:left="964" w:hanging="964"/>
              <w:jc w:val="both"/>
              <w:rPr>
                <w:lang w:val="en-US"/>
              </w:rPr>
            </w:pPr>
            <m:oMathPara>
              <m:oMath>
                <m:sSub>
                  <m:sSubPr>
                    <m:ctrlPr>
                      <w:rPr>
                        <w:rFonts w:ascii="Cambria Math" w:hAnsi="Cambria Math"/>
                        <w:bCs/>
                        <w:lang w:val="en-US"/>
                      </w:rPr>
                    </m:ctrlPr>
                  </m:sSubPr>
                  <m:e>
                    <m:r>
                      <m:rPr>
                        <m:sty m:val="p"/>
                      </m:rPr>
                      <w:rPr>
                        <w:rFonts w:ascii="Cambria Math" w:hAnsi="Cambria Math"/>
                        <w:lang w:val="en-US"/>
                      </w:rPr>
                      <m:t>E</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m:t>
                    </m:r>
                  </m:sub>
                </m:sSub>
                <m:r>
                  <m:rPr>
                    <m:sty m:val="p"/>
                  </m:rPr>
                  <w:rPr>
                    <w:rFonts w:ascii="Cambria Math" w:hAnsi="Cambria Math"/>
                    <w:lang w:val="en-US"/>
                  </w:rPr>
                  <m:t xml:space="preserve">= </m:t>
                </m:r>
                <m:sSub>
                  <m:sSubPr>
                    <m:ctrlPr>
                      <w:rPr>
                        <w:rFonts w:ascii="Cambria Math" w:hAnsi="Cambria Math"/>
                        <w:bCs/>
                        <w:lang w:val="en-US"/>
                      </w:rPr>
                    </m:ctrlPr>
                  </m:sSubPr>
                  <m:e>
                    <m:r>
                      <m:rPr>
                        <m:sty m:val="p"/>
                      </m:rPr>
                      <w:rPr>
                        <w:rFonts w:ascii="Cambria Math" w:hAnsi="Cambria Math"/>
                        <w:lang w:val="en-US"/>
                      </w:rPr>
                      <m:t>B</m:t>
                    </m:r>
                  </m:e>
                  <m:sub>
                    <m:r>
                      <m:rPr>
                        <m:sty m:val="p"/>
                      </m:rPr>
                      <w:rPr>
                        <w:rFonts w:ascii="Cambria Math" w:hAnsi="Cambria Math"/>
                        <w:lang w:val="en-US"/>
                      </w:rPr>
                      <m:t>i</m:t>
                    </m:r>
                  </m:sub>
                </m:sSub>
                <m:r>
                  <m:rPr>
                    <m:sty m:val="p"/>
                  </m:rPr>
                  <w:rPr>
                    <w:rFonts w:ascii="Cambria Math" w:hAnsi="Cambria Math"/>
                    <w:lang w:val="en-US"/>
                  </w:rPr>
                  <m:t>×CF×NC×</m:t>
                </m:r>
                <m:sSub>
                  <m:sSubPr>
                    <m:ctrlPr>
                      <w:rPr>
                        <w:rFonts w:ascii="Cambria Math" w:hAnsi="Cambria Math"/>
                        <w:bCs/>
                        <w:lang w:val="en-US"/>
                      </w:rPr>
                    </m:ctrlPr>
                  </m:sSubPr>
                  <m:e>
                    <m:r>
                      <m:rPr>
                        <m:sty m:val="p"/>
                      </m:rPr>
                      <w:rPr>
                        <w:rFonts w:ascii="Cambria Math" w:hAnsi="Cambria Math"/>
                        <w:lang w:val="en-US"/>
                      </w:rPr>
                      <m:t>EF</m:t>
                    </m:r>
                  </m:e>
                  <m:sub>
                    <m:r>
                      <m:rPr>
                        <m:sty m:val="p"/>
                      </m:rPr>
                      <w:rPr>
                        <w:rFonts w:ascii="Cambria Math" w:hAnsi="Cambria Math"/>
                        <w:lang w:val="en-US"/>
                      </w:rPr>
                      <m:t>i,g</m:t>
                    </m:r>
                  </m:sub>
                </m:sSub>
                <m:r>
                  <m:rPr>
                    <m:sty m:val="p"/>
                  </m:rPr>
                  <w:rPr>
                    <w:rFonts w:ascii="Cambria Math" w:hAnsi="Cambria Math"/>
                    <w:lang w:val="en-US"/>
                  </w:rPr>
                  <m:t>×</m:t>
                </m:r>
                <m:sSub>
                  <m:sSubPr>
                    <m:ctrlPr>
                      <w:rPr>
                        <w:rFonts w:ascii="Cambria Math" w:hAnsi="Cambria Math"/>
                        <w:bCs/>
                        <w:lang w:val="en-US"/>
                      </w:rPr>
                    </m:ctrlPr>
                  </m:sSubPr>
                  <m:e>
                    <m:r>
                      <m:rPr>
                        <m:sty m:val="p"/>
                      </m:rPr>
                      <w:rPr>
                        <w:rFonts w:ascii="Cambria Math" w:hAnsi="Cambria Math"/>
                        <w:lang w:val="en-US"/>
                      </w:rPr>
                      <m:t>GWP</m:t>
                    </m:r>
                  </m:e>
                  <m:sub>
                    <m:r>
                      <m:rPr>
                        <m:sty m:val="p"/>
                      </m:rPr>
                      <w:rPr>
                        <w:rFonts w:ascii="Cambria Math" w:hAnsi="Cambria Math"/>
                        <w:lang w:val="en-US"/>
                      </w:rPr>
                      <m:t>g</m:t>
                    </m:r>
                  </m:sub>
                </m:sSub>
                <m:r>
                  <m:rPr>
                    <m:sty m:val="p"/>
                  </m:rPr>
                  <w:rPr>
                    <w:rFonts w:ascii="Cambria Math" w:hAnsi="Cambria Math"/>
                    <w:lang w:val="en-US"/>
                  </w:rPr>
                  <m:t>×MM</m:t>
                </m:r>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24</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vertAlign w:val="subscript"/>
          <w:lang w:val="en-US"/>
        </w:rPr>
      </w:pPr>
      <w:r w:rsidRPr="00301DDB">
        <w:rPr>
          <w:lang w:val="en-US"/>
        </w:rPr>
        <w:tab/>
      </w:r>
      <w:r w:rsidRPr="00301DDB">
        <w:rPr>
          <w:lang w:val="en-US"/>
        </w:rPr>
        <w:tab/>
      </w:r>
      <w:r w:rsidRPr="00301DDB">
        <w:rPr>
          <w:lang w:val="en-US"/>
        </w:rPr>
        <w:tab/>
        <w:t>E</w:t>
      </w:r>
      <w:r w:rsidRPr="00301DDB">
        <w:rPr>
          <w:vertAlign w:val="subscript"/>
          <w:lang w:val="en-US"/>
        </w:rPr>
        <w:t xml:space="preserve">CH4,i </w:t>
      </w:r>
      <w:r w:rsidRPr="00301DDB">
        <w:rPr>
          <w:lang w:val="en-US"/>
        </w:rPr>
        <w:t>=</w:t>
      </w:r>
      <w:r w:rsidRPr="00301DDB">
        <w:rPr>
          <w:lang w:val="en-US"/>
        </w:rPr>
        <w:tab/>
      </w:r>
      <w:r w:rsidRPr="00301DDB">
        <w:rPr>
          <w:lang w:val="en-US"/>
        </w:rPr>
        <w:tab/>
        <w:t>methane emissions due to fire events in carbon estimation area</w:t>
      </w:r>
      <w:r w:rsidRPr="00301DDB">
        <w:rPr>
          <w:lang w:val="en-US"/>
        </w:rPr>
        <w:tab/>
      </w:r>
      <w:r w:rsidRPr="00301DDB">
        <w:rPr>
          <w:lang w:val="en-US"/>
        </w:rPr>
        <w:tab/>
      </w:r>
      <w:r w:rsidRPr="00301DDB">
        <w:rPr>
          <w:lang w:val="en-US"/>
        </w:rPr>
        <w:tab/>
        <w:t>(i) (tonnes of carbon dioxide equivalent).</w:t>
      </w:r>
    </w:p>
    <w:p w:rsidR="00301DDB" w:rsidRPr="00301DDB" w:rsidRDefault="00301DDB" w:rsidP="00301DDB">
      <w:pPr>
        <w:keepLines/>
        <w:tabs>
          <w:tab w:val="right" w:pos="794"/>
        </w:tabs>
        <w:spacing w:before="80" w:after="100" w:line="260" w:lineRule="exact"/>
        <w:ind w:left="964" w:hanging="964"/>
        <w:jc w:val="both"/>
        <w:rPr>
          <w:vertAlign w:val="subscript"/>
          <w:lang w:val="en-US"/>
        </w:rPr>
      </w:pPr>
      <w:r w:rsidRPr="00301DDB">
        <w:rPr>
          <w:lang w:val="en-US"/>
        </w:rPr>
        <w:tab/>
      </w:r>
      <w:r w:rsidRPr="00301DDB">
        <w:rPr>
          <w:lang w:val="en-US"/>
        </w:rPr>
        <w:tab/>
      </w:r>
      <w:r w:rsidRPr="00301DDB">
        <w:rPr>
          <w:lang w:val="en-US"/>
        </w:rPr>
        <w:tab/>
        <w:t>E</w:t>
      </w:r>
      <w:r w:rsidRPr="00301DDB">
        <w:rPr>
          <w:vertAlign w:val="subscript"/>
          <w:lang w:val="en-US"/>
        </w:rPr>
        <w:t>N2O,i</w:t>
      </w:r>
      <w:r w:rsidRPr="00301DDB">
        <w:rPr>
          <w:lang w:val="en-US"/>
        </w:rPr>
        <w:t>=</w:t>
      </w:r>
      <w:r w:rsidRPr="00301DDB">
        <w:rPr>
          <w:lang w:val="en-US"/>
        </w:rPr>
        <w:tab/>
      </w:r>
      <w:r w:rsidRPr="00301DDB">
        <w:rPr>
          <w:lang w:val="en-US"/>
        </w:rPr>
        <w:tab/>
        <w:t>nitrous oxide emissions due to fire events in carbon estimation</w:t>
      </w:r>
      <w:r w:rsidRPr="00301DDB">
        <w:rPr>
          <w:lang w:val="en-US"/>
        </w:rPr>
        <w:tab/>
      </w:r>
      <w:r w:rsidRPr="00301DDB">
        <w:rPr>
          <w:lang w:val="en-US"/>
        </w:rPr>
        <w:tab/>
      </w:r>
      <w:r w:rsidRPr="00301DDB">
        <w:rPr>
          <w:lang w:val="en-US"/>
        </w:rPr>
        <w:tab/>
        <w:t>area (i) (tonnes of carbon dioxide equivalent).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vertAlign w:val="subscript"/>
          <w:lang w:val="en-US"/>
        </w:rPr>
        <w:tab/>
      </w:r>
      <w:r w:rsidRPr="00301DDB">
        <w:rPr>
          <w:vertAlign w:val="subscript"/>
          <w:lang w:val="en-US"/>
        </w:rPr>
        <w:tab/>
      </w:r>
      <w:r w:rsidRPr="00301DDB">
        <w:rPr>
          <w:vertAlign w:val="subscript"/>
          <w:lang w:val="en-US"/>
        </w:rPr>
        <w:tab/>
      </w:r>
      <w:r w:rsidRPr="00301DDB">
        <w:rPr>
          <w:lang w:val="en-US"/>
        </w:rPr>
        <w:t>B</w:t>
      </w:r>
      <w:r w:rsidRPr="00301DDB">
        <w:rPr>
          <w:vertAlign w:val="subscript"/>
          <w:lang w:val="en-US"/>
        </w:rPr>
        <w:t xml:space="preserve">i </w:t>
      </w:r>
      <w:r w:rsidRPr="00301DDB">
        <w:rPr>
          <w:lang w:val="en-US"/>
        </w:rPr>
        <w:t>=</w:t>
      </w:r>
      <w:r w:rsidRPr="00301DDB">
        <w:rPr>
          <w:lang w:val="en-US"/>
        </w:rPr>
        <w:tab/>
      </w:r>
      <w:r w:rsidRPr="00301DDB">
        <w:rPr>
          <w:lang w:val="en-US"/>
        </w:rPr>
        <w:tab/>
        <w:t>biomass within the debris pool from forest conversion activities</w:t>
      </w:r>
      <w:r w:rsidRPr="00301DDB">
        <w:rPr>
          <w:lang w:val="en-US"/>
        </w:rPr>
        <w:tab/>
      </w:r>
      <w:r w:rsidRPr="00301DDB">
        <w:rPr>
          <w:lang w:val="en-US"/>
        </w:rPr>
        <w:tab/>
      </w:r>
      <w:r w:rsidRPr="00301DDB">
        <w:rPr>
          <w:lang w:val="en-US"/>
        </w:rPr>
        <w:tab/>
        <w:t>in carbon estimation area (i) (tonnes of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 xml:space="preserve">CF = </w:t>
      </w:r>
      <w:r w:rsidRPr="00301DDB">
        <w:rPr>
          <w:lang w:val="en-US"/>
        </w:rPr>
        <w:tab/>
      </w:r>
      <w:r w:rsidRPr="00301DDB">
        <w:rPr>
          <w:lang w:val="en-US"/>
        </w:rPr>
        <w:tab/>
        <w:t>0.5, being the carbon mass fraction of vegetation.</w:t>
      </w:r>
      <w:r w:rsidRPr="00301DDB">
        <w:rPr>
          <w:lang w:val="en-US"/>
        </w:rPr>
        <w:tab/>
      </w:r>
      <w:r w:rsidRPr="00301DDB">
        <w:rPr>
          <w:lang w:val="en-US"/>
        </w:rPr>
        <w:tab/>
      </w:r>
      <w:r w:rsidRPr="00301DDB">
        <w:rPr>
          <w:lang w:val="en-US"/>
        </w:rPr>
        <w:tab/>
        <w:t>EF</w:t>
      </w:r>
      <w:r w:rsidRPr="00301DDB">
        <w:rPr>
          <w:vertAlign w:val="subscript"/>
          <w:lang w:val="en-US"/>
        </w:rPr>
        <w:t xml:space="preserve">g </w:t>
      </w:r>
      <w:r w:rsidRPr="00301DDB">
        <w:rPr>
          <w:lang w:val="en-US"/>
        </w:rPr>
        <w:t>=</w:t>
      </w:r>
      <w:r w:rsidRPr="00301DDB">
        <w:rPr>
          <w:lang w:val="en-US"/>
        </w:rPr>
        <w:tab/>
      </w:r>
      <w:r w:rsidRPr="00301DDB">
        <w:rPr>
          <w:lang w:val="en-US"/>
        </w:rPr>
        <w:tab/>
        <w:t>emission factor for gas species (g); t element in species/t</w:t>
      </w:r>
      <w:r w:rsidRPr="00301DDB">
        <w:rPr>
          <w:lang w:val="en-US"/>
        </w:rPr>
        <w:tab/>
      </w:r>
      <w:r w:rsidRPr="00301DDB">
        <w:rPr>
          <w:lang w:val="en-US"/>
        </w:rPr>
        <w:tab/>
      </w:r>
      <w:r w:rsidRPr="00301DDB">
        <w:rPr>
          <w:lang w:val="en-US"/>
        </w:rPr>
        <w:tab/>
      </w:r>
      <w:r w:rsidRPr="00301DDB">
        <w:rPr>
          <w:lang w:val="en-US"/>
        </w:rPr>
        <w:tab/>
        <w:t>element in fuel burnt (data must be accessed in table 7.21 of the</w:t>
      </w:r>
      <w:r w:rsidRPr="00301DDB">
        <w:rPr>
          <w:lang w:val="en-US"/>
        </w:rPr>
        <w:tab/>
      </w:r>
      <w:r w:rsidRPr="00301DDB">
        <w:rPr>
          <w:lang w:val="en-US"/>
        </w:rPr>
        <w:tab/>
      </w:r>
      <w:r w:rsidRPr="00301DDB">
        <w:rPr>
          <w:lang w:val="en-US"/>
        </w:rPr>
        <w:tab/>
      </w:r>
      <w:r w:rsidRPr="00301DDB">
        <w:rPr>
          <w:bCs/>
          <w:lang w:val="en-US"/>
        </w:rPr>
        <w:t>National Inventory Report, 2010: Volume 2)</w:t>
      </w:r>
      <w:r w:rsidRPr="00301DDB">
        <w:rPr>
          <w:lang w:val="en-US"/>
        </w:rPr>
        <w:t>.</w:t>
      </w:r>
    </w:p>
    <w:p w:rsidR="00301DDB" w:rsidRPr="00301DDB" w:rsidRDefault="00301DDB" w:rsidP="00301DDB">
      <w:pPr>
        <w:keepLines/>
        <w:tabs>
          <w:tab w:val="right" w:pos="794"/>
        </w:tabs>
        <w:spacing w:before="80" w:after="100" w:line="260" w:lineRule="exact"/>
        <w:ind w:left="964" w:hanging="964"/>
        <w:jc w:val="both"/>
        <w:rPr>
          <w:iCs/>
          <w:lang w:val="en-US"/>
        </w:rPr>
      </w:pPr>
      <w:r w:rsidRPr="00301DDB">
        <w:rPr>
          <w:lang w:val="en-US"/>
        </w:rPr>
        <w:tab/>
      </w:r>
      <w:r w:rsidRPr="00301DDB">
        <w:rPr>
          <w:lang w:val="en-US"/>
        </w:rPr>
        <w:tab/>
      </w:r>
      <w:r w:rsidRPr="00301DDB">
        <w:rPr>
          <w:lang w:val="en-US"/>
        </w:rPr>
        <w:tab/>
        <w:t>GWP</w:t>
      </w:r>
      <w:r w:rsidRPr="00301DDB">
        <w:rPr>
          <w:vertAlign w:val="subscript"/>
          <w:lang w:val="en-US"/>
        </w:rPr>
        <w:t xml:space="preserve">g </w:t>
      </w:r>
      <w:r w:rsidRPr="00301DDB">
        <w:rPr>
          <w:lang w:val="en-US"/>
        </w:rPr>
        <w:t>=</w:t>
      </w:r>
      <w:r w:rsidRPr="00301DDB">
        <w:rPr>
          <w:lang w:val="en-US"/>
        </w:rPr>
        <w:tab/>
        <w:t>Global warming potential for gas (</w:t>
      </w:r>
      <w:r w:rsidRPr="00301DDB">
        <w:rPr>
          <w:iCs/>
          <w:lang w:val="en-US"/>
        </w:rPr>
        <w:t>g) (tonnes of carbon dioxide</w:t>
      </w:r>
      <w:r w:rsidRPr="00301DDB">
        <w:rPr>
          <w:iCs/>
          <w:lang w:val="en-US"/>
        </w:rPr>
        <w:tab/>
      </w:r>
      <w:r w:rsidRPr="00301DDB">
        <w:rPr>
          <w:iCs/>
          <w:lang w:val="en-US"/>
        </w:rPr>
        <w:tab/>
      </w:r>
      <w:r w:rsidRPr="00301DDB">
        <w:rPr>
          <w:iCs/>
          <w:lang w:val="en-US"/>
        </w:rPr>
        <w:tab/>
        <w:t xml:space="preserve">per tonne of gas (g)) as specified in the NGER Regulations.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lastRenderedPageBreak/>
        <w:tab/>
      </w:r>
      <w:r w:rsidRPr="00301DDB">
        <w:rPr>
          <w:lang w:val="en-US"/>
        </w:rPr>
        <w:tab/>
      </w:r>
      <w:r w:rsidRPr="00301DDB">
        <w:rPr>
          <w:lang w:val="en-US"/>
        </w:rPr>
        <w:tab/>
        <w:t>MM =</w:t>
      </w:r>
      <w:r w:rsidRPr="00301DDB">
        <w:rPr>
          <w:lang w:val="en-US"/>
        </w:rPr>
        <w:tab/>
      </w:r>
      <w:r w:rsidRPr="00301DDB">
        <w:rPr>
          <w:lang w:val="en-US"/>
        </w:rPr>
        <w:tab/>
        <w:t>factor to convert elemental mass of gas species (g) to molecular</w:t>
      </w:r>
      <w:r w:rsidRPr="00301DDB">
        <w:rPr>
          <w:lang w:val="en-US"/>
        </w:rPr>
        <w:tab/>
      </w:r>
      <w:r w:rsidRPr="00301DDB">
        <w:rPr>
          <w:lang w:val="en-US"/>
        </w:rPr>
        <w:tab/>
      </w:r>
      <w:r w:rsidRPr="00301DDB">
        <w:rPr>
          <w:lang w:val="en-US"/>
        </w:rPr>
        <w:tab/>
        <w:t xml:space="preserve">mass (data must be accessed from table 7.22 of the </w:t>
      </w:r>
      <w:r w:rsidRPr="00301DDB">
        <w:rPr>
          <w:bCs/>
          <w:lang w:val="en-US"/>
        </w:rPr>
        <w:t>National</w:t>
      </w:r>
      <w:r w:rsidRPr="00301DDB">
        <w:rPr>
          <w:bCs/>
          <w:lang w:val="en-US"/>
        </w:rPr>
        <w:tab/>
      </w:r>
      <w:r w:rsidRPr="00301DDB">
        <w:rPr>
          <w:bCs/>
          <w:lang w:val="en-US"/>
        </w:rPr>
        <w:tab/>
      </w:r>
      <w:r w:rsidRPr="00301DDB">
        <w:rPr>
          <w:bCs/>
          <w:lang w:val="en-US"/>
        </w:rPr>
        <w:tab/>
        <w:t>Inventory Report, 2010: Volume 2</w:t>
      </w:r>
      <w:r w:rsidRPr="00301DDB">
        <w:rPr>
          <w:lang w:val="en-US"/>
        </w:rPr>
        <w: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NC =</w:t>
      </w:r>
      <w:r w:rsidRPr="00301DDB">
        <w:rPr>
          <w:lang w:val="en-US"/>
        </w:rPr>
        <w:tab/>
      </w:r>
      <w:r w:rsidRPr="00301DDB">
        <w:rPr>
          <w:lang w:val="en-US"/>
        </w:rPr>
        <w:tab/>
        <w:t>0.011, being the nitrogen to carbon ratio of the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g =</w:t>
      </w:r>
      <w:r w:rsidRPr="00301DDB">
        <w:rPr>
          <w:lang w:val="en-US"/>
        </w:rPr>
        <w:tab/>
      </w:r>
      <w:r w:rsidRPr="00301DDB">
        <w:rPr>
          <w:lang w:val="en-US"/>
        </w:rPr>
        <w:tab/>
        <w:t>greenhouse gas methane (CH</w:t>
      </w:r>
      <w:r w:rsidRPr="00301DDB">
        <w:rPr>
          <w:vertAlign w:val="subscript"/>
          <w:lang w:val="en-US"/>
        </w:rPr>
        <w:t>4</w:t>
      </w:r>
      <w:r w:rsidRPr="00301DDB">
        <w:rPr>
          <w:lang w:val="en-US"/>
        </w:rPr>
        <w:t>) or nitrous oxide (N</w:t>
      </w:r>
      <w:r w:rsidRPr="00301DDB">
        <w:rPr>
          <w:vertAlign w:val="subscript"/>
          <w:lang w:val="en-US"/>
        </w:rPr>
        <w:t>2</w:t>
      </w:r>
      <w:r w:rsidRPr="00301DDB">
        <w:rPr>
          <w:lang w:val="en-US"/>
        </w:rPr>
        <w:t>O).</w:t>
      </w:r>
    </w:p>
    <w:p w:rsidR="00301DDB" w:rsidRPr="00301DDB" w:rsidRDefault="00301DDB" w:rsidP="00301DDB">
      <w:pPr>
        <w:spacing w:before="80" w:after="80"/>
        <w:jc w:val="both"/>
        <w:rPr>
          <w:color w:val="0070C0"/>
          <w:lang w:val="en-US"/>
        </w:rPr>
      </w:pPr>
      <w:r w:rsidRPr="00301DDB">
        <w:rPr>
          <w:color w:val="0070C0"/>
          <w:lang w:val="en-US"/>
        </w:rPr>
        <w:tab/>
      </w:r>
      <w:r w:rsidRPr="00301DDB">
        <w:rPr>
          <w:color w:val="0070C0"/>
          <w:lang w:val="en-US"/>
        </w:rPr>
        <w:tab/>
      </w:r>
      <w:r w:rsidRPr="00301DDB">
        <w:rPr>
          <w:lang w:val="en-US"/>
        </w:rPr>
        <w:t>i =</w:t>
      </w:r>
      <w:r w:rsidRPr="00301DDB">
        <w:rPr>
          <w:lang w:val="en-US"/>
        </w:rPr>
        <w:tab/>
      </w:r>
      <w:r w:rsidRPr="00301DDB">
        <w:rPr>
          <w:color w:val="0070C0"/>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color w:val="0070C0"/>
          <w:lang w:val="en-US"/>
        </w:rPr>
        <w:t>.</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5.3—Determination of greenhouse gas emissions from biomass burning</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(4)</w:t>
      </w:r>
      <w:r w:rsidRPr="00301DDB">
        <w:rPr>
          <w:lang w:val="en-US"/>
        </w:rPr>
        <w:tab/>
        <w:t>The greenhouse gas emissions associated with the biomass burning event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rPr>
                <w:lang w:val="en-US"/>
              </w:rPr>
            </w:pPr>
            <m:oMathPara>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 xml:space="preserve">BiomassBurn,i </m:t>
                    </m:r>
                  </m:sub>
                </m:sSub>
                <m:r>
                  <m:rPr>
                    <m:sty m:val="p"/>
                  </m:rPr>
                  <w:rPr>
                    <w:rFonts w:ascii="Cambria Math" w:hAnsi="Cambria Math"/>
                  </w:rPr>
                  <m:t xml:space="preserve">= </m:t>
                </m:r>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25</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vertAlign w:val="subscript"/>
          <w:lang w:val="en-US"/>
        </w:rPr>
      </w:pPr>
      <w:r w:rsidRPr="00301DDB">
        <w:rPr>
          <w:lang w:val="en-US"/>
        </w:rPr>
        <w:tab/>
      </w:r>
      <w:r w:rsidRPr="00301DDB">
        <w:rPr>
          <w:lang w:val="en-US"/>
        </w:rPr>
        <w:tab/>
      </w:r>
      <w:r w:rsidRPr="00301DDB">
        <w:rPr>
          <w:lang w:val="en-US"/>
        </w:rPr>
        <w:tab/>
        <w:t>E</w:t>
      </w:r>
      <w:r w:rsidRPr="00301DDB">
        <w:rPr>
          <w:vertAlign w:val="subscript"/>
          <w:lang w:val="en-US"/>
        </w:rPr>
        <w:t xml:space="preserve">BiomassBurn,i </w:t>
      </w:r>
      <w:r w:rsidRPr="00301DDB">
        <w:rPr>
          <w:lang w:val="en-US"/>
        </w:rPr>
        <w:t>=</w:t>
      </w:r>
      <w:r w:rsidRPr="00301DDB">
        <w:rPr>
          <w:lang w:val="en-US"/>
        </w:rPr>
        <w:tab/>
        <w:t>greenhouse gas emissions due to biomass burning in carbon</w:t>
      </w:r>
      <w:r w:rsidRPr="00301DDB">
        <w:rPr>
          <w:lang w:val="en-US"/>
        </w:rPr>
        <w:tab/>
      </w:r>
      <w:r w:rsidRPr="00301DDB">
        <w:rPr>
          <w:lang w:val="en-US"/>
        </w:rPr>
        <w:tab/>
      </w:r>
      <w:r w:rsidRPr="00301DDB">
        <w:rPr>
          <w:lang w:val="en-US"/>
        </w:rPr>
        <w:tab/>
      </w:r>
      <w:r w:rsidRPr="00301DDB">
        <w:rPr>
          <w:lang w:val="en-US"/>
        </w:rPr>
        <w:tab/>
        <w:t>estimation area (i) (tonnes of carbon dioxide equivalent).</w:t>
      </w:r>
    </w:p>
    <w:p w:rsidR="00301DDB" w:rsidRPr="00301DDB" w:rsidRDefault="00301DDB" w:rsidP="00301DDB">
      <w:pPr>
        <w:keepLines/>
        <w:tabs>
          <w:tab w:val="right" w:pos="794"/>
        </w:tabs>
        <w:spacing w:before="80" w:after="100" w:line="260" w:lineRule="exact"/>
        <w:ind w:left="1440" w:hanging="1440"/>
        <w:jc w:val="both"/>
        <w:rPr>
          <w:lang w:val="en-US"/>
        </w:rPr>
      </w:pPr>
      <w:r w:rsidRPr="00301DDB">
        <w:rPr>
          <w:lang w:val="en-US"/>
        </w:rPr>
        <w:tab/>
      </w:r>
      <w:r w:rsidRPr="00301DDB">
        <w:rPr>
          <w:lang w:val="en-US"/>
        </w:rPr>
        <w:tab/>
        <w:t>E</w:t>
      </w:r>
      <w:r w:rsidRPr="00301DDB">
        <w:rPr>
          <w:vertAlign w:val="subscript"/>
          <w:lang w:val="en-US"/>
        </w:rPr>
        <w:t xml:space="preserve">CH4,i </w:t>
      </w:r>
      <w:r w:rsidRPr="00301DDB">
        <w:rPr>
          <w:lang w:val="en-US"/>
        </w:rPr>
        <w:t>=</w:t>
      </w:r>
      <w:r w:rsidRPr="00301DDB">
        <w:rPr>
          <w:lang w:val="en-US"/>
        </w:rPr>
        <w:tab/>
      </w:r>
      <w:r w:rsidRPr="00301DDB">
        <w:rPr>
          <w:lang w:val="en-US"/>
        </w:rPr>
        <w:tab/>
        <w:t>methane emissions due to biomass burning, as determined in</w:t>
      </w:r>
      <w:r w:rsidRPr="00301DDB">
        <w:rPr>
          <w:lang w:val="en-US"/>
        </w:rPr>
        <w:tab/>
      </w:r>
      <w:r w:rsidRPr="00301DDB">
        <w:rPr>
          <w:lang w:val="en-US"/>
        </w:rPr>
        <w:tab/>
        <w:t>accordance with Equation 23, in carbon estimation area (i)</w:t>
      </w:r>
      <w:r w:rsidRPr="00301DDB">
        <w:rPr>
          <w:lang w:val="en-US"/>
        </w:rPr>
        <w:tab/>
      </w:r>
      <w:r w:rsidRPr="00301DDB">
        <w:rPr>
          <w:lang w:val="en-US"/>
        </w:rPr>
        <w:tab/>
      </w:r>
      <w:r w:rsidRPr="00301DDB">
        <w:rPr>
          <w:lang w:val="en-US"/>
        </w:rPr>
        <w:tab/>
        <w:t>(tonnes carbon dioxide equivalent).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E</w:t>
      </w:r>
      <w:r w:rsidRPr="00301DDB">
        <w:rPr>
          <w:iCs/>
          <w:vertAlign w:val="subscript"/>
          <w:lang w:val="en-US"/>
        </w:rPr>
        <w:t>N20</w:t>
      </w:r>
      <w:r w:rsidRPr="00301DDB">
        <w:rPr>
          <w:vertAlign w:val="subscript"/>
          <w:lang w:val="en-US"/>
        </w:rPr>
        <w:t xml:space="preserve">,i,t </w:t>
      </w:r>
      <w:r w:rsidRPr="00301DDB">
        <w:rPr>
          <w:lang w:val="en-US"/>
        </w:rPr>
        <w:t>=</w:t>
      </w:r>
      <w:r w:rsidRPr="00301DDB">
        <w:rPr>
          <w:lang w:val="en-US"/>
        </w:rPr>
        <w:tab/>
        <w:t>nitrous oxide emissions due to biomass burning, as determined</w:t>
      </w:r>
      <w:r w:rsidRPr="00301DDB">
        <w:rPr>
          <w:lang w:val="en-US"/>
        </w:rPr>
        <w:tab/>
      </w:r>
      <w:r w:rsidRPr="00301DDB">
        <w:rPr>
          <w:lang w:val="en-US"/>
        </w:rPr>
        <w:tab/>
      </w:r>
      <w:r w:rsidRPr="00301DDB">
        <w:rPr>
          <w:lang w:val="en-US"/>
        </w:rPr>
        <w:tab/>
        <w:t>in accordance with Equation 24, in carbon estimation area (i)</w:t>
      </w:r>
      <w:r w:rsidRPr="00301DDB">
        <w:rPr>
          <w:lang w:val="en-US"/>
        </w:rPr>
        <w:tab/>
      </w:r>
      <w:r w:rsidRPr="00301DDB">
        <w:rPr>
          <w:lang w:val="en-US"/>
        </w:rPr>
        <w:tab/>
      </w:r>
      <w:r w:rsidRPr="00301DDB">
        <w:rPr>
          <w:lang w:val="en-US"/>
        </w:rPr>
        <w:tab/>
        <w:t>(tonnes of carbon dioxide equivalent).</w:t>
      </w:r>
    </w:p>
    <w:p w:rsidR="00301DDB" w:rsidRPr="00301DDB" w:rsidRDefault="00301DDB" w:rsidP="00301DDB">
      <w:pPr>
        <w:keepLines/>
        <w:tabs>
          <w:tab w:val="right" w:pos="794"/>
        </w:tabs>
        <w:spacing w:before="80" w:after="100" w:line="22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t>the i</w:t>
      </w:r>
      <w:r w:rsidRPr="00301DDB">
        <w:rPr>
          <w:vertAlign w:val="superscript"/>
          <w:lang w:val="en-US"/>
        </w:rPr>
        <w:t>th</w:t>
      </w:r>
      <w:r w:rsidRPr="00301DDB">
        <w:rPr>
          <w:lang w:val="en-US"/>
        </w:rPr>
        <w:t xml:space="preserve"> carbon estimation area.</w:t>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(5)</w:t>
      </w:r>
      <w:r w:rsidRPr="00301DDB">
        <w:rPr>
          <w:lang w:val="en-US"/>
        </w:rPr>
        <w:tab/>
        <w:t>The total greenhouse gas emissions from burning in relation to each carbon estimation area must be redefined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ind w:left="964" w:hanging="964"/>
              <w:jc w:val="both"/>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vertAlign w:val="subscript"/>
                        <w:lang w:val="en-US"/>
                      </w:rPr>
                      <m:t xml:space="preserve">BSL,i </m:t>
                    </m:r>
                  </m:sub>
                </m:sSub>
                <m:r>
                  <m:rPr>
                    <m:sty m:val="p"/>
                  </m:rPr>
                  <w:rPr>
                    <w:rFonts w:ascii="Cambria Math" w:hAnsi="Cambria Math"/>
                    <w:vertAlign w:val="subscript"/>
                    <w:lang w:val="en-US"/>
                  </w:rPr>
                  <m:t>=</m:t>
                </m:r>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BiomassBurn,i</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26</w:t>
            </w:r>
          </w:p>
        </w:tc>
      </w:tr>
    </w:tbl>
    <w:p w:rsidR="00301DDB" w:rsidRPr="00301DDB" w:rsidRDefault="00301DDB" w:rsidP="00301DDB">
      <w:pPr>
        <w:keepLines/>
        <w:tabs>
          <w:tab w:val="right" w:pos="794"/>
        </w:tabs>
        <w:spacing w:before="80" w:after="100" w:line="260" w:lineRule="exact"/>
        <w:ind w:left="964" w:hanging="964"/>
        <w:jc w:val="both"/>
        <w:rPr>
          <w:vertAlign w:val="subscript"/>
          <w:lang w:val="en-US"/>
        </w:rPr>
      </w:pPr>
      <w:r w:rsidRPr="00301DDB">
        <w:rPr>
          <w:lang w:val="en-US"/>
        </w:rPr>
        <w:tab/>
      </w:r>
      <w:r w:rsidRPr="00301DDB">
        <w:rPr>
          <w:lang w:val="en-US"/>
        </w:rPr>
        <w:tab/>
        <w:t>Where</w:t>
      </w:r>
      <w:r w:rsidRPr="00301DDB">
        <w:rPr>
          <w:vertAlign w:val="subscript"/>
          <w:lang w:val="en-US"/>
        </w:rPr>
        <w:t>:</w:t>
      </w:r>
    </w:p>
    <w:p w:rsidR="00301DDB" w:rsidRPr="00301DDB" w:rsidRDefault="00301DDB" w:rsidP="00301DDB">
      <w:pPr>
        <w:keepLines/>
        <w:tabs>
          <w:tab w:val="right" w:pos="794"/>
        </w:tabs>
        <w:spacing w:before="80" w:after="100" w:line="260" w:lineRule="exact"/>
        <w:ind w:left="2160" w:hanging="850"/>
        <w:jc w:val="both"/>
        <w:rPr>
          <w:lang w:val="en-US"/>
        </w:rPr>
      </w:pPr>
      <w:r w:rsidRPr="00301DDB">
        <w:rPr>
          <w:lang w:val="en-US"/>
        </w:rPr>
        <w:t>E</w:t>
      </w:r>
      <w:r w:rsidRPr="00301DDB">
        <w:rPr>
          <w:vertAlign w:val="subscript"/>
          <w:lang w:val="en-US"/>
        </w:rPr>
        <w:t xml:space="preserve">BSL,i </w:t>
      </w:r>
      <w:r w:rsidRPr="00301DDB">
        <w:rPr>
          <w:lang w:val="en-US"/>
        </w:rPr>
        <w:t>=</w:t>
      </w:r>
      <w:r w:rsidRPr="00301DDB">
        <w:rPr>
          <w:lang w:val="en-US"/>
        </w:rPr>
        <w:tab/>
      </w:r>
      <w:r w:rsidRPr="00301DDB">
        <w:rPr>
          <w:lang w:val="en-US"/>
        </w:rPr>
        <w:tab/>
        <w:t>baseline greenhouse gas emissions as a result of clearing in</w:t>
      </w:r>
      <w:r w:rsidRPr="00301DDB">
        <w:rPr>
          <w:lang w:val="en-US"/>
        </w:rPr>
        <w:tab/>
      </w:r>
      <w:r w:rsidRPr="00301DDB">
        <w:rPr>
          <w:lang w:val="en-US"/>
        </w:rPr>
        <w:tab/>
        <w:t>accordance with the deforestation plan within carbon</w:t>
      </w:r>
      <w:r w:rsidRPr="00301DDB">
        <w:rPr>
          <w:lang w:val="en-US"/>
        </w:rPr>
        <w:tab/>
        <w:t>estimation area (i) (tonnes of carbon dioxide equivalent).</w:t>
      </w:r>
    </w:p>
    <w:p w:rsidR="00301DDB" w:rsidRPr="00301DDB" w:rsidRDefault="00301DDB" w:rsidP="00301DDB">
      <w:pPr>
        <w:keepLines/>
        <w:tabs>
          <w:tab w:val="right" w:pos="794"/>
        </w:tabs>
        <w:spacing w:before="80" w:after="100" w:line="260" w:lineRule="exact"/>
        <w:ind w:left="1843" w:hanging="879"/>
        <w:jc w:val="both"/>
        <w:rPr>
          <w:lang w:val="en-US"/>
        </w:rPr>
      </w:pPr>
      <w:r w:rsidRPr="00301DDB">
        <w:rPr>
          <w:lang w:val="en-US"/>
        </w:rPr>
        <w:t>E</w:t>
      </w:r>
      <w:r w:rsidRPr="00301DDB">
        <w:rPr>
          <w:vertAlign w:val="subscript"/>
          <w:lang w:val="en-US"/>
        </w:rPr>
        <w:t xml:space="preserve">BiomassBurn,i </w:t>
      </w:r>
      <w:r w:rsidRPr="00301DDB">
        <w:rPr>
          <w:lang w:val="en-US"/>
        </w:rPr>
        <w:t xml:space="preserve">= </w:t>
      </w:r>
      <w:r w:rsidRPr="00301DDB">
        <w:rPr>
          <w:lang w:val="en-US"/>
        </w:rPr>
        <w:tab/>
        <w:t>non-carbon dioxide</w:t>
      </w:r>
      <w:r w:rsidRPr="00301DDB">
        <w:rPr>
          <w:vertAlign w:val="subscript"/>
          <w:lang w:val="en-US"/>
        </w:rPr>
        <w:t xml:space="preserve"> </w:t>
      </w:r>
      <w:r w:rsidRPr="00301DDB">
        <w:rPr>
          <w:lang w:val="en-US"/>
        </w:rPr>
        <w:t>emissions due to biomass burning in carbon</w:t>
      </w:r>
      <w:r w:rsidRPr="00301DDB">
        <w:rPr>
          <w:lang w:val="en-US"/>
        </w:rPr>
        <w:tab/>
      </w:r>
      <w:r w:rsidRPr="00301DDB">
        <w:rPr>
          <w:lang w:val="en-US"/>
        </w:rPr>
        <w:tab/>
        <w:t>estimation area (i), calculated in accordance with Equation 25</w:t>
      </w:r>
      <w:r w:rsidRPr="00301DDB">
        <w:rPr>
          <w:lang w:val="en-US"/>
        </w:rPr>
        <w:tab/>
      </w:r>
      <w:r w:rsidRPr="00301DDB">
        <w:rPr>
          <w:lang w:val="en-US"/>
        </w:rPr>
        <w:tab/>
        <w:t>(tonnes of carbon dioxide equivalent per year).</w:t>
      </w:r>
    </w:p>
    <w:p w:rsidR="00301DDB" w:rsidRPr="00301DDB" w:rsidRDefault="00301DDB" w:rsidP="00301DDB">
      <w:pPr>
        <w:keepLines/>
        <w:tabs>
          <w:tab w:val="right" w:pos="794"/>
        </w:tabs>
        <w:spacing w:before="80" w:after="100" w:line="260" w:lineRule="exact"/>
        <w:ind w:left="964" w:hanging="964"/>
        <w:jc w:val="both"/>
        <w:rPr>
          <w:vertAlign w:val="superscript"/>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t>the i</w:t>
      </w:r>
      <w:r w:rsidRPr="00301DDB">
        <w:rPr>
          <w:vertAlign w:val="superscript"/>
          <w:lang w:val="en-US"/>
        </w:rPr>
        <w:t>th</w:t>
      </w:r>
      <w:r w:rsidRPr="00301DDB">
        <w:rPr>
          <w:lang w:val="en-US"/>
        </w:rPr>
        <w:t xml:space="preserve"> carbon estimation area.</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69" w:name="_Toc358907458"/>
      <w:r w:rsidRPr="00301DDB">
        <w:rPr>
          <w:rFonts w:ascii="Arial" w:hAnsi="Arial"/>
          <w:b/>
          <w:bCs/>
          <w:iCs/>
          <w:szCs w:val="26"/>
        </w:rPr>
        <w:t>3.45</w:t>
      </w:r>
      <w:r w:rsidRPr="00301DDB">
        <w:rPr>
          <w:rFonts w:ascii="Arial" w:hAnsi="Arial"/>
          <w:b/>
          <w:bCs/>
          <w:iCs/>
          <w:szCs w:val="26"/>
        </w:rPr>
        <w:tab/>
        <w:t>Step 6—Calculating net baseline greenhouse gas emissions</w:t>
      </w:r>
      <w:bookmarkEnd w:id="69"/>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net baseline greenhouse gas emissions and removals must be calculated using the parameters derived in Equations 21 and 26 and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iCs/>
                      </w:rPr>
                    </m:ctrlPr>
                  </m:sSubPr>
                  <m:e>
                    <m:r>
                      <m:rPr>
                        <m:sty m:val="p"/>
                      </m:rPr>
                      <w:rPr>
                        <w:rFonts w:ascii="Cambria Math" w:hAnsi="Cambria Math"/>
                      </w:rPr>
                      <m:t>GHG</m:t>
                    </m:r>
                  </m:e>
                  <m:sub>
                    <m:r>
                      <m:rPr>
                        <m:sty m:val="p"/>
                      </m:rPr>
                      <w:rPr>
                        <w:rFonts w:ascii="Cambria Math" w:hAnsi="Cambria Math"/>
                      </w:rPr>
                      <m:t>NET BSL</m:t>
                    </m:r>
                  </m:sub>
                </m:sSub>
                <m:r>
                  <m:rPr>
                    <m:sty m:val="p"/>
                  </m:rPr>
                  <w:rPr>
                    <w:rFonts w:ascii="Cambria Math" w:hAnsi="Cambria Math"/>
                  </w:rPr>
                  <m:t xml:space="preserve">= </m:t>
                </m:r>
                <m:nary>
                  <m:naryPr>
                    <m:chr m:val="∑"/>
                    <m:limLoc m:val="undOvr"/>
                    <m:ctrlPr>
                      <w:rPr>
                        <w:rFonts w:ascii="Cambria Math" w:hAnsi="Cambria Math"/>
                        <w:bCs/>
                        <w:iCs/>
                      </w:rPr>
                    </m:ctrlPr>
                  </m:naryPr>
                  <m:sub>
                    <m:r>
                      <m:rPr>
                        <m:sty m:val="p"/>
                      </m:rPr>
                      <w:rPr>
                        <w:rFonts w:ascii="Cambria Math" w:hAnsi="Cambria Math"/>
                      </w:rPr>
                      <m:t>i=1</m:t>
                    </m:r>
                  </m:sub>
                  <m:sup>
                    <m:r>
                      <m:rPr>
                        <m:sty m:val="p"/>
                      </m:rPr>
                      <w:rPr>
                        <w:rFonts w:ascii="Cambria Math" w:hAnsi="Cambria Math"/>
                      </w:rPr>
                      <m:t>CEA</m:t>
                    </m:r>
                  </m:sup>
                  <m:e>
                    <m:d>
                      <m:dPr>
                        <m:ctrlPr>
                          <w:rPr>
                            <w:rFonts w:ascii="Cambria Math" w:hAnsi="Cambria Math"/>
                            <w:bCs/>
                            <w:iCs/>
                          </w:rPr>
                        </m:ctrlPr>
                      </m:dP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i</m:t>
                                </m:r>
                              </m:sub>
                            </m:sSub>
                            <m:r>
                              <m:rPr>
                                <m:sty m:val="p"/>
                              </m:rPr>
                              <w:rPr>
                                <w:rFonts w:ascii="Cambria Math" w:hAnsi="Cambria Math"/>
                              </w:rPr>
                              <m:t>× ∆</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BSL,i</m:t>
                                </m:r>
                              </m:sub>
                            </m:sSub>
                          </m:e>
                        </m:d>
                        <m:r>
                          <m:rPr>
                            <m:sty m:val="p"/>
                          </m:rPr>
                          <w:rPr>
                            <w:rFonts w:ascii="Cambria Math" w:hAnsi="Cambria Math"/>
                          </w:rPr>
                          <m:t>+</m:t>
                        </m:r>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BSL,i</m:t>
                            </m:r>
                          </m:sub>
                        </m:sSub>
                      </m:e>
                    </m:d>
                  </m:e>
                </m:nary>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27</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GHG</w:t>
      </w:r>
      <w:r w:rsidRPr="00301DDB">
        <w:rPr>
          <w:vertAlign w:val="subscript"/>
        </w:rPr>
        <w:t xml:space="preserve">NET BSL </w:t>
      </w:r>
      <w:r w:rsidRPr="00301DDB">
        <w:t>=</w:t>
      </w:r>
      <w:r w:rsidRPr="00301DDB">
        <w:tab/>
        <w:t>net greenhouse gas emissions in the baseline from clearing in</w:t>
      </w:r>
      <w:r w:rsidRPr="00301DDB">
        <w:tab/>
      </w:r>
      <w:r w:rsidRPr="00301DDB">
        <w:tab/>
      </w:r>
      <w:r w:rsidRPr="00301DDB">
        <w:tab/>
        <w:t xml:space="preserve">accordance with the deforestation plan (tonnes of carbon </w:t>
      </w:r>
      <w:r w:rsidRPr="00301DDB">
        <w:tab/>
      </w:r>
      <w:r w:rsidRPr="00301DDB">
        <w:tab/>
      </w:r>
      <w:r w:rsidRPr="00301DDB">
        <w:tab/>
      </w:r>
      <w:r w:rsidRPr="00301DDB">
        <w:tab/>
        <w:t>dioxide 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A</w:t>
      </w:r>
      <w:r w:rsidRPr="00301DDB">
        <w:rPr>
          <w:vertAlign w:val="subscript"/>
        </w:rPr>
        <w:t xml:space="preserve">i </w:t>
      </w:r>
      <w:r w:rsidRPr="00301DDB">
        <w:t>=</w:t>
      </w:r>
      <w:r w:rsidRPr="00301DDB">
        <w:tab/>
      </w:r>
      <w:r w:rsidRPr="00301DDB">
        <w:tab/>
        <w:t>area of carbon estimation area (i) (hectares).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w:t>
      </w:r>
      <w:r w:rsidRPr="00301DDB">
        <w:rPr>
          <w:vertAlign w:val="subscript"/>
        </w:rPr>
        <w:t xml:space="preserve">BSL,i </w:t>
      </w:r>
      <w:r w:rsidRPr="00301DDB">
        <w:t>=</w:t>
      </w:r>
      <w:r w:rsidRPr="00301DDB">
        <w:tab/>
        <w:t>mean carbon stock changes in all pools in the baseline carbon</w:t>
      </w:r>
      <w:r w:rsidRPr="00301DDB">
        <w:tab/>
      </w:r>
      <w:r w:rsidRPr="00301DDB">
        <w:tab/>
      </w:r>
      <w:r w:rsidRPr="00301DDB">
        <w:tab/>
        <w:t>estimation area (i) (tonnes of carbon dioxide equivalent) during</w:t>
      </w:r>
      <w:r w:rsidRPr="00301DDB">
        <w:tab/>
      </w:r>
      <w:r w:rsidRPr="00301DDB">
        <w:tab/>
      </w:r>
      <w:r w:rsidRPr="00301DDB">
        <w:tab/>
        <w:t>the crediting period.</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E</w:t>
      </w:r>
      <w:r w:rsidRPr="00301DDB">
        <w:rPr>
          <w:vertAlign w:val="subscript"/>
        </w:rPr>
        <w:t xml:space="preserve">BSL,i </w:t>
      </w:r>
      <w:r w:rsidRPr="00301DDB">
        <w:t>=</w:t>
      </w:r>
      <w:r w:rsidRPr="00301DDB">
        <w:tab/>
      </w:r>
      <w:r w:rsidRPr="00301DDB">
        <w:tab/>
        <w:t>greenhouse gas emissions as a result of implementing the</w:t>
      </w:r>
      <w:r w:rsidRPr="00301DDB">
        <w:tab/>
      </w:r>
      <w:r w:rsidRPr="00301DDB">
        <w:tab/>
      </w:r>
      <w:r w:rsidRPr="00301DDB">
        <w:tab/>
      </w:r>
      <w:r w:rsidRPr="00301DDB">
        <w:tab/>
        <w:t>deforestation plan in the project area, in carbon estimation</w:t>
      </w:r>
      <w:r w:rsidRPr="00301DDB">
        <w:tab/>
      </w:r>
      <w:r w:rsidRPr="00301DDB">
        <w:tab/>
      </w:r>
      <w:r w:rsidRPr="00301DDB">
        <w:tab/>
      </w:r>
      <w:r w:rsidRPr="00301DDB">
        <w:tab/>
        <w:t>area (i).</w:t>
      </w:r>
    </w:p>
    <w:p w:rsidR="00301DDB" w:rsidRPr="00301DDB" w:rsidRDefault="00301DDB" w:rsidP="00301DDB">
      <w:pPr>
        <w:keepLines/>
        <w:tabs>
          <w:tab w:val="right" w:pos="794"/>
        </w:tabs>
        <w:spacing w:before="80" w:after="100" w:line="260" w:lineRule="exact"/>
        <w:ind w:left="1843" w:hanging="425"/>
        <w:jc w:val="both"/>
        <w:rPr>
          <w:vertAlign w:val="superscript"/>
          <w:lang w:val="en-US"/>
        </w:rPr>
      </w:pPr>
      <w:r w:rsidRPr="00301DDB">
        <w:rPr>
          <w:lang w:val="en-US"/>
        </w:rPr>
        <w:t>i =</w:t>
      </w:r>
      <w:r w:rsidRPr="00301DDB">
        <w:rPr>
          <w:lang w:val="en-US"/>
        </w:rPr>
        <w:tab/>
      </w:r>
      <w:r w:rsidRPr="00301DDB">
        <w:rPr>
          <w:lang w:val="en-US"/>
        </w:rPr>
        <w:tab/>
      </w:r>
      <w:r w:rsidRPr="00301DDB">
        <w:rPr>
          <w:lang w:val="en-US"/>
        </w:rPr>
        <w:tab/>
        <w:t>the i</w:t>
      </w:r>
      <w:r w:rsidRPr="00301DDB">
        <w:rPr>
          <w:vertAlign w:val="superscript"/>
          <w:lang w:val="en-US"/>
        </w:rPr>
        <w:t>th</w:t>
      </w:r>
      <w:r w:rsidRPr="00301DDB">
        <w:rPr>
          <w:lang w:val="en-US"/>
        </w:rPr>
        <w:t xml:space="preserve"> carbon estimation area.</w:t>
      </w:r>
    </w:p>
    <w:p w:rsidR="00301DDB" w:rsidRPr="00301DDB" w:rsidRDefault="00301DDB" w:rsidP="00301DDB">
      <w:pPr>
        <w:keepNext/>
        <w:keepLines/>
        <w:spacing w:before="360" w:after="60"/>
        <w:ind w:left="2410" w:hanging="2410"/>
        <w:jc w:val="both"/>
        <w:outlineLvl w:val="3"/>
        <w:rPr>
          <w:rFonts w:ascii="Arial" w:hAnsi="Arial"/>
          <w:b/>
          <w:bCs/>
          <w:sz w:val="28"/>
          <w:szCs w:val="28"/>
        </w:rPr>
      </w:pPr>
      <w:bookmarkStart w:id="70" w:name="_Toc358907459"/>
      <w:r w:rsidRPr="00301DDB">
        <w:rPr>
          <w:rFonts w:ascii="Arial" w:hAnsi="Arial"/>
          <w:b/>
          <w:bCs/>
          <w:sz w:val="28"/>
          <w:szCs w:val="28"/>
        </w:rPr>
        <w:t>Subdivision 3.4.5</w:t>
      </w:r>
      <w:r w:rsidRPr="00301DDB">
        <w:rPr>
          <w:rFonts w:ascii="Arial" w:hAnsi="Arial"/>
          <w:b/>
          <w:bCs/>
          <w:sz w:val="28"/>
          <w:szCs w:val="28"/>
        </w:rPr>
        <w:tab/>
        <w:t>Calculation of project emissions and removals</w:t>
      </w:r>
      <w:bookmarkEnd w:id="70"/>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1" w:name="_Toc358907460"/>
      <w:r w:rsidRPr="00301DDB">
        <w:rPr>
          <w:rFonts w:ascii="Arial" w:hAnsi="Arial"/>
          <w:b/>
          <w:bCs/>
          <w:iCs/>
          <w:szCs w:val="26"/>
        </w:rPr>
        <w:t>3.46</w:t>
      </w:r>
      <w:r w:rsidRPr="00301DDB">
        <w:rPr>
          <w:rFonts w:ascii="Arial" w:hAnsi="Arial"/>
          <w:b/>
          <w:bCs/>
          <w:iCs/>
          <w:szCs w:val="26"/>
        </w:rPr>
        <w:tab/>
        <w:t>Calculating project emissions and removals</w:t>
      </w:r>
      <w:bookmarkEnd w:id="71"/>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steps outlined in this Subdivision must be followed for the purposes of calculating the project emissions in the project area.</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2" w:name="_Toc358907461"/>
      <w:r w:rsidRPr="00301DDB">
        <w:rPr>
          <w:rFonts w:ascii="Arial" w:hAnsi="Arial"/>
          <w:b/>
          <w:bCs/>
          <w:iCs/>
          <w:szCs w:val="26"/>
        </w:rPr>
        <w:t>3.47</w:t>
      </w:r>
      <w:r w:rsidRPr="00301DDB">
        <w:rPr>
          <w:rFonts w:ascii="Arial" w:hAnsi="Arial"/>
          <w:b/>
          <w:bCs/>
          <w:iCs/>
          <w:szCs w:val="26"/>
        </w:rPr>
        <w:tab/>
        <w:t>Project relevant carbon pools</w:t>
      </w:r>
      <w:bookmarkEnd w:id="72"/>
    </w:p>
    <w:p w:rsidR="00301DDB" w:rsidRPr="00301DDB" w:rsidRDefault="00301DDB" w:rsidP="00301DDB">
      <w:pPr>
        <w:keepLines/>
        <w:tabs>
          <w:tab w:val="right" w:pos="794"/>
        </w:tabs>
        <w:spacing w:before="80" w:after="100" w:line="260" w:lineRule="exact"/>
        <w:ind w:left="964" w:hanging="964"/>
        <w:jc w:val="both"/>
      </w:pPr>
      <w:r w:rsidRPr="00301DDB">
        <w:tab/>
      </w:r>
      <w:r w:rsidRPr="00301DDB">
        <w:tab/>
        <w:t>For the purposes of this Subdivision, relevant carbon pools are limited to:</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above-ground tree biomass;</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below-ground tree biomass;</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combustion of fossil fuels in vehicles, machinery and equipment; and</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the burning of biomass in controlled burns.</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3" w:name="_Toc358907462"/>
      <w:r w:rsidRPr="00301DDB">
        <w:rPr>
          <w:rFonts w:ascii="Arial" w:hAnsi="Arial"/>
          <w:b/>
          <w:bCs/>
          <w:iCs/>
          <w:szCs w:val="26"/>
        </w:rPr>
        <w:t>3.48</w:t>
      </w:r>
      <w:r w:rsidRPr="00301DDB">
        <w:rPr>
          <w:rFonts w:ascii="Arial" w:hAnsi="Arial"/>
          <w:b/>
          <w:bCs/>
          <w:iCs/>
          <w:szCs w:val="26"/>
        </w:rPr>
        <w:tab/>
        <w:t>Step 1—Project forest carbon stock changes in carbon estimation area resulting from disturbances</w:t>
      </w:r>
      <w:bookmarkEnd w:id="73"/>
    </w:p>
    <w:p w:rsidR="00301DDB" w:rsidRPr="00301DDB" w:rsidRDefault="00301DDB" w:rsidP="00301DDB">
      <w:pPr>
        <w:keepNext/>
        <w:spacing w:before="120"/>
        <w:ind w:left="964"/>
        <w:jc w:val="both"/>
        <w:rPr>
          <w:rFonts w:ascii="Arial" w:hAnsi="Arial"/>
          <w:i/>
        </w:rPr>
      </w:pPr>
      <w:r w:rsidRPr="00301DDB">
        <w:rPr>
          <w:rFonts w:ascii="Arial" w:hAnsi="Arial"/>
          <w:i/>
        </w:rPr>
        <w:t>Step 1.1—Accounting for degradation and natural disturbances in the project</w:t>
      </w:r>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When an area of degradation or natural disturbance has been re-stratified into a new carbon estimation area as required by section 3.7:</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biomass stocks in the carbon estimation area mentioned in subsection (1) must be calculated by resurveying the new carbon estimation area in accordance with Subdivision 3.4.3; or</w:t>
      </w:r>
    </w:p>
    <w:p w:rsidR="00301DDB" w:rsidRPr="00301DDB" w:rsidRDefault="00301DDB" w:rsidP="00301DDB">
      <w:pPr>
        <w:keepLines/>
        <w:tabs>
          <w:tab w:val="right" w:pos="1531"/>
        </w:tabs>
        <w:spacing w:after="100" w:line="260" w:lineRule="exact"/>
        <w:ind w:left="1701" w:hanging="1701"/>
        <w:jc w:val="both"/>
      </w:pPr>
      <w:r w:rsidRPr="00301DDB">
        <w:lastRenderedPageBreak/>
        <w:tab/>
        <w:t>(b)</w:t>
      </w:r>
      <w:r w:rsidRPr="00301DDB">
        <w:tab/>
        <w:t>the carbon stocks in the new carbon estimation area must be set to zero.</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the purposes of paragraph (1)(a):</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all dead biomass in the new carbon estimation area is taken to have a biomass of zero;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survey must include only standing living trees in the new carbon estimation area.</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When the requirements of subsection (1) have been met, the following formula must be completed:</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301DDB" w:rsidP="00301DDB">
            <w:pPr>
              <w:keepLines/>
              <w:tabs>
                <w:tab w:val="right" w:pos="794"/>
              </w:tabs>
              <w:spacing w:before="80" w:after="100" w:line="360" w:lineRule="auto"/>
              <w:jc w:val="both"/>
            </w:pPr>
            <m:oMathPara>
              <m:oMath>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Pools,DEG,i,r</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INV,i,pre</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i,r</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28</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ΔC</w:t>
      </w:r>
      <w:r w:rsidRPr="00301DDB">
        <w:rPr>
          <w:vertAlign w:val="subscript"/>
        </w:rPr>
        <w:t>pools,DEG,i,r</w:t>
      </w:r>
      <w:r w:rsidRPr="00301DDB">
        <w:t xml:space="preserve"> =</w:t>
      </w:r>
      <w:r w:rsidRPr="00301DDB">
        <w:tab/>
        <w:t>mean carbon stock changes in all pools as a result of</w:t>
      </w:r>
      <w:r w:rsidRPr="00301DDB">
        <w:tab/>
      </w:r>
      <w:r w:rsidRPr="00301DDB">
        <w:tab/>
      </w:r>
      <w:r w:rsidRPr="00301DDB">
        <w:tab/>
      </w:r>
      <w:r w:rsidRPr="00301DDB">
        <w:tab/>
      </w:r>
      <w:r w:rsidRPr="00301DDB">
        <w:tab/>
        <w:t>degradation or natural disturbance in carbon estimation</w:t>
      </w:r>
      <w:r w:rsidRPr="00301DDB">
        <w:tab/>
      </w:r>
      <w:r w:rsidRPr="00301DDB">
        <w:tab/>
      </w:r>
      <w:r w:rsidRPr="00301DDB">
        <w:tab/>
      </w:r>
      <w:r w:rsidRPr="00301DDB">
        <w:tab/>
        <w:t>area (i) (tonnes of carbon dioxide equivalent per hectare).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w:t>
      </w:r>
      <w:r w:rsidRPr="00301DDB">
        <w:rPr>
          <w:vertAlign w:val="subscript"/>
        </w:rPr>
        <w:t xml:space="preserve">INV,i,pre </w:t>
      </w:r>
      <w:r w:rsidRPr="00301DDB">
        <w:t>=</w:t>
      </w:r>
      <w:r w:rsidRPr="00301DDB">
        <w:tab/>
        <w:t>mean carbon stock in all pools (C</w:t>
      </w:r>
      <w:r w:rsidRPr="00301DDB">
        <w:rPr>
          <w:vertAlign w:val="subscript"/>
        </w:rPr>
        <w:t>,i,r</w:t>
      </w:r>
      <w:r w:rsidRPr="00301DDB">
        <w:t>)</w:t>
      </w:r>
      <w:r w:rsidRPr="00301DDB">
        <w:rPr>
          <w:vertAlign w:val="subscript"/>
        </w:rPr>
        <w:t xml:space="preserve"> </w:t>
      </w:r>
      <w:r w:rsidRPr="00301DDB">
        <w:t>in carbon estimation area</w:t>
      </w:r>
      <w:r w:rsidRPr="00301DDB">
        <w:tab/>
      </w:r>
      <w:r w:rsidRPr="00301DDB">
        <w:tab/>
      </w:r>
      <w:r w:rsidRPr="00301DDB">
        <w:tab/>
        <w:t>(i) as reported in the preceding offsets report.</w:t>
      </w:r>
      <w:r w:rsidRPr="00301DDB">
        <w:rPr>
          <w:vertAlign w:val="subscript"/>
        </w:rPr>
        <w:t xml:space="preserve"> </w:t>
      </w:r>
      <w:r w:rsidRPr="00301DDB">
        <w:t>For the first</w:t>
      </w:r>
      <w:r w:rsidRPr="00301DDB">
        <w:tab/>
      </w:r>
      <w:r w:rsidRPr="00301DDB">
        <w:tab/>
      </w:r>
      <w:r w:rsidRPr="00301DDB">
        <w:tab/>
      </w:r>
      <w:r w:rsidRPr="00301DDB">
        <w:tab/>
        <w:t>offsets report following disturbance,</w:t>
      </w:r>
      <w:r w:rsidRPr="00301DDB" w:rsidDel="00AA4071">
        <w:t xml:space="preserve"> </w:t>
      </w:r>
      <w:r w:rsidRPr="00301DDB">
        <w:t>carbon estimation area (i)</w:t>
      </w:r>
      <w:r w:rsidRPr="00301DDB">
        <w:tab/>
      </w:r>
      <w:r w:rsidRPr="00301DDB">
        <w:tab/>
      </w:r>
      <w:r w:rsidRPr="00301DDB">
        <w:tab/>
        <w:t xml:space="preserve">means the original (not re-stratified) carbon estimation area. </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w:t>
      </w:r>
      <w:r w:rsidRPr="00301DDB">
        <w:rPr>
          <w:vertAlign w:val="subscript"/>
        </w:rPr>
        <w:t xml:space="preserve">i,r </w:t>
      </w:r>
      <w:r w:rsidRPr="00301DDB">
        <w:t>=</w:t>
      </w:r>
      <w:r w:rsidRPr="00301DDB">
        <w:tab/>
      </w:r>
      <w:r w:rsidRPr="00301DDB">
        <w:tab/>
        <w:t>mean carbon stock in all pools measured in carbon estimation</w:t>
      </w:r>
      <w:r w:rsidRPr="00301DDB">
        <w:tab/>
      </w:r>
      <w:r w:rsidRPr="00301DDB">
        <w:tab/>
      </w:r>
      <w:r w:rsidRPr="00301DDB">
        <w:tab/>
        <w:t>area (i) for reporting period (r) (tonnes of carbon dioxide</w:t>
      </w:r>
      <w:r w:rsidRPr="00301DDB">
        <w:tab/>
      </w:r>
      <w:r w:rsidRPr="00301DDB">
        <w:tab/>
      </w:r>
      <w:r w:rsidRPr="00301DDB">
        <w:tab/>
      </w:r>
      <w:r w:rsidRPr="00301DDB">
        <w:tab/>
        <w:t>equivalent per hectare).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i =</w:t>
      </w:r>
      <w:r w:rsidRPr="00301DDB">
        <w:tab/>
      </w:r>
      <w:r w:rsidRPr="00301DDB">
        <w:tab/>
        <w:t>the i</w:t>
      </w:r>
      <w:r w:rsidRPr="00301DDB">
        <w:rPr>
          <w:vertAlign w:val="superscript"/>
        </w:rPr>
        <w:t>th</w:t>
      </w:r>
      <w:r w:rsidRPr="00301DDB">
        <w:t xml:space="preserve"> carbon estimation area.</w:t>
      </w:r>
    </w:p>
    <w:p w:rsidR="00301DDB" w:rsidRPr="00301DDB" w:rsidRDefault="00301DDB" w:rsidP="00301DDB">
      <w:pPr>
        <w:keepLines/>
        <w:tabs>
          <w:tab w:val="right" w:pos="794"/>
        </w:tabs>
        <w:spacing w:before="80" w:after="100" w:line="260" w:lineRule="exact"/>
        <w:ind w:left="964" w:hanging="964"/>
        <w:jc w:val="both"/>
        <w:rPr>
          <w:b/>
        </w:rPr>
      </w:pPr>
      <w:r w:rsidRPr="00301DDB">
        <w:tab/>
      </w:r>
      <w:r w:rsidRPr="00301DDB">
        <w:tab/>
      </w:r>
      <w:r w:rsidRPr="00301DDB">
        <w:tab/>
        <w:t>r =</w:t>
      </w:r>
      <w:r w:rsidRPr="00301DDB">
        <w:tab/>
      </w:r>
      <w:r w:rsidRPr="00301DDB">
        <w:tab/>
        <w:t>reporting period (r).</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 xml:space="preserve">When Step 1.1 in this section has been completed, Step 1.2 must be completed. </w:t>
      </w:r>
    </w:p>
    <w:p w:rsidR="00301DDB" w:rsidRPr="00301DDB" w:rsidRDefault="00301DDB" w:rsidP="00301DDB">
      <w:pPr>
        <w:keepNext/>
        <w:spacing w:before="120"/>
        <w:ind w:left="964"/>
        <w:jc w:val="both"/>
        <w:rPr>
          <w:rFonts w:ascii="Arial" w:hAnsi="Arial"/>
          <w:i/>
        </w:rPr>
      </w:pPr>
      <w:r w:rsidRPr="00301DDB">
        <w:rPr>
          <w:rFonts w:ascii="Arial" w:hAnsi="Arial"/>
          <w:i/>
        </w:rPr>
        <w:t xml:space="preserve">Step 1.2—Net carbon stock changes resulting from degradation or natural disturbance in carbon estimation area </w:t>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The net project carbon stock changes in all pools as a result of degradation or natural disturbance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301DDB" w:rsidP="00301DDB">
            <w:pPr>
              <w:keepLines/>
              <w:tabs>
                <w:tab w:val="right" w:pos="794"/>
              </w:tabs>
              <w:spacing w:before="80" w:after="100" w:line="360" w:lineRule="auto"/>
              <w:jc w:val="both"/>
            </w:pPr>
            <m:oMathPara>
              <m:oMath>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P,DEG,i,r</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DEG,i</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pools, DEG,i,r</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29</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1440" w:hanging="1440"/>
        <w:jc w:val="both"/>
      </w:pPr>
      <w:r w:rsidRPr="00301DDB">
        <w:tab/>
      </w:r>
      <w:r w:rsidRPr="00301DDB">
        <w:tab/>
        <w:t>ΔC</w:t>
      </w:r>
      <w:r w:rsidRPr="00301DDB">
        <w:rPr>
          <w:vertAlign w:val="subscript"/>
        </w:rPr>
        <w:t xml:space="preserve">P,DEG,i,r </w:t>
      </w:r>
      <w:r w:rsidRPr="00301DDB">
        <w:t xml:space="preserve">= </w:t>
      </w:r>
      <w:r w:rsidRPr="00301DDB">
        <w:tab/>
        <w:t>net project carbon stock changes in all pools as a result of</w:t>
      </w:r>
      <w:r w:rsidRPr="00301DDB">
        <w:tab/>
      </w:r>
      <w:r w:rsidRPr="00301DDB">
        <w:tab/>
      </w:r>
      <w:r w:rsidRPr="00301DDB">
        <w:tab/>
        <w:t>degradation or natural disturbance, in carbon estimation area (i)</w:t>
      </w:r>
      <w:r w:rsidRPr="00301DDB">
        <w:tab/>
      </w:r>
      <w:r w:rsidRPr="00301DDB">
        <w:tab/>
        <w:t>for reporting period (r) (tonnes of carbon dioxide 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A</w:t>
      </w:r>
      <w:r w:rsidRPr="00301DDB">
        <w:rPr>
          <w:vertAlign w:val="subscript"/>
        </w:rPr>
        <w:t xml:space="preserve">DEG,i </w:t>
      </w:r>
      <w:r w:rsidRPr="00301DDB">
        <w:t>=</w:t>
      </w:r>
      <w:r w:rsidRPr="00301DDB">
        <w:tab/>
        <w:t>area of delineated degradation or natural disturbance event in</w:t>
      </w:r>
      <w:r w:rsidRPr="00301DDB">
        <w:tab/>
      </w:r>
      <w:r w:rsidRPr="00301DDB">
        <w:tab/>
      </w:r>
      <w:r w:rsidRPr="00301DDB">
        <w:tab/>
        <w:t>the carbon estimation</w:t>
      </w:r>
      <w:r w:rsidRPr="00301DDB">
        <w:tab/>
        <w:t>area (i) (hectares).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ΔC</w:t>
      </w:r>
      <w:r w:rsidRPr="00301DDB">
        <w:rPr>
          <w:vertAlign w:val="subscript"/>
        </w:rPr>
        <w:t xml:space="preserve">pools,DEG,i,r </w:t>
      </w:r>
      <w:r w:rsidRPr="00301DDB">
        <w:t>=</w:t>
      </w:r>
      <w:r w:rsidRPr="00301DDB">
        <w:tab/>
        <w:t>mean carbon stock changes in all pools from the degradation or</w:t>
      </w:r>
      <w:r w:rsidRPr="00301DDB">
        <w:tab/>
      </w:r>
      <w:r w:rsidRPr="00301DDB">
        <w:tab/>
      </w:r>
      <w:r w:rsidRPr="00301DDB">
        <w:tab/>
        <w:t>natural disturbance event, in carbon estimation area (i) for</w:t>
      </w:r>
      <w:r w:rsidRPr="00301DDB">
        <w:tab/>
      </w:r>
      <w:r w:rsidRPr="00301DDB">
        <w:tab/>
      </w:r>
      <w:r w:rsidRPr="00301DDB">
        <w:tab/>
      </w:r>
      <w:r w:rsidRPr="00301DDB">
        <w:tab/>
        <w:t>reporting period (r) (tonnes of carbon dioxide equivalent per</w:t>
      </w:r>
      <w:r w:rsidRPr="00301DDB">
        <w:tab/>
      </w:r>
      <w:r w:rsidRPr="00301DDB">
        <w:tab/>
      </w:r>
      <w:r w:rsidRPr="00301DDB">
        <w:tab/>
        <w:t>hectare).</w:t>
      </w:r>
    </w:p>
    <w:p w:rsidR="00301DDB" w:rsidRPr="00301DDB" w:rsidRDefault="00301DDB" w:rsidP="00301DDB">
      <w:pPr>
        <w:keepLines/>
        <w:tabs>
          <w:tab w:val="right" w:pos="794"/>
        </w:tabs>
        <w:spacing w:before="80" w:after="100" w:line="260" w:lineRule="exact"/>
        <w:ind w:left="964" w:hanging="964"/>
        <w:jc w:val="both"/>
      </w:pPr>
      <w:r w:rsidRPr="00301DDB">
        <w:lastRenderedPageBreak/>
        <w:tab/>
      </w:r>
      <w:r w:rsidRPr="00301DDB">
        <w:tab/>
      </w:r>
      <w:r w:rsidRPr="00301DDB">
        <w:tab/>
      </w:r>
      <w:r w:rsidRPr="00301DDB">
        <w:rPr>
          <w:lang w:val="en-US"/>
        </w:rPr>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r w:rsidRPr="00301DDB">
        <w:tab/>
      </w:r>
      <w:r w:rsidRPr="00301DDB">
        <w:tab/>
      </w:r>
      <w:r w:rsidRPr="00301DDB">
        <w:tab/>
      </w:r>
    </w:p>
    <w:p w:rsidR="00301DDB" w:rsidRPr="00301DDB" w:rsidRDefault="00301DDB" w:rsidP="00301DDB">
      <w:pPr>
        <w:keepLines/>
        <w:tabs>
          <w:tab w:val="right" w:pos="794"/>
        </w:tabs>
        <w:spacing w:before="80" w:after="100" w:line="260" w:lineRule="exact"/>
        <w:ind w:left="964" w:firstLine="454"/>
        <w:jc w:val="both"/>
        <w:rPr>
          <w:b/>
          <w:i/>
        </w:rPr>
      </w:pPr>
      <w:r w:rsidRPr="00301DD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4" w:name="_Toc358907463"/>
      <w:r w:rsidRPr="00301DDB">
        <w:rPr>
          <w:rFonts w:ascii="Arial" w:hAnsi="Arial"/>
          <w:b/>
          <w:bCs/>
          <w:iCs/>
          <w:szCs w:val="26"/>
        </w:rPr>
        <w:t>3.49</w:t>
      </w:r>
      <w:r w:rsidRPr="00301DDB">
        <w:rPr>
          <w:rFonts w:ascii="Arial" w:hAnsi="Arial"/>
          <w:b/>
          <w:bCs/>
          <w:iCs/>
          <w:szCs w:val="26"/>
        </w:rPr>
        <w:tab/>
        <w:t>Step 2—Optional calculation of carbon stock enhancements</w:t>
      </w:r>
      <w:bookmarkEnd w:id="74"/>
      <w:r w:rsidRPr="00301DDB">
        <w:rPr>
          <w:rFonts w:ascii="Arial" w:hAnsi="Arial"/>
          <w:b/>
          <w:bCs/>
          <w:iCs/>
          <w:szCs w:val="26"/>
        </w:rPr>
        <w:t xml:space="preserve"> </w:t>
      </w:r>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Project carbon stock enhancements may be accounted for.</w:t>
      </w:r>
    </w:p>
    <w:p w:rsidR="00301DDB" w:rsidRPr="00301DDB" w:rsidRDefault="00301DDB" w:rsidP="00301DDB">
      <w:pPr>
        <w:keepNext/>
        <w:spacing w:before="120"/>
        <w:ind w:left="964"/>
        <w:jc w:val="both"/>
        <w:rPr>
          <w:rFonts w:ascii="Arial" w:hAnsi="Arial"/>
          <w:i/>
        </w:rPr>
      </w:pPr>
      <w:r w:rsidRPr="00301DDB">
        <w:rPr>
          <w:rFonts w:ascii="Arial" w:hAnsi="Arial"/>
          <w:i/>
        </w:rPr>
        <w:t>Step 2.1—Biomass survey to determine current biomass carbon stocks in carbon estimation areas where carbon stock enhancements are occurring</w:t>
      </w:r>
    </w:p>
    <w:p w:rsidR="00301DDB" w:rsidRPr="00301DDB" w:rsidRDefault="00301DDB" w:rsidP="00301DDB">
      <w:pPr>
        <w:keepLines/>
        <w:tabs>
          <w:tab w:val="right" w:pos="794"/>
        </w:tabs>
        <w:spacing w:before="80" w:after="100" w:line="260" w:lineRule="exact"/>
        <w:ind w:left="964" w:hanging="964"/>
        <w:jc w:val="both"/>
        <w:rPr>
          <w:i/>
        </w:rPr>
      </w:pPr>
      <w:r w:rsidRPr="00301DDB">
        <w:tab/>
        <w:t>(2)</w:t>
      </w:r>
      <w:r w:rsidRPr="00301DDB">
        <w:tab/>
        <w:t>Each carbon estimation area for which carbon stock enhancements are calculated must be surveyed.</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The survey in subsection (2) must:</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meet the requirements of Subdivision 3.4.3;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achieve the Targeted Precision.</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The net carbon stock changes as a result of forest carbon stock enhancement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301DDB" w:rsidP="00301DDB">
            <w:pPr>
              <w:keepLines/>
              <w:tabs>
                <w:tab w:val="right" w:pos="794"/>
              </w:tabs>
              <w:spacing w:before="80" w:after="100" w:line="360" w:lineRule="auto"/>
              <w:ind w:left="964" w:hanging="964"/>
              <w:jc w:val="both"/>
            </w:pPr>
            <m:oMathPara>
              <m:oMath>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P,ENH,i,r</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i,r</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INV,i,pre</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ENH,i</m:t>
                    </m:r>
                  </m:sub>
                </m:sSub>
              </m:oMath>
            </m:oMathPara>
          </w:p>
        </w:tc>
        <w:tc>
          <w:tcPr>
            <w:tcW w:w="2188" w:type="dxa"/>
            <w:vAlign w:val="center"/>
          </w:tcPr>
          <w:p w:rsidR="00301DDB" w:rsidRPr="00301DDB" w:rsidRDefault="00301DDB" w:rsidP="00301DDB">
            <w:pPr>
              <w:keepLines/>
              <w:tabs>
                <w:tab w:val="right" w:pos="794"/>
              </w:tabs>
              <w:spacing w:before="80" w:after="100" w:line="260" w:lineRule="exact"/>
              <w:ind w:left="964" w:hanging="964"/>
              <w:jc w:val="center"/>
              <w:rPr>
                <w:b/>
              </w:rPr>
            </w:pPr>
            <w:r w:rsidRPr="00301DDB">
              <w:rPr>
                <w:b/>
              </w:rPr>
              <w:t>Equation 30</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ΔC</w:t>
      </w:r>
      <w:r w:rsidRPr="00301DDB">
        <w:rPr>
          <w:vertAlign w:val="subscript"/>
        </w:rPr>
        <w:t xml:space="preserve">P,ENH,i,r </w:t>
      </w:r>
      <w:r w:rsidRPr="00301DDB">
        <w:t>=</w:t>
      </w:r>
      <w:r w:rsidRPr="00301DDB">
        <w:tab/>
        <w:t>net carbon stock changes as a result of forest carbon</w:t>
      </w:r>
      <w:r w:rsidRPr="00301DDB">
        <w:tab/>
      </w:r>
      <w:r w:rsidRPr="00301DDB">
        <w:tab/>
      </w:r>
      <w:r w:rsidRPr="00301DDB">
        <w:tab/>
      </w:r>
      <w:r w:rsidRPr="00301DDB">
        <w:tab/>
      </w:r>
      <w:r w:rsidRPr="00301DDB">
        <w:tab/>
        <w:t>stock enhancement in carbon estimation area (i) for reporting</w:t>
      </w:r>
      <w:r w:rsidRPr="00301DDB">
        <w:tab/>
      </w:r>
      <w:r w:rsidRPr="00301DDB">
        <w:tab/>
      </w:r>
      <w:r w:rsidRPr="00301DDB">
        <w:tab/>
        <w:t>period (r) (tonnes of carbon dioxide 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w:t>
      </w:r>
      <w:r w:rsidRPr="00301DDB">
        <w:rPr>
          <w:vertAlign w:val="subscript"/>
        </w:rPr>
        <w:t xml:space="preserve">i,r </w:t>
      </w:r>
      <w:r w:rsidRPr="00301DDB">
        <w:t>=</w:t>
      </w:r>
      <w:r w:rsidRPr="00301DDB">
        <w:tab/>
      </w:r>
      <w:r w:rsidRPr="00301DDB">
        <w:tab/>
        <w:t>mean carbon stock in all pools measured in carbon</w:t>
      </w:r>
      <w:r w:rsidRPr="00301DDB">
        <w:tab/>
      </w:r>
      <w:r w:rsidRPr="00301DDB">
        <w:tab/>
      </w:r>
      <w:r w:rsidRPr="00301DDB">
        <w:tab/>
      </w:r>
      <w:r w:rsidRPr="00301DDB">
        <w:tab/>
      </w:r>
      <w:r w:rsidRPr="00301DDB">
        <w:tab/>
        <w:t>estimation area (i) for reporting period (r) (tonnes of carbon</w:t>
      </w:r>
      <w:r w:rsidRPr="00301DDB">
        <w:tab/>
      </w:r>
      <w:r w:rsidRPr="00301DDB">
        <w:tab/>
      </w:r>
      <w:r w:rsidRPr="00301DDB">
        <w:tab/>
      </w:r>
      <w:r w:rsidRPr="00301DDB">
        <w:tab/>
        <w:t>dioxide equivalent per hectare).</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w:t>
      </w:r>
      <w:r w:rsidRPr="00301DDB">
        <w:rPr>
          <w:vertAlign w:val="subscript"/>
        </w:rPr>
        <w:t xml:space="preserve">INV,i,pre </w:t>
      </w:r>
      <w:r w:rsidRPr="00301DDB">
        <w:t>=</w:t>
      </w:r>
      <w:r w:rsidRPr="00301DDB">
        <w:tab/>
        <w:t>mean carbon stock in all pools (C</w:t>
      </w:r>
      <w:r w:rsidRPr="00301DDB">
        <w:rPr>
          <w:vertAlign w:val="subscript"/>
        </w:rPr>
        <w:t xml:space="preserve">,i,r </w:t>
      </w:r>
      <w:r w:rsidRPr="00301DDB">
        <w:t>) as reported at the time of</w:t>
      </w:r>
      <w:r w:rsidRPr="00301DDB">
        <w:tab/>
      </w:r>
      <w:r w:rsidRPr="00301DDB">
        <w:tab/>
      </w:r>
      <w:r w:rsidRPr="00301DDB">
        <w:tab/>
        <w:t>the preceding offsets report in carbon estimation area (i).</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A</w:t>
      </w:r>
      <w:r w:rsidRPr="00301DDB">
        <w:rPr>
          <w:vertAlign w:val="subscript"/>
        </w:rPr>
        <w:t xml:space="preserve">ENH,i </w:t>
      </w:r>
      <w:r w:rsidRPr="00301DDB">
        <w:t>=</w:t>
      </w:r>
      <w:r w:rsidRPr="00301DDB">
        <w:tab/>
        <w:t>area of carbon estimation area (i) in which carbon stock</w:t>
      </w:r>
      <w:r w:rsidRPr="00301DDB">
        <w:tab/>
      </w:r>
      <w:r w:rsidRPr="00301DDB">
        <w:tab/>
      </w:r>
      <w:r w:rsidRPr="00301DDB">
        <w:tab/>
      </w:r>
      <w:r w:rsidRPr="00301DDB">
        <w:tab/>
        <w:t>enhancements are being undertaken and monitored (hectares).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r>
      <w:r w:rsidRPr="00301DDB">
        <w:rPr>
          <w:lang w:val="en-US"/>
        </w:rPr>
        <w:t>i =</w:t>
      </w:r>
      <w:r w:rsidRPr="00301DDB">
        <w:rPr>
          <w:lang w:val="en-US"/>
        </w:rPr>
        <w:tab/>
      </w:r>
      <w:r w:rsidRPr="00301DDB">
        <w:rPr>
          <w:lang w:val="en-US"/>
        </w:rPr>
        <w:tab/>
      </w:r>
      <w:r w:rsidRPr="00301DDB">
        <w:rPr>
          <w:iCs/>
        </w:rPr>
        <w:t>the i</w:t>
      </w:r>
      <w:r w:rsidRPr="00301DDB">
        <w:rPr>
          <w:iCs/>
          <w:vertAlign w:val="superscript"/>
        </w:rPr>
        <w:t>th</w:t>
      </w:r>
      <w:r w:rsidRPr="00301DDB">
        <w:rPr>
          <w:iCs/>
        </w:rPr>
        <w:t xml:space="preserve"> carbon estimation area</w:t>
      </w:r>
      <w:r w:rsidRPr="00301DDB">
        <w:rPr>
          <w:lang w:val="en-US"/>
        </w:rPr>
        <w:t>.</w:t>
      </w:r>
      <w:r w:rsidRPr="00301DDB">
        <w:tab/>
      </w:r>
      <w:r w:rsidRPr="00301DDB">
        <w:tab/>
      </w:r>
      <w:r w:rsidRPr="00301DDB">
        <w:tab/>
      </w:r>
    </w:p>
    <w:p w:rsidR="00301DDB" w:rsidRPr="00301DDB" w:rsidRDefault="00301DDB" w:rsidP="00301DDB">
      <w:pPr>
        <w:keepLines/>
        <w:tabs>
          <w:tab w:val="right" w:pos="794"/>
        </w:tabs>
        <w:spacing w:before="80" w:after="100" w:line="260" w:lineRule="exact"/>
        <w:ind w:left="964" w:hanging="964"/>
        <w:jc w:val="both"/>
        <w:rPr>
          <w:b/>
          <w:i/>
        </w:rPr>
      </w:pPr>
      <w:r w:rsidRPr="00301DDB">
        <w:tab/>
      </w:r>
      <w:r w:rsidRPr="00301DDB">
        <w:tab/>
      </w:r>
      <w:r w:rsidRPr="00301DDB">
        <w:tab/>
        <w:t>r =</w:t>
      </w:r>
      <w:r w:rsidRPr="00301DDB">
        <w:tab/>
      </w:r>
      <w:r w:rsidRPr="00301DDB">
        <w:tab/>
        <w:t>the r</w:t>
      </w:r>
      <w:r w:rsidRPr="00301DDB">
        <w:rPr>
          <w:vertAlign w:val="superscript"/>
        </w:rPr>
        <w:t xml:space="preserve">th </w:t>
      </w:r>
      <w:r w:rsidRPr="00301DDB">
        <w:t>reporting period.</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5" w:name="_Toc358907464"/>
      <w:r w:rsidRPr="00301DDB">
        <w:rPr>
          <w:rFonts w:ascii="Arial" w:hAnsi="Arial"/>
          <w:b/>
          <w:bCs/>
          <w:iCs/>
          <w:szCs w:val="26"/>
        </w:rPr>
        <w:t>3.50</w:t>
      </w:r>
      <w:r w:rsidRPr="00301DDB">
        <w:rPr>
          <w:rFonts w:ascii="Arial" w:hAnsi="Arial"/>
          <w:b/>
          <w:bCs/>
          <w:iCs/>
          <w:szCs w:val="26"/>
        </w:rPr>
        <w:tab/>
        <w:t>Step 3—Calculating project emissions</w:t>
      </w:r>
      <w:bookmarkEnd w:id="75"/>
      <w:r w:rsidRPr="00301DDB">
        <w:rPr>
          <w:rFonts w:ascii="Arial" w:hAnsi="Arial"/>
          <w:b/>
          <w:bCs/>
          <w:iCs/>
          <w:szCs w:val="26"/>
        </w:rPr>
        <w:t xml:space="preserve"> </w:t>
      </w:r>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The emissions resulting from fire events and the combustion of fossil fuels must be calculated in accordance with this section.</w:t>
      </w:r>
    </w:p>
    <w:p w:rsidR="00301DDB" w:rsidRPr="00301DDB" w:rsidRDefault="00301DDB" w:rsidP="00301DDB">
      <w:pPr>
        <w:keepLines/>
        <w:tabs>
          <w:tab w:val="right" w:pos="794"/>
        </w:tabs>
        <w:spacing w:before="80" w:after="100" w:line="260" w:lineRule="exact"/>
        <w:ind w:left="964" w:hanging="964"/>
        <w:jc w:val="both"/>
      </w:pPr>
    </w:p>
    <w:p w:rsidR="00301DDB" w:rsidRPr="00301DDB" w:rsidRDefault="00301DDB" w:rsidP="00301DDB">
      <w:pPr>
        <w:keepNext/>
        <w:spacing w:before="120"/>
        <w:ind w:left="964"/>
        <w:rPr>
          <w:rFonts w:ascii="Arial" w:hAnsi="Arial"/>
          <w:i/>
          <w:lang w:val="en-US"/>
        </w:rPr>
      </w:pPr>
      <w:r w:rsidRPr="00301DDB">
        <w:rPr>
          <w:rFonts w:ascii="Arial" w:hAnsi="Arial"/>
          <w:i/>
          <w:lang w:val="en-US"/>
        </w:rPr>
        <w:lastRenderedPageBreak/>
        <w:t xml:space="preserve">Step 3.1—Determination of emissions from degradation or natural disturbance events involving a fire event </w:t>
      </w:r>
      <w:r w:rsidRPr="00301DDB">
        <w:rPr>
          <w:rFonts w:ascii="Arial" w:hAnsi="Arial"/>
          <w:i/>
          <w:lang w:val="en-US"/>
        </w:rPr>
        <w:br/>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3.1.1—Determination of mass of biomass burnt from fires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(2)</w:t>
      </w:r>
      <w:r w:rsidRPr="00301DDB">
        <w:rPr>
          <w:lang w:val="en-US"/>
        </w:rPr>
        <w:tab/>
        <w:t>The biomass burnt from fires in each carbon estimation area must be determined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iCs/>
                        <w:lang w:val="en-US"/>
                      </w:rPr>
                    </m:ctrlPr>
                  </m:sSubPr>
                  <m:e>
                    <m:r>
                      <m:rPr>
                        <m:sty m:val="p"/>
                      </m:rPr>
                      <w:rPr>
                        <w:rFonts w:ascii="Cambria Math" w:hAnsi="Cambria Math"/>
                        <w:lang w:val="en-US"/>
                      </w:rPr>
                      <m:t>BB</m:t>
                    </m:r>
                  </m:e>
                  <m:sub>
                    <m:r>
                      <m:rPr>
                        <m:sty m:val="p"/>
                      </m:rPr>
                      <w:rPr>
                        <w:rFonts w:ascii="Cambria Math" w:hAnsi="Cambria Math"/>
                        <w:lang w:val="en-US"/>
                      </w:rPr>
                      <m:t>fire,i,r</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A</m:t>
                    </m:r>
                  </m:e>
                  <m:sub>
                    <m:r>
                      <m:rPr>
                        <m:sty m:val="p"/>
                      </m:rPr>
                      <w:rPr>
                        <w:rFonts w:ascii="Cambria Math" w:hAnsi="Cambria Math"/>
                        <w:lang w:val="en-US"/>
                      </w:rPr>
                      <m:t>burn,i,r</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FL</m:t>
                    </m:r>
                  </m:e>
                  <m:sub>
                    <m:r>
                      <m:rPr>
                        <m:sty m:val="p"/>
                      </m:rPr>
                      <w:rPr>
                        <w:rFonts w:ascii="Cambria Math" w:hAnsi="Cambria Math"/>
                        <w:lang w:val="en-US"/>
                      </w:rPr>
                      <m:t>i</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BE</m:t>
                    </m:r>
                  </m:e>
                  <m:sub>
                    <m:r>
                      <m:rPr>
                        <m:sty m:val="p"/>
                      </m:rPr>
                      <w:rPr>
                        <w:rFonts w:ascii="Cambria Math" w:hAnsi="Cambria Math"/>
                        <w:lang w:val="en-US"/>
                      </w:rPr>
                      <m:t>bt,i</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31</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BB</w:t>
      </w:r>
      <w:r w:rsidRPr="00301DDB">
        <w:rPr>
          <w:vertAlign w:val="subscript"/>
          <w:lang w:val="en-US"/>
        </w:rPr>
        <w:t xml:space="preserve">fire,i,r </w:t>
      </w:r>
      <w:r w:rsidRPr="00301DDB">
        <w:rPr>
          <w:lang w:val="en-US"/>
        </w:rPr>
        <w:t>=</w:t>
      </w:r>
      <w:r w:rsidRPr="00301DDB">
        <w:rPr>
          <w:lang w:val="en-US"/>
        </w:rPr>
        <w:tab/>
        <w:t>biomass burned from fires in carbon estimation area (i) for</w:t>
      </w:r>
      <w:r w:rsidRPr="00301DDB">
        <w:rPr>
          <w:lang w:val="en-US"/>
        </w:rPr>
        <w:tab/>
      </w:r>
      <w:r w:rsidRPr="00301DDB">
        <w:rPr>
          <w:lang w:val="en-US"/>
        </w:rPr>
        <w:tab/>
      </w:r>
      <w:r w:rsidRPr="00301DDB">
        <w:rPr>
          <w:lang w:val="en-US"/>
        </w:rPr>
        <w:tab/>
      </w:r>
      <w:r w:rsidRPr="00301DDB">
        <w:rPr>
          <w:lang w:val="en-US"/>
        </w:rPr>
        <w:tab/>
        <w:t>reporting period (r) (tonnes of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A</w:t>
      </w:r>
      <w:r w:rsidRPr="00301DDB">
        <w:rPr>
          <w:vertAlign w:val="subscript"/>
          <w:lang w:val="en-US"/>
        </w:rPr>
        <w:t xml:space="preserve">burn,i,r </w:t>
      </w:r>
      <w:r w:rsidRPr="00301DDB">
        <w:rPr>
          <w:lang w:val="en-US"/>
        </w:rPr>
        <w:t>=</w:t>
      </w:r>
      <w:r w:rsidRPr="00301DDB">
        <w:rPr>
          <w:lang w:val="en-US"/>
        </w:rPr>
        <w:tab/>
        <w:t>area burned in carbon estimation area (i) during reporting</w:t>
      </w:r>
      <w:r w:rsidRPr="00301DDB">
        <w:rPr>
          <w:lang w:val="en-US"/>
        </w:rPr>
        <w:tab/>
      </w:r>
      <w:r w:rsidRPr="00301DDB">
        <w:rPr>
          <w:lang w:val="en-US"/>
        </w:rPr>
        <w:tab/>
      </w:r>
      <w:r w:rsidRPr="00301DDB">
        <w:rPr>
          <w:lang w:val="en-US"/>
        </w:rPr>
        <w:tab/>
      </w:r>
      <w:r w:rsidRPr="00301DDB">
        <w:rPr>
          <w:lang w:val="en-US"/>
        </w:rPr>
        <w:tab/>
        <w:t>period (r) (hectares).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FL</w:t>
      </w:r>
      <w:r w:rsidRPr="00301DDB">
        <w:rPr>
          <w:vertAlign w:val="subscript"/>
          <w:lang w:val="en-US"/>
        </w:rPr>
        <w:t>i</w:t>
      </w:r>
      <w:r w:rsidRPr="00301DDB">
        <w:rPr>
          <w:lang w:val="en-US"/>
        </w:rPr>
        <w:t xml:space="preserve"> =</w:t>
      </w:r>
      <w:r w:rsidRPr="00301DDB">
        <w:rPr>
          <w:lang w:val="en-US"/>
        </w:rPr>
        <w:tab/>
      </w:r>
      <w:r w:rsidRPr="00301DDB">
        <w:rPr>
          <w:lang w:val="en-US"/>
        </w:rPr>
        <w:tab/>
        <w:t>fuel load of carbon estimation area (i) (tonnes of biomass</w:t>
      </w:r>
      <w:r w:rsidRPr="00301DDB">
        <w:rPr>
          <w:lang w:val="en-US"/>
        </w:rPr>
        <w:tab/>
      </w:r>
      <w:r w:rsidRPr="00301DDB">
        <w:rPr>
          <w:lang w:val="en-US"/>
        </w:rPr>
        <w:tab/>
      </w:r>
      <w:r w:rsidRPr="00301DDB">
        <w:rPr>
          <w:lang w:val="en-US"/>
        </w:rPr>
        <w:tab/>
      </w:r>
      <w:r w:rsidRPr="00301DDB">
        <w:rPr>
          <w:lang w:val="en-US"/>
        </w:rPr>
        <w:tab/>
        <w:t>per hectare) (specified in table 7.17 of the National Inventory</w:t>
      </w:r>
      <w:r w:rsidRPr="00301DDB">
        <w:rPr>
          <w:lang w:val="en-US"/>
        </w:rPr>
        <w:tab/>
      </w:r>
      <w:r w:rsidRPr="00301DDB">
        <w:rPr>
          <w:lang w:val="en-US"/>
        </w:rPr>
        <w:tab/>
      </w:r>
      <w:r w:rsidRPr="00301DDB">
        <w:rPr>
          <w:lang w:val="en-US"/>
        </w:rPr>
        <w:tab/>
        <w:t>Report, 2010: Volume 2).</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BE</w:t>
      </w:r>
      <w:r w:rsidRPr="00301DDB">
        <w:rPr>
          <w:vertAlign w:val="subscript"/>
          <w:lang w:val="en-US"/>
        </w:rPr>
        <w:t>i</w:t>
      </w:r>
      <w:r w:rsidRPr="00301DDB">
        <w:rPr>
          <w:lang w:val="en-US"/>
        </w:rPr>
        <w:t xml:space="preserve"> =</w:t>
      </w:r>
      <w:r w:rsidRPr="00301DDB">
        <w:rPr>
          <w:lang w:val="en-US"/>
        </w:rPr>
        <w:tab/>
      </w:r>
      <w:r w:rsidRPr="00301DDB">
        <w:rPr>
          <w:lang w:val="en-US"/>
        </w:rPr>
        <w:tab/>
        <w:t>burn efficiency for either controlled burning or wildfires in</w:t>
      </w:r>
      <w:r w:rsidRPr="00301DDB">
        <w:rPr>
          <w:lang w:val="en-US"/>
        </w:rPr>
        <w:tab/>
      </w:r>
      <w:r w:rsidRPr="00301DDB">
        <w:rPr>
          <w:lang w:val="en-US"/>
        </w:rPr>
        <w:tab/>
      </w:r>
      <w:r w:rsidRPr="00301DDB">
        <w:rPr>
          <w:lang w:val="en-US"/>
        </w:rPr>
        <w:tab/>
      </w:r>
      <w:r w:rsidRPr="00301DDB">
        <w:rPr>
          <w:lang w:val="en-US"/>
        </w:rPr>
        <w:tab/>
        <w:t>carbon estimation area (i) (specified in table</w:t>
      </w:r>
      <w:r w:rsidRPr="00301DDB">
        <w:rPr>
          <w:lang w:val="en-US"/>
        </w:rPr>
        <w:tab/>
        <w:t xml:space="preserve"> 7.19 of the</w:t>
      </w:r>
      <w:r w:rsidRPr="00301DDB">
        <w:rPr>
          <w:lang w:val="en-US"/>
        </w:rPr>
        <w:tab/>
      </w:r>
      <w:r w:rsidRPr="00301DDB">
        <w:rPr>
          <w:lang w:val="en-US"/>
        </w:rPr>
        <w:tab/>
      </w:r>
      <w:r w:rsidRPr="00301DDB">
        <w:rPr>
          <w:lang w:val="en-US"/>
        </w:rPr>
        <w:tab/>
      </w:r>
      <w:r w:rsidRPr="00301DDB">
        <w:rPr>
          <w:lang w:val="en-US"/>
        </w:rPr>
        <w:tab/>
        <w:t>National Inventory Report, 2010: Volume 2).</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bt =</w:t>
      </w:r>
      <w:r w:rsidRPr="00301DDB">
        <w:rPr>
          <w:lang w:val="en-US"/>
        </w:rPr>
        <w:tab/>
      </w:r>
      <w:r w:rsidRPr="00301DDB">
        <w:rPr>
          <w:lang w:val="en-US"/>
        </w:rPr>
        <w:tab/>
        <w:t>burn type, either wildfire or controlled burn.</w:t>
      </w:r>
    </w:p>
    <w:p w:rsidR="00301DDB" w:rsidRPr="00301DDB" w:rsidRDefault="00301DDB" w:rsidP="00301DDB">
      <w:pPr>
        <w:keepLines/>
        <w:tabs>
          <w:tab w:val="right" w:pos="794"/>
        </w:tabs>
        <w:spacing w:before="80" w:after="100" w:line="260" w:lineRule="exact"/>
        <w:ind w:left="964" w:hanging="964"/>
        <w:jc w:val="both"/>
        <w:rPr>
          <w:lang w:val="en-US"/>
        </w:rPr>
      </w:pPr>
      <w:r w:rsidRPr="00301DDB">
        <w:tab/>
      </w:r>
      <w:r w:rsidRPr="00301DDB">
        <w:tab/>
      </w:r>
      <w:r w:rsidRPr="00301DDB">
        <w:tab/>
      </w:r>
      <w:r w:rsidRPr="00301DDB">
        <w:rPr>
          <w:lang w:val="en-US"/>
        </w:rPr>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r =</w:t>
      </w:r>
      <w:r w:rsidRPr="00301DDB">
        <w:rPr>
          <w:lang w:val="en-US"/>
        </w:rPr>
        <w:tab/>
      </w:r>
      <w:r w:rsidRPr="00301DDB">
        <w:rPr>
          <w:lang w:val="en-US"/>
        </w:rPr>
        <w:tab/>
        <w:t>the r</w:t>
      </w:r>
      <w:r w:rsidRPr="00301DDB">
        <w:rPr>
          <w:vertAlign w:val="superscript"/>
          <w:lang w:val="en-US"/>
        </w:rPr>
        <w:t xml:space="preserve">th </w:t>
      </w:r>
      <w:r w:rsidRPr="00301DDB">
        <w:rPr>
          <w:lang w:val="en-US"/>
        </w:rPr>
        <w:t>reporting period.</w:t>
      </w:r>
    </w:p>
    <w:p w:rsidR="00301DDB" w:rsidRPr="00301DDB" w:rsidRDefault="00301DDB" w:rsidP="00301DDB">
      <w:pPr>
        <w:keepNext/>
        <w:spacing w:before="120"/>
        <w:ind w:left="964"/>
        <w:jc w:val="both"/>
        <w:rPr>
          <w:rFonts w:ascii="Arial" w:hAnsi="Arial"/>
          <w:i/>
        </w:rPr>
      </w:pPr>
      <w:r w:rsidRPr="00301DDB">
        <w:rPr>
          <w:rFonts w:ascii="Arial" w:hAnsi="Arial"/>
          <w:i/>
          <w:lang w:val="en-US"/>
        </w:rPr>
        <w:t>Step 3.1.2 – Determination of methane and nitrous oxide emissions from wildfires and controlled burns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(3)</w:t>
      </w:r>
      <w:r w:rsidRPr="00301DDB">
        <w:rPr>
          <w:lang w:val="en-US"/>
        </w:rPr>
        <w:tab/>
        <w:t>The methane and nitrous oxide emissions associated with each fire event must be determined using Equations 32, 33 and 34.</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3.1.2.1—Determination of methane emissions from fire events</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rPr>
                <w:lang w:val="en-US"/>
              </w:rPr>
            </w:pPr>
            <m:oMathPara>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,i,r</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BB</m:t>
                    </m:r>
                  </m:e>
                  <m:sub>
                    <m:r>
                      <m:rPr>
                        <m:sty m:val="p"/>
                      </m:rPr>
                      <w:rPr>
                        <w:rFonts w:ascii="Cambria Math" w:hAnsi="Cambria Math"/>
                        <w:lang w:val="en-US"/>
                      </w:rPr>
                      <m:t>fire,bt,i,r</m:t>
                    </m:r>
                  </m:sub>
                </m:sSub>
                <m:r>
                  <m:rPr>
                    <m:sty m:val="p"/>
                  </m:rPr>
                  <w:rPr>
                    <w:rFonts w:ascii="Cambria Math" w:hAnsi="Cambria Math"/>
                    <w:lang w:val="en-US"/>
                  </w:rPr>
                  <m:t>×CF×</m:t>
                </m:r>
                <m:sSub>
                  <m:sSubPr>
                    <m:ctrlPr>
                      <w:rPr>
                        <w:rFonts w:ascii="Cambria Math" w:hAnsi="Cambria Math"/>
                        <w:bCs/>
                        <w:iCs/>
                        <w:lang w:val="en-US"/>
                      </w:rPr>
                    </m:ctrlPr>
                  </m:sSubPr>
                  <m:e>
                    <m:r>
                      <m:rPr>
                        <m:sty m:val="p"/>
                      </m:rPr>
                      <w:rPr>
                        <w:rFonts w:ascii="Cambria Math" w:hAnsi="Cambria Math"/>
                        <w:lang w:val="en-US"/>
                      </w:rPr>
                      <m:t>EF</m:t>
                    </m:r>
                  </m:e>
                  <m:sub>
                    <m:r>
                      <m:rPr>
                        <m:sty m:val="p"/>
                      </m:rPr>
                      <w:rPr>
                        <w:rFonts w:ascii="Cambria Math" w:hAnsi="Cambria Math"/>
                        <w:lang w:val="en-US"/>
                      </w:rPr>
                      <m:t>g,i</m:t>
                    </m:r>
                  </m:sub>
                </m:sSub>
                <m:r>
                  <m:rPr>
                    <m:sty m:val="p"/>
                  </m:rPr>
                  <w:rPr>
                    <w:rFonts w:ascii="Cambria Math" w:hAnsi="Cambria Math"/>
                    <w:lang w:val="en-US"/>
                  </w:rPr>
                  <m:t xml:space="preserve"> × </m:t>
                </m:r>
                <m:sSub>
                  <m:sSubPr>
                    <m:ctrlPr>
                      <w:rPr>
                        <w:rFonts w:ascii="Cambria Math" w:hAnsi="Cambria Math"/>
                        <w:lang w:val="en-US"/>
                      </w:rPr>
                    </m:ctrlPr>
                  </m:sSubPr>
                  <m:e>
                    <m:r>
                      <m:rPr>
                        <m:sty m:val="p"/>
                      </m:rPr>
                      <w:rPr>
                        <w:rFonts w:ascii="Cambria Math" w:hAnsi="Cambria Math"/>
                        <w:lang w:val="en-US"/>
                      </w:rPr>
                      <m:t>GWP</m:t>
                    </m:r>
                  </m:e>
                  <m:sub>
                    <m:r>
                      <m:rPr>
                        <m:sty m:val="p"/>
                      </m:rPr>
                      <w:rPr>
                        <w:rFonts w:ascii="Cambria Math" w:hAnsi="Cambria Math"/>
                        <w:lang w:val="en-US"/>
                      </w:rPr>
                      <m:t>g</m:t>
                    </m:r>
                  </m:sub>
                </m:sSub>
                <m:r>
                  <m:rPr>
                    <m:sty m:val="p"/>
                  </m:rPr>
                  <w:rPr>
                    <w:rFonts w:ascii="Cambria Math" w:hAnsi="Cambria Math"/>
                    <w:lang w:val="en-US"/>
                  </w:rPr>
                  <m:t>×MM</m:t>
                </m:r>
              </m:oMath>
            </m:oMathPara>
          </w:p>
        </w:tc>
        <w:tc>
          <w:tcPr>
            <w:tcW w:w="2188" w:type="dxa"/>
            <w:vAlign w:val="center"/>
          </w:tcPr>
          <w:p w:rsidR="00301DDB" w:rsidRPr="00301DDB" w:rsidRDefault="00301DDB" w:rsidP="00301DDB">
            <w:pPr>
              <w:keepLines/>
              <w:tabs>
                <w:tab w:val="right" w:pos="794"/>
              </w:tabs>
              <w:spacing w:before="80" w:after="100" w:line="260" w:lineRule="exact"/>
              <w:jc w:val="both"/>
              <w:rPr>
                <w:b/>
                <w:lang w:val="en-US"/>
              </w:rPr>
            </w:pPr>
            <w:r w:rsidRPr="00301DDB">
              <w:rPr>
                <w:b/>
                <w:lang w:val="en-US"/>
              </w:rPr>
              <w:t>Equation 32</w:t>
            </w:r>
          </w:p>
        </w:tc>
      </w:tr>
    </w:tbl>
    <w:p w:rsidR="00301DDB" w:rsidRPr="00301DDB" w:rsidRDefault="00301DDB" w:rsidP="00301DDB">
      <w:pPr>
        <w:keepLines/>
        <w:tabs>
          <w:tab w:val="right" w:pos="794"/>
        </w:tabs>
        <w:spacing w:before="80" w:after="100" w:line="260" w:lineRule="exact"/>
        <w:ind w:left="964" w:hanging="964"/>
        <w:jc w:val="both"/>
      </w:pP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3.1.2.2—Determination of nitrous oxide emissions from fire events</w:t>
      </w:r>
      <w:r w:rsidRPr="00301DDB">
        <w:rPr>
          <w:rFonts w:ascii="Arial" w:hAnsi="Arial"/>
          <w:i/>
          <w:lang w:val="en-US"/>
        </w:rPr>
        <w:tab/>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260" w:lineRule="exact"/>
              <w:jc w:val="both"/>
              <w:rPr>
                <w:lang w:val="en-US"/>
              </w:rPr>
            </w:pPr>
            <m:oMathPara>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O,i,r</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BB</m:t>
                    </m:r>
                  </m:e>
                  <m:sub>
                    <m:r>
                      <m:rPr>
                        <m:sty m:val="p"/>
                      </m:rPr>
                      <w:rPr>
                        <w:rFonts w:ascii="Cambria Math" w:hAnsi="Cambria Math"/>
                        <w:lang w:val="en-US"/>
                      </w:rPr>
                      <m:t>fire,bt,i,r</m:t>
                    </m:r>
                  </m:sub>
                </m:sSub>
                <m:r>
                  <m:rPr>
                    <m:sty m:val="p"/>
                  </m:rPr>
                  <w:rPr>
                    <w:rFonts w:ascii="Cambria Math" w:hAnsi="Cambria Math"/>
                    <w:lang w:val="en-US"/>
                  </w:rPr>
                  <m:t>×CF×NC×</m:t>
                </m:r>
                <m:sSub>
                  <m:sSubPr>
                    <m:ctrlPr>
                      <w:rPr>
                        <w:rFonts w:ascii="Cambria Math" w:hAnsi="Cambria Math"/>
                        <w:bCs/>
                        <w:iCs/>
                        <w:lang w:val="en-US"/>
                      </w:rPr>
                    </m:ctrlPr>
                  </m:sSubPr>
                  <m:e>
                    <m:r>
                      <m:rPr>
                        <m:sty m:val="p"/>
                      </m:rPr>
                      <w:rPr>
                        <w:rFonts w:ascii="Cambria Math" w:hAnsi="Cambria Math"/>
                        <w:lang w:val="en-US"/>
                      </w:rPr>
                      <m:t>EF</m:t>
                    </m:r>
                  </m:e>
                  <m:sub>
                    <m:r>
                      <m:rPr>
                        <m:sty m:val="p"/>
                      </m:rPr>
                      <w:rPr>
                        <w:rFonts w:ascii="Cambria Math" w:hAnsi="Cambria Math"/>
                        <w:lang w:val="en-US"/>
                      </w:rPr>
                      <m:t>g,i</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GWP</m:t>
                    </m:r>
                  </m:e>
                  <m:sub>
                    <m:r>
                      <m:rPr>
                        <m:sty m:val="p"/>
                      </m:rPr>
                      <w:rPr>
                        <w:rFonts w:ascii="Cambria Math" w:hAnsi="Cambria Math"/>
                        <w:lang w:val="en-US"/>
                      </w:rPr>
                      <m:t>g</m:t>
                    </m:r>
                  </m:sub>
                </m:sSub>
                <m:r>
                  <m:rPr>
                    <m:sty m:val="p"/>
                  </m:rPr>
                  <w:rPr>
                    <w:rFonts w:ascii="Cambria Math" w:hAnsi="Cambria Math"/>
                    <w:lang w:val="en-US"/>
                  </w:rPr>
                  <m:t>×MM</m:t>
                </m:r>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33</w:t>
            </w:r>
          </w:p>
        </w:tc>
      </w:tr>
    </w:tbl>
    <w:p w:rsidR="00301DDB" w:rsidRPr="00301DDB" w:rsidRDefault="00301DDB" w:rsidP="00301DDB">
      <w:pPr>
        <w:keepLines/>
        <w:tabs>
          <w:tab w:val="right" w:pos="794"/>
        </w:tabs>
        <w:spacing w:before="80" w:after="100" w:line="260" w:lineRule="exact"/>
        <w:ind w:left="964" w:hanging="964"/>
        <w:jc w:val="both"/>
        <w:rPr>
          <w:lang w:val="en-US"/>
        </w:rPr>
      </w:pP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3.1.3—Determination of emissions from fire events</w:t>
      </w:r>
      <w:r w:rsidRPr="00301DDB">
        <w:rPr>
          <w:rFonts w:ascii="Arial" w:hAnsi="Arial"/>
          <w:i/>
          <w:lang w:val="en-US"/>
        </w:rPr>
        <w:tab/>
      </w:r>
      <w:r w:rsidRPr="00301DDB">
        <w:rPr>
          <w:rFonts w:ascii="Arial" w:hAnsi="Arial"/>
          <w:i/>
          <w:lang w:val="en-US"/>
        </w:rPr>
        <w:tab/>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rPr>
                <w:lang w:val="en-US"/>
              </w:rPr>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fire,i,r</m:t>
                    </m:r>
                  </m:sub>
                </m:sSub>
                <m:r>
                  <m:rPr>
                    <m:sty m:val="p"/>
                  </m:rPr>
                  <w:rPr>
                    <w:rFonts w:ascii="Cambria Math" w:hAnsi="Cambria Math"/>
                    <w:lang w:val="en-US"/>
                  </w:rPr>
                  <m:t xml:space="preserve">= </m:t>
                </m:r>
                <m:nary>
                  <m:naryPr>
                    <m:chr m:val="∑"/>
                    <m:limLoc m:val="undOvr"/>
                    <m:supHide m:val="1"/>
                    <m:ctrlPr>
                      <w:rPr>
                        <w:rFonts w:ascii="Cambria Math" w:hAnsi="Cambria Math"/>
                        <w:bCs/>
                        <w:iCs/>
                        <w:lang w:val="en-US"/>
                      </w:rPr>
                    </m:ctrlPr>
                  </m:naryPr>
                  <m:sub>
                    <m:r>
                      <m:rPr>
                        <m:sty m:val="p"/>
                      </m:rPr>
                      <w:rPr>
                        <w:rFonts w:ascii="Cambria Math" w:hAnsi="Cambria Math"/>
                        <w:lang w:val="en-US"/>
                      </w:rPr>
                      <m:t>bt</m:t>
                    </m:r>
                  </m:sub>
                  <m:sup/>
                  <m:e>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,i,r</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O,i,r</m:t>
                        </m:r>
                      </m:sub>
                    </m:sSub>
                  </m:e>
                </m:nary>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lang w:val="en-US"/>
              </w:rPr>
            </w:pPr>
            <w:r w:rsidRPr="00301DDB">
              <w:rPr>
                <w:b/>
                <w:lang w:val="en-US"/>
              </w:rPr>
              <w:t>Equation 34</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lastRenderedPageBreak/>
        <w:t>Where:</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E</w:t>
      </w:r>
      <w:r w:rsidRPr="00301DDB">
        <w:rPr>
          <w:vertAlign w:val="subscript"/>
          <w:lang w:val="en-US"/>
        </w:rPr>
        <w:t xml:space="preserve">fire,i,r </w:t>
      </w:r>
      <w:r w:rsidRPr="00301DDB">
        <w:rPr>
          <w:lang w:val="en-US"/>
        </w:rPr>
        <w:t>=</w:t>
      </w:r>
      <w:r w:rsidRPr="00301DDB">
        <w:rPr>
          <w:lang w:val="en-US"/>
        </w:rPr>
        <w:tab/>
        <w:t>greenhouse gas emissions due to fire events in carbon</w:t>
      </w:r>
      <w:r w:rsidRPr="00301DDB">
        <w:rPr>
          <w:lang w:val="en-US"/>
        </w:rPr>
        <w:tab/>
      </w:r>
      <w:r w:rsidRPr="00301DDB">
        <w:rPr>
          <w:lang w:val="en-US"/>
        </w:rPr>
        <w:tab/>
      </w:r>
      <w:r w:rsidRPr="00301DDB">
        <w:rPr>
          <w:lang w:val="en-US"/>
        </w:rPr>
        <w:tab/>
      </w:r>
      <w:r w:rsidRPr="00301DDB">
        <w:rPr>
          <w:lang w:val="en-US"/>
        </w:rPr>
        <w:tab/>
        <w:t>estimation area (i) for reporting period (r) (tonnes of carbon</w:t>
      </w:r>
      <w:r w:rsidRPr="00301DDB">
        <w:rPr>
          <w:lang w:val="en-US"/>
        </w:rPr>
        <w:tab/>
      </w:r>
      <w:r w:rsidRPr="00301DDB">
        <w:rPr>
          <w:lang w:val="en-US"/>
        </w:rPr>
        <w:tab/>
      </w:r>
      <w:r w:rsidRPr="00301DDB">
        <w:rPr>
          <w:lang w:val="en-US"/>
        </w:rPr>
        <w:tab/>
      </w:r>
      <w:r w:rsidRPr="00301DDB">
        <w:rPr>
          <w:lang w:val="en-US"/>
        </w:rPr>
        <w:tab/>
        <w:t>dioxide equivalent).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E</w:t>
      </w:r>
      <w:r w:rsidRPr="00301DDB">
        <w:rPr>
          <w:vertAlign w:val="subscript"/>
          <w:lang w:val="en-US"/>
        </w:rPr>
        <w:t xml:space="preserve">CH4,i,r </w:t>
      </w:r>
      <w:r w:rsidRPr="00301DDB">
        <w:rPr>
          <w:lang w:val="en-US"/>
        </w:rPr>
        <w:t>=</w:t>
      </w:r>
      <w:r w:rsidRPr="00301DDB">
        <w:rPr>
          <w:lang w:val="en-US"/>
        </w:rPr>
        <w:tab/>
        <w:t>methane emissions due to fire events in carbon estimation area</w:t>
      </w:r>
      <w:r w:rsidRPr="00301DDB">
        <w:rPr>
          <w:lang w:val="en-US"/>
        </w:rPr>
        <w:tab/>
      </w:r>
      <w:r w:rsidRPr="00301DDB">
        <w:rPr>
          <w:lang w:val="en-US"/>
        </w:rPr>
        <w:tab/>
      </w:r>
      <w:r w:rsidRPr="00301DDB">
        <w:rPr>
          <w:lang w:val="en-US"/>
        </w:rPr>
        <w:tab/>
        <w:t>(i) for reporting period (r) (tonnes of carbon dioxide</w:t>
      </w:r>
      <w:r w:rsidRPr="00301DDB">
        <w:rPr>
          <w:lang w:val="en-US"/>
        </w:rPr>
        <w:tab/>
      </w:r>
      <w:r w:rsidRPr="00301DDB">
        <w:rPr>
          <w:lang w:val="en-US"/>
        </w:rPr>
        <w:tab/>
      </w:r>
      <w:r w:rsidRPr="00301DDB">
        <w:rPr>
          <w:lang w:val="en-US"/>
        </w:rPr>
        <w:tab/>
      </w:r>
      <w:r w:rsidRPr="00301DDB">
        <w:rPr>
          <w:lang w:val="en-US"/>
        </w:rPr>
        <w:tab/>
      </w:r>
      <w:r w:rsidRPr="00301DDB">
        <w:rPr>
          <w:lang w:val="en-US"/>
        </w:rPr>
        <w:tab/>
        <w:t>equivalent).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E</w:t>
      </w:r>
      <w:r w:rsidRPr="00301DDB">
        <w:rPr>
          <w:vertAlign w:val="subscript"/>
          <w:lang w:val="en-US"/>
        </w:rPr>
        <w:t xml:space="preserve">N2O,i,r </w:t>
      </w:r>
      <w:r w:rsidRPr="00301DDB">
        <w:rPr>
          <w:lang w:val="en-US"/>
        </w:rPr>
        <w:t>=</w:t>
      </w:r>
      <w:r w:rsidRPr="00301DDB">
        <w:rPr>
          <w:lang w:val="en-US"/>
        </w:rPr>
        <w:tab/>
        <w:t>nitrous oxide emissions due to fire events in carbon estimation</w:t>
      </w:r>
      <w:r w:rsidRPr="00301DDB">
        <w:rPr>
          <w:lang w:val="en-US"/>
        </w:rPr>
        <w:tab/>
      </w:r>
      <w:r w:rsidRPr="00301DDB">
        <w:rPr>
          <w:lang w:val="en-US"/>
        </w:rPr>
        <w:tab/>
      </w:r>
      <w:r w:rsidRPr="00301DDB">
        <w:rPr>
          <w:lang w:val="en-US"/>
        </w:rPr>
        <w:tab/>
        <w:t>area (i) for reporting period (r) (tonnes of carbon dioxide</w:t>
      </w:r>
      <w:r w:rsidRPr="00301DDB">
        <w:rPr>
          <w:lang w:val="en-US"/>
        </w:rPr>
        <w:tab/>
      </w:r>
      <w:r w:rsidRPr="00301DDB">
        <w:rPr>
          <w:lang w:val="en-US"/>
        </w:rPr>
        <w:tab/>
      </w:r>
      <w:r w:rsidRPr="00301DDB">
        <w:rPr>
          <w:lang w:val="en-US"/>
        </w:rPr>
        <w:tab/>
      </w:r>
      <w:r w:rsidRPr="00301DDB">
        <w:rPr>
          <w:lang w:val="en-US"/>
        </w:rPr>
        <w:tab/>
        <w:t>equivalent).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CF =</w:t>
      </w:r>
      <w:r w:rsidRPr="00301DDB">
        <w:rPr>
          <w:lang w:val="en-US"/>
        </w:rPr>
        <w:tab/>
        <w:t xml:space="preserve"> </w:t>
      </w:r>
      <w:r w:rsidRPr="00301DDB">
        <w:rPr>
          <w:lang w:val="en-US"/>
        </w:rPr>
        <w:tab/>
        <w:t>0.5, being the carbon mass fraction in vegetation.</w:t>
      </w:r>
      <w:r w:rsidRPr="00301DDB">
        <w:rPr>
          <w:lang w:val="en-US"/>
        </w:rPr>
        <w:tab/>
      </w:r>
      <w:r w:rsidRPr="00301DDB">
        <w:rPr>
          <w:lang w:val="en-US"/>
        </w:rPr>
        <w:tab/>
      </w:r>
      <w:r w:rsidRPr="00301DDB">
        <w:rPr>
          <w:lang w:val="en-US"/>
        </w:rPr>
        <w:tab/>
        <w:t>EF</w:t>
      </w:r>
      <w:r w:rsidRPr="00301DDB">
        <w:rPr>
          <w:vertAlign w:val="subscript"/>
          <w:lang w:val="en-US"/>
        </w:rPr>
        <w:t>g,i</w:t>
      </w:r>
      <w:r w:rsidRPr="00301DDB">
        <w:rPr>
          <w:lang w:val="en-US"/>
        </w:rPr>
        <w:t xml:space="preserve"> =</w:t>
      </w:r>
      <w:r w:rsidRPr="00301DDB">
        <w:rPr>
          <w:lang w:val="en-US"/>
        </w:rPr>
        <w:tab/>
      </w:r>
      <w:r w:rsidRPr="00301DDB">
        <w:rPr>
          <w:lang w:val="en-US"/>
        </w:rPr>
        <w:tab/>
        <w:t>emission factor for gas species g; t element in species/t element</w:t>
      </w:r>
      <w:r w:rsidRPr="00301DDB">
        <w:rPr>
          <w:lang w:val="en-US"/>
        </w:rPr>
        <w:tab/>
      </w:r>
      <w:r w:rsidRPr="00301DDB">
        <w:rPr>
          <w:lang w:val="en-US"/>
        </w:rPr>
        <w:tab/>
      </w:r>
      <w:r w:rsidRPr="00301DDB">
        <w:rPr>
          <w:lang w:val="en-US"/>
        </w:rPr>
        <w:tab/>
        <w:t>in fuel burnt (data must be accessed from table 7.21 of the</w:t>
      </w:r>
      <w:r w:rsidRPr="00301DDB">
        <w:rPr>
          <w:lang w:val="en-US"/>
        </w:rPr>
        <w:tab/>
      </w:r>
      <w:r w:rsidRPr="00301DDB">
        <w:rPr>
          <w:lang w:val="en-US"/>
        </w:rPr>
        <w:tab/>
      </w:r>
      <w:r w:rsidRPr="00301DDB">
        <w:rPr>
          <w:lang w:val="en-US"/>
        </w:rPr>
        <w:tab/>
      </w:r>
      <w:r w:rsidRPr="00301DDB">
        <w:rPr>
          <w:lang w:val="en-US"/>
        </w:rPr>
        <w:tab/>
        <w:t>National Inventory Report, 2010: Volume 2).</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GWP</w:t>
      </w:r>
      <w:r w:rsidRPr="00301DDB">
        <w:rPr>
          <w:vertAlign w:val="subscript"/>
          <w:lang w:val="en-US"/>
        </w:rPr>
        <w:t xml:space="preserve">g </w:t>
      </w:r>
      <w:r w:rsidRPr="00301DDB">
        <w:rPr>
          <w:lang w:val="en-US"/>
        </w:rPr>
        <w:t>=</w:t>
      </w:r>
      <w:r w:rsidRPr="00301DDB">
        <w:rPr>
          <w:lang w:val="en-US"/>
        </w:rPr>
        <w:tab/>
        <w:t>global warming potential for gas (</w:t>
      </w:r>
      <w:r w:rsidRPr="00301DDB">
        <w:rPr>
          <w:iCs/>
          <w:lang w:val="en-US"/>
        </w:rPr>
        <w:t>g) (tonnes of carbon dioxide</w:t>
      </w:r>
      <w:r w:rsidRPr="00301DDB">
        <w:rPr>
          <w:iCs/>
          <w:lang w:val="en-US"/>
        </w:rPr>
        <w:tab/>
      </w:r>
      <w:r w:rsidRPr="00301DDB">
        <w:rPr>
          <w:iCs/>
          <w:lang w:val="en-US"/>
        </w:rPr>
        <w:tab/>
      </w:r>
      <w:r w:rsidRPr="00301DDB">
        <w:rPr>
          <w:iCs/>
          <w:lang w:val="en-US"/>
        </w:rPr>
        <w:tab/>
        <w:t xml:space="preserve">per tonne of gas (g)) as specified in the NGER Regulations. </w:t>
      </w:r>
    </w:p>
    <w:p w:rsidR="00301DDB" w:rsidRPr="00301DDB" w:rsidRDefault="00301DDB" w:rsidP="00301DDB">
      <w:pPr>
        <w:keepLines/>
        <w:tabs>
          <w:tab w:val="right" w:pos="794"/>
        </w:tabs>
        <w:spacing w:before="80" w:after="100" w:line="260" w:lineRule="exact"/>
        <w:ind w:left="2404" w:hanging="964"/>
        <w:jc w:val="both"/>
        <w:rPr>
          <w:lang w:val="en-US"/>
        </w:rPr>
      </w:pPr>
      <w:r w:rsidRPr="00301DDB">
        <w:rPr>
          <w:lang w:val="en-US"/>
        </w:rPr>
        <w:t>MM =</w:t>
      </w:r>
      <w:r w:rsidRPr="00301DDB">
        <w:rPr>
          <w:lang w:val="en-US"/>
        </w:rPr>
        <w:tab/>
      </w:r>
      <w:r w:rsidRPr="00301DDB">
        <w:rPr>
          <w:lang w:val="en-US"/>
        </w:rPr>
        <w:tab/>
        <w:t>factor to convert elemental mass of gas species g to molecular</w:t>
      </w:r>
      <w:r w:rsidRPr="00301DDB">
        <w:rPr>
          <w:lang w:val="en-US"/>
        </w:rPr>
        <w:tab/>
        <w:t>mass (data must be accessed from table 7.22 of the National</w:t>
      </w:r>
      <w:r w:rsidRPr="00301DDB">
        <w:rPr>
          <w:lang w:val="en-US"/>
        </w:rPr>
        <w:tab/>
        <w:t>Inventory Report, 2010: Volume 2).</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NC =</w:t>
      </w:r>
      <w:r w:rsidRPr="00301DDB">
        <w:rPr>
          <w:lang w:val="en-US"/>
        </w:rPr>
        <w:tab/>
      </w:r>
      <w:r w:rsidRPr="00301DDB">
        <w:rPr>
          <w:lang w:val="en-US"/>
        </w:rPr>
        <w:tab/>
        <w:t>0.011, being the nitrogen to carbon ratio in biomass.</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g =</w:t>
      </w:r>
      <w:r w:rsidRPr="00301DDB">
        <w:rPr>
          <w:lang w:val="en-US"/>
        </w:rPr>
        <w:tab/>
      </w:r>
      <w:r w:rsidRPr="00301DDB">
        <w:rPr>
          <w:lang w:val="en-US"/>
        </w:rPr>
        <w:tab/>
        <w:t>greenhouse gas methane (CH</w:t>
      </w:r>
      <w:r w:rsidRPr="00301DDB">
        <w:rPr>
          <w:vertAlign w:val="subscript"/>
          <w:lang w:val="en-US"/>
        </w:rPr>
        <w:t>4</w:t>
      </w:r>
      <w:r w:rsidRPr="00301DDB">
        <w:rPr>
          <w:lang w:val="en-US"/>
        </w:rPr>
        <w:t>) or nitrous oxide (N</w:t>
      </w:r>
      <w:r w:rsidRPr="00301DDB">
        <w:rPr>
          <w:vertAlign w:val="subscript"/>
          <w:lang w:val="en-US"/>
        </w:rPr>
        <w:t>2</w:t>
      </w:r>
      <w:r w:rsidRPr="00301DDB">
        <w:rPr>
          <w:lang w:val="en-US"/>
        </w:rPr>
        <w:t>O).</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r w:rsidRPr="00301DDB">
        <w:rPr>
          <w:lang w:val="en-US"/>
        </w:rPr>
        <w:tab/>
      </w:r>
      <w:r w:rsidRPr="00301DDB">
        <w:rPr>
          <w:lang w:val="en-US"/>
        </w:rPr>
        <w:tab/>
      </w:r>
      <w:r w:rsidRPr="00301DDB">
        <w:rPr>
          <w:lang w:val="en-US"/>
        </w:rPr>
        <w:tab/>
      </w:r>
    </w:p>
    <w:p w:rsidR="00301DDB" w:rsidRPr="00301DDB" w:rsidRDefault="00301DDB" w:rsidP="00301DDB">
      <w:pPr>
        <w:keepLines/>
        <w:tabs>
          <w:tab w:val="right" w:pos="794"/>
        </w:tabs>
        <w:spacing w:before="80" w:after="100" w:line="260" w:lineRule="exact"/>
        <w:ind w:left="2404" w:hanging="964"/>
        <w:jc w:val="both"/>
        <w:rPr>
          <w:lang w:val="en-US"/>
        </w:rPr>
      </w:pPr>
      <w:r w:rsidRPr="00301DDB">
        <w:rPr>
          <w:lang w:val="en-US"/>
        </w:rPr>
        <w:t>r =</w:t>
      </w:r>
      <w:r w:rsidRPr="00301DDB">
        <w:rPr>
          <w:lang w:val="en-US"/>
        </w:rPr>
        <w:tab/>
      </w:r>
      <w:r w:rsidRPr="00301DDB">
        <w:rPr>
          <w:lang w:val="en-US"/>
        </w:rPr>
        <w:tab/>
        <w:t>the r</w:t>
      </w:r>
      <w:r w:rsidRPr="00301DDB">
        <w:rPr>
          <w:vertAlign w:val="superscript"/>
          <w:lang w:val="en-US"/>
        </w:rPr>
        <w:t>th</w:t>
      </w:r>
      <w:r w:rsidRPr="00301DDB">
        <w:rPr>
          <w:lang w:val="en-US"/>
        </w:rPr>
        <w:t xml:space="preserve"> reporting period.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bt =</w:t>
      </w:r>
      <w:r w:rsidRPr="00301DDB">
        <w:rPr>
          <w:lang w:val="en-US"/>
        </w:rPr>
        <w:tab/>
      </w:r>
      <w:r w:rsidRPr="00301DDB">
        <w:rPr>
          <w:lang w:val="en-US"/>
        </w:rPr>
        <w:tab/>
        <w:t>burn type, either wildfire or controlled burn.</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3.3—Determine emissions from fossil fuel combustion</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The emissions from fuel use for each carbon estimation area during each reporting period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FC,i,r</m:t>
                    </m:r>
                  </m:sub>
                </m:sSub>
                <m:r>
                  <m:rPr>
                    <m:sty m:val="p"/>
                  </m:rPr>
                  <w:rPr>
                    <w:rFonts w:ascii="Cambria Math" w:hAnsi="Cambria Math"/>
                    <w:lang w:val="en-US"/>
                  </w:rPr>
                  <m:t xml:space="preserve">= </m:t>
                </m:r>
                <m:nary>
                  <m:naryPr>
                    <m:chr m:val="∑"/>
                    <m:limLoc m:val="undOvr"/>
                    <m:supHide m:val="1"/>
                    <m:ctrlPr>
                      <w:rPr>
                        <w:rFonts w:ascii="Cambria Math" w:hAnsi="Cambria Math"/>
                        <w:bCs/>
                        <w:iCs/>
                        <w:lang w:val="en-US"/>
                      </w:rPr>
                    </m:ctrlPr>
                  </m:naryPr>
                  <m:sub>
                    <m:r>
                      <m:rPr>
                        <m:sty m:val="p"/>
                      </m:rPr>
                      <w:rPr>
                        <w:rFonts w:ascii="Cambria Math" w:hAnsi="Cambria Math"/>
                        <w:lang w:val="en-US"/>
                      </w:rPr>
                      <m:t>g</m:t>
                    </m:r>
                  </m:sub>
                  <m:sup/>
                  <m:e>
                    <m:nary>
                      <m:naryPr>
                        <m:chr m:val="∑"/>
                        <m:limLoc m:val="undOvr"/>
                        <m:supHide m:val="1"/>
                        <m:ctrlPr>
                          <w:rPr>
                            <w:rFonts w:ascii="Cambria Math" w:hAnsi="Cambria Math"/>
                            <w:bCs/>
                            <w:iCs/>
                            <w:lang w:val="en-US"/>
                          </w:rPr>
                        </m:ctrlPr>
                      </m:naryPr>
                      <m:sub>
                        <m:r>
                          <m:rPr>
                            <m:sty m:val="p"/>
                          </m:rPr>
                          <w:rPr>
                            <w:rFonts w:ascii="Cambria Math" w:hAnsi="Cambria Math"/>
                            <w:lang w:val="en-US"/>
                          </w:rPr>
                          <m:t>a</m:t>
                        </m:r>
                      </m:sub>
                      <m:sup/>
                      <m:e>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g,a,i,r</m:t>
                            </m:r>
                          </m:sub>
                        </m:sSub>
                      </m:e>
                    </m:nary>
                  </m:e>
                </m:nary>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35</w:t>
            </w:r>
          </w:p>
        </w:tc>
      </w:tr>
    </w:tbl>
    <w:p w:rsidR="00301DDB" w:rsidRPr="00301DDB" w:rsidRDefault="00301DDB" w:rsidP="00301DDB">
      <w:pPr>
        <w:keepNext/>
        <w:keepLines/>
        <w:tabs>
          <w:tab w:val="right" w:pos="794"/>
        </w:tabs>
        <w:spacing w:before="80" w:after="100" w:line="260" w:lineRule="exact"/>
        <w:ind w:left="964" w:hanging="964"/>
        <w:jc w:val="both"/>
        <w:rPr>
          <w:lang w:val="en-US"/>
        </w:rPr>
      </w:pPr>
      <w:r w:rsidRPr="00301DDB">
        <w:rPr>
          <w:lang w:val="en-US"/>
        </w:rPr>
        <w:tab/>
      </w:r>
      <w:r w:rsidRPr="00301DDB">
        <w:rPr>
          <w:lang w:val="en-US"/>
        </w:rPr>
        <w:tab/>
        <w:t>Where:</w:t>
      </w:r>
    </w:p>
    <w:p w:rsidR="00301DDB" w:rsidRPr="00301DDB" w:rsidRDefault="00301DDB" w:rsidP="00301DDB">
      <w:pPr>
        <w:keepNext/>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E</w:t>
      </w:r>
      <w:r w:rsidRPr="00301DDB">
        <w:rPr>
          <w:vertAlign w:val="subscript"/>
          <w:lang w:val="en-US"/>
        </w:rPr>
        <w:t>FC,i,r</w:t>
      </w:r>
      <w:r w:rsidRPr="00301DDB">
        <w:rPr>
          <w:lang w:val="en-US"/>
        </w:rPr>
        <w:t xml:space="preserve"> =</w:t>
      </w:r>
      <w:r w:rsidRPr="00301DDB">
        <w:rPr>
          <w:lang w:val="en-US"/>
        </w:rPr>
        <w:tab/>
      </w:r>
      <w:r w:rsidRPr="00301DDB">
        <w:rPr>
          <w:lang w:val="en-US"/>
        </w:rPr>
        <w:tab/>
        <w:t>net emissions of fuel consumption in carbon estimation area (i)</w:t>
      </w:r>
      <w:r w:rsidRPr="00301DDB">
        <w:rPr>
          <w:lang w:val="en-US"/>
        </w:rPr>
        <w:tab/>
      </w:r>
      <w:r w:rsidRPr="00301DDB">
        <w:rPr>
          <w:lang w:val="en-US"/>
        </w:rPr>
        <w:tab/>
      </w:r>
      <w:r w:rsidRPr="00301DDB">
        <w:rPr>
          <w:lang w:val="en-US"/>
        </w:rPr>
        <w:tab/>
        <w:t>for reporting period (r) (tonnes of carbon dioxide equivalent).</w:t>
      </w:r>
    </w:p>
    <w:p w:rsidR="00301DDB" w:rsidRPr="00301DDB" w:rsidRDefault="00301DDB" w:rsidP="00301DDB">
      <w:pPr>
        <w:keepNext/>
        <w:keepLines/>
        <w:tabs>
          <w:tab w:val="right" w:pos="794"/>
        </w:tabs>
        <w:spacing w:before="80" w:after="100" w:line="260" w:lineRule="exact"/>
        <w:ind w:left="964" w:hanging="964"/>
        <w:rPr>
          <w:lang w:val="en-US"/>
        </w:rPr>
      </w:pPr>
      <w:r w:rsidRPr="00301DDB">
        <w:rPr>
          <w:lang w:val="en-US"/>
        </w:rPr>
        <w:tab/>
      </w:r>
      <w:r w:rsidRPr="00301DDB">
        <w:rPr>
          <w:lang w:val="en-US"/>
        </w:rPr>
        <w:tab/>
      </w:r>
      <w:r w:rsidRPr="00301DDB">
        <w:rPr>
          <w:lang w:val="en-US"/>
        </w:rPr>
        <w:tab/>
        <w:t>E</w:t>
      </w:r>
      <w:r w:rsidRPr="00301DDB">
        <w:rPr>
          <w:vertAlign w:val="subscript"/>
          <w:lang w:val="en-US"/>
        </w:rPr>
        <w:t xml:space="preserve">g,a,i,r </w:t>
      </w:r>
      <w:r w:rsidRPr="00301DDB">
        <w:rPr>
          <w:lang w:val="en-US"/>
        </w:rPr>
        <w:t>=</w:t>
      </w:r>
      <w:r w:rsidRPr="00301DDB">
        <w:rPr>
          <w:lang w:val="en-US"/>
        </w:rPr>
        <w:tab/>
      </w:r>
      <w:r w:rsidRPr="00301DDB">
        <w:rPr>
          <w:lang w:val="en-US"/>
        </w:rPr>
        <w:tab/>
        <w:t>emissions of greenhouse gas (g) from consumption of fuel type</w:t>
      </w:r>
      <w:r w:rsidRPr="00301DDB">
        <w:rPr>
          <w:lang w:val="en-US"/>
        </w:rPr>
        <w:tab/>
      </w:r>
      <w:r w:rsidRPr="00301DDB">
        <w:rPr>
          <w:lang w:val="en-US"/>
        </w:rPr>
        <w:tab/>
      </w:r>
      <w:r w:rsidRPr="00301DDB">
        <w:rPr>
          <w:lang w:val="en-US"/>
        </w:rPr>
        <w:tab/>
        <w:t>(a) for carbon estimation area (i) during reporting period (r)</w:t>
      </w:r>
      <w:r w:rsidRPr="00301DDB">
        <w:rPr>
          <w:lang w:val="en-US"/>
        </w:rPr>
        <w:tab/>
      </w:r>
      <w:r w:rsidRPr="00301DDB">
        <w:rPr>
          <w:lang w:val="en-US"/>
        </w:rPr>
        <w:tab/>
      </w:r>
      <w:r w:rsidRPr="00301DDB">
        <w:rPr>
          <w:lang w:val="en-US"/>
        </w:rPr>
        <w:tab/>
      </w:r>
      <w:r w:rsidRPr="00301DDB">
        <w:rPr>
          <w:lang w:val="en-US"/>
        </w:rPr>
        <w:tab/>
        <w:t>(tonnes of carbon dioxide equivalent) calculated in accordance</w:t>
      </w:r>
      <w:r w:rsidRPr="00301DDB">
        <w:rPr>
          <w:lang w:val="en-US"/>
        </w:rPr>
        <w:tab/>
      </w:r>
      <w:r w:rsidRPr="00301DDB">
        <w:rPr>
          <w:lang w:val="en-US"/>
        </w:rPr>
        <w:tab/>
      </w:r>
      <w:r w:rsidRPr="00301DDB">
        <w:rPr>
          <w:lang w:val="en-US"/>
        </w:rPr>
        <w:tab/>
        <w:t>with Step 3.3.1 in this section.</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a =</w:t>
      </w:r>
      <w:r w:rsidRPr="00301DDB">
        <w:rPr>
          <w:lang w:val="en-US"/>
        </w:rPr>
        <w:tab/>
      </w:r>
      <w:r w:rsidRPr="00301DDB">
        <w:rPr>
          <w:lang w:val="en-US"/>
        </w:rPr>
        <w:tab/>
        <w:t>fuel type (a) (e.g. diesel, Gasoline, etc.) as specified in</w:t>
      </w:r>
      <w:r w:rsidRPr="00301DDB">
        <w:rPr>
          <w:lang w:val="en-US"/>
        </w:rPr>
        <w:tab/>
      </w:r>
      <w:r w:rsidRPr="00301DDB">
        <w:rPr>
          <w:lang w:val="en-US"/>
        </w:rPr>
        <w:tab/>
      </w:r>
      <w:r w:rsidRPr="00301DDB">
        <w:rPr>
          <w:lang w:val="en-US"/>
        </w:rPr>
        <w:tab/>
      </w:r>
      <w:r w:rsidRPr="00301DDB">
        <w:rPr>
          <w:lang w:val="en-US"/>
        </w:rPr>
        <w:tab/>
        <w:t>Schedule 1, Part 4 of the National Greenhouse and Energy</w:t>
      </w:r>
      <w:r w:rsidRPr="00301DDB">
        <w:rPr>
          <w:lang w:val="en-US"/>
        </w:rPr>
        <w:tab/>
      </w:r>
      <w:r w:rsidRPr="00301DDB">
        <w:rPr>
          <w:lang w:val="en-US"/>
        </w:rPr>
        <w:tab/>
      </w:r>
      <w:r w:rsidRPr="00301DDB">
        <w:rPr>
          <w:lang w:val="en-US"/>
        </w:rPr>
        <w:tab/>
      </w:r>
      <w:r w:rsidRPr="00301DDB">
        <w:rPr>
          <w:lang w:val="en-US"/>
        </w:rPr>
        <w:tab/>
        <w:t>Reporting (Measurement) Determination 2008.</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lastRenderedPageBreak/>
        <w:tab/>
      </w:r>
      <w:r w:rsidRPr="00301DDB">
        <w:rPr>
          <w:lang w:val="en-US"/>
        </w:rPr>
        <w:tab/>
      </w:r>
      <w:r w:rsidRPr="00301DDB">
        <w:rPr>
          <w:lang w:val="en-US"/>
        </w:rPr>
        <w:tab/>
        <w:t>g =</w:t>
      </w:r>
      <w:r w:rsidRPr="00301DDB">
        <w:rPr>
          <w:lang w:val="en-US"/>
        </w:rPr>
        <w:tab/>
      </w:r>
      <w:r w:rsidRPr="00301DDB">
        <w:rPr>
          <w:lang w:val="en-US"/>
        </w:rPr>
        <w:tab/>
        <w:t>greenhouse gas type: carbon dioxide (CO</w:t>
      </w:r>
      <w:r w:rsidRPr="00301DDB">
        <w:rPr>
          <w:vertAlign w:val="subscript"/>
          <w:lang w:val="en-US"/>
        </w:rPr>
        <w:t>2</w:t>
      </w:r>
      <w:r w:rsidRPr="00301DDB">
        <w:rPr>
          <w:lang w:val="en-US"/>
        </w:rPr>
        <w:t>), methane(CH</w:t>
      </w:r>
      <w:r w:rsidRPr="00301DDB">
        <w:rPr>
          <w:vertAlign w:val="subscript"/>
          <w:lang w:val="en-US"/>
        </w:rPr>
        <w:t>4</w:t>
      </w:r>
      <w:r w:rsidRPr="00301DDB">
        <w:rPr>
          <w:lang w:val="en-US"/>
        </w:rPr>
        <w:t>) or</w:t>
      </w:r>
      <w:r w:rsidRPr="00301DDB">
        <w:rPr>
          <w:lang w:val="en-US"/>
        </w:rPr>
        <w:tab/>
      </w:r>
      <w:r w:rsidRPr="00301DDB">
        <w:rPr>
          <w:lang w:val="en-US"/>
        </w:rPr>
        <w:tab/>
      </w:r>
      <w:r w:rsidRPr="00301DDB">
        <w:rPr>
          <w:lang w:val="en-US"/>
        </w:rPr>
        <w:tab/>
        <w:t>nitrous oxide (N</w:t>
      </w:r>
      <w:r w:rsidRPr="00301DDB">
        <w:rPr>
          <w:vertAlign w:val="subscript"/>
          <w:lang w:val="en-US"/>
        </w:rPr>
        <w:t>2</w:t>
      </w:r>
      <w:r w:rsidRPr="00301DDB">
        <w:rPr>
          <w:lang w:val="en-US"/>
        </w:rPr>
        <w:t>O).</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r w:rsidRPr="00301DDB">
        <w:rPr>
          <w:lang w:val="en-US"/>
        </w:rPr>
        <w:tab/>
      </w:r>
      <w:r w:rsidRPr="00301DDB">
        <w:rPr>
          <w:lang w:val="en-US"/>
        </w:rPr>
        <w:tab/>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r =</w:t>
      </w:r>
      <w:r w:rsidRPr="00301DDB">
        <w:rPr>
          <w:lang w:val="en-US"/>
        </w:rPr>
        <w:tab/>
      </w:r>
      <w:r w:rsidRPr="00301DDB">
        <w:rPr>
          <w:lang w:val="en-US"/>
        </w:rPr>
        <w:tab/>
        <w:t>the r</w:t>
      </w:r>
      <w:r w:rsidRPr="00301DDB">
        <w:rPr>
          <w:vertAlign w:val="superscript"/>
          <w:lang w:val="en-US"/>
        </w:rPr>
        <w:t>th</w:t>
      </w:r>
      <w:r w:rsidRPr="00301DDB">
        <w:rPr>
          <w:lang w:val="en-US"/>
        </w:rPr>
        <w:t xml:space="preserve"> reporting period .</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3.3.1—Calculating emissions for fossil fuel types</w:t>
      </w:r>
    </w:p>
    <w:p w:rsidR="00301DDB" w:rsidRPr="00301DDB" w:rsidRDefault="00301DDB" w:rsidP="00301DDB">
      <w:pPr>
        <w:keepLines/>
        <w:tabs>
          <w:tab w:val="right" w:pos="794"/>
        </w:tabs>
        <w:spacing w:before="80" w:after="100" w:line="260" w:lineRule="exact"/>
        <w:ind w:left="964" w:hanging="964"/>
        <w:jc w:val="both"/>
      </w:pPr>
      <w:r w:rsidRPr="00301DDB">
        <w:tab/>
        <w:t>(5)</w:t>
      </w:r>
      <w:r w:rsidRPr="00301DDB">
        <w:tab/>
        <w:t>Emissions of carbon dioxide, methane and nitrous oxide from the consumption of fossil fuels for reporting period (r)</w:t>
      </w:r>
      <w:r w:rsidRPr="00301DDB">
        <w:rPr>
          <w:i/>
        </w:rPr>
        <w:t xml:space="preserve"> </w:t>
      </w:r>
      <w:r w:rsidRPr="00301DDB">
        <w:t>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g,a,i,r</m:t>
                    </m:r>
                  </m:sub>
                </m:sSub>
                <m:r>
                  <m:rPr>
                    <m:sty m:val="p"/>
                  </m:rPr>
                  <w:rPr>
                    <w:rFonts w:ascii="Cambria Math" w:hAnsi="Cambria Math"/>
                    <w:lang w:val="en-US"/>
                  </w:rPr>
                  <m:t>=</m:t>
                </m:r>
                <m:f>
                  <m:fPr>
                    <m:ctrlPr>
                      <w:rPr>
                        <w:rFonts w:ascii="Cambria Math" w:hAnsi="Cambria Math"/>
                        <w:bCs/>
                        <w:iCs/>
                        <w:lang w:val="en-US"/>
                      </w:rPr>
                    </m:ctrlPr>
                  </m:fPr>
                  <m:num>
                    <m:sSub>
                      <m:sSubPr>
                        <m:ctrlPr>
                          <w:rPr>
                            <w:rFonts w:ascii="Cambria Math" w:hAnsi="Cambria Math"/>
                            <w:bCs/>
                            <w:iCs/>
                            <w:lang w:val="en-US"/>
                          </w:rPr>
                        </m:ctrlPr>
                      </m:sSubPr>
                      <m:e>
                        <m:r>
                          <m:rPr>
                            <m:sty m:val="p"/>
                          </m:rPr>
                          <w:rPr>
                            <w:rFonts w:ascii="Cambria Math" w:hAnsi="Cambria Math"/>
                            <w:lang w:val="en-US"/>
                          </w:rPr>
                          <m:t>Q</m:t>
                        </m:r>
                      </m:e>
                      <m:sub>
                        <m:r>
                          <m:rPr>
                            <m:sty m:val="p"/>
                          </m:rPr>
                          <w:rPr>
                            <w:rFonts w:ascii="Cambria Math" w:hAnsi="Cambria Math"/>
                            <w:lang w:val="en-US"/>
                          </w:rPr>
                          <m:t>a,i,r</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ECF</m:t>
                        </m:r>
                      </m:e>
                      <m:sub>
                        <m:r>
                          <m:rPr>
                            <m:sty m:val="p"/>
                          </m:rPr>
                          <w:rPr>
                            <w:rFonts w:ascii="Cambria Math" w:hAnsi="Cambria Math"/>
                            <w:lang w:val="en-US"/>
                          </w:rPr>
                          <m:t>a</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EF</m:t>
                        </m:r>
                      </m:e>
                      <m:sub>
                        <m:r>
                          <m:rPr>
                            <m:sty m:val="p"/>
                          </m:rPr>
                          <w:rPr>
                            <w:rFonts w:ascii="Cambria Math" w:hAnsi="Cambria Math"/>
                            <w:lang w:val="en-US"/>
                          </w:rPr>
                          <m:t>g,a</m:t>
                        </m:r>
                      </m:sub>
                    </m:sSub>
                  </m:num>
                  <m:den>
                    <m:r>
                      <m:rPr>
                        <m:sty m:val="p"/>
                      </m:rPr>
                      <w:rPr>
                        <w:rFonts w:ascii="Cambria Math" w:hAnsi="Cambria Math"/>
                        <w:lang w:val="en-US"/>
                      </w:rPr>
                      <m:t>1000</m:t>
                    </m:r>
                  </m:den>
                </m:f>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36</w:t>
            </w:r>
          </w:p>
        </w:tc>
      </w:tr>
    </w:tbl>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t xml:space="preserve">Where: </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E</w:t>
      </w:r>
      <w:r w:rsidRPr="00301DDB">
        <w:rPr>
          <w:vertAlign w:val="subscript"/>
          <w:lang w:val="en-US"/>
        </w:rPr>
        <w:t xml:space="preserve">g,a,i,r </w:t>
      </w:r>
      <w:r w:rsidRPr="00301DDB">
        <w:rPr>
          <w:lang w:val="en-US"/>
        </w:rPr>
        <w:t xml:space="preserve">= </w:t>
      </w:r>
      <w:r w:rsidRPr="00301DDB">
        <w:rPr>
          <w:lang w:val="en-US"/>
        </w:rPr>
        <w:tab/>
        <w:t>emissions of greenhouse gas (g) from consumption of fuel type</w:t>
      </w:r>
      <w:r w:rsidRPr="00301DDB">
        <w:rPr>
          <w:lang w:val="en-US"/>
        </w:rPr>
        <w:tab/>
      </w:r>
      <w:r w:rsidRPr="00301DDB">
        <w:rPr>
          <w:lang w:val="en-US"/>
        </w:rPr>
        <w:tab/>
      </w:r>
      <w:r w:rsidRPr="00301DDB">
        <w:rPr>
          <w:lang w:val="en-US"/>
        </w:rPr>
        <w:tab/>
        <w:t>(a) for carbon estimation area (i) during reporting period (r)</w:t>
      </w:r>
      <w:r w:rsidRPr="00301DDB">
        <w:rPr>
          <w:lang w:val="en-US"/>
        </w:rPr>
        <w:tab/>
      </w:r>
      <w:r w:rsidRPr="00301DDB">
        <w:rPr>
          <w:lang w:val="en-US"/>
        </w:rPr>
        <w:tab/>
      </w:r>
      <w:r w:rsidRPr="00301DDB">
        <w:rPr>
          <w:lang w:val="en-US"/>
        </w:rPr>
        <w:tab/>
      </w:r>
      <w:r w:rsidRPr="00301DDB">
        <w:rPr>
          <w:lang w:val="en-US"/>
        </w:rPr>
        <w:tab/>
        <w:t>(tonnes of carbon dioxide equivalent).</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Q</w:t>
      </w:r>
      <w:r w:rsidRPr="00301DDB">
        <w:rPr>
          <w:vertAlign w:val="subscript"/>
          <w:lang w:val="en-US"/>
        </w:rPr>
        <w:t xml:space="preserve">a,i,r </w:t>
      </w:r>
      <w:r w:rsidRPr="00301DDB">
        <w:rPr>
          <w:lang w:val="en-US"/>
        </w:rPr>
        <w:t xml:space="preserve">= </w:t>
      </w:r>
      <w:r w:rsidRPr="00301DDB">
        <w:rPr>
          <w:lang w:val="en-US"/>
        </w:rPr>
        <w:tab/>
      </w:r>
      <w:r w:rsidRPr="00301DDB">
        <w:rPr>
          <w:lang w:val="en-US"/>
        </w:rPr>
        <w:tab/>
        <w:t>the quantity of fossil fuel type (a) consumed in carbon</w:t>
      </w:r>
      <w:r w:rsidRPr="00301DDB">
        <w:rPr>
          <w:lang w:val="en-US"/>
        </w:rPr>
        <w:tab/>
      </w:r>
      <w:r w:rsidRPr="00301DDB">
        <w:rPr>
          <w:lang w:val="en-US"/>
        </w:rPr>
        <w:tab/>
      </w:r>
      <w:r w:rsidRPr="00301DDB">
        <w:rPr>
          <w:lang w:val="en-US"/>
        </w:rPr>
        <w:tab/>
      </w:r>
      <w:r w:rsidRPr="00301DDB">
        <w:rPr>
          <w:lang w:val="en-US"/>
        </w:rPr>
        <w:tab/>
        <w:t>estimation area (i) during reporting period (r) (kilolitres).</w:t>
      </w:r>
      <w:r w:rsidRPr="00301DDB">
        <w:rPr>
          <w:rFonts w:ascii="Cambria Math" w:hAnsi="Cambria Math" w:cs="Cambria Math"/>
          <w:lang w:val="en-US"/>
        </w:rPr>
        <w:tab/>
      </w:r>
      <w:r w:rsidRPr="00301DDB">
        <w:rPr>
          <w:rFonts w:ascii="Cambria Math" w:hAnsi="Cambria Math" w:cs="Cambria Math"/>
          <w:lang w:val="en-US"/>
        </w:rPr>
        <w:tab/>
        <w:t>ECF</w:t>
      </w:r>
      <w:r w:rsidRPr="00301DDB">
        <w:rPr>
          <w:rFonts w:ascii="Cambria Math" w:hAnsi="Cambria Math" w:cs="Cambria Math"/>
          <w:vertAlign w:val="subscript"/>
          <w:lang w:val="en-US"/>
        </w:rPr>
        <w:t xml:space="preserve">a </w:t>
      </w:r>
      <w:r w:rsidRPr="00301DDB">
        <w:rPr>
          <w:rFonts w:ascii="Cambria Math" w:hAnsi="Cambria Math" w:cs="Cambria Math"/>
          <w:lang w:val="en-US"/>
        </w:rPr>
        <w:t xml:space="preserve">= </w:t>
      </w:r>
      <w:r w:rsidRPr="00301DDB">
        <w:rPr>
          <w:lang w:val="en-US"/>
        </w:rPr>
        <w:tab/>
        <w:t>energy content factor of fossil fuel type (a) (gigajoules per</w:t>
      </w:r>
      <w:r w:rsidRPr="00301DDB">
        <w:rPr>
          <w:lang w:val="en-US"/>
        </w:rPr>
        <w:tab/>
      </w:r>
      <w:r w:rsidRPr="00301DDB">
        <w:rPr>
          <w:lang w:val="en-US"/>
        </w:rPr>
        <w:tab/>
      </w:r>
      <w:r w:rsidRPr="00301DDB">
        <w:rPr>
          <w:lang w:val="en-US"/>
        </w:rPr>
        <w:tab/>
      </w:r>
      <w:r w:rsidRPr="00301DDB">
        <w:rPr>
          <w:lang w:val="en-US"/>
        </w:rPr>
        <w:tab/>
        <w:t>kilolitre) determined in Schedule 1, Part 4 of the National</w:t>
      </w:r>
      <w:r w:rsidRPr="00301DDB">
        <w:rPr>
          <w:lang w:val="en-US"/>
        </w:rPr>
        <w:tab/>
      </w:r>
      <w:r w:rsidRPr="00301DDB">
        <w:rPr>
          <w:lang w:val="en-US"/>
        </w:rPr>
        <w:tab/>
      </w:r>
      <w:r w:rsidRPr="00301DDB">
        <w:rPr>
          <w:lang w:val="en-US"/>
        </w:rPr>
        <w:tab/>
      </w:r>
      <w:r w:rsidRPr="00301DDB">
        <w:rPr>
          <w:lang w:val="en-US"/>
        </w:rPr>
        <w:tab/>
        <w:t>Greenhouse and Energy Reporting (Measurement)</w:t>
      </w:r>
      <w:r w:rsidRPr="00301DDB">
        <w:rPr>
          <w:lang w:val="en-US"/>
        </w:rPr>
        <w:tab/>
      </w:r>
      <w:r w:rsidRPr="00301DDB">
        <w:rPr>
          <w:lang w:val="en-US"/>
        </w:rPr>
        <w:tab/>
      </w:r>
      <w:r w:rsidRPr="00301DDB">
        <w:rPr>
          <w:lang w:val="en-US"/>
        </w:rPr>
        <w:tab/>
      </w:r>
      <w:r w:rsidRPr="00301DDB">
        <w:rPr>
          <w:lang w:val="en-US"/>
        </w:rPr>
        <w:tab/>
      </w:r>
      <w:r w:rsidRPr="00301DDB">
        <w:rPr>
          <w:lang w:val="en-US"/>
        </w:rPr>
        <w:tab/>
        <w:t>Determination 2008.</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rFonts w:ascii="Cambria Math" w:hAnsi="Cambria Math" w:cs="Cambria Math"/>
          <w:lang w:val="en-US"/>
        </w:rPr>
        <w:tab/>
      </w:r>
      <w:r w:rsidRPr="00301DDB">
        <w:rPr>
          <w:rFonts w:ascii="Cambria Math" w:hAnsi="Cambria Math" w:cs="Cambria Math"/>
          <w:lang w:val="en-US"/>
        </w:rPr>
        <w:tab/>
      </w:r>
      <w:r w:rsidRPr="00301DDB">
        <w:rPr>
          <w:rFonts w:ascii="Cambria Math" w:hAnsi="Cambria Math" w:cs="Cambria Math"/>
          <w:lang w:val="en-US"/>
        </w:rPr>
        <w:tab/>
        <w:t>EF</w:t>
      </w:r>
      <w:r w:rsidRPr="00301DDB">
        <w:rPr>
          <w:rFonts w:ascii="Cambria Math" w:hAnsi="Cambria Math" w:cs="Cambria Math"/>
          <w:vertAlign w:val="subscript"/>
          <w:lang w:val="en-US"/>
        </w:rPr>
        <w:t xml:space="preserve">g,a </w:t>
      </w:r>
      <w:r w:rsidRPr="00301DDB">
        <w:rPr>
          <w:rFonts w:ascii="Cambria Math" w:hAnsi="Cambria Math" w:cs="Cambria Math"/>
          <w:lang w:val="en-US"/>
        </w:rPr>
        <w:t xml:space="preserve">= </w:t>
      </w:r>
      <w:r w:rsidRPr="00301DDB">
        <w:rPr>
          <w:lang w:val="en-US"/>
        </w:rPr>
        <w:tab/>
        <w:t>emission factor for each gas type (g) for fossil fuel type (a)</w:t>
      </w:r>
      <w:r w:rsidRPr="00301DDB">
        <w:rPr>
          <w:lang w:val="en-US"/>
        </w:rPr>
        <w:tab/>
      </w:r>
      <w:r w:rsidRPr="00301DDB">
        <w:rPr>
          <w:lang w:val="en-US"/>
        </w:rPr>
        <w:tab/>
      </w:r>
      <w:r w:rsidRPr="00301DDB">
        <w:rPr>
          <w:lang w:val="en-US"/>
        </w:rPr>
        <w:tab/>
      </w:r>
      <w:r w:rsidRPr="00301DDB">
        <w:rPr>
          <w:lang w:val="en-US"/>
        </w:rPr>
        <w:tab/>
        <w:t>(kilograms of carbon dioxide equivalent per gigajoule)</w:t>
      </w:r>
      <w:r w:rsidRPr="00301DDB">
        <w:rPr>
          <w:lang w:val="en-US"/>
        </w:rPr>
        <w:tab/>
      </w:r>
      <w:r w:rsidRPr="00301DDB">
        <w:rPr>
          <w:lang w:val="en-US"/>
        </w:rPr>
        <w:tab/>
      </w:r>
      <w:r w:rsidRPr="00301DDB">
        <w:rPr>
          <w:lang w:val="en-US"/>
        </w:rPr>
        <w:tab/>
      </w:r>
      <w:r w:rsidRPr="00301DDB">
        <w:rPr>
          <w:lang w:val="en-US"/>
        </w:rPr>
        <w:tab/>
        <w:t>Determined in Schedule 1, Part 4 of the National Greenhouse</w:t>
      </w:r>
      <w:r w:rsidRPr="00301DDB">
        <w:rPr>
          <w:lang w:val="en-US"/>
        </w:rPr>
        <w:tab/>
      </w:r>
      <w:r w:rsidRPr="00301DDB">
        <w:rPr>
          <w:lang w:val="en-US"/>
        </w:rPr>
        <w:tab/>
      </w:r>
      <w:r w:rsidRPr="00301DDB">
        <w:rPr>
          <w:lang w:val="en-US"/>
        </w:rPr>
        <w:tab/>
        <w:t>and Energy Reporting (Measurement) Determination 2008.</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g =</w:t>
      </w:r>
      <w:r w:rsidRPr="00301DDB">
        <w:rPr>
          <w:lang w:val="en-US"/>
        </w:rPr>
        <w:tab/>
      </w:r>
      <w:r w:rsidRPr="00301DDB">
        <w:rPr>
          <w:lang w:val="en-US"/>
        </w:rPr>
        <w:tab/>
        <w:t>greenhouse gas type: carbon dioxide (CO</w:t>
      </w:r>
      <w:r w:rsidRPr="00301DDB">
        <w:rPr>
          <w:vertAlign w:val="subscript"/>
          <w:lang w:val="en-US"/>
        </w:rPr>
        <w:t>2</w:t>
      </w:r>
      <w:r w:rsidRPr="00301DDB">
        <w:rPr>
          <w:lang w:val="en-US"/>
        </w:rPr>
        <w:t>),</w:t>
      </w:r>
      <w:r w:rsidRPr="00301DDB">
        <w:rPr>
          <w:lang w:val="en-US"/>
        </w:rPr>
        <w:tab/>
        <w:t>methane(CH</w:t>
      </w:r>
      <w:r w:rsidRPr="00301DDB">
        <w:rPr>
          <w:vertAlign w:val="subscript"/>
          <w:lang w:val="en-US"/>
        </w:rPr>
        <w:t>4</w:t>
      </w:r>
      <w:r w:rsidRPr="00301DDB">
        <w:rPr>
          <w:lang w:val="en-US"/>
        </w:rPr>
        <w:t>) or</w:t>
      </w:r>
      <w:r w:rsidRPr="00301DDB">
        <w:rPr>
          <w:lang w:val="en-US"/>
        </w:rPr>
        <w:tab/>
      </w:r>
      <w:r w:rsidRPr="00301DDB">
        <w:rPr>
          <w:lang w:val="en-US"/>
        </w:rPr>
        <w:tab/>
      </w:r>
      <w:r w:rsidRPr="00301DDB">
        <w:rPr>
          <w:lang w:val="en-US"/>
        </w:rPr>
        <w:tab/>
        <w:t>nitrous oxide (N</w:t>
      </w:r>
      <w:r w:rsidRPr="00301DDB">
        <w:rPr>
          <w:vertAlign w:val="subscript"/>
          <w:lang w:val="en-US"/>
        </w:rPr>
        <w:t>2</w:t>
      </w:r>
      <w:r w:rsidRPr="00301DDB">
        <w:rPr>
          <w:lang w:val="en-US"/>
        </w:rPr>
        <w:t>O).</w:t>
      </w:r>
      <w:r w:rsidRPr="00301DDB">
        <w:rPr>
          <w:lang w:val="en-US"/>
        </w:rPr>
        <w:tab/>
      </w:r>
      <w:r w:rsidRPr="00301DDB">
        <w:rPr>
          <w:lang w:val="en-US"/>
        </w:rPr>
        <w:tab/>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a =</w:t>
      </w:r>
      <w:r w:rsidRPr="00301DDB">
        <w:rPr>
          <w:lang w:val="en-US"/>
        </w:rPr>
        <w:tab/>
      </w:r>
      <w:r w:rsidRPr="00301DDB">
        <w:rPr>
          <w:lang w:val="en-US"/>
        </w:rPr>
        <w:tab/>
        <w:t>fuel type (a) (e.g. diesel, Gasoline, etc.) as specified in</w:t>
      </w:r>
      <w:r w:rsidRPr="00301DDB">
        <w:rPr>
          <w:lang w:val="en-US"/>
        </w:rPr>
        <w:tab/>
      </w:r>
      <w:r w:rsidRPr="00301DDB">
        <w:rPr>
          <w:lang w:val="en-US"/>
        </w:rPr>
        <w:tab/>
      </w:r>
      <w:r w:rsidRPr="00301DDB">
        <w:rPr>
          <w:lang w:val="en-US"/>
        </w:rPr>
        <w:tab/>
      </w:r>
      <w:r w:rsidRPr="00301DDB">
        <w:rPr>
          <w:lang w:val="en-US"/>
        </w:rPr>
        <w:tab/>
        <w:t>Schedule 1, Part 4 of the National Greenhouse and Energy</w:t>
      </w:r>
      <w:r w:rsidRPr="00301DDB">
        <w:rPr>
          <w:lang w:val="en-US"/>
        </w:rPr>
        <w:tab/>
      </w:r>
      <w:r w:rsidRPr="00301DDB">
        <w:rPr>
          <w:lang w:val="en-US"/>
        </w:rPr>
        <w:tab/>
      </w:r>
      <w:r w:rsidRPr="00301DDB">
        <w:rPr>
          <w:lang w:val="en-US"/>
        </w:rPr>
        <w:tab/>
      </w:r>
      <w:r w:rsidRPr="00301DDB">
        <w:rPr>
          <w:lang w:val="en-US"/>
        </w:rPr>
        <w:tab/>
        <w:t>Reporting (Measurement) Determination 2008.</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r w:rsidRPr="00301DDB">
        <w:rPr>
          <w:lang w:val="en-US"/>
        </w:rPr>
        <w:tab/>
      </w:r>
      <w:r w:rsidRPr="00301DDB">
        <w:rPr>
          <w:lang w:val="en-US"/>
        </w:rPr>
        <w:tab/>
      </w:r>
      <w:r w:rsidRPr="00301DDB">
        <w:rPr>
          <w:lang w:val="en-US"/>
        </w:rPr>
        <w:tab/>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r>
      <w:r w:rsidRPr="00301DDB">
        <w:rPr>
          <w:lang w:val="en-US"/>
        </w:rPr>
        <w:tab/>
      </w:r>
      <w:r w:rsidRPr="00301DDB">
        <w:rPr>
          <w:lang w:val="en-US"/>
        </w:rPr>
        <w:tab/>
        <w:t>r =</w:t>
      </w:r>
      <w:r w:rsidRPr="00301DDB">
        <w:rPr>
          <w:lang w:val="en-US"/>
        </w:rPr>
        <w:tab/>
      </w:r>
      <w:r w:rsidRPr="00301DDB">
        <w:rPr>
          <w:lang w:val="en-US"/>
        </w:rPr>
        <w:tab/>
        <w:t>the r</w:t>
      </w:r>
      <w:r w:rsidRPr="00301DDB">
        <w:rPr>
          <w:vertAlign w:val="superscript"/>
          <w:lang w:val="en-US"/>
        </w:rPr>
        <w:t>th</w:t>
      </w:r>
      <w:r w:rsidRPr="00301DDB">
        <w:rPr>
          <w:lang w:val="en-US"/>
        </w:rPr>
        <w:t xml:space="preserve"> reporting period.</w:t>
      </w:r>
    </w:p>
    <w:p w:rsidR="00301DDB" w:rsidRPr="00301DDB" w:rsidRDefault="00301DDB" w:rsidP="00301DDB">
      <w:pPr>
        <w:keepNext/>
        <w:spacing w:before="120"/>
        <w:ind w:left="964"/>
        <w:jc w:val="both"/>
        <w:rPr>
          <w:rFonts w:ascii="Arial" w:hAnsi="Arial"/>
          <w:i/>
          <w:lang w:val="en-US"/>
        </w:rPr>
      </w:pPr>
      <w:r w:rsidRPr="00301DDB">
        <w:rPr>
          <w:rFonts w:ascii="Arial" w:hAnsi="Arial"/>
          <w:i/>
          <w:lang w:val="en-US"/>
        </w:rPr>
        <w:t>Step 3.4—Determination of project greenhouse gas emissions for a reporting period</w:t>
      </w:r>
    </w:p>
    <w:p w:rsidR="00301DDB" w:rsidRPr="00301DDB" w:rsidRDefault="00301DDB" w:rsidP="00301DDB">
      <w:pPr>
        <w:keepLines/>
        <w:tabs>
          <w:tab w:val="right" w:pos="794"/>
        </w:tabs>
        <w:spacing w:before="80" w:after="100" w:line="260" w:lineRule="exact"/>
        <w:ind w:left="964" w:hanging="964"/>
        <w:jc w:val="both"/>
        <w:rPr>
          <w:lang w:val="en-US"/>
        </w:rPr>
      </w:pPr>
      <w:r w:rsidRPr="00301DDB">
        <w:rPr>
          <w:lang w:val="en-US"/>
        </w:rPr>
        <w:tab/>
        <w:t>(6)</w:t>
      </w:r>
      <w:r w:rsidRPr="00301DDB">
        <w:rPr>
          <w:lang w:val="en-US"/>
        </w:rPr>
        <w:tab/>
        <w:t>The project greenhouse gas emissions during a reporting period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rPr>
                <w:b/>
                <w:i/>
              </w:rPr>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vertAlign w:val="subscript"/>
                        <w:lang w:val="en-US"/>
                      </w:rPr>
                      <m:t xml:space="preserve">P,i,r </m:t>
                    </m:r>
                  </m:sub>
                </m:sSub>
                <m:r>
                  <m:rPr>
                    <m:sty m:val="p"/>
                  </m:rPr>
                  <w:rPr>
                    <w:rFonts w:ascii="Cambria Math" w:hAnsi="Cambria Math"/>
                    <w:vertAlign w:val="subscript"/>
                    <w:lang w:val="en-US"/>
                  </w:rPr>
                  <m:t>=</m:t>
                </m:r>
                <m:sSub>
                  <m:sSubPr>
                    <m:ctrlPr>
                      <w:rPr>
                        <w:rFonts w:ascii="Cambria Math" w:hAnsi="Cambria Math"/>
                        <w:bCs/>
                        <w:iCs/>
                        <w:vertAlign w:val="subscript"/>
                        <w:lang w:val="en-US"/>
                      </w:rPr>
                    </m:ctrlPr>
                  </m:sSubPr>
                  <m:e>
                    <m:r>
                      <m:rPr>
                        <m:sty m:val="p"/>
                      </m:rPr>
                      <w:rPr>
                        <w:rFonts w:ascii="Cambria Math" w:hAnsi="Cambria Math"/>
                        <w:vertAlign w:val="subscript"/>
                        <w:lang w:val="en-US"/>
                      </w:rPr>
                      <m:t>E</m:t>
                    </m:r>
                  </m:e>
                  <m:sub>
                    <m:r>
                      <m:rPr>
                        <m:sty m:val="p"/>
                      </m:rPr>
                      <w:rPr>
                        <w:rFonts w:ascii="Cambria Math" w:hAnsi="Cambria Math"/>
                        <w:vertAlign w:val="subscript"/>
                        <w:lang w:val="en-US"/>
                      </w:rPr>
                      <m:t>FC,i,r</m:t>
                    </m:r>
                    <m:r>
                      <m:rPr>
                        <m:sty m:val="p"/>
                      </m:rPr>
                      <w:rPr>
                        <w:rFonts w:ascii="Cambria Math" w:hAnsi="Cambria Math"/>
                        <w:lang w:val="en-US"/>
                      </w:rPr>
                      <m:t xml:space="preserve"> </m:t>
                    </m:r>
                  </m:sub>
                </m:sSub>
                <m:r>
                  <m:rPr>
                    <m:sty m:val="p"/>
                  </m:rPr>
                  <w:rPr>
                    <w:rFonts w:ascii="Cambria Math" w:hAnsi="Cambria Math"/>
                    <w:lang w:val="en-US"/>
                  </w:rPr>
                  <m:t xml:space="preserve">+ </m:t>
                </m:r>
                <m:sSub>
                  <m:sSubPr>
                    <m:ctrlPr>
                      <w:rPr>
                        <w:rFonts w:ascii="Cambria Math" w:hAnsi="Cambria Math"/>
                        <w:vertAlign w:val="subscript"/>
                        <w:lang w:val="en-US"/>
                      </w:rPr>
                    </m:ctrlPr>
                  </m:sSubPr>
                  <m:e>
                    <m:r>
                      <m:rPr>
                        <m:sty m:val="p"/>
                      </m:rPr>
                      <w:rPr>
                        <w:rFonts w:ascii="Cambria Math" w:hAnsi="Cambria Math"/>
                        <w:vertAlign w:val="subscript"/>
                        <w:lang w:val="en-US"/>
                      </w:rPr>
                      <m:t>E</m:t>
                    </m:r>
                  </m:e>
                  <m:sub>
                    <m:r>
                      <m:rPr>
                        <m:sty m:val="p"/>
                      </m:rPr>
                      <w:rPr>
                        <w:rFonts w:ascii="Cambria Math" w:hAnsi="Cambria Math"/>
                        <w:vertAlign w:val="subscript"/>
                        <w:lang w:val="en-US"/>
                      </w:rPr>
                      <m:t>fire,i,r</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37</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p>
    <w:p w:rsidR="00301DDB" w:rsidRPr="00301DDB" w:rsidRDefault="00301DDB" w:rsidP="00301DDB">
      <w:pPr>
        <w:keepLines/>
        <w:tabs>
          <w:tab w:val="right" w:pos="794"/>
        </w:tabs>
        <w:spacing w:before="80" w:after="100" w:line="260" w:lineRule="exact"/>
        <w:ind w:left="964" w:hanging="964"/>
        <w:jc w:val="both"/>
      </w:pPr>
    </w:p>
    <w:p w:rsidR="00301DDB" w:rsidRPr="00301DDB" w:rsidRDefault="00301DDB" w:rsidP="00301DDB">
      <w:pPr>
        <w:keepLines/>
        <w:tabs>
          <w:tab w:val="right" w:pos="794"/>
        </w:tabs>
        <w:spacing w:before="80" w:after="100" w:line="260" w:lineRule="exact"/>
        <w:ind w:left="964" w:hanging="964"/>
        <w:jc w:val="both"/>
      </w:pPr>
      <w:r w:rsidRPr="00301DDB">
        <w:lastRenderedPageBreak/>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E</w:t>
      </w:r>
      <w:r w:rsidRPr="00301DDB">
        <w:rPr>
          <w:vertAlign w:val="subscript"/>
        </w:rPr>
        <w:t>P,i,r</w:t>
      </w:r>
      <w:r w:rsidRPr="00301DDB">
        <w:t xml:space="preserve"> =</w:t>
      </w:r>
      <w:r w:rsidRPr="00301DDB">
        <w:tab/>
      </w:r>
      <w:r w:rsidRPr="00301DDB">
        <w:tab/>
        <w:t>project greenhouse gas emissions, for carbon estimation</w:t>
      </w:r>
      <w:r w:rsidRPr="00301DDB">
        <w:tab/>
      </w:r>
      <w:r w:rsidRPr="00301DDB">
        <w:tab/>
      </w:r>
      <w:r w:rsidRPr="00301DDB">
        <w:tab/>
      </w:r>
      <w:r w:rsidRPr="00301DDB">
        <w:tab/>
        <w:t>area (i) for reporting period (r) (tonnes of carbon dioxide</w:t>
      </w:r>
      <w:r w:rsidRPr="00301DDB">
        <w:tab/>
      </w:r>
      <w:r w:rsidRPr="00301DDB">
        <w:tab/>
      </w:r>
      <w:r w:rsidRPr="00301DDB">
        <w:tab/>
      </w:r>
      <w:r w:rsidRPr="00301DDB">
        <w:tab/>
        <w:t>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E</w:t>
      </w:r>
      <w:r w:rsidRPr="00301DDB">
        <w:rPr>
          <w:vertAlign w:val="subscript"/>
        </w:rPr>
        <w:t>FC,i,r</w:t>
      </w:r>
      <w:r w:rsidRPr="00301DDB">
        <w:t xml:space="preserve"> =</w:t>
      </w:r>
      <w:r w:rsidRPr="00301DDB">
        <w:tab/>
      </w:r>
      <w:r w:rsidRPr="00301DDB">
        <w:tab/>
        <w:t>emissions from fossil fuel combustion in carbon estimation</w:t>
      </w:r>
      <w:r w:rsidRPr="00301DDB">
        <w:tab/>
      </w:r>
      <w:r w:rsidRPr="00301DDB">
        <w:tab/>
      </w:r>
      <w:r w:rsidRPr="00301DDB">
        <w:tab/>
      </w:r>
      <w:r w:rsidRPr="00301DDB">
        <w:tab/>
        <w:t>area (i) for reporting period (r) calculated in accordance with</w:t>
      </w:r>
      <w:r w:rsidRPr="00301DDB">
        <w:tab/>
      </w:r>
      <w:r w:rsidRPr="00301DDB">
        <w:tab/>
      </w:r>
      <w:r w:rsidRPr="00301DDB">
        <w:tab/>
        <w:t>Equation 35 (tonnes of carbon dioxide 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E</w:t>
      </w:r>
      <w:r w:rsidRPr="00301DDB">
        <w:rPr>
          <w:vertAlign w:val="subscript"/>
        </w:rPr>
        <w:t xml:space="preserve">fire,i,r </w:t>
      </w:r>
      <w:r w:rsidRPr="00301DDB">
        <w:t>=</w:t>
      </w:r>
      <w:r w:rsidRPr="00301DDB">
        <w:tab/>
        <w:t>nitrous dioxide and methane emissions due to biomass burnt</w:t>
      </w:r>
      <w:r w:rsidRPr="00301DDB">
        <w:tab/>
      </w:r>
      <w:r w:rsidRPr="00301DDB">
        <w:tab/>
      </w:r>
      <w:r w:rsidRPr="00301DDB">
        <w:tab/>
        <w:t>due to fires in carbon estimation area (i) for reporting period</w:t>
      </w:r>
      <w:r w:rsidRPr="00301DDB">
        <w:tab/>
      </w:r>
      <w:r w:rsidRPr="00301DDB">
        <w:tab/>
      </w:r>
      <w:r w:rsidRPr="00301DDB">
        <w:tab/>
        <w:t>(r), calculated in accordance with Equation 34 (tonnes of</w:t>
      </w:r>
      <w:r w:rsidRPr="00301DDB">
        <w:tab/>
      </w:r>
      <w:r w:rsidRPr="00301DDB">
        <w:tab/>
      </w:r>
      <w:r w:rsidRPr="00301DDB">
        <w:tab/>
      </w:r>
      <w:r w:rsidRPr="00301DDB">
        <w:tab/>
        <w:t xml:space="preserve">carbon dioxide equivalent).  </w:t>
      </w:r>
    </w:p>
    <w:p w:rsidR="00301DDB" w:rsidRPr="00301DDB" w:rsidRDefault="00301DDB" w:rsidP="00301DDB">
      <w:pPr>
        <w:keepLines/>
        <w:tabs>
          <w:tab w:val="right" w:pos="794"/>
        </w:tabs>
        <w:spacing w:before="80" w:after="100" w:line="260" w:lineRule="exact"/>
        <w:ind w:left="964" w:hanging="964"/>
        <w:jc w:val="both"/>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r w:rsidRPr="00301DDB">
        <w:tab/>
      </w: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r =</w:t>
      </w:r>
      <w:r w:rsidRPr="00301DDB">
        <w:tab/>
      </w:r>
      <w:r w:rsidRPr="00301DDB">
        <w:tab/>
        <w:t>the r</w:t>
      </w:r>
      <w:r w:rsidRPr="00301DDB">
        <w:rPr>
          <w:vertAlign w:val="superscript"/>
        </w:rPr>
        <w:t>th</w:t>
      </w:r>
      <w:r w:rsidRPr="00301DDB">
        <w:t xml:space="preserve"> reporting period.</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6" w:name="_Toc358907465"/>
      <w:r w:rsidRPr="00301DDB">
        <w:rPr>
          <w:rFonts w:ascii="Arial" w:hAnsi="Arial"/>
          <w:b/>
          <w:bCs/>
          <w:iCs/>
          <w:szCs w:val="26"/>
        </w:rPr>
        <w:t>3.51</w:t>
      </w:r>
      <w:r w:rsidRPr="00301DDB">
        <w:rPr>
          <w:rFonts w:ascii="Arial" w:hAnsi="Arial"/>
          <w:b/>
          <w:bCs/>
          <w:iCs/>
          <w:szCs w:val="26"/>
        </w:rPr>
        <w:tab/>
        <w:t>Step 4—Calculating total net greenhouse gas project emissions for  reporting period and crediting period</w:t>
      </w:r>
      <w:bookmarkEnd w:id="76"/>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total net greenhouse gas project emissions for each carbon estimation area in a reporting period must be calculated using the following formula:</w:t>
      </w:r>
    </w:p>
    <w:tbl>
      <w:tblPr>
        <w:tblStyle w:val="TableGrid"/>
        <w:tblW w:w="0" w:type="auto"/>
        <w:tblInd w:w="108" w:type="dxa"/>
        <w:tblLook w:val="04A0" w:firstRow="1" w:lastRow="0" w:firstColumn="1" w:lastColumn="0" w:noHBand="0" w:noVBand="1"/>
      </w:tblPr>
      <w:tblGrid>
        <w:gridCol w:w="6946"/>
        <w:gridCol w:w="2188"/>
      </w:tblGrid>
      <w:tr w:rsidR="00301DDB" w:rsidRPr="00301DDB" w:rsidTr="00DB6218">
        <w:tc>
          <w:tcPr>
            <w:tcW w:w="6946"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rPr>
                    </m:ctrlPr>
                  </m:sSubPr>
                  <m:e>
                    <m:r>
                      <m:rPr>
                        <m:sty m:val="p"/>
                      </m:rPr>
                      <w:rPr>
                        <w:rFonts w:ascii="Cambria Math" w:hAnsi="Cambria Math"/>
                      </w:rPr>
                      <m:t>GHG</m:t>
                    </m:r>
                  </m:e>
                  <m:sub>
                    <m:r>
                      <m:rPr>
                        <m:sty m:val="p"/>
                      </m:rPr>
                      <w:rPr>
                        <w:rFonts w:ascii="Cambria Math" w:hAnsi="Cambria Math"/>
                      </w:rPr>
                      <m:t>NET P</m:t>
                    </m:r>
                  </m:sub>
                </m:sSub>
                <m:r>
                  <m:rPr>
                    <m:sty m:val="p"/>
                  </m:rPr>
                  <w:rPr>
                    <w:rFonts w:ascii="Cambria Math" w:hAnsi="Cambria Math"/>
                  </w:rPr>
                  <m:t xml:space="preserve">= </m:t>
                </m:r>
                <m:nary>
                  <m:naryPr>
                    <m:chr m:val="∑"/>
                    <m:limLoc m:val="undOvr"/>
                    <m:ctrlPr>
                      <w:rPr>
                        <w:rFonts w:ascii="Cambria Math" w:hAnsi="Cambria Math"/>
                      </w:rPr>
                    </m:ctrlPr>
                  </m:naryPr>
                  <m:sub>
                    <m:sSub>
                      <m:sSubPr>
                        <m:ctrlPr>
                          <w:rPr>
                            <w:rFonts w:ascii="Cambria Math" w:hAnsi="Cambria Math"/>
                          </w:rPr>
                        </m:ctrlPr>
                      </m:sSubPr>
                      <m:e>
                        <m:r>
                          <m:rPr>
                            <m:sty m:val="p"/>
                          </m:rPr>
                          <w:rPr>
                            <w:rFonts w:ascii="Cambria Math" w:hAnsi="Cambria Math"/>
                          </w:rPr>
                          <m:t>A</m:t>
                        </m:r>
                      </m:e>
                      <m:sub>
                        <m:r>
                          <m:rPr>
                            <m:sty m:val="p"/>
                          </m:rPr>
                          <w:rPr>
                            <w:rFonts w:ascii="Cambria Math" w:hAnsi="Cambria Math"/>
                          </w:rPr>
                          <m:t>r</m:t>
                        </m:r>
                      </m:sub>
                    </m:sSub>
                    <m:r>
                      <m:rPr>
                        <m:sty m:val="p"/>
                      </m:rPr>
                      <w:rPr>
                        <w:rFonts w:ascii="Cambria Math" w:hAnsi="Cambria Math"/>
                      </w:rPr>
                      <m:t>=1</m:t>
                    </m:r>
                  </m:sub>
                  <m:sup>
                    <m:sSub>
                      <m:sSubPr>
                        <m:ctrlPr>
                          <w:rPr>
                            <w:rFonts w:ascii="Cambria Math" w:hAnsi="Cambria Math"/>
                          </w:rPr>
                        </m:ctrlPr>
                      </m:sSubPr>
                      <m:e>
                        <m:r>
                          <m:rPr>
                            <m:sty m:val="p"/>
                          </m:rPr>
                          <w:rPr>
                            <w:rFonts w:ascii="Cambria Math" w:hAnsi="Cambria Math"/>
                          </w:rPr>
                          <m:t>A</m:t>
                        </m:r>
                      </m:e>
                      <m:sub>
                        <m:r>
                          <m:rPr>
                            <m:sty m:val="p"/>
                          </m:rPr>
                          <w:rPr>
                            <w:rFonts w:ascii="Cambria Math" w:hAnsi="Cambria Math"/>
                          </w:rPr>
                          <m:t>r</m:t>
                        </m:r>
                      </m:sub>
                    </m:sSub>
                  </m:sup>
                  <m:e>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CEA</m:t>
                        </m:r>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P,DEG,i,r</m:t>
                            </m:r>
                          </m:sub>
                        </m:sSub>
                      </m:e>
                    </m:nary>
                  </m:e>
                </m:nary>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P,i,r</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P,ENH,i,r</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38</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rPr>
          <w:rFonts w:ascii="Cambria Math" w:hAnsi="Cambria Math" w:cs="Cambria Math"/>
        </w:rPr>
      </w:pPr>
      <w:r w:rsidRPr="00301DDB">
        <w:rPr>
          <w:rFonts w:ascii="Cambria Math" w:hAnsi="Cambria Math" w:cs="Cambria Math"/>
        </w:rPr>
        <w:tab/>
      </w:r>
      <w:r w:rsidRPr="00301DDB">
        <w:rPr>
          <w:rFonts w:ascii="Cambria Math" w:hAnsi="Cambria Math" w:cs="Cambria Math"/>
        </w:rPr>
        <w:tab/>
      </w:r>
      <w:r w:rsidRPr="00301DDB">
        <w:rPr>
          <w:rFonts w:ascii="Cambria Math" w:hAnsi="Cambria Math" w:cs="Cambria Math"/>
        </w:rPr>
        <w:tab/>
        <w:t>GHG</w:t>
      </w:r>
      <w:r w:rsidRPr="00301DDB">
        <w:rPr>
          <w:rFonts w:ascii="Cambria Math" w:hAnsi="Cambria Math" w:cs="Cambria Math"/>
          <w:vertAlign w:val="subscript"/>
        </w:rPr>
        <w:t>NET P</w:t>
      </w:r>
      <w:r w:rsidRPr="00301DDB">
        <w:t xml:space="preserve"> =</w:t>
      </w:r>
      <w:r w:rsidRPr="00301DDB">
        <w:tab/>
        <w:t>net project emissions (tonnes of carbon dioxide equivalent) in</w:t>
      </w:r>
      <w:r w:rsidRPr="00301DDB">
        <w:tab/>
      </w:r>
      <w:r w:rsidRPr="00301DDB">
        <w:tab/>
      </w:r>
      <w:r w:rsidRPr="00301DDB">
        <w:tab/>
        <w:t>the project area for all reporting periods (r).</w:t>
      </w:r>
      <w:r w:rsidRPr="00301DDB">
        <w:rPr>
          <w:rFonts w:ascii="Cambria Math" w:hAnsi="Cambria Math" w:cs="Cambria Math"/>
        </w:rPr>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r>
      <w:r w:rsidRPr="00301DDB">
        <w:rPr>
          <w:rFonts w:hint="eastAsia"/>
        </w:rPr>
        <w:t>Δ</w:t>
      </w:r>
      <w:r w:rsidRPr="00301DDB">
        <w:t>C</w:t>
      </w:r>
      <w:r w:rsidRPr="00301DDB">
        <w:rPr>
          <w:vertAlign w:val="subscript"/>
        </w:rPr>
        <w:t>P,DEG,i,r</w:t>
      </w:r>
      <w:r w:rsidRPr="00301DDB">
        <w:t xml:space="preserve"> =</w:t>
      </w:r>
      <w:r w:rsidRPr="00301DDB">
        <w:tab/>
        <w:t>net project carbon stock change as a result of any degradation</w:t>
      </w:r>
      <w:r w:rsidRPr="00301DDB">
        <w:tab/>
      </w:r>
      <w:r w:rsidRPr="00301DDB">
        <w:tab/>
      </w:r>
      <w:r w:rsidRPr="00301DDB">
        <w:tab/>
        <w:t>events in the project area in carbon estimation area (i) during</w:t>
      </w:r>
      <w:r w:rsidRPr="00301DDB">
        <w:tab/>
      </w:r>
      <w:r w:rsidRPr="00301DDB">
        <w:tab/>
      </w:r>
      <w:r w:rsidRPr="00301DDB">
        <w:tab/>
        <w:t>reporting period (r) (calculated in accordance with Equation 29)</w:t>
      </w:r>
      <w:r w:rsidRPr="00301DDB">
        <w:tab/>
      </w:r>
      <w:r w:rsidRPr="00301DDB">
        <w:tab/>
      </w:r>
      <w:r w:rsidRPr="00301DDB">
        <w:tab/>
        <w:t>(tonnes of carbon dioxide equivalent).</w:t>
      </w:r>
      <w:r w:rsidRPr="00301DDB">
        <w:tab/>
      </w: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E</w:t>
      </w:r>
      <w:r w:rsidRPr="00301DDB">
        <w:rPr>
          <w:vertAlign w:val="subscript"/>
        </w:rPr>
        <w:t>P,i,r</w:t>
      </w:r>
      <w:r w:rsidRPr="00301DDB">
        <w:t xml:space="preserve"> =</w:t>
      </w:r>
      <w:r w:rsidRPr="00301DDB">
        <w:tab/>
      </w:r>
      <w:r w:rsidRPr="00301DDB">
        <w:tab/>
        <w:t>emissions within the project area in carbon estimation</w:t>
      </w:r>
      <w:r w:rsidRPr="00301DDB">
        <w:tab/>
      </w:r>
      <w:r w:rsidRPr="00301DDB">
        <w:tab/>
      </w:r>
      <w:r w:rsidRPr="00301DDB">
        <w:tab/>
      </w:r>
      <w:r w:rsidRPr="00301DDB">
        <w:tab/>
        <w:t>area (i) during reporting period (r) (calculated in accordance</w:t>
      </w:r>
      <w:r w:rsidRPr="00301DDB">
        <w:tab/>
      </w:r>
      <w:r w:rsidRPr="00301DDB">
        <w:tab/>
      </w:r>
      <w:r w:rsidRPr="00301DDB">
        <w:tab/>
        <w:t>with Equation 37) (tonnes of carbon dioxide</w:t>
      </w:r>
      <w:r w:rsidRPr="00301DDB">
        <w:tab/>
        <w:t>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r>
      <w:r w:rsidRPr="00301DDB">
        <w:rPr>
          <w:rFonts w:hint="eastAsia"/>
        </w:rPr>
        <w:t>Δ</w:t>
      </w:r>
      <w:r w:rsidRPr="00301DDB">
        <w:t>CP</w:t>
      </w:r>
      <w:r w:rsidRPr="00301DDB">
        <w:rPr>
          <w:vertAlign w:val="subscript"/>
        </w:rPr>
        <w:t xml:space="preserve">ENH,i,r </w:t>
      </w:r>
      <w:r w:rsidRPr="00301DDB">
        <w:t>=</w:t>
      </w:r>
      <w:r w:rsidRPr="00301DDB">
        <w:tab/>
        <w:t>net carbon stock change as a result of forest growth and</w:t>
      </w:r>
      <w:r w:rsidRPr="00301DDB">
        <w:tab/>
      </w:r>
      <w:r w:rsidRPr="00301DDB">
        <w:tab/>
      </w:r>
      <w:r w:rsidRPr="00301DDB">
        <w:tab/>
      </w:r>
      <w:r w:rsidRPr="00301DDB">
        <w:tab/>
        <w:t>sequestration during the project in areas projected to be</w:t>
      </w:r>
      <w:r w:rsidRPr="00301DDB">
        <w:tab/>
      </w:r>
      <w:r w:rsidRPr="00301DDB">
        <w:tab/>
      </w:r>
      <w:r w:rsidRPr="00301DDB">
        <w:tab/>
      </w:r>
      <w:r w:rsidRPr="00301DDB">
        <w:tab/>
        <w:t>deforested in the baseline in carbon estimation area (i) during</w:t>
      </w:r>
      <w:r w:rsidRPr="00301DDB">
        <w:tab/>
      </w:r>
      <w:r w:rsidRPr="00301DDB">
        <w:tab/>
      </w:r>
      <w:r w:rsidRPr="00301DDB">
        <w:tab/>
        <w:t>reporting period (r) (calculated in accordance with Equation 30)</w:t>
      </w:r>
      <w:r w:rsidRPr="00301DDB">
        <w:tab/>
      </w:r>
      <w:r w:rsidRPr="00301DDB">
        <w:tab/>
      </w:r>
      <w:r w:rsidRPr="00301DDB">
        <w:tab/>
        <w:t>(tonnes of carbon dioxide equivalent).</w:t>
      </w:r>
    </w:p>
    <w:p w:rsidR="00301DDB" w:rsidRPr="00301DDB" w:rsidRDefault="00301DDB" w:rsidP="00301DDB">
      <w:pPr>
        <w:keepLines/>
        <w:tabs>
          <w:tab w:val="right" w:pos="794"/>
        </w:tabs>
        <w:spacing w:before="80" w:after="100" w:line="260" w:lineRule="exact"/>
        <w:ind w:left="964" w:hanging="964"/>
        <w:jc w:val="both"/>
      </w:pPr>
      <w:r w:rsidRPr="00301DDB">
        <w:rPr>
          <w:lang w:val="en-US"/>
        </w:rPr>
        <w:tab/>
      </w:r>
      <w:r w:rsidRPr="00301DDB">
        <w:rPr>
          <w:lang w:val="en-US"/>
        </w:rPr>
        <w:tab/>
      </w:r>
      <w:r w:rsidRPr="00301DDB">
        <w:rPr>
          <w:lang w:val="en-US"/>
        </w:rPr>
        <w:tab/>
        <w:t>i =</w:t>
      </w:r>
      <w:r w:rsidRPr="00301DDB">
        <w:rPr>
          <w:lang w:val="en-US"/>
        </w:rPr>
        <w:tab/>
      </w:r>
      <w:r w:rsidRPr="00301DDB">
        <w:rPr>
          <w:lang w:val="en-US"/>
        </w:rPr>
        <w:tab/>
      </w:r>
      <w:r w:rsidRPr="00301DDB">
        <w:rPr>
          <w:iCs/>
          <w:color w:val="000000" w:themeColor="text1"/>
        </w:rPr>
        <w:t>the i</w:t>
      </w:r>
      <w:r w:rsidRPr="00301DDB">
        <w:rPr>
          <w:iCs/>
          <w:color w:val="000000" w:themeColor="text1"/>
          <w:vertAlign w:val="superscript"/>
        </w:rPr>
        <w:t>th</w:t>
      </w:r>
      <w:r w:rsidRPr="00301DDB">
        <w:rPr>
          <w:iCs/>
          <w:color w:val="000000" w:themeColor="text1"/>
        </w:rPr>
        <w:t xml:space="preserve"> carbon estimation area</w:t>
      </w:r>
      <w:r w:rsidRPr="00301DDB">
        <w:rPr>
          <w:lang w:val="en-US"/>
        </w:rPr>
        <w:t>.</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r =</w:t>
      </w:r>
      <w:r w:rsidRPr="00301DDB">
        <w:tab/>
      </w:r>
      <w:r w:rsidRPr="00301DDB">
        <w:tab/>
        <w:t>the r</w:t>
      </w:r>
      <w:r w:rsidRPr="00301DDB">
        <w:rPr>
          <w:vertAlign w:val="superscript"/>
        </w:rPr>
        <w:t xml:space="preserve">th </w:t>
      </w:r>
      <w:r w:rsidRPr="00301DDB">
        <w:t>reporting period.</w:t>
      </w:r>
      <w:r w:rsidRPr="00301DDB">
        <w:tab/>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A</w:t>
      </w:r>
      <w:r w:rsidRPr="00301DDB">
        <w:rPr>
          <w:vertAlign w:val="subscript"/>
        </w:rPr>
        <w:t>r</w:t>
      </w:r>
      <w:r w:rsidRPr="00301DDB">
        <w:t xml:space="preserve"> = </w:t>
      </w:r>
      <w:r w:rsidRPr="00301DDB">
        <w:tab/>
      </w:r>
      <w:r w:rsidRPr="00301DDB">
        <w:tab/>
        <w:t>each reporting period (r) including the current reporting period.</w:t>
      </w:r>
    </w:p>
    <w:p w:rsidR="00301DDB" w:rsidRPr="00301DDB" w:rsidRDefault="00301DDB" w:rsidP="00301DDB">
      <w:pPr>
        <w:keepNext/>
        <w:keepLines/>
        <w:spacing w:before="360" w:after="60"/>
        <w:jc w:val="both"/>
        <w:outlineLvl w:val="3"/>
        <w:rPr>
          <w:rFonts w:ascii="Arial" w:hAnsi="Arial"/>
          <w:b/>
          <w:bCs/>
          <w:sz w:val="28"/>
          <w:szCs w:val="28"/>
        </w:rPr>
      </w:pPr>
      <w:bookmarkStart w:id="77" w:name="_Toc358907466"/>
      <w:r w:rsidRPr="00301DDB">
        <w:rPr>
          <w:rFonts w:ascii="Arial" w:hAnsi="Arial"/>
          <w:b/>
          <w:bCs/>
          <w:sz w:val="28"/>
          <w:szCs w:val="28"/>
        </w:rPr>
        <w:lastRenderedPageBreak/>
        <w:t>Subdivision 3.4.6 Calculating net greenhouse gas abatement</w:t>
      </w:r>
      <w:bookmarkEnd w:id="77"/>
    </w:p>
    <w:p w:rsidR="00301DDB" w:rsidRPr="00301DDB" w:rsidRDefault="00301DDB" w:rsidP="00301DDB">
      <w:pPr>
        <w:keepNext/>
        <w:keepLines/>
        <w:spacing w:before="360" w:after="60"/>
        <w:ind w:left="964" w:hanging="964"/>
        <w:jc w:val="both"/>
        <w:outlineLvl w:val="4"/>
        <w:rPr>
          <w:rFonts w:ascii="Arial" w:hAnsi="Arial"/>
          <w:b/>
          <w:bCs/>
          <w:iCs/>
          <w:szCs w:val="26"/>
        </w:rPr>
      </w:pPr>
      <w:bookmarkStart w:id="78" w:name="_Toc358907467"/>
      <w:r w:rsidRPr="00301DDB">
        <w:rPr>
          <w:rFonts w:ascii="Arial" w:hAnsi="Arial"/>
          <w:b/>
          <w:bCs/>
          <w:iCs/>
          <w:szCs w:val="26"/>
        </w:rPr>
        <w:t>3.52</w:t>
      </w:r>
      <w:r w:rsidRPr="00301DDB">
        <w:rPr>
          <w:rFonts w:ascii="Arial" w:hAnsi="Arial"/>
          <w:b/>
          <w:bCs/>
          <w:iCs/>
          <w:szCs w:val="26"/>
        </w:rPr>
        <w:tab/>
        <w:t>Net greenhouse gas abatement</w:t>
      </w:r>
      <w:bookmarkEnd w:id="78"/>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The net greenhouse gas abatement for the project at the time of the submission of an offsets report must be calculated in accordance with this Subdivision.</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The net greenhouse gas abatement in the crediting period must be calculated using the parameters derived in Subdivisions 3.5.4 and 3.5.5 and in accordance with the following formula:</w:t>
      </w:r>
    </w:p>
    <w:tbl>
      <w:tblPr>
        <w:tblStyle w:val="TableGrid"/>
        <w:tblW w:w="0" w:type="auto"/>
        <w:tblInd w:w="964" w:type="dxa"/>
        <w:tblLook w:val="04A0" w:firstRow="1" w:lastRow="0" w:firstColumn="1" w:lastColumn="0" w:noHBand="0" w:noVBand="1"/>
      </w:tblPr>
      <w:tblGrid>
        <w:gridCol w:w="6090"/>
        <w:gridCol w:w="2188"/>
      </w:tblGrid>
      <w:tr w:rsidR="00301DDB" w:rsidRPr="00301DDB" w:rsidTr="00DB6218">
        <w:tc>
          <w:tcPr>
            <w:tcW w:w="6090"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iCs/>
                      </w:rPr>
                    </m:ctrlPr>
                  </m:sSubPr>
                  <m:e>
                    <m:r>
                      <m:rPr>
                        <m:sty m:val="p"/>
                      </m:rPr>
                      <w:rPr>
                        <w:rFonts w:ascii="Cambria Math" w:hAnsi="Cambria Math"/>
                      </w:rPr>
                      <m:t>GHG</m:t>
                    </m:r>
                  </m:e>
                  <m:sub>
                    <m:r>
                      <m:rPr>
                        <m:sty m:val="p"/>
                      </m:rPr>
                      <w:rPr>
                        <w:rFonts w:ascii="Cambria Math" w:hAnsi="Cambria Math"/>
                      </w:rPr>
                      <m:t>report</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GHG</m:t>
                    </m:r>
                  </m:e>
                  <m:sub>
                    <m:r>
                      <m:rPr>
                        <m:sty m:val="p"/>
                      </m:rPr>
                      <w:rPr>
                        <w:rFonts w:ascii="Cambria Math" w:hAnsi="Cambria Math"/>
                      </w:rPr>
                      <m:t>NET BSL</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GHG</m:t>
                    </m:r>
                  </m:e>
                  <m:sub>
                    <m:r>
                      <m:rPr>
                        <m:sty m:val="p"/>
                      </m:rPr>
                      <w:rPr>
                        <w:rFonts w:ascii="Cambria Math" w:hAnsi="Cambria Math"/>
                      </w:rPr>
                      <m:t>NET P</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GHG</m:t>
                    </m:r>
                  </m:e>
                  <m:sub>
                    <m:r>
                      <m:rPr>
                        <m:sty m:val="p"/>
                      </m:rPr>
                      <w:rPr>
                        <w:rFonts w:ascii="Cambria Math" w:hAnsi="Cambria Math"/>
                      </w:rPr>
                      <m:t>NET LK</m:t>
                    </m:r>
                  </m:sub>
                </m:sSub>
              </m:oMath>
            </m:oMathPara>
          </w:p>
        </w:tc>
        <w:tc>
          <w:tcPr>
            <w:tcW w:w="2188"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39</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GHG</w:t>
      </w:r>
      <w:r w:rsidRPr="00301DDB">
        <w:rPr>
          <w:vertAlign w:val="subscript"/>
        </w:rPr>
        <w:t xml:space="preserve">report </w:t>
      </w:r>
      <w:r w:rsidRPr="00301DDB">
        <w:t>=</w:t>
      </w:r>
      <w:r w:rsidRPr="00301DDB">
        <w:tab/>
        <w:t>net greenhouse gas abatement at the end of current reporting</w:t>
      </w:r>
      <w:r w:rsidRPr="00301DDB">
        <w:tab/>
      </w:r>
      <w:r w:rsidRPr="00301DDB">
        <w:tab/>
      </w:r>
      <w:r w:rsidRPr="00301DDB">
        <w:tab/>
        <w:t>period (tonnes of carbon dioxide 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GHG</w:t>
      </w:r>
      <w:r w:rsidRPr="00301DDB">
        <w:rPr>
          <w:vertAlign w:val="subscript"/>
        </w:rPr>
        <w:t xml:space="preserve">NET BSL </w:t>
      </w:r>
      <w:r w:rsidRPr="00301DDB">
        <w:t>=</w:t>
      </w:r>
      <w:r w:rsidRPr="00301DDB">
        <w:tab/>
        <w:t>net greenhouse gas emissions in the baseline from planned</w:t>
      </w:r>
      <w:r w:rsidRPr="00301DDB">
        <w:tab/>
      </w:r>
      <w:r w:rsidRPr="00301DDB">
        <w:tab/>
      </w:r>
      <w:r w:rsidRPr="00301DDB">
        <w:tab/>
      </w:r>
      <w:r w:rsidRPr="00301DDB">
        <w:tab/>
        <w:t>deforestation (tonnes of carbon dioxide equivalent) determined</w:t>
      </w:r>
      <w:r w:rsidRPr="00301DDB">
        <w:tab/>
      </w:r>
      <w:r w:rsidRPr="00301DDB">
        <w:tab/>
      </w:r>
      <w:r w:rsidRPr="00301DDB">
        <w:tab/>
        <w:t>in accordance with Subdivision 3.5.4.</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GHG</w:t>
      </w:r>
      <w:r w:rsidRPr="00301DDB">
        <w:rPr>
          <w:vertAlign w:val="subscript"/>
        </w:rPr>
        <w:t xml:space="preserve">NET P </w:t>
      </w:r>
      <w:r w:rsidRPr="00301DDB">
        <w:t>=</w:t>
      </w:r>
      <w:r w:rsidRPr="00301DDB">
        <w:tab/>
        <w:t>net project carbon dioxide equivalent emissions (tonnes of</w:t>
      </w:r>
      <w:r w:rsidRPr="00301DDB">
        <w:tab/>
      </w:r>
      <w:r w:rsidRPr="00301DDB">
        <w:tab/>
      </w:r>
      <w:r w:rsidRPr="00301DDB">
        <w:tab/>
      </w:r>
      <w:r w:rsidRPr="00301DDB">
        <w:tab/>
        <w:t xml:space="preserve">carbon dioxide equivalent) as determined in </w:t>
      </w:r>
      <w:r w:rsidRPr="00301DDB">
        <w:tab/>
        <w:t>accordance with</w:t>
      </w:r>
      <w:r w:rsidRPr="00301DDB">
        <w:tab/>
      </w:r>
      <w:r w:rsidRPr="00301DDB">
        <w:tab/>
      </w:r>
      <w:r w:rsidRPr="00301DDB">
        <w:tab/>
        <w:t>Subdivision 3.5.5.</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GHG</w:t>
      </w:r>
      <w:r w:rsidRPr="00301DDB">
        <w:rPr>
          <w:vertAlign w:val="subscript"/>
        </w:rPr>
        <w:t xml:space="preserve">NET LK </w:t>
      </w:r>
      <w:r w:rsidRPr="00301DDB">
        <w:t>=</w:t>
      </w:r>
      <w:r w:rsidRPr="00301DDB">
        <w:tab/>
        <w:t>0, being the quantity of abatement lost due to leakage by the</w:t>
      </w:r>
      <w:r w:rsidRPr="00301DDB">
        <w:tab/>
      </w:r>
      <w:r w:rsidRPr="00301DDB">
        <w:tab/>
      </w:r>
      <w:r w:rsidRPr="00301DDB">
        <w:tab/>
        <w:t xml:space="preserve">project. </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The project proponent must report GHG</w:t>
      </w:r>
      <w:r w:rsidRPr="00301DDB">
        <w:rPr>
          <w:vertAlign w:val="subscript"/>
        </w:rPr>
        <w:t>NET</w:t>
      </w:r>
      <w:r w:rsidRPr="00301DDB">
        <w:rPr>
          <w:i/>
        </w:rPr>
        <w:t xml:space="preserve"> </w:t>
      </w:r>
      <w:r w:rsidRPr="00301DDB">
        <w:t>as the Net Sequestration Number for the project to the Regulator in each offsets report.</w:t>
      </w:r>
    </w:p>
    <w:p w:rsidR="00301DDB" w:rsidRPr="00301DDB" w:rsidRDefault="00301DDB" w:rsidP="00301DDB">
      <w:pPr>
        <w:spacing w:before="80" w:after="80"/>
        <w:jc w:val="both"/>
        <w:rPr>
          <w:color w:val="0070C0"/>
        </w:rPr>
      </w:pPr>
    </w:p>
    <w:tbl>
      <w:tblPr>
        <w:tblStyle w:val="TableGrid"/>
        <w:tblW w:w="0" w:type="auto"/>
        <w:tblInd w:w="250" w:type="dxa"/>
        <w:tblLook w:val="04A0" w:firstRow="1" w:lastRow="0" w:firstColumn="1" w:lastColumn="0" w:noHBand="0" w:noVBand="1"/>
      </w:tblPr>
      <w:tblGrid>
        <w:gridCol w:w="7229"/>
        <w:gridCol w:w="1763"/>
      </w:tblGrid>
      <w:tr w:rsidR="00301DDB" w:rsidRPr="00301DDB" w:rsidTr="00DB6218">
        <w:tc>
          <w:tcPr>
            <w:tcW w:w="7229" w:type="dxa"/>
            <w:vAlign w:val="center"/>
          </w:tcPr>
          <w:p w:rsidR="00301DDB" w:rsidRPr="00301DDB" w:rsidRDefault="007142EE" w:rsidP="00301DDB">
            <w:pPr>
              <w:keepLines/>
              <w:tabs>
                <w:tab w:val="right" w:pos="794"/>
              </w:tabs>
              <w:spacing w:before="80" w:after="100" w:line="360" w:lineRule="auto"/>
              <w:jc w:val="both"/>
            </w:pPr>
            <m:oMathPara>
              <m:oMath>
                <m:sSub>
                  <m:sSubPr>
                    <m:ctrlPr>
                      <w:rPr>
                        <w:rFonts w:ascii="Cambria Math" w:hAnsi="Cambria Math"/>
                        <w:bCs/>
                        <w:iCs/>
                      </w:rPr>
                    </m:ctrlPr>
                  </m:sSubPr>
                  <m:e>
                    <m:r>
                      <m:rPr>
                        <m:sty m:val="p"/>
                      </m:rPr>
                      <w:rPr>
                        <w:rFonts w:ascii="Cambria Math" w:hAnsi="Cambria Math"/>
                      </w:rPr>
                      <m:t>GHG</m:t>
                    </m:r>
                  </m:e>
                  <m:sub>
                    <m:r>
                      <m:rPr>
                        <m:sty m:val="p"/>
                      </m:rPr>
                      <w:rPr>
                        <w:rFonts w:ascii="Cambria Math" w:hAnsi="Cambria Math"/>
                      </w:rPr>
                      <m:t>NET</m:t>
                    </m:r>
                  </m:sub>
                </m:sSub>
                <m:r>
                  <m:rPr>
                    <m:sty m:val="p"/>
                  </m:rPr>
                  <w:rPr>
                    <w:rFonts w:ascii="Cambria Math" w:hAnsi="Cambria Math"/>
                  </w:rPr>
                  <m:t>=</m:t>
                </m:r>
                <m:d>
                  <m:dPr>
                    <m:ctrlPr>
                      <w:rPr>
                        <w:rFonts w:ascii="Cambria Math" w:hAnsi="Cambria Math"/>
                        <w:bCs/>
                        <w:iCs/>
                      </w:rPr>
                    </m:ctrlPr>
                  </m:dPr>
                  <m:e>
                    <m:f>
                      <m:fPr>
                        <m:ctrlPr>
                          <w:rPr>
                            <w:rFonts w:ascii="Cambria Math" w:hAnsi="Cambria Math"/>
                            <w:bCs/>
                            <w:iCs/>
                          </w:rPr>
                        </m:ctrlPr>
                      </m:fPr>
                      <m:num>
                        <m:sSub>
                          <m:sSubPr>
                            <m:ctrlPr>
                              <w:rPr>
                                <w:rFonts w:ascii="Cambria Math" w:hAnsi="Cambria Math"/>
                                <w:bCs/>
                                <w:iCs/>
                              </w:rPr>
                            </m:ctrlPr>
                          </m:sSubPr>
                          <m:e>
                            <m:r>
                              <m:rPr>
                                <m:sty m:val="p"/>
                              </m:rPr>
                              <w:rPr>
                                <w:rFonts w:ascii="Cambria Math" w:hAnsi="Cambria Math"/>
                              </w:rPr>
                              <m:t>GHG</m:t>
                            </m:r>
                          </m:e>
                          <m:sub>
                            <m:r>
                              <m:rPr>
                                <m:sty m:val="p"/>
                              </m:rPr>
                              <w:rPr>
                                <w:rFonts w:ascii="Cambria Math" w:hAnsi="Cambria Math"/>
                              </w:rPr>
                              <m:t xml:space="preserve">report </m:t>
                            </m:r>
                          </m:sub>
                        </m:sSub>
                        <m:r>
                          <m:rPr>
                            <m:sty m:val="p"/>
                          </m:rPr>
                          <w:rPr>
                            <w:rFonts w:ascii="Cambria Math" w:hAnsi="Cambria Math"/>
                          </w:rPr>
                          <m:t xml:space="preserve"> -</m:t>
                        </m:r>
                        <m:r>
                          <m:rPr>
                            <m:nor/>
                          </m:rPr>
                          <w:rPr>
                            <w:rFonts w:ascii="Cambria Math"/>
                            <w:bCs/>
                            <w:iCs/>
                          </w:rPr>
                          <m:t xml:space="preserve"> </m:t>
                        </m:r>
                        <m:f>
                          <m:fPr>
                            <m:ctrlPr>
                              <w:rPr>
                                <w:rFonts w:ascii="Cambria Math" w:hAnsi="Cambria Math"/>
                              </w:rPr>
                            </m:ctrlPr>
                          </m:fPr>
                          <m:num>
                            <m:r>
                              <m:rPr>
                                <m:sty m:val="p"/>
                              </m:rPr>
                              <w:rPr>
                                <w:rFonts w:ascii="Cambria Math" w:hAnsi="Cambria Math"/>
                              </w:rPr>
                              <m:t>Credits</m:t>
                            </m:r>
                          </m:num>
                          <m:den>
                            <m:r>
                              <w:rPr>
                                <w:rFonts w:ascii="Cambria Math" w:hAnsi="Cambria Math"/>
                              </w:rPr>
                              <m:t>0.95</m:t>
                            </m:r>
                          </m:den>
                        </m:f>
                      </m:num>
                      <m:den>
                        <m:r>
                          <m:rPr>
                            <m:sty m:val="p"/>
                          </m:rPr>
                          <w:rPr>
                            <w:rFonts w:ascii="Cambria Math" w:hAnsi="Cambria Math"/>
                          </w:rPr>
                          <m:t>Crediting Period-</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start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t</m:t>
                            </m:r>
                          </m:sub>
                        </m:sSub>
                      </m:den>
                    </m:f>
                    <m:r>
                      <m:rPr>
                        <m:sty m:val="p"/>
                      </m:rPr>
                      <w:rPr>
                        <w:rFonts w:ascii="Cambria Math" w:hAnsi="Cambria Math"/>
                      </w:rPr>
                      <m:t xml:space="preserve"> </m:t>
                    </m:r>
                  </m:e>
                </m:d>
                <m:r>
                  <m:rPr>
                    <m:sty m:val="p"/>
                  </m:rPr>
                  <w:rPr>
                    <w:rFonts w:ascii="Cambria Math" w:hAnsi="Cambria Math"/>
                  </w:rPr>
                  <m:t xml:space="preserve"> x Crediting Period</m:t>
                </m:r>
              </m:oMath>
            </m:oMathPara>
          </w:p>
        </w:tc>
        <w:tc>
          <w:tcPr>
            <w:tcW w:w="1763" w:type="dxa"/>
            <w:vAlign w:val="center"/>
          </w:tcPr>
          <w:p w:rsidR="00301DDB" w:rsidRPr="00301DDB" w:rsidRDefault="00301DDB" w:rsidP="00301DDB">
            <w:pPr>
              <w:keepLines/>
              <w:tabs>
                <w:tab w:val="right" w:pos="794"/>
              </w:tabs>
              <w:spacing w:before="80" w:after="100" w:line="260" w:lineRule="exact"/>
              <w:jc w:val="center"/>
              <w:rPr>
                <w:b/>
              </w:rPr>
            </w:pPr>
            <w:r w:rsidRPr="00301DDB">
              <w:rPr>
                <w:b/>
              </w:rPr>
              <w:t>Equation 40</w:t>
            </w:r>
          </w:p>
        </w:tc>
      </w:tr>
    </w:tbl>
    <w:p w:rsidR="00301DDB" w:rsidRPr="00301DDB" w:rsidRDefault="00301DDB" w:rsidP="00301DDB">
      <w:pPr>
        <w:keepNext/>
        <w:keepLines/>
        <w:tabs>
          <w:tab w:val="right" w:pos="794"/>
        </w:tabs>
        <w:spacing w:before="80" w:after="100" w:line="260" w:lineRule="exact"/>
        <w:ind w:left="964" w:hanging="964"/>
        <w:jc w:val="both"/>
      </w:pPr>
      <w:r w:rsidRPr="00301DDB">
        <w:tab/>
      </w:r>
      <w:r w:rsidRPr="00301DDB">
        <w:tab/>
        <w:t>Where:</w:t>
      </w:r>
    </w:p>
    <w:p w:rsidR="00301DDB" w:rsidRPr="00301DDB" w:rsidRDefault="00301DDB" w:rsidP="00301DDB">
      <w:pPr>
        <w:keepNext/>
        <w:keepLines/>
        <w:tabs>
          <w:tab w:val="right" w:pos="794"/>
        </w:tabs>
        <w:spacing w:before="80" w:after="100" w:line="260" w:lineRule="exact"/>
        <w:ind w:left="964" w:hanging="964"/>
        <w:jc w:val="both"/>
      </w:pPr>
      <w:r w:rsidRPr="00301DDB">
        <w:tab/>
      </w:r>
      <w:r w:rsidRPr="00301DDB">
        <w:tab/>
      </w:r>
      <w:r w:rsidRPr="00301DDB">
        <w:tab/>
        <w:t>GHG</w:t>
      </w:r>
      <w:r w:rsidRPr="00301DDB">
        <w:rPr>
          <w:vertAlign w:val="subscript"/>
        </w:rPr>
        <w:t xml:space="preserve">NET </w:t>
      </w:r>
      <w:r w:rsidRPr="00301DDB">
        <w:t>=</w:t>
      </w:r>
      <w:r w:rsidRPr="00301DDB">
        <w:tab/>
        <w:t>net greenhouse gas abatement for the crediting period</w:t>
      </w:r>
      <w:r w:rsidRPr="00301DDB">
        <w:tab/>
      </w:r>
      <w:r w:rsidRPr="00301DDB">
        <w:tab/>
      </w:r>
      <w:r w:rsidRPr="00301DDB">
        <w:tab/>
      </w:r>
      <w:r w:rsidRPr="00301DDB">
        <w:tab/>
        <w:t>(tonnes of carbon dioxide 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GHG</w:t>
      </w:r>
      <w:r w:rsidRPr="00301DDB">
        <w:rPr>
          <w:vertAlign w:val="subscript"/>
        </w:rPr>
        <w:t xml:space="preserve">report </w:t>
      </w:r>
      <w:r w:rsidRPr="00301DDB">
        <w:t>=</w:t>
      </w:r>
      <w:r w:rsidRPr="00301DDB">
        <w:tab/>
        <w:t>net greenhouse gas abatement at the end of current reporting</w:t>
      </w:r>
      <w:r w:rsidRPr="00301DDB">
        <w:tab/>
      </w:r>
      <w:r w:rsidRPr="00301DDB">
        <w:tab/>
      </w:r>
      <w:r w:rsidRPr="00301DDB">
        <w:tab/>
        <w:t>period (tonnes of carbon dioxide equivalent).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Credits =</w:t>
      </w:r>
      <w:r w:rsidRPr="00301DDB">
        <w:tab/>
        <w:t>the number of Australian carbon credit units already issued for</w:t>
      </w:r>
      <w:r w:rsidRPr="00301DDB">
        <w:tab/>
      </w:r>
      <w:r w:rsidRPr="00301DDB">
        <w:tab/>
      </w:r>
      <w:r w:rsidRPr="00301DDB">
        <w:tab/>
        <w:t>the project.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t>Crediting Period =</w:t>
      </w:r>
      <w:r w:rsidRPr="00301DDB">
        <w:tab/>
        <w:t>the crediting period for the project (years).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t</w:t>
      </w:r>
      <w:r w:rsidRPr="00301DDB">
        <w:rPr>
          <w:vertAlign w:val="subscript"/>
        </w:rPr>
        <w:t>start</w:t>
      </w:r>
      <w:r w:rsidRPr="00301DDB">
        <w:t xml:space="preserve"> =</w:t>
      </w:r>
      <w:r w:rsidRPr="00301DDB">
        <w:tab/>
      </w:r>
      <w:r w:rsidRPr="00301DDB">
        <w:tab/>
        <w:t>number of years since project commencement.</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R</w:t>
      </w:r>
      <w:r w:rsidRPr="00301DDB">
        <w:rPr>
          <w:vertAlign w:val="subscript"/>
        </w:rPr>
        <w:t xml:space="preserve">t </w:t>
      </w:r>
      <w:r w:rsidRPr="00301DDB">
        <w:t>=</w:t>
      </w:r>
      <w:r w:rsidRPr="00301DDB">
        <w:tab/>
      </w:r>
      <w:r w:rsidRPr="00301DDB">
        <w:tab/>
        <w:t>number of years in the current reporting period (years).</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r>
      <w:r w:rsidRPr="00301DDB">
        <w:tab/>
        <w:t xml:space="preserve">0.95 = </w:t>
      </w:r>
      <w:r w:rsidRPr="00301DDB">
        <w:tab/>
      </w:r>
      <w:r w:rsidRPr="00301DDB">
        <w:tab/>
        <w:t>constant which accounts for a risk of reversal buffer of 5%.</w:t>
      </w:r>
    </w:p>
    <w:p w:rsidR="00301DDB" w:rsidRPr="00301DDB" w:rsidRDefault="00301DDB" w:rsidP="00301DDB">
      <w:pPr>
        <w:keepNext/>
        <w:keepLines/>
        <w:pageBreakBefore/>
        <w:spacing w:before="360" w:after="60"/>
        <w:ind w:left="2410" w:hanging="2410"/>
        <w:outlineLvl w:val="1"/>
        <w:rPr>
          <w:rFonts w:ascii="Arial" w:hAnsi="Arial" w:cs="Arial"/>
          <w:b/>
          <w:iCs/>
          <w:sz w:val="36"/>
          <w:szCs w:val="22"/>
        </w:rPr>
      </w:pPr>
      <w:bookmarkStart w:id="79" w:name="_Toc358907468"/>
      <w:r w:rsidRPr="00301DDB">
        <w:rPr>
          <w:rFonts w:ascii="Arial" w:hAnsi="Arial" w:cs="Arial"/>
          <w:b/>
          <w:iCs/>
          <w:sz w:val="36"/>
          <w:szCs w:val="22"/>
        </w:rPr>
        <w:lastRenderedPageBreak/>
        <w:t>Part 4</w:t>
      </w:r>
      <w:r w:rsidRPr="00301DDB">
        <w:rPr>
          <w:rFonts w:ascii="Arial" w:hAnsi="Arial" w:cs="Arial"/>
          <w:b/>
          <w:iCs/>
          <w:sz w:val="36"/>
          <w:szCs w:val="22"/>
        </w:rPr>
        <w:tab/>
        <w:t>Monitoring, record-keeping and reporting requirements</w:t>
      </w:r>
      <w:bookmarkEnd w:id="79"/>
    </w:p>
    <w:p w:rsidR="00301DDB" w:rsidRPr="00301DDB" w:rsidRDefault="00301DDB" w:rsidP="00301DDB">
      <w:pPr>
        <w:keepLines/>
        <w:tabs>
          <w:tab w:val="right" w:pos="794"/>
        </w:tabs>
        <w:spacing w:before="80" w:after="100" w:line="220" w:lineRule="exact"/>
        <w:ind w:left="964" w:hanging="964"/>
        <w:jc w:val="both"/>
        <w:rPr>
          <w:sz w:val="20"/>
        </w:rPr>
      </w:pPr>
      <w:r w:rsidRPr="00301DDB">
        <w:rPr>
          <w:sz w:val="20"/>
        </w:rPr>
        <w:tab/>
      </w:r>
      <w:r w:rsidRPr="00301DDB">
        <w:rPr>
          <w:b/>
          <w:i/>
          <w:sz w:val="20"/>
        </w:rPr>
        <w:t>Note</w:t>
      </w:r>
      <w:r w:rsidRPr="00301DDB">
        <w:rPr>
          <w:sz w:val="20"/>
        </w:rPr>
        <w:tab/>
        <w:t>See subsection 106(3) of the Act.</w:t>
      </w: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80" w:name="_Toc358907469"/>
      <w:r w:rsidRPr="00301DDB">
        <w:rPr>
          <w:rFonts w:ascii="Arial" w:hAnsi="Arial" w:cs="Arial"/>
          <w:b/>
          <w:bCs/>
          <w:sz w:val="28"/>
          <w:szCs w:val="26"/>
        </w:rPr>
        <w:t>Division 4.1</w:t>
      </w:r>
      <w:r w:rsidRPr="00301DDB">
        <w:rPr>
          <w:rFonts w:ascii="Arial" w:hAnsi="Arial" w:cs="Arial"/>
          <w:b/>
          <w:bCs/>
          <w:sz w:val="28"/>
          <w:szCs w:val="26"/>
        </w:rPr>
        <w:tab/>
        <w:t>General</w:t>
      </w:r>
      <w:bookmarkEnd w:id="80"/>
    </w:p>
    <w:p w:rsidR="00301DDB" w:rsidRPr="00301DDB" w:rsidRDefault="00301DDB" w:rsidP="00301DDB">
      <w:pPr>
        <w:keepNext/>
        <w:keepLines/>
        <w:spacing w:before="360" w:after="60"/>
        <w:ind w:left="964" w:hanging="964"/>
        <w:jc w:val="both"/>
        <w:outlineLvl w:val="4"/>
        <w:rPr>
          <w:rFonts w:ascii="Arial" w:hAnsi="Arial"/>
          <w:b/>
          <w:bCs/>
          <w:iCs/>
          <w:szCs w:val="26"/>
        </w:rPr>
      </w:pPr>
      <w:bookmarkStart w:id="81" w:name="_Toc358907470"/>
      <w:r w:rsidRPr="00301DDB">
        <w:rPr>
          <w:rFonts w:ascii="Arial" w:hAnsi="Arial"/>
          <w:b/>
          <w:bCs/>
          <w:iCs/>
          <w:szCs w:val="26"/>
        </w:rPr>
        <w:t>4.1</w:t>
      </w:r>
      <w:r w:rsidRPr="00301DDB">
        <w:rPr>
          <w:rFonts w:ascii="Arial" w:hAnsi="Arial"/>
          <w:b/>
          <w:bCs/>
          <w:iCs/>
          <w:szCs w:val="26"/>
        </w:rPr>
        <w:tab/>
        <w:t>Application</w:t>
      </w:r>
      <w:bookmarkEnd w:id="81"/>
      <w:r w:rsidRPr="00301DDB">
        <w:rPr>
          <w:rFonts w:ascii="Arial" w:hAnsi="Arial"/>
          <w:b/>
          <w:bCs/>
          <w:iCs/>
          <w:szCs w:val="26"/>
        </w:rPr>
        <w:t xml:space="preserve"> </w:t>
      </w:r>
    </w:p>
    <w:p w:rsidR="00301DDB" w:rsidRPr="00301DDB" w:rsidRDefault="00301DDB" w:rsidP="00301DDB">
      <w:pPr>
        <w:keepLines/>
        <w:tabs>
          <w:tab w:val="right" w:pos="794"/>
        </w:tabs>
        <w:spacing w:before="80" w:after="100" w:line="260" w:lineRule="exact"/>
        <w:ind w:left="964" w:hanging="964"/>
        <w:jc w:val="both"/>
      </w:pPr>
      <w:r w:rsidRPr="00301DDB">
        <w:tab/>
      </w:r>
      <w:r w:rsidRPr="00301DDB">
        <w:tab/>
        <w:t>For subsection 106(3) of the Act, the project proponent of an eligible offsets project to which this Determination applies must comply with the monitoring, record</w:t>
      </w:r>
      <w:r w:rsidRPr="00301DDB">
        <w:noBreakHyphen/>
        <w:t>keeping and reporting requirements of this Part.</w:t>
      </w: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82" w:name="_Toc358907471"/>
      <w:r w:rsidRPr="00301DDB">
        <w:rPr>
          <w:rFonts w:ascii="Arial" w:hAnsi="Arial" w:cs="Arial"/>
          <w:b/>
          <w:bCs/>
          <w:sz w:val="28"/>
          <w:szCs w:val="26"/>
        </w:rPr>
        <w:t>Division 4.2</w:t>
      </w:r>
      <w:r w:rsidRPr="00301DDB">
        <w:rPr>
          <w:rFonts w:ascii="Arial" w:hAnsi="Arial" w:cs="Arial"/>
          <w:b/>
          <w:bCs/>
          <w:sz w:val="28"/>
          <w:szCs w:val="26"/>
        </w:rPr>
        <w:tab/>
        <w:t>Monitoring requirements</w:t>
      </w:r>
      <w:bookmarkEnd w:id="82"/>
      <w:r w:rsidRPr="00301DDB">
        <w:rPr>
          <w:rFonts w:ascii="Arial" w:hAnsi="Arial" w:cs="Arial"/>
          <w:b/>
          <w:bCs/>
          <w:sz w:val="28"/>
          <w:szCs w:val="26"/>
        </w:rPr>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83" w:name="_Toc358907472"/>
      <w:r w:rsidRPr="00301DDB">
        <w:rPr>
          <w:rFonts w:ascii="Arial" w:hAnsi="Arial"/>
          <w:b/>
          <w:bCs/>
          <w:iCs/>
          <w:szCs w:val="26"/>
        </w:rPr>
        <w:t>4.2</w:t>
      </w:r>
      <w:r w:rsidRPr="00301DDB">
        <w:rPr>
          <w:rFonts w:ascii="Arial" w:hAnsi="Arial"/>
          <w:b/>
          <w:bCs/>
          <w:iCs/>
          <w:szCs w:val="26"/>
        </w:rPr>
        <w:tab/>
        <w:t>Monitoring for disturbance</w:t>
      </w:r>
      <w:bookmarkEnd w:id="83"/>
      <w:r w:rsidRPr="00301DDB">
        <w:rPr>
          <w:rFonts w:ascii="Arial" w:hAnsi="Arial"/>
          <w:b/>
          <w:bCs/>
          <w:iCs/>
          <w:szCs w:val="26"/>
        </w:rPr>
        <w:t xml:space="preserve"> </w:t>
      </w:r>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The project area must be monitored for disturbances in the course of each reporting period.</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the purposes of subsection (1), remotely-sensed imagery of the project area must:</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be acquired no longer than one year before the submission of the next offsets report;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comply with the requirements in section 3.2.</w:t>
      </w:r>
      <w:r w:rsidRPr="00301DDB">
        <w:tab/>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A land cover assessment of the remotely-sensed imagery must be completed in accordance with section 3.3.</w:t>
      </w:r>
      <w:r w:rsidRPr="00301DDB">
        <w:tab/>
      </w: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84" w:name="_Toc358907473"/>
      <w:r w:rsidRPr="00301DDB">
        <w:rPr>
          <w:rFonts w:ascii="Arial" w:hAnsi="Arial" w:cs="Arial"/>
          <w:b/>
          <w:bCs/>
          <w:sz w:val="28"/>
          <w:szCs w:val="26"/>
        </w:rPr>
        <w:t>Division 4.3</w:t>
      </w:r>
      <w:r w:rsidRPr="00301DDB">
        <w:rPr>
          <w:rFonts w:ascii="Arial" w:hAnsi="Arial" w:cs="Arial"/>
          <w:b/>
          <w:bCs/>
          <w:sz w:val="28"/>
          <w:szCs w:val="26"/>
        </w:rPr>
        <w:tab/>
        <w:t>Record-keeping requirements</w:t>
      </w:r>
      <w:bookmarkEnd w:id="84"/>
    </w:p>
    <w:p w:rsidR="00301DDB" w:rsidRPr="00301DDB" w:rsidRDefault="00301DDB" w:rsidP="00301DDB">
      <w:pPr>
        <w:keepNext/>
        <w:keepLines/>
        <w:spacing w:before="360" w:after="60"/>
        <w:ind w:left="964" w:hanging="964"/>
        <w:jc w:val="both"/>
        <w:outlineLvl w:val="4"/>
        <w:rPr>
          <w:rFonts w:ascii="Arial" w:hAnsi="Arial"/>
          <w:b/>
          <w:bCs/>
          <w:iCs/>
          <w:szCs w:val="26"/>
        </w:rPr>
      </w:pPr>
      <w:bookmarkStart w:id="85" w:name="_Toc358907474"/>
      <w:r w:rsidRPr="00301DDB">
        <w:rPr>
          <w:rFonts w:ascii="Arial" w:hAnsi="Arial"/>
          <w:b/>
          <w:bCs/>
          <w:iCs/>
          <w:szCs w:val="26"/>
        </w:rPr>
        <w:t>4.3</w:t>
      </w:r>
      <w:r w:rsidRPr="00301DDB">
        <w:rPr>
          <w:rFonts w:ascii="Arial" w:hAnsi="Arial"/>
          <w:b/>
          <w:bCs/>
          <w:iCs/>
          <w:szCs w:val="26"/>
        </w:rPr>
        <w:tab/>
        <w:t>Information relating to project area and land cover assessment</w:t>
      </w:r>
      <w:bookmarkEnd w:id="85"/>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Records must be kept in relation to:</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boundary of the project area;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each land cover assessment undertaken in accordance with section 3.3.</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the purposes of subsection (1), the records must include:</w:t>
      </w:r>
      <w:r w:rsidRPr="00301DDB">
        <w:tab/>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data source used to generate the project area;</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geographic coordinates of each carbon estimation area, exclusion area and clearing buffer within the project area;</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meta-data relating to the areas in paragraph (c) as provided by the CFI Mapping Guidelines;</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the total project area (hectares);</w:t>
      </w:r>
    </w:p>
    <w:p w:rsidR="00301DDB" w:rsidRPr="00301DDB" w:rsidRDefault="00301DDB" w:rsidP="00301DDB">
      <w:pPr>
        <w:keepLines/>
        <w:tabs>
          <w:tab w:val="right" w:pos="1531"/>
        </w:tabs>
        <w:spacing w:after="100" w:line="260" w:lineRule="exact"/>
        <w:ind w:left="1701" w:hanging="1701"/>
        <w:jc w:val="both"/>
      </w:pPr>
      <w:r w:rsidRPr="00301DDB">
        <w:lastRenderedPageBreak/>
        <w:tab/>
        <w:t>(e)</w:t>
      </w:r>
      <w:r w:rsidRPr="00301DDB">
        <w:tab/>
        <w:t>the area of each carbon estimation area (hectares); and</w:t>
      </w:r>
    </w:p>
    <w:p w:rsidR="00301DDB" w:rsidRPr="00301DDB" w:rsidRDefault="00301DDB" w:rsidP="00301DDB">
      <w:pPr>
        <w:keepLines/>
        <w:tabs>
          <w:tab w:val="right" w:pos="1531"/>
        </w:tabs>
        <w:spacing w:after="100" w:line="260" w:lineRule="exact"/>
        <w:ind w:left="1701" w:hanging="1701"/>
        <w:jc w:val="both"/>
      </w:pPr>
      <w:r w:rsidRPr="00301DDB">
        <w:tab/>
        <w:t>(f)</w:t>
      </w:r>
      <w:r w:rsidRPr="00301DDB">
        <w:tab/>
        <w:t>the method used to stratify the project area.</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86" w:name="_Toc358907475"/>
      <w:r w:rsidRPr="00301DDB">
        <w:rPr>
          <w:rFonts w:ascii="Arial" w:hAnsi="Arial"/>
          <w:b/>
          <w:bCs/>
          <w:iCs/>
          <w:szCs w:val="26"/>
        </w:rPr>
        <w:t>4.4</w:t>
      </w:r>
      <w:r w:rsidRPr="00301DDB">
        <w:rPr>
          <w:rFonts w:ascii="Arial" w:hAnsi="Arial"/>
          <w:b/>
          <w:bCs/>
          <w:iCs/>
          <w:szCs w:val="26"/>
        </w:rPr>
        <w:tab/>
        <w:t>Information relating to project eligibility</w:t>
      </w:r>
      <w:bookmarkEnd w:id="86"/>
    </w:p>
    <w:p w:rsidR="00301DDB" w:rsidRPr="00301DDB" w:rsidRDefault="00301DDB" w:rsidP="00301DDB">
      <w:pPr>
        <w:keepLines/>
        <w:tabs>
          <w:tab w:val="right" w:pos="794"/>
        </w:tabs>
        <w:spacing w:before="80" w:after="100" w:line="260" w:lineRule="exact"/>
        <w:ind w:left="964" w:hanging="964"/>
        <w:jc w:val="both"/>
      </w:pPr>
      <w:r w:rsidRPr="00301DDB">
        <w:tab/>
      </w:r>
      <w:r w:rsidRPr="00301DDB">
        <w:tab/>
        <w:t>Records must be kept in relation to each of the evidentiary requirements set out in section 2.4.</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87" w:name="_Toc358907476"/>
      <w:r w:rsidRPr="00301DDB">
        <w:rPr>
          <w:rFonts w:ascii="Arial" w:hAnsi="Arial"/>
          <w:b/>
          <w:bCs/>
          <w:iCs/>
          <w:szCs w:val="26"/>
        </w:rPr>
        <w:t>4.5</w:t>
      </w:r>
      <w:r w:rsidRPr="00301DDB">
        <w:rPr>
          <w:rFonts w:ascii="Arial" w:hAnsi="Arial"/>
          <w:b/>
          <w:bCs/>
          <w:iCs/>
          <w:szCs w:val="26"/>
        </w:rPr>
        <w:tab/>
        <w:t>Information relating to remotely-sensed imagery</w:t>
      </w:r>
      <w:bookmarkEnd w:id="87"/>
    </w:p>
    <w:p w:rsidR="00301DDB" w:rsidRPr="00301DDB" w:rsidRDefault="00301DDB" w:rsidP="00301DDB">
      <w:pPr>
        <w:keepLines/>
        <w:tabs>
          <w:tab w:val="right" w:pos="794"/>
        </w:tabs>
        <w:spacing w:before="80" w:after="100" w:line="260" w:lineRule="exact"/>
        <w:ind w:left="964" w:hanging="964"/>
        <w:jc w:val="both"/>
      </w:pPr>
      <w:r w:rsidRPr="00301DDB">
        <w:tab/>
      </w:r>
      <w:r w:rsidRPr="00301DDB">
        <w:tab/>
        <w:t>Records must be kept in relation to each of the requirements for remotely-sensed imagery set out in section 3.2.</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88" w:name="_Toc358907477"/>
      <w:r w:rsidRPr="00301DDB">
        <w:rPr>
          <w:rFonts w:ascii="Arial" w:hAnsi="Arial"/>
          <w:b/>
          <w:bCs/>
          <w:iCs/>
          <w:szCs w:val="26"/>
        </w:rPr>
        <w:t>4.6</w:t>
      </w:r>
      <w:r w:rsidRPr="00301DDB">
        <w:rPr>
          <w:rFonts w:ascii="Arial" w:hAnsi="Arial"/>
          <w:b/>
          <w:bCs/>
          <w:iCs/>
          <w:szCs w:val="26"/>
        </w:rPr>
        <w:tab/>
        <w:t>Information relating to biomass survey report</w:t>
      </w:r>
      <w:bookmarkEnd w:id="88"/>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Records must be kept in relation to:</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plot design selected in accordance with section 3.29;</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number of plots estimated to achieve Targeted Precision in accordance with section 3.32;</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name of the pseudo-random number generator used to allocate plot points in accordance with section 3.30;</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the seed number used in the pseudo-random number generator mentioned in paragraph (c);</w:t>
      </w:r>
    </w:p>
    <w:p w:rsidR="00301DDB" w:rsidRPr="00301DDB" w:rsidRDefault="00301DDB" w:rsidP="00301DDB">
      <w:pPr>
        <w:keepLines/>
        <w:tabs>
          <w:tab w:val="right" w:pos="1531"/>
        </w:tabs>
        <w:spacing w:after="100" w:line="260" w:lineRule="exact"/>
        <w:ind w:left="1701" w:hanging="1701"/>
        <w:jc w:val="both"/>
      </w:pPr>
      <w:r w:rsidRPr="00301DDB">
        <w:tab/>
        <w:t>(e)</w:t>
      </w:r>
      <w:r w:rsidRPr="00301DDB">
        <w:tab/>
        <w:t>the method for establishing plots in accordance with Subdivision 3.4.3;</w:t>
      </w:r>
    </w:p>
    <w:p w:rsidR="00301DDB" w:rsidRPr="00301DDB" w:rsidRDefault="00301DDB" w:rsidP="00301DDB">
      <w:pPr>
        <w:keepLines/>
        <w:tabs>
          <w:tab w:val="right" w:pos="1531"/>
        </w:tabs>
        <w:spacing w:after="100" w:line="260" w:lineRule="exact"/>
        <w:ind w:left="1701" w:hanging="1701"/>
        <w:jc w:val="both"/>
      </w:pPr>
      <w:r w:rsidRPr="00301DDB">
        <w:tab/>
        <w:t>(f)</w:t>
      </w:r>
      <w:r w:rsidRPr="00301DDB">
        <w:tab/>
        <w:t>the survey protocol for the biomass survey in accordance with Subdivision 3.4.3;</w:t>
      </w:r>
    </w:p>
    <w:p w:rsidR="00301DDB" w:rsidRPr="00301DDB" w:rsidRDefault="00301DDB" w:rsidP="00301DDB">
      <w:pPr>
        <w:keepLines/>
        <w:tabs>
          <w:tab w:val="right" w:pos="1531"/>
        </w:tabs>
        <w:spacing w:after="100" w:line="260" w:lineRule="exact"/>
        <w:ind w:left="1701" w:hanging="1701"/>
        <w:jc w:val="both"/>
      </w:pPr>
      <w:r w:rsidRPr="00301DDB">
        <w:tab/>
        <w:t>(g)</w:t>
      </w:r>
      <w:r w:rsidRPr="00301DDB">
        <w:tab/>
        <w:t>plot data including:</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the species of each tree found in the plot;</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measurement data for each tree measured in all plots surveyed;</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the project name (NAME);</w:t>
      </w:r>
    </w:p>
    <w:p w:rsidR="00301DDB" w:rsidRPr="00301DDB" w:rsidRDefault="00301DDB" w:rsidP="00301DDB">
      <w:pPr>
        <w:keepLines/>
        <w:tabs>
          <w:tab w:val="right" w:pos="2211"/>
        </w:tabs>
        <w:spacing w:after="100" w:line="260" w:lineRule="exact"/>
        <w:ind w:left="2410" w:hanging="2410"/>
        <w:jc w:val="both"/>
      </w:pPr>
      <w:r w:rsidRPr="00301DDB">
        <w:tab/>
        <w:t>(iv)</w:t>
      </w:r>
      <w:r w:rsidRPr="00301DDB">
        <w:tab/>
        <w:t>the CEA number to which plots are allocated (CEA</w:t>
      </w:r>
      <w:r w:rsidRPr="00301DDB">
        <w:softHyphen/>
        <w:t>_NUM);</w:t>
      </w:r>
    </w:p>
    <w:p w:rsidR="00301DDB" w:rsidRPr="00301DDB" w:rsidRDefault="00301DDB" w:rsidP="00301DDB">
      <w:pPr>
        <w:keepLines/>
        <w:tabs>
          <w:tab w:val="right" w:pos="2211"/>
        </w:tabs>
        <w:spacing w:after="100" w:line="260" w:lineRule="exact"/>
        <w:ind w:left="2410" w:hanging="2410"/>
        <w:jc w:val="both"/>
      </w:pPr>
      <w:r w:rsidRPr="00301DDB">
        <w:tab/>
        <w:t>(v)</w:t>
      </w:r>
      <w:r w:rsidRPr="00301DDB">
        <w:tab/>
        <w:t>the unique identifier for each plot (PLOT_NUM);</w:t>
      </w:r>
    </w:p>
    <w:p w:rsidR="00301DDB" w:rsidRPr="00301DDB" w:rsidRDefault="00301DDB" w:rsidP="00301DDB">
      <w:pPr>
        <w:keepLines/>
        <w:tabs>
          <w:tab w:val="right" w:pos="2211"/>
        </w:tabs>
        <w:spacing w:after="100" w:line="260" w:lineRule="exact"/>
        <w:ind w:left="2410" w:hanging="2410"/>
        <w:jc w:val="both"/>
      </w:pPr>
      <w:r w:rsidRPr="00301DDB">
        <w:tab/>
        <w:t>(vi)</w:t>
      </w:r>
      <w:r w:rsidRPr="00301DDB">
        <w:tab/>
        <w:t>the waypoint X coordinate in decimal degrees (X_VALUE);</w:t>
      </w:r>
    </w:p>
    <w:p w:rsidR="00301DDB" w:rsidRPr="00301DDB" w:rsidRDefault="00301DDB" w:rsidP="00301DDB">
      <w:pPr>
        <w:keepLines/>
        <w:tabs>
          <w:tab w:val="right" w:pos="2211"/>
        </w:tabs>
        <w:spacing w:after="100" w:line="260" w:lineRule="exact"/>
        <w:ind w:left="2410" w:hanging="2410"/>
        <w:jc w:val="both"/>
      </w:pPr>
      <w:r w:rsidRPr="00301DDB">
        <w:tab/>
        <w:t>(vii)</w:t>
      </w:r>
      <w:r w:rsidRPr="00301DDB">
        <w:tab/>
        <w:t>the waypoint Y coordinate in decimal degrees (Y_VALUE); and</w:t>
      </w:r>
    </w:p>
    <w:p w:rsidR="00301DDB" w:rsidRPr="00301DDB" w:rsidRDefault="00301DDB" w:rsidP="00301DDB">
      <w:pPr>
        <w:keepLines/>
        <w:tabs>
          <w:tab w:val="right" w:pos="2211"/>
        </w:tabs>
        <w:spacing w:after="100" w:line="260" w:lineRule="exact"/>
        <w:ind w:left="2410" w:hanging="2410"/>
        <w:jc w:val="both"/>
      </w:pPr>
      <w:r w:rsidRPr="00301DDB">
        <w:tab/>
        <w:t>(viii)</w:t>
      </w:r>
      <w:r w:rsidRPr="00301DDB">
        <w:tab/>
        <w:t>the date of allocation points to the CEA (DATE_REG);</w:t>
      </w:r>
    </w:p>
    <w:p w:rsidR="00301DDB" w:rsidRPr="00301DDB" w:rsidRDefault="00301DDB" w:rsidP="00301DDB">
      <w:pPr>
        <w:keepLines/>
        <w:tabs>
          <w:tab w:val="right" w:pos="1531"/>
        </w:tabs>
        <w:spacing w:after="100" w:line="260" w:lineRule="exact"/>
        <w:ind w:left="1701" w:hanging="1701"/>
        <w:jc w:val="both"/>
      </w:pPr>
      <w:r w:rsidRPr="00301DDB">
        <w:tab/>
        <w:t>(h)</w:t>
      </w:r>
      <w:r w:rsidRPr="00301DDB">
        <w:tab/>
        <w:t>the process or method for the calibration of all survey equipment requiring calibration;</w:t>
      </w:r>
      <w:r w:rsidRPr="00301DDB">
        <w:tab/>
        <w:t>and</w:t>
      </w:r>
    </w:p>
    <w:p w:rsidR="00301DDB" w:rsidRPr="00301DDB" w:rsidRDefault="00301DDB" w:rsidP="00301DDB">
      <w:pPr>
        <w:keepLines/>
        <w:tabs>
          <w:tab w:val="right" w:pos="1531"/>
        </w:tabs>
        <w:spacing w:after="100" w:line="260" w:lineRule="exact"/>
        <w:ind w:left="1701" w:hanging="1701"/>
        <w:jc w:val="both"/>
      </w:pPr>
      <w:r w:rsidRPr="00301DDB">
        <w:tab/>
        <w:t>(i)</w:t>
      </w:r>
      <w:r w:rsidRPr="00301DDB">
        <w:tab/>
        <w:t>GPS unit specifications including the accuracy of each device used in the field for the purposes of undertaking the biomass survey in accordance with Subdivision 3.4.3.</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the purposes of paragraph (1)(b) the records must include:</w:t>
      </w:r>
    </w:p>
    <w:p w:rsidR="00301DDB" w:rsidRPr="00301DDB" w:rsidRDefault="00301DDB" w:rsidP="00301DDB">
      <w:pPr>
        <w:keepLines/>
        <w:tabs>
          <w:tab w:val="right" w:pos="1531"/>
        </w:tabs>
        <w:spacing w:after="100" w:line="260" w:lineRule="exact"/>
        <w:ind w:left="1701" w:hanging="1701"/>
        <w:jc w:val="both"/>
      </w:pPr>
      <w:r w:rsidRPr="00301DDB">
        <w:lastRenderedPageBreak/>
        <w:tab/>
        <w:t>(a)</w:t>
      </w:r>
      <w:r w:rsidRPr="00301DDB">
        <w:tab/>
        <w:t>a spread-sheet compiling information collected in accordance with sections 3.31 and 3.32;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validation of the sample size as provided by section 3.37.</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For the purposes of paragraphs (1)(e) and (1)(f) the records must include: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photographic examples of field plots;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 field manual or other documentation outlining the steps field workers must follow:</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to navigate to plots;</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 xml:space="preserve">to establish plot data; </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to establish plot boundaries; and</w:t>
      </w:r>
    </w:p>
    <w:p w:rsidR="00301DDB" w:rsidRPr="00301DDB" w:rsidRDefault="00301DDB" w:rsidP="00301DDB">
      <w:pPr>
        <w:keepLines/>
        <w:tabs>
          <w:tab w:val="right" w:pos="2211"/>
        </w:tabs>
        <w:spacing w:after="100" w:line="260" w:lineRule="exact"/>
        <w:ind w:left="2410" w:hanging="2410"/>
        <w:jc w:val="both"/>
      </w:pPr>
      <w:r w:rsidRPr="00301DDB">
        <w:tab/>
        <w:t>(iv)</w:t>
      </w:r>
      <w:r w:rsidRPr="00301DDB">
        <w:tab/>
        <w:t>to collect plot data.</w:t>
      </w:r>
    </w:p>
    <w:p w:rsidR="00301DDB" w:rsidRPr="00301DDB" w:rsidRDefault="00301DDB" w:rsidP="00301DDB">
      <w:pPr>
        <w:keepLines/>
        <w:tabs>
          <w:tab w:val="right" w:pos="794"/>
        </w:tabs>
        <w:spacing w:before="80" w:after="100" w:line="260" w:lineRule="exact"/>
        <w:ind w:left="964" w:hanging="964"/>
        <w:jc w:val="both"/>
      </w:pPr>
      <w:r w:rsidRPr="00301DDB">
        <w:tab/>
        <w:t>(4)</w:t>
      </w:r>
      <w:r w:rsidRPr="00301DDB">
        <w:tab/>
        <w:t>For the purposes of paragraph (1)(h) the records may include documentation recording:</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calibration process; and</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calibration dates signed by the field leader.</w:t>
      </w:r>
      <w:r w:rsidRPr="00301DDB">
        <w:tab/>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89" w:name="_Toc358907478"/>
      <w:r w:rsidRPr="00301DDB">
        <w:rPr>
          <w:rFonts w:ascii="Arial" w:hAnsi="Arial"/>
          <w:b/>
          <w:bCs/>
          <w:iCs/>
          <w:szCs w:val="26"/>
        </w:rPr>
        <w:t>4.7</w:t>
      </w:r>
      <w:r w:rsidRPr="00301DDB">
        <w:rPr>
          <w:rFonts w:ascii="Arial" w:hAnsi="Arial"/>
          <w:b/>
          <w:bCs/>
          <w:iCs/>
          <w:szCs w:val="26"/>
        </w:rPr>
        <w:tab/>
        <w:t>Information relating to allometric equations</w:t>
      </w:r>
      <w:bookmarkEnd w:id="89"/>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Records must be kept in relation to each allometric equation used to estimate above-ground biomass.</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For the purposes of subsection (1) the records must include: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 unique identifier for the allometric equation;</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the original reference for each third-party allometric equation;</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mathematical form for the allometric equation including parameter values;</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the allometric domain for the allometric equation defined in accordance with section 3.16;</w:t>
      </w:r>
    </w:p>
    <w:p w:rsidR="00301DDB" w:rsidRPr="00301DDB" w:rsidRDefault="00301DDB" w:rsidP="00301DDB">
      <w:pPr>
        <w:keepLines/>
        <w:tabs>
          <w:tab w:val="right" w:pos="1531"/>
        </w:tabs>
        <w:spacing w:after="100" w:line="260" w:lineRule="exact"/>
        <w:ind w:left="1701" w:hanging="1701"/>
        <w:jc w:val="both"/>
      </w:pPr>
      <w:r w:rsidRPr="00301DDB">
        <w:tab/>
        <w:t>(e)</w:t>
      </w:r>
      <w:r w:rsidRPr="00301DDB">
        <w:tab/>
        <w:t>details on plot size and shape;</w:t>
      </w:r>
    </w:p>
    <w:p w:rsidR="00301DDB" w:rsidRPr="00301DDB" w:rsidRDefault="00301DDB" w:rsidP="00301DDB">
      <w:pPr>
        <w:keepLines/>
        <w:tabs>
          <w:tab w:val="right" w:pos="1531"/>
        </w:tabs>
        <w:spacing w:after="100" w:line="260" w:lineRule="exact"/>
        <w:ind w:left="1701" w:hanging="1701"/>
        <w:jc w:val="both"/>
      </w:pPr>
      <w:r w:rsidRPr="00301DDB">
        <w:tab/>
        <w:t>(f)</w:t>
      </w:r>
      <w:r w:rsidRPr="00301DDB">
        <w:tab/>
        <w:t>the number of plots as determined in accordance with section 3.18;</w:t>
      </w:r>
    </w:p>
    <w:p w:rsidR="00301DDB" w:rsidRPr="00301DDB" w:rsidRDefault="00301DDB" w:rsidP="00301DDB">
      <w:pPr>
        <w:keepLines/>
        <w:tabs>
          <w:tab w:val="right" w:pos="1531"/>
        </w:tabs>
        <w:spacing w:after="100" w:line="260" w:lineRule="exact"/>
        <w:ind w:left="1701" w:hanging="1701"/>
        <w:jc w:val="both"/>
      </w:pPr>
      <w:r w:rsidRPr="00301DDB">
        <w:tab/>
        <w:t>(g)</w:t>
      </w:r>
      <w:r w:rsidRPr="00301DDB">
        <w:tab/>
        <w:t>the name of the pseudo-random number generator used to allocate plot points in accordance with section 3.30;</w:t>
      </w:r>
    </w:p>
    <w:p w:rsidR="00301DDB" w:rsidRPr="00301DDB" w:rsidRDefault="00301DDB" w:rsidP="00301DDB">
      <w:pPr>
        <w:keepLines/>
        <w:tabs>
          <w:tab w:val="right" w:pos="1531"/>
        </w:tabs>
        <w:spacing w:after="100" w:line="260" w:lineRule="exact"/>
        <w:ind w:left="1701" w:hanging="1701"/>
        <w:jc w:val="both"/>
      </w:pPr>
      <w:r w:rsidRPr="00301DDB">
        <w:tab/>
        <w:t>(h)</w:t>
      </w:r>
      <w:r w:rsidRPr="00301DDB">
        <w:tab/>
        <w:t>the seed number used in the pseudo-random number generator in section 3.33;</w:t>
      </w:r>
    </w:p>
    <w:p w:rsidR="00301DDB" w:rsidRPr="00301DDB" w:rsidRDefault="00301DDB" w:rsidP="00301DDB">
      <w:pPr>
        <w:keepLines/>
        <w:tabs>
          <w:tab w:val="right" w:pos="1531"/>
        </w:tabs>
        <w:spacing w:after="100" w:line="260" w:lineRule="exact"/>
        <w:ind w:left="1701" w:hanging="1701"/>
        <w:jc w:val="both"/>
      </w:pPr>
      <w:r w:rsidRPr="00301DDB">
        <w:tab/>
        <w:t>(i)</w:t>
      </w:r>
      <w:r w:rsidRPr="00301DDB">
        <w:tab/>
        <w:t>the size-classes as defined in section 3.21;</w:t>
      </w:r>
    </w:p>
    <w:p w:rsidR="00301DDB" w:rsidRPr="00301DDB" w:rsidRDefault="00301DDB" w:rsidP="00301DDB">
      <w:pPr>
        <w:keepLines/>
        <w:tabs>
          <w:tab w:val="right" w:pos="1531"/>
        </w:tabs>
        <w:spacing w:after="100" w:line="260" w:lineRule="exact"/>
        <w:ind w:left="1701" w:hanging="1701"/>
        <w:jc w:val="both"/>
      </w:pPr>
      <w:r w:rsidRPr="00301DDB">
        <w:tab/>
        <w:t>(j)</w:t>
      </w:r>
      <w:r w:rsidRPr="00301DDB">
        <w:tab/>
        <w:t>information on plots assigned for destructive sampling including:</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a unique identifier for each plot;</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the latitude and longitude of the plot waypoint in decimal degrees;</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the species found in the plot;</w:t>
      </w:r>
    </w:p>
    <w:p w:rsidR="00301DDB" w:rsidRPr="00301DDB" w:rsidRDefault="00301DDB" w:rsidP="00301DDB">
      <w:pPr>
        <w:keepLines/>
        <w:tabs>
          <w:tab w:val="right" w:pos="2211"/>
        </w:tabs>
        <w:spacing w:after="100" w:line="260" w:lineRule="exact"/>
        <w:ind w:left="2410" w:hanging="2410"/>
        <w:jc w:val="both"/>
      </w:pPr>
      <w:r w:rsidRPr="00301DDB">
        <w:lastRenderedPageBreak/>
        <w:tab/>
        <w:t>(iv)</w:t>
      </w:r>
      <w:r w:rsidRPr="00301DDB">
        <w:tab/>
        <w:t>a unique identifier for each biomass sample tree;</w:t>
      </w:r>
    </w:p>
    <w:p w:rsidR="00301DDB" w:rsidRPr="00301DDB" w:rsidRDefault="00301DDB" w:rsidP="00301DDB">
      <w:pPr>
        <w:keepLines/>
        <w:tabs>
          <w:tab w:val="right" w:pos="2211"/>
        </w:tabs>
        <w:spacing w:after="100" w:line="260" w:lineRule="exact"/>
        <w:ind w:left="2410" w:hanging="2410"/>
        <w:jc w:val="both"/>
      </w:pPr>
      <w:r w:rsidRPr="00301DDB">
        <w:tab/>
        <w:t>(v)</w:t>
      </w:r>
      <w:r w:rsidRPr="00301DDB">
        <w:tab/>
        <w:t>the size class represented by each biomass sample tree as determined in accordance with section 3.21; and</w:t>
      </w:r>
    </w:p>
    <w:p w:rsidR="00301DDB" w:rsidRPr="00301DDB" w:rsidRDefault="00301DDB" w:rsidP="00301DDB">
      <w:pPr>
        <w:keepLines/>
        <w:tabs>
          <w:tab w:val="right" w:pos="2211"/>
        </w:tabs>
        <w:spacing w:after="100" w:line="260" w:lineRule="exact"/>
        <w:ind w:left="2410" w:hanging="2410"/>
        <w:jc w:val="both"/>
      </w:pPr>
      <w:r w:rsidRPr="00301DDB">
        <w:tab/>
        <w:t>(vi)</w:t>
      </w:r>
      <w:r w:rsidRPr="00301DDB">
        <w:tab/>
        <w:t>measurements for each biomass sample tree as determined in accordance with section 3.35;</w:t>
      </w:r>
    </w:p>
    <w:p w:rsidR="00301DDB" w:rsidRPr="00301DDB" w:rsidRDefault="00301DDB" w:rsidP="00301DDB">
      <w:pPr>
        <w:keepLines/>
        <w:tabs>
          <w:tab w:val="right" w:pos="1531"/>
        </w:tabs>
        <w:spacing w:after="100" w:line="260" w:lineRule="exact"/>
        <w:ind w:left="1701" w:hanging="1701"/>
        <w:jc w:val="both"/>
      </w:pPr>
      <w:r w:rsidRPr="00301DDB">
        <w:tab/>
        <w:t>(k)</w:t>
      </w:r>
      <w:r w:rsidRPr="00301DDB">
        <w:tab/>
        <w:t>the method of random selection of trees from survey plots for destructive sampling used in accordance with section 3.35;</w:t>
      </w:r>
    </w:p>
    <w:p w:rsidR="00301DDB" w:rsidRPr="00301DDB" w:rsidRDefault="00301DDB" w:rsidP="00301DDB">
      <w:pPr>
        <w:keepLines/>
        <w:tabs>
          <w:tab w:val="right" w:pos="1531"/>
        </w:tabs>
        <w:spacing w:after="100" w:line="260" w:lineRule="exact"/>
        <w:ind w:left="1701" w:hanging="1701"/>
        <w:jc w:val="both"/>
      </w:pPr>
      <w:r w:rsidRPr="00301DDB">
        <w:tab/>
        <w:t>(l)</w:t>
      </w:r>
      <w:r w:rsidRPr="00301DDB">
        <w:tab/>
        <w:t>the number of biomass sample trees selected for destructive sampling;</w:t>
      </w:r>
    </w:p>
    <w:p w:rsidR="00301DDB" w:rsidRPr="00301DDB" w:rsidRDefault="00301DDB" w:rsidP="00301DDB">
      <w:pPr>
        <w:keepLines/>
        <w:tabs>
          <w:tab w:val="right" w:pos="1531"/>
        </w:tabs>
        <w:spacing w:after="100" w:line="260" w:lineRule="exact"/>
        <w:ind w:left="1701" w:hanging="1701"/>
        <w:jc w:val="both"/>
      </w:pPr>
      <w:r w:rsidRPr="00301DDB">
        <w:tab/>
        <w:t>(m)</w:t>
      </w:r>
      <w:r w:rsidRPr="00301DDB">
        <w:tab/>
        <w:t>the unique identifier of each biomass sample tree selected for destructive sampling;</w:t>
      </w:r>
    </w:p>
    <w:p w:rsidR="00301DDB" w:rsidRPr="00301DDB" w:rsidRDefault="00301DDB" w:rsidP="00301DDB">
      <w:pPr>
        <w:keepLines/>
        <w:tabs>
          <w:tab w:val="right" w:pos="1531"/>
        </w:tabs>
        <w:spacing w:after="100" w:line="260" w:lineRule="exact"/>
        <w:ind w:left="1701" w:hanging="1701"/>
        <w:jc w:val="both"/>
      </w:pPr>
      <w:r w:rsidRPr="00301DDB">
        <w:tab/>
        <w:t>(n)</w:t>
      </w:r>
      <w:r w:rsidRPr="00301DDB">
        <w:tab/>
        <w:t>average wet and dry weights and dry to wet weight ratios for biomass components and sample trees;</w:t>
      </w:r>
    </w:p>
    <w:p w:rsidR="00301DDB" w:rsidRPr="00301DDB" w:rsidRDefault="00301DDB" w:rsidP="00301DDB">
      <w:pPr>
        <w:keepLines/>
        <w:tabs>
          <w:tab w:val="right" w:pos="1531"/>
        </w:tabs>
        <w:spacing w:after="100" w:line="260" w:lineRule="exact"/>
        <w:ind w:left="1701" w:hanging="1701"/>
        <w:jc w:val="both"/>
      </w:pPr>
      <w:r w:rsidRPr="00301DDB">
        <w:tab/>
        <w:t>(o)</w:t>
      </w:r>
      <w:r w:rsidRPr="00301DDB">
        <w:tab/>
        <w:t>the coefficient of variation of the average whole-tree dry to wet weight ratio;</w:t>
      </w:r>
    </w:p>
    <w:p w:rsidR="00301DDB" w:rsidRPr="00301DDB" w:rsidRDefault="00301DDB" w:rsidP="00301DDB">
      <w:pPr>
        <w:keepLines/>
        <w:tabs>
          <w:tab w:val="right" w:pos="1531"/>
        </w:tabs>
        <w:spacing w:after="100" w:line="260" w:lineRule="exact"/>
        <w:ind w:left="1701" w:hanging="1701"/>
        <w:jc w:val="both"/>
      </w:pPr>
      <w:r w:rsidRPr="00301DDB">
        <w:tab/>
        <w:t>(p)</w:t>
      </w:r>
      <w:r w:rsidRPr="00301DDB">
        <w:tab/>
        <w:t>information about the sample trees assessed in order to develop or validate the allometric equation;</w:t>
      </w:r>
    </w:p>
    <w:p w:rsidR="00301DDB" w:rsidRPr="00301DDB" w:rsidRDefault="00301DDB" w:rsidP="00301DDB">
      <w:pPr>
        <w:keepLines/>
        <w:tabs>
          <w:tab w:val="right" w:pos="1531"/>
        </w:tabs>
        <w:spacing w:after="100" w:line="260" w:lineRule="exact"/>
        <w:ind w:left="1701" w:hanging="1701"/>
        <w:jc w:val="both"/>
      </w:pPr>
      <w:r w:rsidRPr="00301DDB">
        <w:tab/>
        <w:t>(q)</w:t>
      </w:r>
      <w:r w:rsidRPr="00301DDB">
        <w:tab/>
        <w:t>information about regression plots showing the spread of data points and regression fit;</w:t>
      </w:r>
    </w:p>
    <w:p w:rsidR="00301DDB" w:rsidRPr="00301DDB" w:rsidRDefault="00301DDB" w:rsidP="00301DDB">
      <w:pPr>
        <w:keepLines/>
        <w:tabs>
          <w:tab w:val="right" w:pos="1531"/>
        </w:tabs>
        <w:spacing w:after="100" w:line="260" w:lineRule="exact"/>
        <w:ind w:left="1701" w:hanging="1701"/>
        <w:jc w:val="both"/>
      </w:pPr>
      <w:r w:rsidRPr="00301DDB">
        <w:tab/>
        <w:t>(r)</w:t>
      </w:r>
      <w:r w:rsidRPr="00301DDB">
        <w:tab/>
        <w:t>information about plots showing the spread and distribution of the weighted residuals;</w:t>
      </w:r>
    </w:p>
    <w:p w:rsidR="00301DDB" w:rsidRPr="00301DDB" w:rsidRDefault="00301DDB" w:rsidP="00301DDB">
      <w:pPr>
        <w:keepLines/>
        <w:tabs>
          <w:tab w:val="right" w:pos="1531"/>
        </w:tabs>
        <w:spacing w:after="100" w:line="260" w:lineRule="exact"/>
        <w:ind w:left="1701" w:hanging="1701"/>
        <w:jc w:val="both"/>
      </w:pPr>
      <w:r w:rsidRPr="00301DDB">
        <w:tab/>
        <w:t>(s)</w:t>
      </w:r>
      <w:r w:rsidRPr="00301DDB">
        <w:tab/>
        <w:t>the mean of the weighted residuals calculated in accordance with section 3.25; and</w:t>
      </w:r>
    </w:p>
    <w:p w:rsidR="00301DDB" w:rsidRPr="00301DDB" w:rsidRDefault="00301DDB" w:rsidP="00301DDB">
      <w:pPr>
        <w:keepLines/>
        <w:tabs>
          <w:tab w:val="right" w:pos="1531"/>
        </w:tabs>
        <w:spacing w:after="100" w:line="260" w:lineRule="exact"/>
        <w:ind w:left="1701" w:hanging="1701"/>
        <w:jc w:val="both"/>
      </w:pPr>
      <w:r w:rsidRPr="00301DDB">
        <w:tab/>
        <w:t>(t)</w:t>
      </w:r>
      <w:r w:rsidRPr="00301DDB">
        <w:tab/>
        <w:t>the outcome of checks against conditions specified in subsection 3.25(13).</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90" w:name="_Toc358907479"/>
      <w:r w:rsidRPr="00301DDB">
        <w:rPr>
          <w:rFonts w:ascii="Arial" w:hAnsi="Arial"/>
          <w:b/>
          <w:bCs/>
          <w:iCs/>
          <w:szCs w:val="26"/>
        </w:rPr>
        <w:t>4.8</w:t>
      </w:r>
      <w:r w:rsidRPr="00301DDB">
        <w:rPr>
          <w:rFonts w:ascii="Arial" w:hAnsi="Arial"/>
          <w:b/>
          <w:bCs/>
          <w:iCs/>
          <w:szCs w:val="26"/>
        </w:rPr>
        <w:tab/>
        <w:t>Information relating to emissions and abatement calculations</w:t>
      </w:r>
      <w:bookmarkEnd w:id="90"/>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All data required for the calculations in Subdivisions 3.4.4, 3.4.5 and 3.4.6 must be recorded.</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Records of fuel use for the project.</w:t>
      </w:r>
    </w:p>
    <w:p w:rsidR="00301DDB" w:rsidRPr="00301DDB" w:rsidRDefault="00301DDB" w:rsidP="00301DDB">
      <w:pPr>
        <w:keepLines/>
        <w:tabs>
          <w:tab w:val="right" w:pos="794"/>
        </w:tabs>
        <w:spacing w:before="80" w:after="100" w:line="260" w:lineRule="exact"/>
        <w:ind w:left="964" w:hanging="964"/>
        <w:jc w:val="both"/>
      </w:pPr>
      <w:r w:rsidRPr="00301DDB">
        <w:tab/>
        <w:t>(3)</w:t>
      </w:r>
      <w:r w:rsidRPr="00301DDB">
        <w:tab/>
        <w:t>The data mentioned in subsection (1) must be kept for 10 years after it is submitted with an offsets report.</w:t>
      </w:r>
    </w:p>
    <w:p w:rsidR="00301DDB" w:rsidRPr="00301DDB" w:rsidRDefault="00301DDB" w:rsidP="00301DDB">
      <w:pPr>
        <w:keepLines/>
        <w:tabs>
          <w:tab w:val="right" w:pos="794"/>
        </w:tabs>
        <w:spacing w:before="80" w:after="100" w:line="260" w:lineRule="exact"/>
        <w:ind w:left="964" w:hanging="964"/>
        <w:jc w:val="both"/>
      </w:pPr>
    </w:p>
    <w:p w:rsidR="00301DDB" w:rsidRPr="00301DDB" w:rsidRDefault="00301DDB" w:rsidP="00301DDB">
      <w:pPr>
        <w:keepNext/>
        <w:keepLines/>
        <w:spacing w:before="360" w:after="60"/>
        <w:ind w:left="2410" w:hanging="2410"/>
        <w:jc w:val="both"/>
        <w:outlineLvl w:val="2"/>
        <w:rPr>
          <w:rFonts w:ascii="Arial" w:hAnsi="Arial" w:cs="Arial"/>
          <w:b/>
          <w:bCs/>
          <w:sz w:val="28"/>
          <w:szCs w:val="26"/>
        </w:rPr>
      </w:pPr>
      <w:bookmarkStart w:id="91" w:name="_Toc358907480"/>
      <w:r w:rsidRPr="00301DDB">
        <w:rPr>
          <w:rFonts w:ascii="Arial" w:hAnsi="Arial" w:cs="Arial"/>
          <w:b/>
          <w:bCs/>
          <w:sz w:val="28"/>
          <w:szCs w:val="26"/>
        </w:rPr>
        <w:t>Division 4.4</w:t>
      </w:r>
      <w:r w:rsidRPr="00301DDB">
        <w:rPr>
          <w:rFonts w:ascii="Arial" w:hAnsi="Arial" w:cs="Arial"/>
          <w:b/>
          <w:bCs/>
          <w:sz w:val="28"/>
          <w:szCs w:val="26"/>
        </w:rPr>
        <w:tab/>
        <w:t>Offsets report requirements</w:t>
      </w:r>
      <w:bookmarkEnd w:id="91"/>
    </w:p>
    <w:p w:rsidR="00301DDB" w:rsidRPr="00301DDB" w:rsidRDefault="00301DDB" w:rsidP="00301DDB">
      <w:pPr>
        <w:keepNext/>
        <w:keepLines/>
        <w:spacing w:before="360" w:after="60"/>
        <w:ind w:left="964" w:hanging="964"/>
        <w:jc w:val="both"/>
        <w:outlineLvl w:val="4"/>
        <w:rPr>
          <w:rFonts w:ascii="Arial" w:hAnsi="Arial"/>
          <w:b/>
          <w:bCs/>
          <w:iCs/>
          <w:szCs w:val="26"/>
        </w:rPr>
      </w:pPr>
      <w:bookmarkStart w:id="92" w:name="_Toc358907481"/>
      <w:r w:rsidRPr="00301DDB">
        <w:rPr>
          <w:rFonts w:ascii="Arial" w:hAnsi="Arial"/>
          <w:b/>
          <w:bCs/>
          <w:iCs/>
          <w:szCs w:val="26"/>
        </w:rPr>
        <w:t>4.9</w:t>
      </w:r>
      <w:r w:rsidRPr="00301DDB">
        <w:rPr>
          <w:rFonts w:ascii="Arial" w:hAnsi="Arial"/>
          <w:b/>
          <w:bCs/>
          <w:iCs/>
          <w:szCs w:val="26"/>
        </w:rPr>
        <w:tab/>
        <w:t>Requirements for the first offsets report</w:t>
      </w:r>
      <w:bookmarkEnd w:id="92"/>
    </w:p>
    <w:p w:rsidR="00301DDB" w:rsidRPr="00301DDB" w:rsidRDefault="00301DDB" w:rsidP="00301DDB">
      <w:pPr>
        <w:keepLines/>
        <w:tabs>
          <w:tab w:val="right" w:pos="794"/>
        </w:tabs>
        <w:spacing w:before="80" w:after="100" w:line="260" w:lineRule="exact"/>
        <w:ind w:left="964" w:hanging="964"/>
        <w:jc w:val="both"/>
      </w:pPr>
      <w:r w:rsidRPr="00301DDB">
        <w:tab/>
      </w:r>
      <w:r w:rsidRPr="00301DDB">
        <w:tab/>
        <w:t>The first offsets report must include: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the deforestation plan mentioned in subsection 3.12(1);</w:t>
      </w:r>
      <w:r w:rsidRPr="00301DDB">
        <w:tab/>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evidence of the mix of species mentioned in subsection 2.5(2); and</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the information specified in section 4.10.</w:t>
      </w:r>
    </w:p>
    <w:p w:rsidR="00301DDB" w:rsidRPr="00301DDB" w:rsidRDefault="00301DDB" w:rsidP="00301DDB">
      <w:pPr>
        <w:keepNext/>
        <w:keepLines/>
        <w:spacing w:before="360" w:after="60"/>
        <w:ind w:left="964" w:hanging="964"/>
        <w:jc w:val="both"/>
        <w:outlineLvl w:val="4"/>
        <w:rPr>
          <w:rFonts w:ascii="Arial" w:hAnsi="Arial"/>
          <w:b/>
          <w:bCs/>
          <w:iCs/>
          <w:szCs w:val="26"/>
        </w:rPr>
      </w:pPr>
      <w:bookmarkStart w:id="93" w:name="_Toc358907482"/>
      <w:r w:rsidRPr="00301DDB">
        <w:rPr>
          <w:rFonts w:ascii="Arial" w:hAnsi="Arial"/>
          <w:b/>
          <w:bCs/>
          <w:iCs/>
          <w:szCs w:val="26"/>
        </w:rPr>
        <w:lastRenderedPageBreak/>
        <w:t>4.10</w:t>
      </w:r>
      <w:r w:rsidRPr="00301DDB">
        <w:rPr>
          <w:rFonts w:ascii="Arial" w:hAnsi="Arial"/>
          <w:b/>
          <w:bCs/>
          <w:iCs/>
          <w:szCs w:val="26"/>
        </w:rPr>
        <w:tab/>
        <w:t>Requirements for all offsets reports</w:t>
      </w:r>
      <w:bookmarkEnd w:id="93"/>
    </w:p>
    <w:p w:rsidR="00301DDB" w:rsidRPr="00301DDB" w:rsidRDefault="00301DDB" w:rsidP="00301DDB">
      <w:pPr>
        <w:keepLines/>
        <w:tabs>
          <w:tab w:val="right" w:pos="794"/>
        </w:tabs>
        <w:spacing w:before="80" w:after="100" w:line="260" w:lineRule="exact"/>
        <w:ind w:left="964" w:hanging="964"/>
        <w:jc w:val="both"/>
      </w:pPr>
      <w:r w:rsidRPr="00301DDB">
        <w:tab/>
        <w:t>(1)</w:t>
      </w:r>
      <w:r w:rsidRPr="00301DDB">
        <w:tab/>
        <w:t>Each offsets report for a project to which this Determination applies must state the: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estimated carbon stocks for each carbon estimation area as calculated in accordance with Equation 12;</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Targeted Precision error limit of the primary biomass survey as calculated in accordance with Equation 11;</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 xml:space="preserve">net greenhouse gas emissions in the baseline from clearing in accordance with the deforestation plan as calculated in accordance with Equation 27; </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net project carbon dioxide equivalent emissions within the project area in each carbon estimation area during the reporting period as calculated in accordance with Equation 38;</w:t>
      </w:r>
    </w:p>
    <w:p w:rsidR="00301DDB" w:rsidRPr="00301DDB" w:rsidRDefault="00301DDB" w:rsidP="00301DDB">
      <w:pPr>
        <w:keepLines/>
        <w:tabs>
          <w:tab w:val="right" w:pos="1531"/>
        </w:tabs>
        <w:spacing w:after="100" w:line="260" w:lineRule="exact"/>
        <w:ind w:left="1701" w:hanging="1701"/>
        <w:jc w:val="both"/>
      </w:pPr>
      <w:r w:rsidRPr="00301DDB">
        <w:tab/>
        <w:t>(e)</w:t>
      </w:r>
      <w:r w:rsidRPr="00301DDB">
        <w:tab/>
        <w:t>net greenhouse gas abatement at the end of the reporting period as calculated in accordance with Equation 39;</w:t>
      </w:r>
    </w:p>
    <w:p w:rsidR="00301DDB" w:rsidRPr="00301DDB" w:rsidRDefault="00301DDB" w:rsidP="00301DDB">
      <w:pPr>
        <w:keepLines/>
        <w:tabs>
          <w:tab w:val="right" w:pos="1531"/>
        </w:tabs>
        <w:spacing w:after="100" w:line="260" w:lineRule="exact"/>
        <w:ind w:left="1701" w:hanging="1701"/>
        <w:jc w:val="both"/>
      </w:pPr>
      <w:r w:rsidRPr="00301DDB">
        <w:tab/>
        <w:t>(f)</w:t>
      </w:r>
      <w:r w:rsidRPr="00301DDB">
        <w:tab/>
        <w:t>net greenhouse gas abatement for the crediting period as calculated in accordance with Equation 40; and</w:t>
      </w:r>
      <w:r w:rsidRPr="00301DDB">
        <w:tab/>
      </w:r>
    </w:p>
    <w:p w:rsidR="00301DDB" w:rsidRPr="00301DDB" w:rsidRDefault="00301DDB" w:rsidP="00301DDB">
      <w:pPr>
        <w:keepLines/>
        <w:tabs>
          <w:tab w:val="right" w:pos="1531"/>
        </w:tabs>
        <w:spacing w:after="100" w:line="260" w:lineRule="exact"/>
        <w:ind w:left="1701" w:hanging="1701"/>
        <w:jc w:val="both"/>
      </w:pPr>
      <w:r w:rsidRPr="00301DDB">
        <w:tab/>
        <w:t>(g)</w:t>
      </w:r>
      <w:r w:rsidRPr="00301DDB">
        <w:tab/>
        <w:t>length of the reporting period.</w:t>
      </w:r>
    </w:p>
    <w:p w:rsidR="00301DDB" w:rsidRPr="00301DDB" w:rsidRDefault="00301DDB" w:rsidP="00301DDB">
      <w:pPr>
        <w:keepLines/>
        <w:tabs>
          <w:tab w:val="right" w:pos="794"/>
        </w:tabs>
        <w:spacing w:before="80" w:after="100" w:line="260" w:lineRule="exact"/>
        <w:ind w:left="964" w:hanging="964"/>
        <w:jc w:val="both"/>
      </w:pPr>
      <w:r w:rsidRPr="00301DDB">
        <w:tab/>
        <w:t>(2)</w:t>
      </w:r>
      <w:r w:rsidRPr="00301DDB">
        <w:tab/>
        <w:t>Each offsets report must include:</w:t>
      </w:r>
    </w:p>
    <w:p w:rsidR="00301DDB" w:rsidRPr="00301DDB" w:rsidRDefault="00301DDB" w:rsidP="00301DDB">
      <w:pPr>
        <w:keepLines/>
        <w:tabs>
          <w:tab w:val="right" w:pos="1531"/>
        </w:tabs>
        <w:spacing w:after="100" w:line="260" w:lineRule="exact"/>
        <w:ind w:left="1701" w:hanging="1701"/>
        <w:jc w:val="both"/>
      </w:pPr>
      <w:r w:rsidRPr="00301DDB">
        <w:tab/>
        <w:t>(a)</w:t>
      </w:r>
      <w:r w:rsidRPr="00301DDB">
        <w:tab/>
        <w:t>a biomass survey report, including:</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a list of carbon estimation areas within the project area at the end of the reporting period;</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dates of the most recent biomass surveys conducted in accordance with the Determination for each carbon estimation area;</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the number of plots assessed within each carbon estimation area;</w:t>
      </w:r>
    </w:p>
    <w:p w:rsidR="00301DDB" w:rsidRPr="00301DDB" w:rsidRDefault="00301DDB" w:rsidP="00301DDB">
      <w:pPr>
        <w:keepLines/>
        <w:tabs>
          <w:tab w:val="right" w:pos="2211"/>
        </w:tabs>
        <w:spacing w:after="100" w:line="260" w:lineRule="exact"/>
        <w:ind w:left="2410" w:hanging="2410"/>
        <w:jc w:val="both"/>
      </w:pPr>
      <w:r w:rsidRPr="00301DDB">
        <w:tab/>
        <w:t>(iv)</w:t>
      </w:r>
      <w:r w:rsidRPr="00301DDB">
        <w:tab/>
        <w:t>a map showing intended and realised plot locations for the most recent biomass survey for each carbon estimation area;</w:t>
      </w:r>
    </w:p>
    <w:p w:rsidR="00301DDB" w:rsidRPr="00301DDB" w:rsidRDefault="00301DDB" w:rsidP="00301DDB">
      <w:pPr>
        <w:keepLines/>
        <w:tabs>
          <w:tab w:val="right" w:pos="2211"/>
        </w:tabs>
        <w:spacing w:after="100" w:line="260" w:lineRule="exact"/>
        <w:ind w:left="2410" w:hanging="2410"/>
        <w:jc w:val="both"/>
      </w:pPr>
      <w:r w:rsidRPr="00301DDB">
        <w:tab/>
        <w:t>(v)</w:t>
      </w:r>
      <w:r w:rsidRPr="00301DDB">
        <w:tab/>
        <w:t>a list of species found within each carbon estimation area;</w:t>
      </w:r>
    </w:p>
    <w:p w:rsidR="00301DDB" w:rsidRPr="00301DDB" w:rsidRDefault="00301DDB" w:rsidP="00301DDB">
      <w:pPr>
        <w:keepLines/>
        <w:tabs>
          <w:tab w:val="right" w:pos="2211"/>
        </w:tabs>
        <w:spacing w:after="100" w:line="260" w:lineRule="exact"/>
        <w:ind w:left="2410" w:hanging="2410"/>
        <w:jc w:val="both"/>
      </w:pPr>
      <w:r w:rsidRPr="00301DDB">
        <w:tab/>
        <w:t>(vi)</w:t>
      </w:r>
      <w:r w:rsidRPr="00301DDB">
        <w:tab/>
        <w:t>the minimum, maximum and mean explanatory variables for each species measured within each carbon estimation area;</w:t>
      </w:r>
    </w:p>
    <w:p w:rsidR="00301DDB" w:rsidRPr="00301DDB" w:rsidRDefault="00301DDB" w:rsidP="00301DDB">
      <w:pPr>
        <w:keepLines/>
        <w:tabs>
          <w:tab w:val="right" w:pos="2211"/>
        </w:tabs>
        <w:spacing w:after="100" w:line="260" w:lineRule="exact"/>
        <w:ind w:left="2410" w:hanging="2410"/>
        <w:jc w:val="both"/>
      </w:pPr>
      <w:r w:rsidRPr="00301DDB">
        <w:tab/>
        <w:t>(vii)</w:t>
      </w:r>
      <w:r w:rsidRPr="00301DDB">
        <w:tab/>
        <w:t>the estimated stocking rate of non-project trees for each carbon estimation area; and</w:t>
      </w:r>
    </w:p>
    <w:p w:rsidR="00301DDB" w:rsidRPr="00301DDB" w:rsidRDefault="00301DDB" w:rsidP="00301DDB">
      <w:pPr>
        <w:keepLines/>
        <w:tabs>
          <w:tab w:val="right" w:pos="2211"/>
        </w:tabs>
        <w:spacing w:after="100" w:line="260" w:lineRule="exact"/>
        <w:ind w:left="2410" w:hanging="2410"/>
        <w:jc w:val="both"/>
      </w:pPr>
      <w:r w:rsidRPr="00301DDB">
        <w:tab/>
        <w:t>(viii)</w:t>
      </w:r>
      <w:r w:rsidRPr="00301DDB">
        <w:tab/>
        <w:t>a summary of equipment calibration procedures;</w:t>
      </w:r>
    </w:p>
    <w:p w:rsidR="00301DDB" w:rsidRPr="00301DDB" w:rsidRDefault="00301DDB" w:rsidP="00301DDB">
      <w:pPr>
        <w:keepLines/>
        <w:tabs>
          <w:tab w:val="right" w:pos="1531"/>
        </w:tabs>
        <w:spacing w:after="100" w:line="260" w:lineRule="exact"/>
        <w:ind w:left="1701" w:hanging="1701"/>
        <w:jc w:val="both"/>
      </w:pPr>
      <w:r w:rsidRPr="00301DDB">
        <w:tab/>
        <w:t>(b)</w:t>
      </w:r>
      <w:r w:rsidRPr="00301DDB">
        <w:tab/>
        <w:t>an emissions report, including:</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an estimate of the quantity of fuel used within the project area during the reporting period;</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an estimate of the greenhouse gas emissions from fossil fuel use calculated in accordance with Equation 36;</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an estimate of the greenhouse gas emissions from disturbances calculated in accordance with Equation 34;</w:t>
      </w:r>
    </w:p>
    <w:p w:rsidR="00301DDB" w:rsidRPr="00301DDB" w:rsidRDefault="00301DDB" w:rsidP="00301DDB">
      <w:pPr>
        <w:keepLines/>
        <w:tabs>
          <w:tab w:val="right" w:pos="1531"/>
        </w:tabs>
        <w:spacing w:after="100" w:line="260" w:lineRule="exact"/>
        <w:ind w:left="1701" w:hanging="1701"/>
        <w:jc w:val="both"/>
      </w:pPr>
      <w:r w:rsidRPr="00301DDB">
        <w:tab/>
        <w:t>(c)</w:t>
      </w:r>
      <w:r w:rsidRPr="00301DDB">
        <w:tab/>
        <w:t>an allometric report, including:</w:t>
      </w:r>
    </w:p>
    <w:p w:rsidR="00301DDB" w:rsidRPr="00301DDB" w:rsidRDefault="00301DDB" w:rsidP="00301DDB">
      <w:pPr>
        <w:keepLines/>
        <w:tabs>
          <w:tab w:val="right" w:pos="2211"/>
        </w:tabs>
        <w:spacing w:after="100" w:line="260" w:lineRule="exact"/>
        <w:ind w:left="2410" w:hanging="2410"/>
        <w:jc w:val="both"/>
      </w:pPr>
      <w:r w:rsidRPr="00301DDB">
        <w:lastRenderedPageBreak/>
        <w:tab/>
        <w:t>(i)</w:t>
      </w:r>
      <w:r w:rsidRPr="00301DDB">
        <w:tab/>
        <w:t>the details of each allometric equation used to estimate above-ground biomass including the unique identifier of the allometric equation;</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the full reference for any third-party allometric equation;</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the mathematical form for the allometric equation including parameter values;</w:t>
      </w:r>
    </w:p>
    <w:p w:rsidR="00301DDB" w:rsidRPr="00301DDB" w:rsidRDefault="00301DDB" w:rsidP="00301DDB">
      <w:pPr>
        <w:keepLines/>
        <w:tabs>
          <w:tab w:val="right" w:pos="2211"/>
        </w:tabs>
        <w:spacing w:after="100" w:line="260" w:lineRule="exact"/>
        <w:ind w:left="2410" w:hanging="2410"/>
        <w:jc w:val="both"/>
      </w:pPr>
      <w:r w:rsidRPr="00301DDB">
        <w:tab/>
        <w:t>(iv)</w:t>
      </w:r>
      <w:r w:rsidRPr="00301DDB">
        <w:tab/>
        <w:t>the outcomes of allometric domain confirmation in accordance with section 3.25;</w:t>
      </w:r>
    </w:p>
    <w:p w:rsidR="00301DDB" w:rsidRPr="00301DDB" w:rsidRDefault="00301DDB" w:rsidP="00301DDB">
      <w:pPr>
        <w:keepLines/>
        <w:tabs>
          <w:tab w:val="right" w:pos="2211"/>
        </w:tabs>
        <w:spacing w:after="100" w:line="260" w:lineRule="exact"/>
        <w:ind w:left="2410" w:hanging="2410"/>
        <w:jc w:val="both"/>
      </w:pPr>
      <w:r w:rsidRPr="00301DDB">
        <w:tab/>
        <w:t>(v)</w:t>
      </w:r>
      <w:r w:rsidRPr="00301DDB">
        <w:tab/>
        <w:t>the reporting period within which the allometric equation was developed or validated;</w:t>
      </w:r>
    </w:p>
    <w:p w:rsidR="00301DDB" w:rsidRPr="00301DDB" w:rsidRDefault="00301DDB" w:rsidP="00301DDB">
      <w:pPr>
        <w:keepLines/>
        <w:tabs>
          <w:tab w:val="right" w:pos="2211"/>
        </w:tabs>
        <w:spacing w:after="100" w:line="260" w:lineRule="exact"/>
        <w:ind w:left="2410" w:hanging="2410"/>
        <w:jc w:val="both"/>
      </w:pPr>
      <w:r w:rsidRPr="00301DDB">
        <w:tab/>
        <w:t>(vi)</w:t>
      </w:r>
      <w:r w:rsidRPr="00301DDB">
        <w:tab/>
        <w:t>for each allometric equation developed or validated within the reporting period:</w:t>
      </w:r>
    </w:p>
    <w:p w:rsidR="00301DDB" w:rsidRPr="00301DDB" w:rsidRDefault="00301DDB" w:rsidP="00301DDB">
      <w:pPr>
        <w:tabs>
          <w:tab w:val="right" w:pos="2948"/>
        </w:tabs>
        <w:spacing w:after="100" w:line="260" w:lineRule="exact"/>
        <w:ind w:left="3119" w:hanging="3119"/>
        <w:jc w:val="both"/>
      </w:pPr>
      <w:r w:rsidRPr="00301DDB">
        <w:tab/>
        <w:t>(A)</w:t>
      </w:r>
      <w:r w:rsidRPr="00301DDB">
        <w:tab/>
        <w:t>the number of trees destructively sampled;</w:t>
      </w:r>
    </w:p>
    <w:p w:rsidR="00301DDB" w:rsidRPr="00301DDB" w:rsidRDefault="00301DDB" w:rsidP="00301DDB">
      <w:pPr>
        <w:tabs>
          <w:tab w:val="right" w:pos="2948"/>
        </w:tabs>
        <w:spacing w:after="100" w:line="260" w:lineRule="exact"/>
        <w:ind w:left="3119" w:hanging="3119"/>
        <w:jc w:val="both"/>
      </w:pPr>
      <w:r w:rsidRPr="00301DDB">
        <w:tab/>
        <w:t>(B)</w:t>
      </w:r>
      <w:r w:rsidRPr="00301DDB">
        <w:tab/>
        <w:t>the species of each tree destructively sampled;</w:t>
      </w:r>
    </w:p>
    <w:p w:rsidR="00301DDB" w:rsidRPr="00301DDB" w:rsidRDefault="00301DDB" w:rsidP="00301DDB">
      <w:pPr>
        <w:tabs>
          <w:tab w:val="right" w:pos="2948"/>
        </w:tabs>
        <w:spacing w:after="100" w:line="260" w:lineRule="exact"/>
        <w:ind w:left="3119" w:hanging="3119"/>
        <w:jc w:val="both"/>
      </w:pPr>
      <w:r w:rsidRPr="00301DDB">
        <w:tab/>
        <w:t>(C)</w:t>
      </w:r>
      <w:r w:rsidRPr="00301DDB">
        <w:tab/>
        <w:t>the measured explanatory variables for each tree destructively sampled;</w:t>
      </w:r>
    </w:p>
    <w:p w:rsidR="00301DDB" w:rsidRPr="00301DDB" w:rsidRDefault="00301DDB" w:rsidP="00301DDB">
      <w:pPr>
        <w:tabs>
          <w:tab w:val="right" w:pos="2948"/>
        </w:tabs>
        <w:spacing w:after="100" w:line="260" w:lineRule="exact"/>
        <w:ind w:left="3119" w:hanging="3119"/>
        <w:jc w:val="both"/>
      </w:pPr>
      <w:r w:rsidRPr="00301DDB">
        <w:tab/>
        <w:t>(D)</w:t>
      </w:r>
      <w:r w:rsidRPr="00301DDB">
        <w:tab/>
        <w:t>which trees were measured to estimate wet weight, or both wet and dry weight;</w:t>
      </w:r>
    </w:p>
    <w:p w:rsidR="00301DDB" w:rsidRPr="00301DDB" w:rsidRDefault="00301DDB" w:rsidP="00301DDB">
      <w:pPr>
        <w:tabs>
          <w:tab w:val="right" w:pos="2948"/>
        </w:tabs>
        <w:spacing w:after="100" w:line="260" w:lineRule="exact"/>
        <w:ind w:left="3119" w:hanging="3119"/>
        <w:jc w:val="both"/>
      </w:pPr>
      <w:r w:rsidRPr="00301DDB">
        <w:tab/>
        <w:t>(E)</w:t>
      </w:r>
      <w:r w:rsidRPr="00301DDB">
        <w:tab/>
        <w:t>the average dry to wet weight ratios developed from sample trees;</w:t>
      </w:r>
    </w:p>
    <w:p w:rsidR="00301DDB" w:rsidRPr="00301DDB" w:rsidRDefault="00301DDB" w:rsidP="00301DDB">
      <w:pPr>
        <w:tabs>
          <w:tab w:val="right" w:pos="2948"/>
        </w:tabs>
        <w:spacing w:after="100" w:line="260" w:lineRule="exact"/>
        <w:ind w:left="3119" w:hanging="3119"/>
        <w:jc w:val="both"/>
      </w:pPr>
      <w:r w:rsidRPr="00301DDB">
        <w:tab/>
        <w:t>(F)</w:t>
      </w:r>
      <w:r w:rsidRPr="00301DDB">
        <w:tab/>
        <w:t>the coefficient of variation of the dry to wet weight ratios developed from sample trees;</w:t>
      </w:r>
    </w:p>
    <w:p w:rsidR="00301DDB" w:rsidRPr="00301DDB" w:rsidRDefault="00301DDB" w:rsidP="00301DDB">
      <w:pPr>
        <w:tabs>
          <w:tab w:val="right" w:pos="2948"/>
        </w:tabs>
        <w:spacing w:after="100" w:line="260" w:lineRule="exact"/>
        <w:ind w:left="3119" w:hanging="3119"/>
        <w:jc w:val="both"/>
      </w:pPr>
      <w:r w:rsidRPr="00301DDB">
        <w:tab/>
        <w:t>(G)</w:t>
      </w:r>
      <w:r w:rsidRPr="00301DDB">
        <w:tab/>
        <w:t>the plot location and plot identifier for each sample tree destructively sampled (plot location);</w:t>
      </w:r>
    </w:p>
    <w:p w:rsidR="00301DDB" w:rsidRPr="00301DDB" w:rsidRDefault="00301DDB" w:rsidP="00301DDB">
      <w:pPr>
        <w:tabs>
          <w:tab w:val="right" w:pos="2948"/>
        </w:tabs>
        <w:spacing w:after="100" w:line="260" w:lineRule="exact"/>
        <w:ind w:left="3119" w:hanging="3119"/>
        <w:jc w:val="both"/>
      </w:pPr>
      <w:r w:rsidRPr="00301DDB">
        <w:tab/>
        <w:t>(H)</w:t>
      </w:r>
      <w:r w:rsidRPr="00301DDB">
        <w:tab/>
        <w:t>the mean of the weighted residuals calculated in accordance with subsections 3.24(13) and 3.25(13); and</w:t>
      </w:r>
    </w:p>
    <w:p w:rsidR="00301DDB" w:rsidRPr="00301DDB" w:rsidRDefault="00301DDB" w:rsidP="00301DDB">
      <w:pPr>
        <w:tabs>
          <w:tab w:val="right" w:pos="2948"/>
        </w:tabs>
        <w:spacing w:after="100" w:line="260" w:lineRule="exact"/>
        <w:ind w:left="3119" w:hanging="3119"/>
        <w:jc w:val="both"/>
      </w:pPr>
      <w:r w:rsidRPr="00301DDB">
        <w:tab/>
        <w:t>(I)</w:t>
      </w:r>
      <w:r w:rsidRPr="00301DDB">
        <w:tab/>
        <w:t>for each allometric equation developed, the outcome of checks against conditions specified in subsections 3.24(5), 3.24(8) and 3.24(10); and</w:t>
      </w:r>
    </w:p>
    <w:p w:rsidR="00301DDB" w:rsidRPr="00301DDB" w:rsidRDefault="00301DDB" w:rsidP="00301DDB">
      <w:pPr>
        <w:keepLines/>
        <w:tabs>
          <w:tab w:val="right" w:pos="1531"/>
        </w:tabs>
        <w:spacing w:after="100" w:line="260" w:lineRule="exact"/>
        <w:ind w:left="1701" w:hanging="1701"/>
        <w:jc w:val="both"/>
      </w:pPr>
      <w:r w:rsidRPr="00301DDB">
        <w:tab/>
        <w:t>(d)</w:t>
      </w:r>
      <w:r w:rsidRPr="00301DDB">
        <w:tab/>
        <w:t>a monitoring report, including:</w:t>
      </w:r>
    </w:p>
    <w:p w:rsidR="00301DDB" w:rsidRPr="00301DDB" w:rsidRDefault="00301DDB" w:rsidP="00301DDB">
      <w:pPr>
        <w:keepLines/>
        <w:tabs>
          <w:tab w:val="right" w:pos="2211"/>
        </w:tabs>
        <w:spacing w:after="100" w:line="260" w:lineRule="exact"/>
        <w:ind w:left="2410" w:hanging="2410"/>
        <w:jc w:val="both"/>
      </w:pPr>
      <w:r w:rsidRPr="00301DDB">
        <w:tab/>
        <w:t>(i)</w:t>
      </w:r>
      <w:r w:rsidRPr="00301DDB">
        <w:tab/>
        <w:t>the remotely-sensed imagery of the project area used for monitoring, including information about:</w:t>
      </w:r>
    </w:p>
    <w:p w:rsidR="00301DDB" w:rsidRPr="00301DDB" w:rsidRDefault="00301DDB" w:rsidP="00301DDB">
      <w:pPr>
        <w:tabs>
          <w:tab w:val="right" w:pos="2948"/>
        </w:tabs>
        <w:spacing w:after="100" w:line="260" w:lineRule="exact"/>
        <w:ind w:left="3119" w:hanging="3119"/>
        <w:jc w:val="both"/>
      </w:pPr>
      <w:r w:rsidRPr="00301DDB">
        <w:tab/>
        <w:t>(A)</w:t>
      </w:r>
      <w:r w:rsidRPr="00301DDB">
        <w:tab/>
        <w:t>spatial resolution;</w:t>
      </w:r>
    </w:p>
    <w:p w:rsidR="00301DDB" w:rsidRPr="00301DDB" w:rsidRDefault="00301DDB" w:rsidP="00301DDB">
      <w:pPr>
        <w:tabs>
          <w:tab w:val="right" w:pos="2948"/>
        </w:tabs>
        <w:spacing w:after="100" w:line="260" w:lineRule="exact"/>
        <w:ind w:left="3119" w:hanging="3119"/>
        <w:jc w:val="both"/>
      </w:pPr>
      <w:r w:rsidRPr="00301DDB">
        <w:tab/>
        <w:t>(B)</w:t>
      </w:r>
      <w:r w:rsidRPr="00301DDB">
        <w:tab/>
        <w:t>date of imagery;</w:t>
      </w:r>
    </w:p>
    <w:p w:rsidR="00301DDB" w:rsidRPr="00301DDB" w:rsidRDefault="00301DDB" w:rsidP="00301DDB">
      <w:pPr>
        <w:tabs>
          <w:tab w:val="right" w:pos="2948"/>
        </w:tabs>
        <w:spacing w:after="100" w:line="260" w:lineRule="exact"/>
        <w:ind w:left="3119" w:hanging="3119"/>
        <w:jc w:val="both"/>
      </w:pPr>
      <w:r w:rsidRPr="00301DDB">
        <w:tab/>
        <w:t>(C)</w:t>
      </w:r>
      <w:r w:rsidRPr="00301DDB">
        <w:tab/>
        <w:t>source of imagery;</w:t>
      </w:r>
    </w:p>
    <w:p w:rsidR="00301DDB" w:rsidRPr="00301DDB" w:rsidRDefault="00301DDB" w:rsidP="00301DDB">
      <w:pPr>
        <w:keepLines/>
        <w:tabs>
          <w:tab w:val="right" w:pos="2211"/>
        </w:tabs>
        <w:spacing w:after="100" w:line="260" w:lineRule="exact"/>
        <w:ind w:left="2410" w:hanging="2410"/>
        <w:jc w:val="both"/>
      </w:pPr>
      <w:r w:rsidRPr="00301DDB">
        <w:tab/>
        <w:t>(ii)</w:t>
      </w:r>
      <w:r w:rsidRPr="00301DDB">
        <w:tab/>
        <w:t>the outcome of the most recent land cover assessment;</w:t>
      </w:r>
    </w:p>
    <w:p w:rsidR="00301DDB" w:rsidRPr="00301DDB" w:rsidRDefault="00301DDB" w:rsidP="00301DDB">
      <w:pPr>
        <w:keepLines/>
        <w:tabs>
          <w:tab w:val="right" w:pos="2211"/>
        </w:tabs>
        <w:spacing w:after="100" w:line="260" w:lineRule="exact"/>
        <w:ind w:left="2410" w:hanging="2410"/>
        <w:jc w:val="both"/>
      </w:pPr>
      <w:r w:rsidRPr="00301DDB">
        <w:tab/>
        <w:t>(iii)</w:t>
      </w:r>
      <w:r w:rsidRPr="00301DDB">
        <w:tab/>
        <w:t>any management actions undertaken in the project area in response to an identified disturbance; and</w:t>
      </w:r>
    </w:p>
    <w:p w:rsidR="00301DDB" w:rsidRPr="00301DDB" w:rsidRDefault="00301DDB" w:rsidP="00301DDB">
      <w:pPr>
        <w:keepLines/>
        <w:tabs>
          <w:tab w:val="right" w:pos="2211"/>
        </w:tabs>
        <w:spacing w:after="100" w:line="260" w:lineRule="exact"/>
        <w:ind w:left="2410" w:hanging="2410"/>
        <w:jc w:val="both"/>
      </w:pPr>
      <w:r w:rsidRPr="00301DDB">
        <w:lastRenderedPageBreak/>
        <w:tab/>
        <w:t>(iv)</w:t>
      </w:r>
      <w:r w:rsidRPr="00301DDB">
        <w:tab/>
        <w:t>any management action undertaken in the project altering the composition of species within the project area.</w:t>
      </w:r>
    </w:p>
    <w:p w:rsidR="00301DDB" w:rsidRPr="00301DDB" w:rsidRDefault="00301DDB" w:rsidP="00301DDB">
      <w:pPr>
        <w:keepLines/>
        <w:tabs>
          <w:tab w:val="right" w:pos="1531"/>
        </w:tabs>
        <w:spacing w:after="100" w:line="260" w:lineRule="exact"/>
        <w:ind w:left="1701" w:hanging="1701"/>
        <w:jc w:val="both"/>
      </w:pPr>
    </w:p>
    <w:p w:rsidR="00301DDB" w:rsidRPr="00301DDB" w:rsidRDefault="00301DDB" w:rsidP="00301DDB">
      <w:pPr>
        <w:keepLines/>
        <w:tabs>
          <w:tab w:val="right" w:pos="1531"/>
        </w:tabs>
        <w:spacing w:after="100" w:line="260" w:lineRule="exact"/>
        <w:ind w:left="1701" w:hanging="1701"/>
        <w:jc w:val="both"/>
      </w:pPr>
    </w:p>
    <w:p w:rsidR="00301DDB" w:rsidRPr="00301DDB" w:rsidRDefault="00301DDB" w:rsidP="00301DDB">
      <w:pPr>
        <w:keepLines/>
        <w:tabs>
          <w:tab w:val="right" w:pos="1531"/>
        </w:tabs>
        <w:spacing w:after="100" w:line="260" w:lineRule="exact"/>
        <w:ind w:left="1701" w:hanging="1701"/>
        <w:jc w:val="both"/>
      </w:pPr>
      <w:r w:rsidRPr="00301DDB">
        <w:tab/>
      </w:r>
    </w:p>
    <w:p w:rsidR="00301DDB" w:rsidRPr="00301DDB" w:rsidRDefault="00301DDB" w:rsidP="00301DDB">
      <w:pPr>
        <w:keepNext/>
        <w:keepLines/>
        <w:pageBreakBefore/>
        <w:spacing w:before="480" w:after="60"/>
        <w:ind w:left="2410" w:hanging="2410"/>
        <w:jc w:val="both"/>
        <w:outlineLvl w:val="0"/>
        <w:rPr>
          <w:rFonts w:ascii="Arial" w:hAnsi="Arial" w:cs="Arial"/>
          <w:b/>
          <w:bCs/>
          <w:kern w:val="32"/>
          <w:sz w:val="40"/>
          <w:szCs w:val="32"/>
        </w:rPr>
      </w:pPr>
      <w:bookmarkStart w:id="94" w:name="_Toc358907483"/>
      <w:r w:rsidRPr="00301DDB">
        <w:rPr>
          <w:rFonts w:ascii="Arial" w:hAnsi="Arial" w:cs="Arial"/>
          <w:b/>
          <w:bCs/>
          <w:kern w:val="32"/>
          <w:sz w:val="40"/>
          <w:szCs w:val="32"/>
        </w:rPr>
        <w:lastRenderedPageBreak/>
        <w:t>Schedule 1</w:t>
      </w:r>
      <w:r w:rsidRPr="00301DDB">
        <w:rPr>
          <w:rFonts w:ascii="Arial" w:hAnsi="Arial" w:cs="Arial"/>
          <w:b/>
          <w:bCs/>
          <w:kern w:val="32"/>
          <w:sz w:val="40"/>
          <w:szCs w:val="32"/>
        </w:rPr>
        <w:tab/>
        <w:t>Partitioning of biomass</w:t>
      </w:r>
      <w:bookmarkEnd w:id="94"/>
    </w:p>
    <w:p w:rsidR="00301DDB" w:rsidRPr="00301DDB" w:rsidRDefault="00301DDB" w:rsidP="00301DDB">
      <w:pPr>
        <w:jc w:val="both"/>
        <w:rPr>
          <w:b/>
        </w:rPr>
      </w:pPr>
    </w:p>
    <w:p w:rsidR="00301DDB" w:rsidRPr="00301DDB" w:rsidRDefault="00301DDB" w:rsidP="00301DDB">
      <w:pPr>
        <w:jc w:val="both"/>
        <w:rPr>
          <w:b/>
        </w:rPr>
      </w:pPr>
      <w:r w:rsidRPr="00301DDB">
        <w:rPr>
          <w:b/>
        </w:rPr>
        <w:t>Table 1.1: Partitioning of biomass (stems, branches, bark)</w:t>
      </w:r>
    </w:p>
    <w:p w:rsidR="00301DDB" w:rsidRPr="00301DDB" w:rsidRDefault="00301DDB" w:rsidP="00301DDB">
      <w:pPr>
        <w:jc w:val="both"/>
        <w:rPr>
          <w:b/>
        </w:rPr>
      </w:pPr>
    </w:p>
    <w:tbl>
      <w:tblPr>
        <w:tblStyle w:val="TableGrid"/>
        <w:tblW w:w="9498" w:type="dxa"/>
        <w:tblInd w:w="-176" w:type="dxa"/>
        <w:tblLayout w:type="fixed"/>
        <w:tblLook w:val="04A0" w:firstRow="1" w:lastRow="0" w:firstColumn="1" w:lastColumn="0" w:noHBand="0" w:noVBand="1"/>
      </w:tblPr>
      <w:tblGrid>
        <w:gridCol w:w="3119"/>
        <w:gridCol w:w="2126"/>
        <w:gridCol w:w="2126"/>
        <w:gridCol w:w="2127"/>
      </w:tblGrid>
      <w:tr w:rsidR="00301DDB" w:rsidRPr="00301DDB" w:rsidTr="00DB6218">
        <w:trPr>
          <w:trHeight w:val="980"/>
        </w:trPr>
        <w:tc>
          <w:tcPr>
            <w:tcW w:w="3119" w:type="dxa"/>
          </w:tcPr>
          <w:p w:rsidR="00301DDB" w:rsidRPr="00301DDB" w:rsidRDefault="00301DDB" w:rsidP="00301DDB">
            <w:pPr>
              <w:rPr>
                <w:b/>
                <w:bCs/>
                <w:iCs/>
              </w:rPr>
            </w:pPr>
            <w:r w:rsidRPr="00301DDB">
              <w:rPr>
                <w:b/>
                <w:bCs/>
                <w:iCs/>
              </w:rPr>
              <w:t xml:space="preserve">National Vegetation Information System Major Vegetation Groups </w:t>
            </w:r>
          </w:p>
        </w:tc>
        <w:tc>
          <w:tcPr>
            <w:tcW w:w="2126" w:type="dxa"/>
          </w:tcPr>
          <w:p w:rsidR="00301DDB" w:rsidRPr="00301DDB" w:rsidRDefault="00301DDB" w:rsidP="00301DDB">
            <w:pPr>
              <w:rPr>
                <w:b/>
                <w:bCs/>
                <w:iCs/>
              </w:rPr>
            </w:pPr>
            <w:r w:rsidRPr="00301DDB">
              <w:rPr>
                <w:b/>
                <w:bCs/>
                <w:iCs/>
              </w:rPr>
              <w:t>Biomass fraction</w:t>
            </w:r>
          </w:p>
          <w:p w:rsidR="00301DDB" w:rsidRPr="00301DDB" w:rsidRDefault="00301DDB" w:rsidP="00301DDB">
            <w:pPr>
              <w:rPr>
                <w:b/>
                <w:bCs/>
                <w:iCs/>
              </w:rPr>
            </w:pPr>
            <w:r w:rsidRPr="00301DDB">
              <w:rPr>
                <w:b/>
                <w:bCs/>
                <w:iCs/>
              </w:rPr>
              <w:t>to stems (fraction)</w:t>
            </w:r>
          </w:p>
        </w:tc>
        <w:tc>
          <w:tcPr>
            <w:tcW w:w="2126" w:type="dxa"/>
          </w:tcPr>
          <w:p w:rsidR="00301DDB" w:rsidRPr="00301DDB" w:rsidRDefault="00301DDB" w:rsidP="00301DDB">
            <w:pPr>
              <w:rPr>
                <w:b/>
                <w:bCs/>
                <w:iCs/>
              </w:rPr>
            </w:pPr>
            <w:r w:rsidRPr="00301DDB">
              <w:rPr>
                <w:b/>
                <w:bCs/>
                <w:iCs/>
              </w:rPr>
              <w:t>Biomass fraction</w:t>
            </w:r>
          </w:p>
          <w:p w:rsidR="00301DDB" w:rsidRPr="00301DDB" w:rsidRDefault="00301DDB" w:rsidP="00301DDB">
            <w:pPr>
              <w:rPr>
                <w:b/>
                <w:bCs/>
                <w:iCs/>
              </w:rPr>
            </w:pPr>
            <w:r w:rsidRPr="00301DDB">
              <w:rPr>
                <w:b/>
                <w:bCs/>
                <w:iCs/>
              </w:rPr>
              <w:t>to branches (fraction)</w:t>
            </w:r>
          </w:p>
        </w:tc>
        <w:tc>
          <w:tcPr>
            <w:tcW w:w="2127" w:type="dxa"/>
          </w:tcPr>
          <w:p w:rsidR="00301DDB" w:rsidRPr="00301DDB" w:rsidRDefault="00301DDB" w:rsidP="00301DDB">
            <w:pPr>
              <w:rPr>
                <w:b/>
                <w:bCs/>
                <w:iCs/>
              </w:rPr>
            </w:pPr>
            <w:r w:rsidRPr="00301DDB">
              <w:rPr>
                <w:b/>
                <w:bCs/>
                <w:iCs/>
              </w:rPr>
              <w:t>Biomass fraction</w:t>
            </w:r>
          </w:p>
          <w:p w:rsidR="00301DDB" w:rsidRPr="00301DDB" w:rsidRDefault="00301DDB" w:rsidP="00301DDB">
            <w:pPr>
              <w:rPr>
                <w:b/>
                <w:bCs/>
                <w:iCs/>
              </w:rPr>
            </w:pPr>
            <w:r w:rsidRPr="00301DDB">
              <w:rPr>
                <w:b/>
                <w:bCs/>
                <w:iCs/>
              </w:rPr>
              <w:t>to bark (fraction)</w:t>
            </w:r>
          </w:p>
        </w:tc>
      </w:tr>
      <w:tr w:rsidR="00301DDB" w:rsidRPr="00301DDB" w:rsidTr="00DB6218">
        <w:tc>
          <w:tcPr>
            <w:tcW w:w="3119" w:type="dxa"/>
          </w:tcPr>
          <w:p w:rsidR="00301DDB" w:rsidRPr="00301DDB" w:rsidRDefault="00301DDB" w:rsidP="00301DDB">
            <w:r w:rsidRPr="00301DDB">
              <w:t xml:space="preserve">Rainforest and Vine  Thickets </w:t>
            </w:r>
          </w:p>
        </w:tc>
        <w:tc>
          <w:tcPr>
            <w:tcW w:w="2126" w:type="dxa"/>
          </w:tcPr>
          <w:p w:rsidR="00301DDB" w:rsidRPr="00301DDB" w:rsidRDefault="00301DDB" w:rsidP="00301DDB">
            <w:r w:rsidRPr="00301DDB">
              <w:t>0.78</w:t>
            </w:r>
          </w:p>
        </w:tc>
        <w:tc>
          <w:tcPr>
            <w:tcW w:w="2126" w:type="dxa"/>
          </w:tcPr>
          <w:p w:rsidR="00301DDB" w:rsidRPr="00301DDB" w:rsidRDefault="00301DDB" w:rsidP="00301DDB">
            <w:r w:rsidRPr="00301DDB">
              <w:t>0.06</w:t>
            </w:r>
          </w:p>
        </w:tc>
        <w:tc>
          <w:tcPr>
            <w:tcW w:w="2127" w:type="dxa"/>
          </w:tcPr>
          <w:p w:rsidR="00301DDB" w:rsidRPr="00301DDB" w:rsidRDefault="00301DDB" w:rsidP="00301DDB">
            <w:r w:rsidRPr="00301DDB">
              <w:t>0.06</w:t>
            </w:r>
          </w:p>
        </w:tc>
      </w:tr>
      <w:tr w:rsidR="00301DDB" w:rsidRPr="00301DDB" w:rsidTr="00DB6218">
        <w:tc>
          <w:tcPr>
            <w:tcW w:w="3119" w:type="dxa"/>
          </w:tcPr>
          <w:p w:rsidR="00301DDB" w:rsidRPr="00301DDB" w:rsidRDefault="00301DDB" w:rsidP="00301DDB">
            <w:r w:rsidRPr="00301DDB">
              <w:t>Eucalypt Tall Open Forest</w:t>
            </w:r>
          </w:p>
        </w:tc>
        <w:tc>
          <w:tcPr>
            <w:tcW w:w="2126" w:type="dxa"/>
          </w:tcPr>
          <w:p w:rsidR="00301DDB" w:rsidRPr="00301DDB" w:rsidRDefault="00301DDB" w:rsidP="00301DDB">
            <w:r w:rsidRPr="00301DDB">
              <w:t>0.67</w:t>
            </w:r>
          </w:p>
        </w:tc>
        <w:tc>
          <w:tcPr>
            <w:tcW w:w="2126" w:type="dxa"/>
          </w:tcPr>
          <w:p w:rsidR="00301DDB" w:rsidRPr="00301DDB" w:rsidRDefault="00301DDB" w:rsidP="00301DDB">
            <w:r w:rsidRPr="00301DDB">
              <w:t>0.09</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 xml:space="preserve">Eucalypt Open Forest </w:t>
            </w:r>
          </w:p>
        </w:tc>
        <w:tc>
          <w:tcPr>
            <w:tcW w:w="2126" w:type="dxa"/>
          </w:tcPr>
          <w:p w:rsidR="00301DDB" w:rsidRPr="00301DDB" w:rsidRDefault="00301DDB" w:rsidP="00301DDB">
            <w:r w:rsidRPr="00301DDB">
              <w:t>0.45</w:t>
            </w:r>
          </w:p>
        </w:tc>
        <w:tc>
          <w:tcPr>
            <w:tcW w:w="2126" w:type="dxa"/>
          </w:tcPr>
          <w:p w:rsidR="00301DDB" w:rsidRPr="00301DDB" w:rsidRDefault="00301DDB" w:rsidP="00301DDB">
            <w:r w:rsidRPr="00301DDB">
              <w:t>0.12</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Eucalypt Low Open Forest</w:t>
            </w:r>
          </w:p>
        </w:tc>
        <w:tc>
          <w:tcPr>
            <w:tcW w:w="2126" w:type="dxa"/>
          </w:tcPr>
          <w:p w:rsidR="00301DDB" w:rsidRPr="00301DDB" w:rsidRDefault="00301DDB" w:rsidP="00301DDB">
            <w:r w:rsidRPr="00301DDB">
              <w:t>0.45</w:t>
            </w:r>
          </w:p>
        </w:tc>
        <w:tc>
          <w:tcPr>
            <w:tcW w:w="2126" w:type="dxa"/>
          </w:tcPr>
          <w:p w:rsidR="00301DDB" w:rsidRPr="00301DDB" w:rsidRDefault="00301DDB" w:rsidP="00301DDB">
            <w:r w:rsidRPr="00301DDB">
              <w:t>0.12</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Eucalypt Woodlands</w:t>
            </w:r>
          </w:p>
        </w:tc>
        <w:tc>
          <w:tcPr>
            <w:tcW w:w="2126" w:type="dxa"/>
          </w:tcPr>
          <w:p w:rsidR="00301DDB" w:rsidRPr="00301DDB" w:rsidRDefault="00301DDB" w:rsidP="00301DDB">
            <w:r w:rsidRPr="00301DDB">
              <w:t>0.44</w:t>
            </w:r>
          </w:p>
        </w:tc>
        <w:tc>
          <w:tcPr>
            <w:tcW w:w="2126" w:type="dxa"/>
          </w:tcPr>
          <w:p w:rsidR="00301DDB" w:rsidRPr="00301DDB" w:rsidRDefault="00301DDB" w:rsidP="00301DDB">
            <w:r w:rsidRPr="00301DDB">
              <w:t>0.15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Acacia Forest and</w:t>
            </w:r>
          </w:p>
          <w:p w:rsidR="00301DDB" w:rsidRPr="00301DDB" w:rsidRDefault="00301DDB" w:rsidP="00301DDB">
            <w:r w:rsidRPr="00301DDB">
              <w:t>Woodland</w:t>
            </w:r>
          </w:p>
        </w:tc>
        <w:tc>
          <w:tcPr>
            <w:tcW w:w="2126" w:type="dxa"/>
          </w:tcPr>
          <w:p w:rsidR="00301DDB" w:rsidRPr="00301DDB" w:rsidRDefault="00301DDB" w:rsidP="00301DDB">
            <w:r w:rsidRPr="00301DDB">
              <w:t>0.42</w:t>
            </w:r>
          </w:p>
        </w:tc>
        <w:tc>
          <w:tcPr>
            <w:tcW w:w="2126" w:type="dxa"/>
          </w:tcPr>
          <w:p w:rsidR="00301DDB" w:rsidRPr="00301DDB" w:rsidRDefault="00301DDB" w:rsidP="00301DDB">
            <w:r w:rsidRPr="00301DDB">
              <w:t>0.15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Callitris Forest</w:t>
            </w:r>
          </w:p>
          <w:p w:rsidR="00301DDB" w:rsidRPr="00301DDB" w:rsidRDefault="00301DDB" w:rsidP="00301DDB">
            <w:r w:rsidRPr="00301DDB">
              <w:t>And Woodland</w:t>
            </w:r>
          </w:p>
        </w:tc>
        <w:tc>
          <w:tcPr>
            <w:tcW w:w="2126" w:type="dxa"/>
          </w:tcPr>
          <w:p w:rsidR="00301DDB" w:rsidRPr="00301DDB" w:rsidRDefault="00301DDB" w:rsidP="00301DDB">
            <w:r w:rsidRPr="00301DDB">
              <w:t>0.42</w:t>
            </w:r>
          </w:p>
        </w:tc>
        <w:tc>
          <w:tcPr>
            <w:tcW w:w="2126" w:type="dxa"/>
          </w:tcPr>
          <w:p w:rsidR="00301DDB" w:rsidRPr="00301DDB" w:rsidRDefault="00301DDB" w:rsidP="00301DDB">
            <w:r w:rsidRPr="00301DDB">
              <w:t>0.15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Casuarina Forest and Woodland</w:t>
            </w:r>
          </w:p>
        </w:tc>
        <w:tc>
          <w:tcPr>
            <w:tcW w:w="2126" w:type="dxa"/>
          </w:tcPr>
          <w:p w:rsidR="00301DDB" w:rsidRPr="00301DDB" w:rsidRDefault="00301DDB" w:rsidP="00301DDB">
            <w:r w:rsidRPr="00301DDB">
              <w:t>0.42</w:t>
            </w:r>
          </w:p>
        </w:tc>
        <w:tc>
          <w:tcPr>
            <w:tcW w:w="2126" w:type="dxa"/>
          </w:tcPr>
          <w:p w:rsidR="00301DDB" w:rsidRPr="00301DDB" w:rsidRDefault="00301DDB" w:rsidP="00301DDB">
            <w:r w:rsidRPr="00301DDB">
              <w:t>0.15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Melaleuca Forest</w:t>
            </w:r>
          </w:p>
          <w:p w:rsidR="00301DDB" w:rsidRPr="00301DDB" w:rsidRDefault="00301DDB" w:rsidP="00301DDB">
            <w:r w:rsidRPr="00301DDB">
              <w:t>and Woodland</w:t>
            </w:r>
          </w:p>
        </w:tc>
        <w:tc>
          <w:tcPr>
            <w:tcW w:w="2126" w:type="dxa"/>
          </w:tcPr>
          <w:p w:rsidR="00301DDB" w:rsidRPr="00301DDB" w:rsidRDefault="00301DDB" w:rsidP="00301DDB">
            <w:r w:rsidRPr="00301DDB">
              <w:t>0.42</w:t>
            </w:r>
          </w:p>
        </w:tc>
        <w:tc>
          <w:tcPr>
            <w:tcW w:w="2126" w:type="dxa"/>
          </w:tcPr>
          <w:p w:rsidR="00301DDB" w:rsidRPr="00301DDB" w:rsidRDefault="00301DDB" w:rsidP="00301DDB">
            <w:r w:rsidRPr="00301DDB">
              <w:t>0.15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Other Forest and Woodlands</w:t>
            </w:r>
          </w:p>
        </w:tc>
        <w:tc>
          <w:tcPr>
            <w:tcW w:w="2126" w:type="dxa"/>
          </w:tcPr>
          <w:p w:rsidR="00301DDB" w:rsidRPr="00301DDB" w:rsidRDefault="00301DDB" w:rsidP="00301DDB">
            <w:r w:rsidRPr="00301DDB">
              <w:t>0.41</w:t>
            </w:r>
          </w:p>
        </w:tc>
        <w:tc>
          <w:tcPr>
            <w:tcW w:w="2126" w:type="dxa"/>
          </w:tcPr>
          <w:p w:rsidR="00301DDB" w:rsidRPr="00301DDB" w:rsidRDefault="00301DDB" w:rsidP="00301DDB">
            <w:r w:rsidRPr="00301DDB">
              <w:t>0.15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Tropical Eucalypt Woodland/Grassland</w:t>
            </w:r>
          </w:p>
        </w:tc>
        <w:tc>
          <w:tcPr>
            <w:tcW w:w="2126" w:type="dxa"/>
          </w:tcPr>
          <w:p w:rsidR="00301DDB" w:rsidRPr="00301DDB" w:rsidRDefault="00301DDB" w:rsidP="00301DDB">
            <w:r w:rsidRPr="00301DDB">
              <w:t>0.41</w:t>
            </w:r>
          </w:p>
        </w:tc>
        <w:tc>
          <w:tcPr>
            <w:tcW w:w="2126" w:type="dxa"/>
          </w:tcPr>
          <w:p w:rsidR="00301DDB" w:rsidRPr="00301DDB" w:rsidRDefault="00301DDB" w:rsidP="00301DDB">
            <w:r w:rsidRPr="00301DDB">
              <w:t>0.18</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Eucalypt Open Woodland</w:t>
            </w:r>
          </w:p>
        </w:tc>
        <w:tc>
          <w:tcPr>
            <w:tcW w:w="2126" w:type="dxa"/>
          </w:tcPr>
          <w:p w:rsidR="00301DDB" w:rsidRPr="00301DDB" w:rsidRDefault="00301DDB" w:rsidP="00301DDB">
            <w:r w:rsidRPr="00301DDB">
              <w:t>0.22</w:t>
            </w:r>
          </w:p>
        </w:tc>
        <w:tc>
          <w:tcPr>
            <w:tcW w:w="2126" w:type="dxa"/>
          </w:tcPr>
          <w:p w:rsidR="00301DDB" w:rsidRPr="00301DDB" w:rsidRDefault="00301DDB" w:rsidP="00301DDB">
            <w:r w:rsidRPr="00301DDB">
              <w:t>0.18</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t>Acacia Open Woodland</w:t>
            </w:r>
          </w:p>
        </w:tc>
        <w:tc>
          <w:tcPr>
            <w:tcW w:w="2126" w:type="dxa"/>
          </w:tcPr>
          <w:p w:rsidR="00301DDB" w:rsidRPr="00301DDB" w:rsidRDefault="00301DDB" w:rsidP="00301DDB">
            <w:r w:rsidRPr="00301DDB">
              <w:t>0.22</w:t>
            </w:r>
          </w:p>
        </w:tc>
        <w:tc>
          <w:tcPr>
            <w:tcW w:w="2126" w:type="dxa"/>
          </w:tcPr>
          <w:p w:rsidR="00301DDB" w:rsidRPr="00301DDB" w:rsidRDefault="00301DDB" w:rsidP="00301DDB">
            <w:r w:rsidRPr="00301DDB">
              <w:t>0.165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pPr>
              <w:rPr>
                <w:bCs/>
              </w:rPr>
            </w:pPr>
            <w:r w:rsidRPr="00301DDB">
              <w:rPr>
                <w:bCs/>
              </w:rPr>
              <w:t>Mallee Woodland and Shrubland</w:t>
            </w:r>
          </w:p>
        </w:tc>
        <w:tc>
          <w:tcPr>
            <w:tcW w:w="2126" w:type="dxa"/>
          </w:tcPr>
          <w:p w:rsidR="00301DDB" w:rsidRPr="00301DDB" w:rsidRDefault="00301DDB" w:rsidP="00301DDB">
            <w:r w:rsidRPr="00301DDB">
              <w:t>0.22</w:t>
            </w:r>
          </w:p>
        </w:tc>
        <w:tc>
          <w:tcPr>
            <w:tcW w:w="2126" w:type="dxa"/>
          </w:tcPr>
          <w:p w:rsidR="00301DDB" w:rsidRPr="00301DDB" w:rsidRDefault="00301DDB" w:rsidP="00301DDB">
            <w:r w:rsidRPr="00301DDB">
              <w:t>0.165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pPr>
              <w:rPr>
                <w:bCs/>
              </w:rPr>
            </w:pPr>
            <w:r w:rsidRPr="00301DDB">
              <w:rPr>
                <w:bCs/>
              </w:rPr>
              <w:t>Low Closed Forest and Closed Shrubland</w:t>
            </w:r>
          </w:p>
        </w:tc>
        <w:tc>
          <w:tcPr>
            <w:tcW w:w="2126" w:type="dxa"/>
          </w:tcPr>
          <w:p w:rsidR="00301DDB" w:rsidRPr="00301DDB" w:rsidRDefault="00301DDB" w:rsidP="00301DDB">
            <w:r w:rsidRPr="00301DDB">
              <w:t>0.22</w:t>
            </w:r>
          </w:p>
        </w:tc>
        <w:tc>
          <w:tcPr>
            <w:tcW w:w="2126" w:type="dxa"/>
          </w:tcPr>
          <w:p w:rsidR="00301DDB" w:rsidRPr="00301DDB" w:rsidRDefault="00301DDB" w:rsidP="00301DDB">
            <w:r w:rsidRPr="00301DDB">
              <w:t>0.165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pPr>
              <w:rPr>
                <w:bCs/>
              </w:rPr>
            </w:pPr>
            <w:r w:rsidRPr="00301DDB">
              <w:rPr>
                <w:bCs/>
              </w:rPr>
              <w:t>Acacia Shrubland</w:t>
            </w:r>
          </w:p>
        </w:tc>
        <w:tc>
          <w:tcPr>
            <w:tcW w:w="2126" w:type="dxa"/>
          </w:tcPr>
          <w:p w:rsidR="00301DDB" w:rsidRPr="00301DDB" w:rsidRDefault="00301DDB" w:rsidP="00301DDB">
            <w:r w:rsidRPr="00301DDB">
              <w:t>0.22</w:t>
            </w:r>
          </w:p>
        </w:tc>
        <w:tc>
          <w:tcPr>
            <w:tcW w:w="2126" w:type="dxa"/>
          </w:tcPr>
          <w:p w:rsidR="00301DDB" w:rsidRPr="00301DDB" w:rsidRDefault="00301DDB" w:rsidP="00301DDB">
            <w:r w:rsidRPr="00301DDB">
              <w:t>0.165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pPr>
              <w:rPr>
                <w:bCs/>
              </w:rPr>
            </w:pPr>
            <w:r w:rsidRPr="00301DDB">
              <w:rPr>
                <w:bCs/>
              </w:rPr>
              <w:t>Other Shrubland</w:t>
            </w:r>
          </w:p>
        </w:tc>
        <w:tc>
          <w:tcPr>
            <w:tcW w:w="2126" w:type="dxa"/>
          </w:tcPr>
          <w:p w:rsidR="00301DDB" w:rsidRPr="00301DDB" w:rsidRDefault="00301DDB" w:rsidP="00301DDB">
            <w:r w:rsidRPr="00301DDB">
              <w:t>0.22</w:t>
            </w:r>
          </w:p>
        </w:tc>
        <w:tc>
          <w:tcPr>
            <w:tcW w:w="2126" w:type="dxa"/>
          </w:tcPr>
          <w:p w:rsidR="00301DDB" w:rsidRPr="00301DDB" w:rsidRDefault="00301DDB" w:rsidP="00301DDB">
            <w:r w:rsidRPr="00301DDB">
              <w:t>0.165</w:t>
            </w:r>
          </w:p>
        </w:tc>
        <w:tc>
          <w:tcPr>
            <w:tcW w:w="2127" w:type="dxa"/>
          </w:tcPr>
          <w:p w:rsidR="00301DDB" w:rsidRPr="00301DDB" w:rsidRDefault="00301DDB" w:rsidP="00301DDB">
            <w:r w:rsidRPr="00301DDB">
              <w:t>0.1</w:t>
            </w:r>
          </w:p>
        </w:tc>
      </w:tr>
      <w:tr w:rsidR="00301DDB" w:rsidRPr="00301DDB" w:rsidTr="00DB6218">
        <w:tc>
          <w:tcPr>
            <w:tcW w:w="3119" w:type="dxa"/>
          </w:tcPr>
          <w:p w:rsidR="00301DDB" w:rsidRPr="00301DDB" w:rsidRDefault="00301DDB" w:rsidP="00301DDB">
            <w:r w:rsidRPr="00301DDB">
              <w:rPr>
                <w:bCs/>
              </w:rPr>
              <w:t>Heath</w:t>
            </w:r>
          </w:p>
        </w:tc>
        <w:tc>
          <w:tcPr>
            <w:tcW w:w="2126" w:type="dxa"/>
          </w:tcPr>
          <w:p w:rsidR="00301DDB" w:rsidRPr="00301DDB" w:rsidRDefault="00301DDB" w:rsidP="00301DDB">
            <w:r w:rsidRPr="00301DDB">
              <w:t>0</w:t>
            </w:r>
          </w:p>
        </w:tc>
        <w:tc>
          <w:tcPr>
            <w:tcW w:w="2126" w:type="dxa"/>
          </w:tcPr>
          <w:p w:rsidR="00301DDB" w:rsidRPr="00301DDB" w:rsidRDefault="00301DDB" w:rsidP="00301DDB">
            <w:r w:rsidRPr="00301DDB">
              <w:t>0.3</w:t>
            </w:r>
          </w:p>
        </w:tc>
        <w:tc>
          <w:tcPr>
            <w:tcW w:w="2127" w:type="dxa"/>
          </w:tcPr>
          <w:p w:rsidR="00301DDB" w:rsidRPr="00301DDB" w:rsidRDefault="00301DDB" w:rsidP="00301DDB">
            <w:r w:rsidRPr="00301DDB">
              <w:t>0.18</w:t>
            </w:r>
          </w:p>
        </w:tc>
      </w:tr>
      <w:tr w:rsidR="00301DDB" w:rsidRPr="00301DDB" w:rsidTr="00DB6218">
        <w:tc>
          <w:tcPr>
            <w:tcW w:w="3119" w:type="dxa"/>
          </w:tcPr>
          <w:p w:rsidR="00301DDB" w:rsidRPr="00301DDB" w:rsidRDefault="00301DDB" w:rsidP="00301DDB">
            <w:r w:rsidRPr="00301DDB">
              <w:rPr>
                <w:bCs/>
              </w:rPr>
              <w:t>Chenopod Shrub, Samphire Shrubland, Forbland</w:t>
            </w:r>
          </w:p>
        </w:tc>
        <w:tc>
          <w:tcPr>
            <w:tcW w:w="2126" w:type="dxa"/>
          </w:tcPr>
          <w:p w:rsidR="00301DDB" w:rsidRPr="00301DDB" w:rsidRDefault="00301DDB" w:rsidP="00301DDB">
            <w:r w:rsidRPr="00301DDB">
              <w:t>0</w:t>
            </w:r>
          </w:p>
        </w:tc>
        <w:tc>
          <w:tcPr>
            <w:tcW w:w="2126" w:type="dxa"/>
          </w:tcPr>
          <w:p w:rsidR="00301DDB" w:rsidRPr="00301DDB" w:rsidRDefault="00301DDB" w:rsidP="00301DDB">
            <w:r w:rsidRPr="00301DDB">
              <w:t>0.3</w:t>
            </w:r>
          </w:p>
        </w:tc>
        <w:tc>
          <w:tcPr>
            <w:tcW w:w="2127" w:type="dxa"/>
          </w:tcPr>
          <w:p w:rsidR="00301DDB" w:rsidRPr="00301DDB" w:rsidRDefault="00301DDB" w:rsidP="00301DDB">
            <w:r w:rsidRPr="00301DDB">
              <w:t>0.18</w:t>
            </w:r>
          </w:p>
        </w:tc>
      </w:tr>
      <w:tr w:rsidR="00301DDB" w:rsidRPr="00301DDB" w:rsidTr="00DB6218">
        <w:tc>
          <w:tcPr>
            <w:tcW w:w="3119" w:type="dxa"/>
          </w:tcPr>
          <w:p w:rsidR="00301DDB" w:rsidRPr="00301DDB" w:rsidRDefault="00301DDB" w:rsidP="00301DDB">
            <w:pPr>
              <w:rPr>
                <w:bCs/>
              </w:rPr>
            </w:pPr>
            <w:r w:rsidRPr="00301DDB">
              <w:rPr>
                <w:bCs/>
              </w:rPr>
              <w:t>Unclassified Native</w:t>
            </w:r>
          </w:p>
          <w:p w:rsidR="00301DDB" w:rsidRPr="00301DDB" w:rsidRDefault="00301DDB" w:rsidP="00301DDB">
            <w:r w:rsidRPr="00301DDB">
              <w:rPr>
                <w:bCs/>
              </w:rPr>
              <w:t>Vegetation</w:t>
            </w:r>
          </w:p>
        </w:tc>
        <w:tc>
          <w:tcPr>
            <w:tcW w:w="2126" w:type="dxa"/>
          </w:tcPr>
          <w:p w:rsidR="00301DDB" w:rsidRPr="00301DDB" w:rsidRDefault="00301DDB" w:rsidP="00301DDB">
            <w:r w:rsidRPr="00301DDB">
              <w:t>0.39</w:t>
            </w:r>
          </w:p>
        </w:tc>
        <w:tc>
          <w:tcPr>
            <w:tcW w:w="2126" w:type="dxa"/>
          </w:tcPr>
          <w:p w:rsidR="00301DDB" w:rsidRPr="00301DDB" w:rsidRDefault="00301DDB" w:rsidP="00301DDB">
            <w:r w:rsidRPr="00301DDB">
              <w:t>0.14</w:t>
            </w:r>
          </w:p>
        </w:tc>
        <w:tc>
          <w:tcPr>
            <w:tcW w:w="2127" w:type="dxa"/>
          </w:tcPr>
          <w:p w:rsidR="00301DDB" w:rsidRPr="00301DDB" w:rsidRDefault="00301DDB" w:rsidP="00301DDB">
            <w:r w:rsidRPr="00301DDB">
              <w:t>0.09</w:t>
            </w:r>
          </w:p>
        </w:tc>
      </w:tr>
    </w:tbl>
    <w:p w:rsidR="00301DDB" w:rsidRPr="00301DDB" w:rsidRDefault="00301DDB" w:rsidP="00301DDB">
      <w:pPr>
        <w:jc w:val="both"/>
      </w:pPr>
    </w:p>
    <w:p w:rsidR="00301DDB" w:rsidRPr="00301DDB" w:rsidRDefault="00301DDB" w:rsidP="00301DDB">
      <w:pPr>
        <w:jc w:val="both"/>
        <w:rPr>
          <w:b/>
        </w:rPr>
      </w:pPr>
    </w:p>
    <w:p w:rsidR="00301DDB" w:rsidRPr="00301DDB" w:rsidRDefault="00301DDB" w:rsidP="00301DDB">
      <w:pPr>
        <w:jc w:val="both"/>
        <w:rPr>
          <w:b/>
        </w:rPr>
      </w:pPr>
    </w:p>
    <w:p w:rsidR="00301DDB" w:rsidRPr="00301DDB" w:rsidRDefault="00301DDB" w:rsidP="00301DDB">
      <w:pPr>
        <w:jc w:val="both"/>
        <w:rPr>
          <w:b/>
        </w:rPr>
      </w:pPr>
    </w:p>
    <w:p w:rsidR="00301DDB" w:rsidRPr="00301DDB" w:rsidRDefault="00301DDB" w:rsidP="00301DDB">
      <w:pPr>
        <w:jc w:val="both"/>
        <w:rPr>
          <w:b/>
        </w:rPr>
      </w:pPr>
    </w:p>
    <w:p w:rsidR="00301DDB" w:rsidRPr="00301DDB" w:rsidRDefault="00301DDB" w:rsidP="00301DDB">
      <w:pPr>
        <w:jc w:val="both"/>
        <w:rPr>
          <w:b/>
        </w:rPr>
      </w:pPr>
      <w:r w:rsidRPr="00301DDB">
        <w:rPr>
          <w:b/>
        </w:rPr>
        <w:lastRenderedPageBreak/>
        <w:t>Table 1.2: Partitioning of biomass (leaves, coarse roots and fine roots)</w:t>
      </w:r>
    </w:p>
    <w:p w:rsidR="00301DDB" w:rsidRPr="00301DDB" w:rsidRDefault="00301DDB" w:rsidP="00301DDB">
      <w:pPr>
        <w:jc w:val="both"/>
      </w:pPr>
    </w:p>
    <w:tbl>
      <w:tblPr>
        <w:tblStyle w:val="TableGrid"/>
        <w:tblW w:w="10065" w:type="dxa"/>
        <w:tblInd w:w="-176" w:type="dxa"/>
        <w:tblLayout w:type="fixed"/>
        <w:tblLook w:val="04A0" w:firstRow="1" w:lastRow="0" w:firstColumn="1" w:lastColumn="0" w:noHBand="0" w:noVBand="1"/>
      </w:tblPr>
      <w:tblGrid>
        <w:gridCol w:w="2552"/>
        <w:gridCol w:w="1878"/>
        <w:gridCol w:w="1878"/>
        <w:gridCol w:w="1878"/>
        <w:gridCol w:w="1879"/>
      </w:tblGrid>
      <w:tr w:rsidR="00301DDB" w:rsidRPr="00301DDB" w:rsidTr="00DB6218">
        <w:trPr>
          <w:trHeight w:val="1330"/>
        </w:trPr>
        <w:tc>
          <w:tcPr>
            <w:tcW w:w="2552" w:type="dxa"/>
          </w:tcPr>
          <w:p w:rsidR="00301DDB" w:rsidRPr="00301DDB" w:rsidRDefault="00301DDB" w:rsidP="00301DDB">
            <w:pPr>
              <w:rPr>
                <w:b/>
                <w:bCs/>
                <w:iCs/>
              </w:rPr>
            </w:pPr>
            <w:r w:rsidRPr="00301DDB">
              <w:rPr>
                <w:b/>
                <w:bCs/>
                <w:iCs/>
              </w:rPr>
              <w:t xml:space="preserve">National Vegetation Information System Major Vegetation Groups </w:t>
            </w:r>
          </w:p>
        </w:tc>
        <w:tc>
          <w:tcPr>
            <w:tcW w:w="1878" w:type="dxa"/>
          </w:tcPr>
          <w:p w:rsidR="00301DDB" w:rsidRPr="00301DDB" w:rsidRDefault="00301DDB" w:rsidP="00301DDB">
            <w:pPr>
              <w:rPr>
                <w:b/>
                <w:bCs/>
                <w:iCs/>
              </w:rPr>
            </w:pPr>
            <w:r w:rsidRPr="00301DDB">
              <w:rPr>
                <w:b/>
                <w:bCs/>
                <w:iCs/>
              </w:rPr>
              <w:t>Biomass fraction</w:t>
            </w:r>
          </w:p>
          <w:p w:rsidR="00301DDB" w:rsidRPr="00301DDB" w:rsidRDefault="00301DDB" w:rsidP="00301DDB">
            <w:pPr>
              <w:rPr>
                <w:b/>
                <w:bCs/>
                <w:iCs/>
              </w:rPr>
            </w:pPr>
            <w:r w:rsidRPr="00301DDB">
              <w:rPr>
                <w:b/>
                <w:bCs/>
                <w:iCs/>
              </w:rPr>
              <w:t>to leaves</w:t>
            </w:r>
          </w:p>
          <w:p w:rsidR="00301DDB" w:rsidRPr="00301DDB" w:rsidRDefault="00301DDB" w:rsidP="00301DDB">
            <w:pPr>
              <w:rPr>
                <w:b/>
              </w:rPr>
            </w:pPr>
            <w:r w:rsidRPr="00301DDB">
              <w:rPr>
                <w:b/>
                <w:bCs/>
                <w:iCs/>
              </w:rPr>
              <w:t>(fraction)</w:t>
            </w:r>
          </w:p>
        </w:tc>
        <w:tc>
          <w:tcPr>
            <w:tcW w:w="1878" w:type="dxa"/>
          </w:tcPr>
          <w:p w:rsidR="00301DDB" w:rsidRPr="00301DDB" w:rsidRDefault="00301DDB" w:rsidP="00301DDB">
            <w:pPr>
              <w:rPr>
                <w:b/>
                <w:bCs/>
                <w:iCs/>
              </w:rPr>
            </w:pPr>
            <w:r w:rsidRPr="00301DDB">
              <w:rPr>
                <w:b/>
                <w:bCs/>
                <w:iCs/>
              </w:rPr>
              <w:t>Biomass fraction to coarse roots (fraction)</w:t>
            </w:r>
          </w:p>
        </w:tc>
        <w:tc>
          <w:tcPr>
            <w:tcW w:w="1878" w:type="dxa"/>
          </w:tcPr>
          <w:p w:rsidR="00301DDB" w:rsidRPr="00301DDB" w:rsidRDefault="00301DDB" w:rsidP="00301DDB">
            <w:pPr>
              <w:rPr>
                <w:b/>
                <w:bCs/>
                <w:iCs/>
              </w:rPr>
            </w:pPr>
            <w:r w:rsidRPr="00301DDB">
              <w:rPr>
                <w:b/>
                <w:bCs/>
                <w:iCs/>
              </w:rPr>
              <w:t>Biomass fraction to fine roots (fraction)</w:t>
            </w:r>
          </w:p>
        </w:tc>
        <w:tc>
          <w:tcPr>
            <w:tcW w:w="1879" w:type="dxa"/>
          </w:tcPr>
          <w:p w:rsidR="00301DDB" w:rsidRPr="00301DDB" w:rsidRDefault="00301DDB" w:rsidP="00301DDB">
            <w:pPr>
              <w:rPr>
                <w:b/>
                <w:bCs/>
                <w:iCs/>
              </w:rPr>
            </w:pPr>
            <w:r w:rsidRPr="00301DDB">
              <w:rPr>
                <w:b/>
                <w:bCs/>
                <w:iCs/>
              </w:rPr>
              <w:t>Root:shoot ratio</w:t>
            </w:r>
          </w:p>
        </w:tc>
      </w:tr>
      <w:tr w:rsidR="00301DDB" w:rsidRPr="00301DDB" w:rsidTr="00DB6218">
        <w:tc>
          <w:tcPr>
            <w:tcW w:w="2552" w:type="dxa"/>
          </w:tcPr>
          <w:p w:rsidR="00301DDB" w:rsidRPr="00301DDB" w:rsidRDefault="00301DDB" w:rsidP="00301DDB">
            <w:r w:rsidRPr="00301DDB">
              <w:t xml:space="preserve">Rainforest and Vine  Thickets </w:t>
            </w:r>
          </w:p>
        </w:tc>
        <w:tc>
          <w:tcPr>
            <w:tcW w:w="1878" w:type="dxa"/>
          </w:tcPr>
          <w:p w:rsidR="00301DDB" w:rsidRPr="00301DDB" w:rsidRDefault="00301DDB" w:rsidP="00301DDB">
            <w:r w:rsidRPr="00301DDB">
              <w:t>0.01</w:t>
            </w:r>
          </w:p>
        </w:tc>
        <w:tc>
          <w:tcPr>
            <w:tcW w:w="1878" w:type="dxa"/>
          </w:tcPr>
          <w:p w:rsidR="00301DDB" w:rsidRPr="00301DDB" w:rsidRDefault="00301DDB" w:rsidP="00301DDB">
            <w:r w:rsidRPr="00301DDB">
              <w:t>0.06</w:t>
            </w:r>
          </w:p>
        </w:tc>
        <w:tc>
          <w:tcPr>
            <w:tcW w:w="1878" w:type="dxa"/>
          </w:tcPr>
          <w:p w:rsidR="00301DDB" w:rsidRPr="00301DDB" w:rsidRDefault="00301DDB" w:rsidP="00301DDB">
            <w:r w:rsidRPr="00301DDB">
              <w:t>0.03</w:t>
            </w:r>
          </w:p>
        </w:tc>
        <w:tc>
          <w:tcPr>
            <w:tcW w:w="1879" w:type="dxa"/>
          </w:tcPr>
          <w:p w:rsidR="00301DDB" w:rsidRPr="00301DDB" w:rsidRDefault="00301DDB" w:rsidP="00301DDB">
            <w:r w:rsidRPr="00301DDB">
              <w:t>0.10</w:t>
            </w:r>
          </w:p>
        </w:tc>
      </w:tr>
      <w:tr w:rsidR="00301DDB" w:rsidRPr="00301DDB" w:rsidTr="00DB6218">
        <w:tc>
          <w:tcPr>
            <w:tcW w:w="2552" w:type="dxa"/>
          </w:tcPr>
          <w:p w:rsidR="00301DDB" w:rsidRPr="00301DDB" w:rsidRDefault="00301DDB" w:rsidP="00301DDB">
            <w:r w:rsidRPr="00301DDB">
              <w:t>Eucalypt Tall Open Forest</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0.08</w:t>
            </w:r>
          </w:p>
        </w:tc>
        <w:tc>
          <w:tcPr>
            <w:tcW w:w="1878" w:type="dxa"/>
          </w:tcPr>
          <w:p w:rsidR="00301DDB" w:rsidRPr="00301DDB" w:rsidRDefault="00301DDB" w:rsidP="00301DDB">
            <w:r w:rsidRPr="00301DDB">
              <w:t>0.04</w:t>
            </w:r>
          </w:p>
        </w:tc>
        <w:tc>
          <w:tcPr>
            <w:tcW w:w="1879" w:type="dxa"/>
          </w:tcPr>
          <w:p w:rsidR="00301DDB" w:rsidRPr="00301DDB" w:rsidRDefault="00301DDB" w:rsidP="00301DDB">
            <w:r w:rsidRPr="00301DDB">
              <w:t>0.14</w:t>
            </w:r>
          </w:p>
        </w:tc>
      </w:tr>
      <w:tr w:rsidR="00301DDB" w:rsidRPr="00301DDB" w:rsidTr="00DB6218">
        <w:tc>
          <w:tcPr>
            <w:tcW w:w="2552" w:type="dxa"/>
          </w:tcPr>
          <w:p w:rsidR="00301DDB" w:rsidRPr="00301DDB" w:rsidRDefault="00301DDB" w:rsidP="00301DDB">
            <w:r w:rsidRPr="00301DDB">
              <w:t xml:space="preserve">Eucalypt Open Forest </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0.45</w:t>
            </w:r>
          </w:p>
        </w:tc>
      </w:tr>
      <w:tr w:rsidR="00301DDB" w:rsidRPr="00301DDB" w:rsidTr="00DB6218">
        <w:tc>
          <w:tcPr>
            <w:tcW w:w="2552" w:type="dxa"/>
          </w:tcPr>
          <w:p w:rsidR="00301DDB" w:rsidRPr="00301DDB" w:rsidRDefault="00301DDB" w:rsidP="00301DDB">
            <w:r w:rsidRPr="00301DDB">
              <w:t>Eucalypt Low Open Forest</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0.45</w:t>
            </w:r>
          </w:p>
        </w:tc>
      </w:tr>
      <w:tr w:rsidR="00301DDB" w:rsidRPr="00301DDB" w:rsidTr="00DB6218">
        <w:tc>
          <w:tcPr>
            <w:tcW w:w="2552" w:type="dxa"/>
          </w:tcPr>
          <w:p w:rsidR="00301DDB" w:rsidRPr="00301DDB" w:rsidRDefault="00301DDB" w:rsidP="00301DDB">
            <w:r w:rsidRPr="00301DDB">
              <w:t>Eucalypt Woodlands</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0.23</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0.41</w:t>
            </w:r>
          </w:p>
        </w:tc>
      </w:tr>
      <w:tr w:rsidR="00301DDB" w:rsidRPr="00301DDB" w:rsidTr="00DB6218">
        <w:tc>
          <w:tcPr>
            <w:tcW w:w="2552" w:type="dxa"/>
          </w:tcPr>
          <w:p w:rsidR="00301DDB" w:rsidRPr="00301DDB" w:rsidRDefault="00301DDB" w:rsidP="00301DDB">
            <w:r w:rsidRPr="00301DDB">
              <w:t>Acacia Forest and</w:t>
            </w:r>
          </w:p>
          <w:p w:rsidR="00301DDB" w:rsidRPr="00301DDB" w:rsidRDefault="00301DDB" w:rsidP="00301DDB">
            <w:r w:rsidRPr="00301DDB">
              <w:t>Woodland</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0.45</w:t>
            </w:r>
          </w:p>
        </w:tc>
      </w:tr>
      <w:tr w:rsidR="00301DDB" w:rsidRPr="00301DDB" w:rsidTr="00DB6218">
        <w:tc>
          <w:tcPr>
            <w:tcW w:w="2552" w:type="dxa"/>
          </w:tcPr>
          <w:p w:rsidR="00301DDB" w:rsidRPr="00301DDB" w:rsidRDefault="00301DDB" w:rsidP="00301DDB">
            <w:r w:rsidRPr="00301DDB">
              <w:t>Callitris Forest</w:t>
            </w:r>
          </w:p>
          <w:p w:rsidR="00301DDB" w:rsidRPr="00301DDB" w:rsidRDefault="00301DDB" w:rsidP="00301DDB">
            <w:r w:rsidRPr="00301DDB">
              <w:t>and Woodland</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0.16</w:t>
            </w:r>
          </w:p>
        </w:tc>
        <w:tc>
          <w:tcPr>
            <w:tcW w:w="1878" w:type="dxa"/>
          </w:tcPr>
          <w:p w:rsidR="00301DDB" w:rsidRPr="00301DDB" w:rsidRDefault="00301DDB" w:rsidP="00301DDB">
            <w:r w:rsidRPr="00301DDB">
              <w:t>0.15</w:t>
            </w:r>
          </w:p>
        </w:tc>
        <w:tc>
          <w:tcPr>
            <w:tcW w:w="1879" w:type="dxa"/>
          </w:tcPr>
          <w:p w:rsidR="00301DDB" w:rsidRPr="00301DDB" w:rsidRDefault="00301DDB" w:rsidP="00301DDB">
            <w:r w:rsidRPr="00301DDB">
              <w:t>0.45</w:t>
            </w:r>
          </w:p>
        </w:tc>
      </w:tr>
      <w:tr w:rsidR="00301DDB" w:rsidRPr="00301DDB" w:rsidTr="00DB6218">
        <w:tc>
          <w:tcPr>
            <w:tcW w:w="2552" w:type="dxa"/>
          </w:tcPr>
          <w:p w:rsidR="00301DDB" w:rsidRPr="00301DDB" w:rsidRDefault="00301DDB" w:rsidP="00301DDB">
            <w:r w:rsidRPr="00301DDB">
              <w:t>Casuarina Forest and Woodland</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0.45</w:t>
            </w:r>
          </w:p>
        </w:tc>
      </w:tr>
      <w:tr w:rsidR="00301DDB" w:rsidRPr="00301DDB" w:rsidTr="00DB6218">
        <w:tc>
          <w:tcPr>
            <w:tcW w:w="2552" w:type="dxa"/>
          </w:tcPr>
          <w:p w:rsidR="00301DDB" w:rsidRPr="00301DDB" w:rsidRDefault="00301DDB" w:rsidP="00301DDB">
            <w:r w:rsidRPr="00301DDB">
              <w:t>Melaleuca Forest</w:t>
            </w:r>
          </w:p>
          <w:p w:rsidR="00301DDB" w:rsidRPr="00301DDB" w:rsidRDefault="00301DDB" w:rsidP="00301DDB">
            <w:r w:rsidRPr="00301DDB">
              <w:t>and Woodland</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0.45</w:t>
            </w:r>
          </w:p>
        </w:tc>
      </w:tr>
      <w:tr w:rsidR="00301DDB" w:rsidRPr="00301DDB" w:rsidTr="00DB6218">
        <w:tc>
          <w:tcPr>
            <w:tcW w:w="2552" w:type="dxa"/>
          </w:tcPr>
          <w:p w:rsidR="00301DDB" w:rsidRPr="00301DDB" w:rsidRDefault="00301DDB" w:rsidP="00301DDB">
            <w:r w:rsidRPr="00301DDB">
              <w:t>Other Forest and Woodlands</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0.45</w:t>
            </w:r>
          </w:p>
        </w:tc>
      </w:tr>
      <w:tr w:rsidR="00301DDB" w:rsidRPr="00301DDB" w:rsidTr="00DB6218">
        <w:tc>
          <w:tcPr>
            <w:tcW w:w="2552" w:type="dxa"/>
          </w:tcPr>
          <w:p w:rsidR="00301DDB" w:rsidRPr="00301DDB" w:rsidRDefault="00301DDB" w:rsidP="00301DDB">
            <w:r w:rsidRPr="00301DDB">
              <w:t>Tropical Eucalypt Woodland/Grassland</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0.23</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0.41</w:t>
            </w:r>
          </w:p>
        </w:tc>
      </w:tr>
      <w:tr w:rsidR="00301DDB" w:rsidRPr="00301DDB" w:rsidTr="00DB6218">
        <w:tc>
          <w:tcPr>
            <w:tcW w:w="2552" w:type="dxa"/>
          </w:tcPr>
          <w:p w:rsidR="00301DDB" w:rsidRPr="00301DDB" w:rsidRDefault="00301DDB" w:rsidP="00301DDB">
            <w:r w:rsidRPr="00301DDB">
              <w:t>Eucalypt Open Woodland</w:t>
            </w:r>
          </w:p>
        </w:tc>
        <w:tc>
          <w:tcPr>
            <w:tcW w:w="1878" w:type="dxa"/>
          </w:tcPr>
          <w:p w:rsidR="00301DDB" w:rsidRPr="00301DDB" w:rsidRDefault="00301DDB" w:rsidP="00301DDB">
            <w:r w:rsidRPr="00301DDB">
              <w:t>0.025</w:t>
            </w:r>
          </w:p>
        </w:tc>
        <w:tc>
          <w:tcPr>
            <w:tcW w:w="1878" w:type="dxa"/>
          </w:tcPr>
          <w:p w:rsidR="00301DDB" w:rsidRPr="00301DDB" w:rsidRDefault="00301DDB" w:rsidP="00301DDB">
            <w:r w:rsidRPr="00301DDB">
              <w:t>0.23</w:t>
            </w:r>
          </w:p>
        </w:tc>
        <w:tc>
          <w:tcPr>
            <w:tcW w:w="1878" w:type="dxa"/>
          </w:tcPr>
          <w:p w:rsidR="00301DDB" w:rsidRPr="00301DDB" w:rsidRDefault="00301DDB" w:rsidP="00301DDB">
            <w:r w:rsidRPr="00301DDB">
              <w:t>0.06</w:t>
            </w:r>
          </w:p>
        </w:tc>
        <w:tc>
          <w:tcPr>
            <w:tcW w:w="1879" w:type="dxa"/>
          </w:tcPr>
          <w:p w:rsidR="00301DDB" w:rsidRPr="00301DDB" w:rsidRDefault="00301DDB" w:rsidP="00301DDB">
            <w:r w:rsidRPr="00301DDB">
              <w:t>0.41</w:t>
            </w:r>
          </w:p>
        </w:tc>
      </w:tr>
      <w:tr w:rsidR="00301DDB" w:rsidRPr="00301DDB" w:rsidTr="00DB6218">
        <w:tc>
          <w:tcPr>
            <w:tcW w:w="2552" w:type="dxa"/>
          </w:tcPr>
          <w:p w:rsidR="00301DDB" w:rsidRPr="00301DDB" w:rsidRDefault="00301DDB" w:rsidP="00301DDB">
            <w:r w:rsidRPr="00301DDB">
              <w:t>Acacia Open Woodland</w:t>
            </w:r>
          </w:p>
        </w:tc>
        <w:tc>
          <w:tcPr>
            <w:tcW w:w="1878" w:type="dxa"/>
          </w:tcPr>
          <w:p w:rsidR="00301DDB" w:rsidRPr="00301DDB" w:rsidRDefault="00301DDB" w:rsidP="00301DDB">
            <w:r w:rsidRPr="00301DDB">
              <w:t>0.025</w:t>
            </w:r>
          </w:p>
        </w:tc>
        <w:tc>
          <w:tcPr>
            <w:tcW w:w="1878" w:type="dxa"/>
          </w:tcPr>
          <w:p w:rsidR="00301DDB" w:rsidRPr="00301DDB" w:rsidRDefault="00301DDB" w:rsidP="00301DDB">
            <w:r w:rsidRPr="00301DDB">
              <w:t>0.42</w:t>
            </w:r>
          </w:p>
        </w:tc>
        <w:tc>
          <w:tcPr>
            <w:tcW w:w="1878" w:type="dxa"/>
          </w:tcPr>
          <w:p w:rsidR="00301DDB" w:rsidRPr="00301DDB" w:rsidRDefault="00301DDB" w:rsidP="00301DDB">
            <w:r w:rsidRPr="00301DDB">
              <w:t>0.07</w:t>
            </w:r>
          </w:p>
        </w:tc>
        <w:tc>
          <w:tcPr>
            <w:tcW w:w="1879" w:type="dxa"/>
          </w:tcPr>
          <w:p w:rsidR="00301DDB" w:rsidRPr="00301DDB" w:rsidRDefault="00301DDB" w:rsidP="00301DDB">
            <w:r w:rsidRPr="00301DDB">
              <w:t>0.96</w:t>
            </w:r>
          </w:p>
        </w:tc>
      </w:tr>
      <w:tr w:rsidR="00301DDB" w:rsidRPr="00301DDB" w:rsidTr="00DB6218">
        <w:tc>
          <w:tcPr>
            <w:tcW w:w="2552" w:type="dxa"/>
          </w:tcPr>
          <w:p w:rsidR="00301DDB" w:rsidRPr="00301DDB" w:rsidRDefault="00301DDB" w:rsidP="00301DDB">
            <w:pPr>
              <w:rPr>
                <w:bCs/>
              </w:rPr>
            </w:pPr>
            <w:r w:rsidRPr="00301DDB">
              <w:rPr>
                <w:bCs/>
              </w:rPr>
              <w:t>Mallee Woodland and Shrubland</w:t>
            </w:r>
          </w:p>
        </w:tc>
        <w:tc>
          <w:tcPr>
            <w:tcW w:w="1878" w:type="dxa"/>
          </w:tcPr>
          <w:p w:rsidR="00301DDB" w:rsidRPr="00301DDB" w:rsidRDefault="00301DDB" w:rsidP="00301DDB">
            <w:r w:rsidRPr="00301DDB">
              <w:t>0.025</w:t>
            </w:r>
          </w:p>
        </w:tc>
        <w:tc>
          <w:tcPr>
            <w:tcW w:w="1878" w:type="dxa"/>
          </w:tcPr>
          <w:p w:rsidR="00301DDB" w:rsidRPr="00301DDB" w:rsidRDefault="00301DDB" w:rsidP="00301DDB">
            <w:r w:rsidRPr="00301DDB">
              <w:t>0.42</w:t>
            </w:r>
          </w:p>
        </w:tc>
        <w:tc>
          <w:tcPr>
            <w:tcW w:w="1878" w:type="dxa"/>
          </w:tcPr>
          <w:p w:rsidR="00301DDB" w:rsidRPr="00301DDB" w:rsidRDefault="00301DDB" w:rsidP="00301DDB">
            <w:r w:rsidRPr="00301DDB">
              <w:t>0.07</w:t>
            </w:r>
          </w:p>
        </w:tc>
        <w:tc>
          <w:tcPr>
            <w:tcW w:w="1879" w:type="dxa"/>
          </w:tcPr>
          <w:p w:rsidR="00301DDB" w:rsidRPr="00301DDB" w:rsidRDefault="00301DDB" w:rsidP="00301DDB">
            <w:r w:rsidRPr="00301DDB">
              <w:t>0.96</w:t>
            </w:r>
          </w:p>
        </w:tc>
      </w:tr>
      <w:tr w:rsidR="00301DDB" w:rsidRPr="00301DDB" w:rsidTr="00DB6218">
        <w:tc>
          <w:tcPr>
            <w:tcW w:w="2552" w:type="dxa"/>
          </w:tcPr>
          <w:p w:rsidR="00301DDB" w:rsidRPr="00301DDB" w:rsidRDefault="00301DDB" w:rsidP="00301DDB">
            <w:pPr>
              <w:rPr>
                <w:bCs/>
              </w:rPr>
            </w:pPr>
            <w:r w:rsidRPr="00301DDB">
              <w:rPr>
                <w:bCs/>
              </w:rPr>
              <w:t>Low Closed Forest and Closed Shrubland</w:t>
            </w:r>
          </w:p>
        </w:tc>
        <w:tc>
          <w:tcPr>
            <w:tcW w:w="1878" w:type="dxa"/>
          </w:tcPr>
          <w:p w:rsidR="00301DDB" w:rsidRPr="00301DDB" w:rsidRDefault="00301DDB" w:rsidP="00301DDB">
            <w:r w:rsidRPr="00301DDB">
              <w:t>0.025</w:t>
            </w:r>
          </w:p>
        </w:tc>
        <w:tc>
          <w:tcPr>
            <w:tcW w:w="1878" w:type="dxa"/>
          </w:tcPr>
          <w:p w:rsidR="00301DDB" w:rsidRPr="00301DDB" w:rsidRDefault="00301DDB" w:rsidP="00301DDB">
            <w:r w:rsidRPr="00301DDB">
              <w:t>0.42</w:t>
            </w:r>
          </w:p>
        </w:tc>
        <w:tc>
          <w:tcPr>
            <w:tcW w:w="1878" w:type="dxa"/>
          </w:tcPr>
          <w:p w:rsidR="00301DDB" w:rsidRPr="00301DDB" w:rsidRDefault="00301DDB" w:rsidP="00301DDB">
            <w:r w:rsidRPr="00301DDB">
              <w:t>0.07</w:t>
            </w:r>
          </w:p>
        </w:tc>
        <w:tc>
          <w:tcPr>
            <w:tcW w:w="1879" w:type="dxa"/>
          </w:tcPr>
          <w:p w:rsidR="00301DDB" w:rsidRPr="00301DDB" w:rsidRDefault="00301DDB" w:rsidP="00301DDB">
            <w:r w:rsidRPr="00301DDB">
              <w:t>0.96</w:t>
            </w:r>
          </w:p>
        </w:tc>
      </w:tr>
      <w:tr w:rsidR="00301DDB" w:rsidRPr="00301DDB" w:rsidTr="00DB6218">
        <w:tc>
          <w:tcPr>
            <w:tcW w:w="2552" w:type="dxa"/>
          </w:tcPr>
          <w:p w:rsidR="00301DDB" w:rsidRPr="00301DDB" w:rsidRDefault="00301DDB" w:rsidP="00301DDB">
            <w:pPr>
              <w:rPr>
                <w:bCs/>
              </w:rPr>
            </w:pPr>
            <w:r w:rsidRPr="00301DDB">
              <w:rPr>
                <w:bCs/>
              </w:rPr>
              <w:t>Acacia Shrubland</w:t>
            </w:r>
          </w:p>
        </w:tc>
        <w:tc>
          <w:tcPr>
            <w:tcW w:w="1878" w:type="dxa"/>
          </w:tcPr>
          <w:p w:rsidR="00301DDB" w:rsidRPr="00301DDB" w:rsidRDefault="00301DDB" w:rsidP="00301DDB">
            <w:r w:rsidRPr="00301DDB">
              <w:t>0.025</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0.24</w:t>
            </w:r>
          </w:p>
        </w:tc>
        <w:tc>
          <w:tcPr>
            <w:tcW w:w="1879" w:type="dxa"/>
          </w:tcPr>
          <w:p w:rsidR="00301DDB" w:rsidRPr="00301DDB" w:rsidRDefault="00301DDB" w:rsidP="00301DDB">
            <w:r w:rsidRPr="00301DDB">
              <w:t>0.96</w:t>
            </w:r>
          </w:p>
        </w:tc>
      </w:tr>
      <w:tr w:rsidR="00301DDB" w:rsidRPr="00301DDB" w:rsidTr="00DB6218">
        <w:tc>
          <w:tcPr>
            <w:tcW w:w="2552" w:type="dxa"/>
          </w:tcPr>
          <w:p w:rsidR="00301DDB" w:rsidRPr="00301DDB" w:rsidRDefault="00301DDB" w:rsidP="00301DDB">
            <w:pPr>
              <w:rPr>
                <w:bCs/>
              </w:rPr>
            </w:pPr>
            <w:r w:rsidRPr="00301DDB">
              <w:rPr>
                <w:bCs/>
              </w:rPr>
              <w:t>Other Shrubland</w:t>
            </w:r>
          </w:p>
        </w:tc>
        <w:tc>
          <w:tcPr>
            <w:tcW w:w="1878" w:type="dxa"/>
          </w:tcPr>
          <w:p w:rsidR="00301DDB" w:rsidRPr="00301DDB" w:rsidRDefault="00301DDB" w:rsidP="00301DDB">
            <w:r w:rsidRPr="00301DDB">
              <w:t>0.025</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0.24</w:t>
            </w:r>
          </w:p>
        </w:tc>
        <w:tc>
          <w:tcPr>
            <w:tcW w:w="1879" w:type="dxa"/>
          </w:tcPr>
          <w:p w:rsidR="00301DDB" w:rsidRPr="00301DDB" w:rsidRDefault="00301DDB" w:rsidP="00301DDB">
            <w:r w:rsidRPr="00301DDB">
              <w:t>0.96</w:t>
            </w:r>
          </w:p>
        </w:tc>
      </w:tr>
      <w:tr w:rsidR="00301DDB" w:rsidRPr="00301DDB" w:rsidTr="00DB6218">
        <w:tc>
          <w:tcPr>
            <w:tcW w:w="2552" w:type="dxa"/>
          </w:tcPr>
          <w:p w:rsidR="00301DDB" w:rsidRPr="00301DDB" w:rsidRDefault="00301DDB" w:rsidP="00301DDB">
            <w:r w:rsidRPr="00301DDB">
              <w:rPr>
                <w:bCs/>
              </w:rPr>
              <w:t>Heath</w:t>
            </w:r>
          </w:p>
        </w:tc>
        <w:tc>
          <w:tcPr>
            <w:tcW w:w="1878" w:type="dxa"/>
          </w:tcPr>
          <w:p w:rsidR="00301DDB" w:rsidRPr="00301DDB" w:rsidRDefault="00301DDB" w:rsidP="00301DDB">
            <w:r w:rsidRPr="00301DDB">
              <w:t>0.03</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0.24</w:t>
            </w:r>
          </w:p>
        </w:tc>
        <w:tc>
          <w:tcPr>
            <w:tcW w:w="1879" w:type="dxa"/>
          </w:tcPr>
          <w:p w:rsidR="00301DDB" w:rsidRPr="00301DDB" w:rsidRDefault="00301DDB" w:rsidP="00301DDB">
            <w:r w:rsidRPr="00301DDB">
              <w:t>0.96</w:t>
            </w:r>
          </w:p>
        </w:tc>
      </w:tr>
      <w:tr w:rsidR="00301DDB" w:rsidRPr="00301DDB" w:rsidTr="00DB6218">
        <w:tc>
          <w:tcPr>
            <w:tcW w:w="2552" w:type="dxa"/>
          </w:tcPr>
          <w:p w:rsidR="00301DDB" w:rsidRPr="00301DDB" w:rsidRDefault="00301DDB" w:rsidP="00301DDB">
            <w:pPr>
              <w:rPr>
                <w:bCs/>
              </w:rPr>
            </w:pPr>
            <w:r w:rsidRPr="00301DDB">
              <w:rPr>
                <w:bCs/>
              </w:rPr>
              <w:t xml:space="preserve">Chenopod Shrub, Samphire Shrubland, </w:t>
            </w:r>
          </w:p>
          <w:p w:rsidR="00301DDB" w:rsidRPr="00301DDB" w:rsidRDefault="00301DDB" w:rsidP="00301DDB">
            <w:r w:rsidRPr="00301DDB">
              <w:rPr>
                <w:bCs/>
              </w:rPr>
              <w:t>Forbland</w:t>
            </w:r>
          </w:p>
        </w:tc>
        <w:tc>
          <w:tcPr>
            <w:tcW w:w="1878" w:type="dxa"/>
          </w:tcPr>
          <w:p w:rsidR="00301DDB" w:rsidRPr="00301DDB" w:rsidRDefault="00301DDB" w:rsidP="00301DDB">
            <w:r w:rsidRPr="00301DDB">
              <w:t>0.03</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0.24</w:t>
            </w:r>
          </w:p>
        </w:tc>
        <w:tc>
          <w:tcPr>
            <w:tcW w:w="1879" w:type="dxa"/>
          </w:tcPr>
          <w:p w:rsidR="00301DDB" w:rsidRPr="00301DDB" w:rsidRDefault="00301DDB" w:rsidP="00301DDB">
            <w:r w:rsidRPr="00301DDB">
              <w:t>0.96</w:t>
            </w:r>
          </w:p>
        </w:tc>
      </w:tr>
      <w:tr w:rsidR="00301DDB" w:rsidRPr="00301DDB" w:rsidTr="00DB6218">
        <w:tc>
          <w:tcPr>
            <w:tcW w:w="2552" w:type="dxa"/>
          </w:tcPr>
          <w:p w:rsidR="00301DDB" w:rsidRPr="00301DDB" w:rsidRDefault="00301DDB" w:rsidP="00301DDB">
            <w:pPr>
              <w:rPr>
                <w:bCs/>
              </w:rPr>
            </w:pPr>
            <w:r w:rsidRPr="00301DDB">
              <w:rPr>
                <w:bCs/>
              </w:rPr>
              <w:t>Unclassified Native</w:t>
            </w:r>
          </w:p>
          <w:p w:rsidR="00301DDB" w:rsidRPr="00301DDB" w:rsidRDefault="00301DDB" w:rsidP="00301DDB">
            <w:r w:rsidRPr="00301DDB">
              <w:rPr>
                <w:bCs/>
              </w:rPr>
              <w:t>Vegetation</w:t>
            </w:r>
          </w:p>
        </w:tc>
        <w:tc>
          <w:tcPr>
            <w:tcW w:w="1878" w:type="dxa"/>
          </w:tcPr>
          <w:p w:rsidR="00301DDB" w:rsidRPr="00301DDB" w:rsidRDefault="00301DDB" w:rsidP="00301DDB">
            <w:r w:rsidRPr="00301DDB">
              <w:t>0.02</w:t>
            </w:r>
          </w:p>
        </w:tc>
        <w:tc>
          <w:tcPr>
            <w:tcW w:w="1878" w:type="dxa"/>
          </w:tcPr>
          <w:p w:rsidR="00301DDB" w:rsidRPr="00301DDB" w:rsidRDefault="00301DDB" w:rsidP="00301DDB">
            <w:r w:rsidRPr="00301DDB">
              <w:t>0.25</w:t>
            </w:r>
          </w:p>
        </w:tc>
        <w:tc>
          <w:tcPr>
            <w:tcW w:w="1878" w:type="dxa"/>
          </w:tcPr>
          <w:p w:rsidR="00301DDB" w:rsidRPr="00301DDB" w:rsidRDefault="00301DDB" w:rsidP="00301DDB">
            <w:r w:rsidRPr="00301DDB">
              <w:t>0.11</w:t>
            </w:r>
          </w:p>
        </w:tc>
        <w:tc>
          <w:tcPr>
            <w:tcW w:w="1879" w:type="dxa"/>
          </w:tcPr>
          <w:p w:rsidR="00301DDB" w:rsidRPr="00301DDB" w:rsidRDefault="00301DDB" w:rsidP="00301DDB">
            <w:r w:rsidRPr="00301DDB">
              <w:t>0.56</w:t>
            </w:r>
          </w:p>
        </w:tc>
      </w:tr>
    </w:tbl>
    <w:p w:rsidR="00301DDB" w:rsidRPr="00301DDB" w:rsidRDefault="00301DDB" w:rsidP="00301DDB"/>
    <w:p w:rsidR="00301DDB" w:rsidRPr="00301DDB" w:rsidRDefault="00301DDB" w:rsidP="00301DDB">
      <w:pPr>
        <w:spacing w:after="200" w:line="276" w:lineRule="auto"/>
        <w:rPr>
          <w:rFonts w:eastAsiaTheme="minorHAnsi"/>
          <w:b/>
          <w:lang w:eastAsia="en-US"/>
        </w:rPr>
      </w:pPr>
    </w:p>
    <w:p w:rsidR="00301DDB" w:rsidRPr="00301DDB" w:rsidRDefault="00301DDB" w:rsidP="00301DDB">
      <w:pPr>
        <w:spacing w:after="200" w:line="276" w:lineRule="auto"/>
        <w:rPr>
          <w:rFonts w:eastAsiaTheme="minorHAnsi"/>
          <w:b/>
          <w:lang w:eastAsia="en-US"/>
        </w:rPr>
      </w:pPr>
      <w:r w:rsidRPr="00301DDB">
        <w:rPr>
          <w:rFonts w:eastAsiaTheme="minorHAnsi"/>
          <w:b/>
          <w:lang w:eastAsia="en-US"/>
        </w:rPr>
        <w:lastRenderedPageBreak/>
        <w:t xml:space="preserve">Table 2: Burn Efficiency </w:t>
      </w:r>
    </w:p>
    <w:tbl>
      <w:tblPr>
        <w:tblStyle w:val="TableGrid11"/>
        <w:tblW w:w="9464" w:type="dxa"/>
        <w:tblLayout w:type="fixed"/>
        <w:tblLook w:val="04A0" w:firstRow="1" w:lastRow="0" w:firstColumn="1" w:lastColumn="0" w:noHBand="0" w:noVBand="1"/>
      </w:tblPr>
      <w:tblGrid>
        <w:gridCol w:w="1809"/>
        <w:gridCol w:w="1275"/>
        <w:gridCol w:w="1276"/>
        <w:gridCol w:w="1276"/>
        <w:gridCol w:w="1276"/>
        <w:gridCol w:w="1276"/>
        <w:gridCol w:w="1276"/>
      </w:tblGrid>
      <w:tr w:rsidR="00301DDB" w:rsidRPr="00301DDB" w:rsidTr="00DB6218">
        <w:trPr>
          <w:trHeight w:val="1330"/>
        </w:trPr>
        <w:tc>
          <w:tcPr>
            <w:tcW w:w="1809" w:type="dxa"/>
            <w:vAlign w:val="center"/>
          </w:tcPr>
          <w:p w:rsidR="00301DDB" w:rsidRPr="00301DDB" w:rsidRDefault="00301DDB" w:rsidP="00301DDB">
            <w:pPr>
              <w:autoSpaceDE w:val="0"/>
              <w:autoSpaceDN w:val="0"/>
              <w:adjustRightInd w:val="0"/>
              <w:ind w:left="40" w:right="-23"/>
              <w:rPr>
                <w:rFonts w:eastAsiaTheme="minorHAnsi"/>
                <w:b/>
                <w:bCs/>
                <w:i/>
                <w:iCs/>
                <w:spacing w:val="1"/>
                <w:w w:val="99"/>
                <w:position w:val="1"/>
                <w:lang w:eastAsia="en-US"/>
              </w:rPr>
            </w:pPr>
          </w:p>
        </w:tc>
        <w:tc>
          <w:tcPr>
            <w:tcW w:w="1275" w:type="dxa"/>
          </w:tcPr>
          <w:p w:rsidR="00301DDB" w:rsidRPr="00301DDB" w:rsidRDefault="00301DDB" w:rsidP="00301DDB">
            <w:pPr>
              <w:autoSpaceDE w:val="0"/>
              <w:autoSpaceDN w:val="0"/>
              <w:adjustRightInd w:val="0"/>
              <w:ind w:left="40" w:right="-20"/>
              <w:rPr>
                <w:rFonts w:eastAsiaTheme="minorHAnsi"/>
                <w:b/>
                <w:bCs/>
                <w:iCs/>
                <w:spacing w:val="1"/>
                <w:w w:val="99"/>
                <w:position w:val="1"/>
                <w:lang w:eastAsia="en-US"/>
              </w:rPr>
            </w:pPr>
            <w:r w:rsidRPr="00301DDB">
              <w:rPr>
                <w:rFonts w:eastAsiaTheme="minorHAnsi"/>
                <w:b/>
                <w:bCs/>
                <w:iCs/>
                <w:spacing w:val="1"/>
                <w:w w:val="99"/>
                <w:position w:val="1"/>
                <w:lang w:eastAsia="en-US"/>
              </w:rPr>
              <w:t>Stem</w:t>
            </w:r>
          </w:p>
        </w:tc>
        <w:tc>
          <w:tcPr>
            <w:tcW w:w="1276" w:type="dxa"/>
          </w:tcPr>
          <w:p w:rsidR="00301DDB" w:rsidRPr="00301DDB" w:rsidRDefault="00301DDB" w:rsidP="00301DDB">
            <w:pPr>
              <w:autoSpaceDE w:val="0"/>
              <w:autoSpaceDN w:val="0"/>
              <w:adjustRightInd w:val="0"/>
              <w:ind w:left="40" w:right="-20"/>
              <w:rPr>
                <w:rFonts w:eastAsiaTheme="minorHAnsi"/>
                <w:b/>
                <w:bCs/>
                <w:iCs/>
                <w:lang w:eastAsia="en-US"/>
              </w:rPr>
            </w:pPr>
            <w:r w:rsidRPr="00301DDB">
              <w:rPr>
                <w:rFonts w:eastAsiaTheme="minorHAnsi"/>
                <w:b/>
                <w:bCs/>
                <w:iCs/>
                <w:lang w:eastAsia="en-US"/>
              </w:rPr>
              <w:t>Branch</w:t>
            </w:r>
          </w:p>
        </w:tc>
        <w:tc>
          <w:tcPr>
            <w:tcW w:w="1276" w:type="dxa"/>
          </w:tcPr>
          <w:p w:rsidR="00301DDB" w:rsidRPr="00301DDB" w:rsidRDefault="00301DDB" w:rsidP="00301DDB">
            <w:pPr>
              <w:autoSpaceDE w:val="0"/>
              <w:autoSpaceDN w:val="0"/>
              <w:adjustRightInd w:val="0"/>
              <w:ind w:left="40" w:right="-20"/>
              <w:rPr>
                <w:rFonts w:eastAsiaTheme="minorHAnsi"/>
                <w:b/>
                <w:bCs/>
                <w:iCs/>
                <w:spacing w:val="1"/>
                <w:w w:val="99"/>
                <w:position w:val="1"/>
                <w:lang w:eastAsia="en-US"/>
              </w:rPr>
            </w:pPr>
            <w:r w:rsidRPr="00301DDB">
              <w:rPr>
                <w:rFonts w:eastAsiaTheme="minorHAnsi"/>
                <w:b/>
                <w:bCs/>
                <w:iCs/>
                <w:lang w:eastAsia="en-US"/>
              </w:rPr>
              <w:t>Bark</w:t>
            </w:r>
          </w:p>
        </w:tc>
        <w:tc>
          <w:tcPr>
            <w:tcW w:w="1276" w:type="dxa"/>
          </w:tcPr>
          <w:p w:rsidR="00301DDB" w:rsidRPr="00301DDB" w:rsidRDefault="00301DDB" w:rsidP="00301DDB">
            <w:pPr>
              <w:autoSpaceDE w:val="0"/>
              <w:autoSpaceDN w:val="0"/>
              <w:adjustRightInd w:val="0"/>
              <w:rPr>
                <w:rFonts w:eastAsiaTheme="minorHAnsi"/>
                <w:b/>
                <w:bCs/>
                <w:iCs/>
                <w:lang w:eastAsia="en-US"/>
              </w:rPr>
            </w:pPr>
            <w:r w:rsidRPr="00301DDB">
              <w:rPr>
                <w:rFonts w:eastAsiaTheme="minorHAnsi"/>
                <w:b/>
                <w:bCs/>
                <w:iCs/>
                <w:lang w:eastAsia="en-US"/>
              </w:rPr>
              <w:t>Leaves</w:t>
            </w:r>
          </w:p>
        </w:tc>
        <w:tc>
          <w:tcPr>
            <w:tcW w:w="1276" w:type="dxa"/>
          </w:tcPr>
          <w:p w:rsidR="00301DDB" w:rsidRPr="00301DDB" w:rsidRDefault="00301DDB" w:rsidP="00301DDB">
            <w:pPr>
              <w:autoSpaceDE w:val="0"/>
              <w:autoSpaceDN w:val="0"/>
              <w:adjustRightInd w:val="0"/>
              <w:rPr>
                <w:rFonts w:eastAsiaTheme="minorHAnsi"/>
                <w:b/>
                <w:bCs/>
                <w:iCs/>
                <w:lang w:eastAsia="en-US"/>
              </w:rPr>
            </w:pPr>
            <w:r w:rsidRPr="00301DDB">
              <w:rPr>
                <w:rFonts w:eastAsiaTheme="minorHAnsi"/>
                <w:b/>
                <w:bCs/>
                <w:iCs/>
                <w:lang w:eastAsia="en-US"/>
              </w:rPr>
              <w:t>Coarse roots</w:t>
            </w:r>
          </w:p>
        </w:tc>
        <w:tc>
          <w:tcPr>
            <w:tcW w:w="1276" w:type="dxa"/>
          </w:tcPr>
          <w:p w:rsidR="00301DDB" w:rsidRPr="00301DDB" w:rsidRDefault="00301DDB" w:rsidP="00301DDB">
            <w:pPr>
              <w:autoSpaceDE w:val="0"/>
              <w:autoSpaceDN w:val="0"/>
              <w:adjustRightInd w:val="0"/>
              <w:rPr>
                <w:rFonts w:eastAsiaTheme="minorHAnsi"/>
                <w:b/>
                <w:bCs/>
                <w:iCs/>
                <w:lang w:eastAsia="en-US"/>
              </w:rPr>
            </w:pPr>
            <w:r w:rsidRPr="00301DDB">
              <w:rPr>
                <w:rFonts w:eastAsiaTheme="minorHAnsi"/>
                <w:b/>
                <w:bCs/>
                <w:iCs/>
                <w:lang w:eastAsia="en-US"/>
              </w:rPr>
              <w:t>Fine roots</w:t>
            </w:r>
          </w:p>
        </w:tc>
      </w:tr>
      <w:tr w:rsidR="00301DDB" w:rsidRPr="00301DDB" w:rsidTr="00DB6218">
        <w:tc>
          <w:tcPr>
            <w:tcW w:w="1809" w:type="dxa"/>
          </w:tcPr>
          <w:p w:rsidR="00301DDB" w:rsidRPr="00301DDB" w:rsidRDefault="00301DDB" w:rsidP="00301DDB">
            <w:pPr>
              <w:rPr>
                <w:rFonts w:eastAsiaTheme="minorHAnsi"/>
                <w:lang w:eastAsia="en-US"/>
              </w:rPr>
            </w:pPr>
            <w:r w:rsidRPr="00301DDB">
              <w:rPr>
                <w:rFonts w:eastAsiaTheme="minorHAnsi"/>
                <w:lang w:eastAsia="en-US"/>
              </w:rPr>
              <w:t xml:space="preserve">All National Vegetation Information System Major Vegetation Groups </w:t>
            </w:r>
          </w:p>
        </w:tc>
        <w:tc>
          <w:tcPr>
            <w:tcW w:w="1275" w:type="dxa"/>
          </w:tcPr>
          <w:p w:rsidR="00301DDB" w:rsidRPr="00301DDB" w:rsidRDefault="00301DDB" w:rsidP="00301DDB">
            <w:pPr>
              <w:rPr>
                <w:rFonts w:eastAsiaTheme="minorHAnsi"/>
                <w:lang w:eastAsia="en-US"/>
              </w:rPr>
            </w:pPr>
            <w:r w:rsidRPr="00301DDB">
              <w:rPr>
                <w:rFonts w:eastAsiaTheme="minorHAnsi"/>
                <w:lang w:eastAsia="en-US"/>
              </w:rPr>
              <w:t>0.9</w:t>
            </w:r>
          </w:p>
        </w:tc>
        <w:tc>
          <w:tcPr>
            <w:tcW w:w="1276" w:type="dxa"/>
          </w:tcPr>
          <w:p w:rsidR="00301DDB" w:rsidRPr="00301DDB" w:rsidRDefault="00301DDB" w:rsidP="00301DDB">
            <w:pPr>
              <w:rPr>
                <w:rFonts w:eastAsiaTheme="minorHAnsi"/>
                <w:lang w:eastAsia="en-US"/>
              </w:rPr>
            </w:pPr>
            <w:r w:rsidRPr="00301DDB">
              <w:rPr>
                <w:rFonts w:eastAsiaTheme="minorHAnsi"/>
                <w:lang w:eastAsia="en-US"/>
              </w:rPr>
              <w:t>0.9</w:t>
            </w:r>
          </w:p>
        </w:tc>
        <w:tc>
          <w:tcPr>
            <w:tcW w:w="1276" w:type="dxa"/>
          </w:tcPr>
          <w:p w:rsidR="00301DDB" w:rsidRPr="00301DDB" w:rsidRDefault="00301DDB" w:rsidP="00301DDB">
            <w:pPr>
              <w:rPr>
                <w:rFonts w:eastAsiaTheme="minorHAnsi"/>
                <w:lang w:eastAsia="en-US"/>
              </w:rPr>
            </w:pPr>
            <w:r w:rsidRPr="00301DDB">
              <w:rPr>
                <w:rFonts w:eastAsiaTheme="minorHAnsi"/>
                <w:lang w:eastAsia="en-US"/>
              </w:rPr>
              <w:t>0.95</w:t>
            </w:r>
          </w:p>
        </w:tc>
        <w:tc>
          <w:tcPr>
            <w:tcW w:w="1276" w:type="dxa"/>
          </w:tcPr>
          <w:p w:rsidR="00301DDB" w:rsidRPr="00301DDB" w:rsidRDefault="00301DDB" w:rsidP="00301DDB">
            <w:pPr>
              <w:rPr>
                <w:rFonts w:eastAsiaTheme="minorHAnsi"/>
                <w:lang w:eastAsia="en-US"/>
              </w:rPr>
            </w:pPr>
            <w:r w:rsidRPr="00301DDB">
              <w:rPr>
                <w:rFonts w:eastAsiaTheme="minorHAnsi"/>
                <w:lang w:eastAsia="en-US"/>
              </w:rPr>
              <w:t>0.95</w:t>
            </w:r>
          </w:p>
        </w:tc>
        <w:tc>
          <w:tcPr>
            <w:tcW w:w="1276" w:type="dxa"/>
          </w:tcPr>
          <w:p w:rsidR="00301DDB" w:rsidRPr="00301DDB" w:rsidRDefault="00301DDB" w:rsidP="00301DDB">
            <w:pPr>
              <w:rPr>
                <w:rFonts w:eastAsiaTheme="minorHAnsi"/>
                <w:lang w:eastAsia="en-US"/>
              </w:rPr>
            </w:pPr>
            <w:r w:rsidRPr="00301DDB">
              <w:rPr>
                <w:rFonts w:eastAsiaTheme="minorHAnsi"/>
                <w:lang w:eastAsia="en-US"/>
              </w:rPr>
              <w:t>0.8</w:t>
            </w:r>
          </w:p>
        </w:tc>
        <w:tc>
          <w:tcPr>
            <w:tcW w:w="1276" w:type="dxa"/>
          </w:tcPr>
          <w:p w:rsidR="00301DDB" w:rsidRPr="00301DDB" w:rsidRDefault="00301DDB" w:rsidP="00301DDB">
            <w:pPr>
              <w:rPr>
                <w:rFonts w:eastAsiaTheme="minorHAnsi"/>
                <w:lang w:eastAsia="en-US"/>
              </w:rPr>
            </w:pPr>
            <w:r w:rsidRPr="00301DDB">
              <w:rPr>
                <w:rFonts w:eastAsiaTheme="minorHAnsi"/>
                <w:lang w:eastAsia="en-US"/>
              </w:rPr>
              <w:t>0.7</w:t>
            </w:r>
          </w:p>
        </w:tc>
      </w:tr>
    </w:tbl>
    <w:p w:rsidR="00301DDB" w:rsidRPr="00301DDB" w:rsidRDefault="00301DDB" w:rsidP="00301DDB">
      <w:pPr>
        <w:spacing w:after="200" w:line="276" w:lineRule="auto"/>
        <w:jc w:val="both"/>
        <w:rPr>
          <w:rFonts w:eastAsiaTheme="minorHAnsi"/>
          <w:b/>
          <w:lang w:eastAsia="en-US"/>
        </w:rPr>
      </w:pPr>
    </w:p>
    <w:p w:rsidR="00301DDB" w:rsidRPr="00301DDB" w:rsidRDefault="00301DDB" w:rsidP="00301DDB">
      <w:pPr>
        <w:spacing w:after="200" w:line="276" w:lineRule="auto"/>
        <w:jc w:val="both"/>
        <w:rPr>
          <w:rFonts w:eastAsiaTheme="minorHAnsi"/>
          <w:b/>
          <w:lang w:eastAsia="en-US"/>
        </w:rPr>
      </w:pPr>
      <w:r w:rsidRPr="00301DDB">
        <w:rPr>
          <w:rFonts w:eastAsiaTheme="minorHAnsi"/>
          <w:b/>
          <w:lang w:eastAsia="en-US"/>
        </w:rPr>
        <w:t xml:space="preserve">Table 3: Decay Rate </w:t>
      </w:r>
    </w:p>
    <w:tbl>
      <w:tblPr>
        <w:tblStyle w:val="TableGrid21"/>
        <w:tblW w:w="5120" w:type="pct"/>
        <w:tblLayout w:type="fixed"/>
        <w:tblLook w:val="04A0" w:firstRow="1" w:lastRow="0" w:firstColumn="1" w:lastColumn="0" w:noHBand="0" w:noVBand="1"/>
      </w:tblPr>
      <w:tblGrid>
        <w:gridCol w:w="1810"/>
        <w:gridCol w:w="1276"/>
        <w:gridCol w:w="1276"/>
        <w:gridCol w:w="1276"/>
        <w:gridCol w:w="1276"/>
        <w:gridCol w:w="1276"/>
        <w:gridCol w:w="1274"/>
      </w:tblGrid>
      <w:tr w:rsidR="00301DDB" w:rsidRPr="00301DDB" w:rsidTr="00DB6218">
        <w:trPr>
          <w:trHeight w:val="1330"/>
        </w:trPr>
        <w:tc>
          <w:tcPr>
            <w:tcW w:w="957" w:type="pct"/>
            <w:vAlign w:val="center"/>
          </w:tcPr>
          <w:p w:rsidR="00301DDB" w:rsidRPr="00301DDB" w:rsidRDefault="00301DDB" w:rsidP="00301DDB">
            <w:pPr>
              <w:autoSpaceDE w:val="0"/>
              <w:autoSpaceDN w:val="0"/>
              <w:adjustRightInd w:val="0"/>
              <w:ind w:left="40" w:right="-23"/>
              <w:jc w:val="both"/>
              <w:rPr>
                <w:rFonts w:ascii="Times New Roman" w:eastAsiaTheme="minorHAnsi" w:hAnsi="Times New Roman" w:cs="Times New Roman"/>
                <w:b/>
                <w:i/>
                <w:lang w:eastAsia="en-US"/>
              </w:rPr>
            </w:pPr>
          </w:p>
        </w:tc>
        <w:tc>
          <w:tcPr>
            <w:tcW w:w="674" w:type="pct"/>
          </w:tcPr>
          <w:p w:rsidR="00301DDB" w:rsidRPr="00301DDB" w:rsidRDefault="00301DDB" w:rsidP="00301DDB">
            <w:pPr>
              <w:autoSpaceDE w:val="0"/>
              <w:autoSpaceDN w:val="0"/>
              <w:adjustRightInd w:val="0"/>
              <w:ind w:left="40" w:right="-20"/>
              <w:jc w:val="both"/>
              <w:rPr>
                <w:rFonts w:ascii="Times New Roman" w:eastAsiaTheme="minorHAnsi" w:hAnsi="Times New Roman" w:cs="Times New Roman"/>
                <w:b/>
                <w:bCs/>
                <w:iCs/>
                <w:spacing w:val="1"/>
                <w:w w:val="99"/>
                <w:position w:val="1"/>
                <w:lang w:eastAsia="en-US"/>
              </w:rPr>
            </w:pPr>
            <w:r w:rsidRPr="00301DDB">
              <w:rPr>
                <w:rFonts w:ascii="Times New Roman" w:eastAsiaTheme="minorHAnsi" w:hAnsi="Times New Roman" w:cs="Times New Roman"/>
                <w:b/>
                <w:bCs/>
                <w:iCs/>
                <w:lang w:eastAsia="en-US"/>
              </w:rPr>
              <w:t>Leaves</w:t>
            </w:r>
          </w:p>
        </w:tc>
        <w:tc>
          <w:tcPr>
            <w:tcW w:w="674" w:type="pct"/>
          </w:tcPr>
          <w:p w:rsidR="00301DDB" w:rsidRPr="00301DDB" w:rsidRDefault="00301DDB" w:rsidP="00301DDB">
            <w:pPr>
              <w:autoSpaceDE w:val="0"/>
              <w:autoSpaceDN w:val="0"/>
              <w:adjustRightInd w:val="0"/>
              <w:ind w:left="40" w:right="-20"/>
              <w:jc w:val="both"/>
              <w:rPr>
                <w:rFonts w:ascii="Times New Roman" w:eastAsiaTheme="minorHAnsi" w:hAnsi="Times New Roman" w:cs="Times New Roman"/>
                <w:b/>
                <w:bCs/>
                <w:iCs/>
                <w:spacing w:val="1"/>
                <w:w w:val="99"/>
                <w:position w:val="1"/>
                <w:lang w:eastAsia="en-US"/>
              </w:rPr>
            </w:pPr>
            <w:r w:rsidRPr="00301DDB">
              <w:rPr>
                <w:rFonts w:ascii="Times New Roman" w:eastAsiaTheme="minorHAnsi" w:hAnsi="Times New Roman" w:cs="Times New Roman"/>
                <w:b/>
                <w:bCs/>
                <w:iCs/>
                <w:lang w:eastAsia="en-US"/>
              </w:rPr>
              <w:t>Stem</w:t>
            </w:r>
          </w:p>
        </w:tc>
        <w:tc>
          <w:tcPr>
            <w:tcW w:w="674" w:type="pct"/>
          </w:tcPr>
          <w:p w:rsidR="00301DDB" w:rsidRPr="00301DDB" w:rsidRDefault="00301DDB" w:rsidP="00301DDB">
            <w:pPr>
              <w:autoSpaceDE w:val="0"/>
              <w:autoSpaceDN w:val="0"/>
              <w:adjustRightInd w:val="0"/>
              <w:jc w:val="both"/>
              <w:rPr>
                <w:rFonts w:ascii="Times New Roman" w:eastAsiaTheme="minorHAnsi" w:hAnsi="Times New Roman" w:cs="Times New Roman"/>
                <w:b/>
                <w:bCs/>
                <w:iCs/>
                <w:lang w:eastAsia="en-US"/>
              </w:rPr>
            </w:pPr>
            <w:r w:rsidRPr="00301DDB">
              <w:rPr>
                <w:rFonts w:ascii="Times New Roman" w:eastAsiaTheme="minorHAnsi" w:hAnsi="Times New Roman" w:cs="Times New Roman"/>
                <w:b/>
                <w:bCs/>
                <w:iCs/>
                <w:lang w:eastAsia="en-US"/>
              </w:rPr>
              <w:t>Branch</w:t>
            </w:r>
          </w:p>
        </w:tc>
        <w:tc>
          <w:tcPr>
            <w:tcW w:w="674" w:type="pct"/>
          </w:tcPr>
          <w:p w:rsidR="00301DDB" w:rsidRPr="00301DDB" w:rsidRDefault="00301DDB" w:rsidP="00301DDB">
            <w:pPr>
              <w:autoSpaceDE w:val="0"/>
              <w:autoSpaceDN w:val="0"/>
              <w:adjustRightInd w:val="0"/>
              <w:jc w:val="both"/>
              <w:rPr>
                <w:rFonts w:ascii="Times New Roman" w:eastAsiaTheme="minorHAnsi" w:hAnsi="Times New Roman" w:cs="Times New Roman"/>
                <w:b/>
                <w:bCs/>
                <w:iCs/>
                <w:lang w:eastAsia="en-US"/>
              </w:rPr>
            </w:pPr>
            <w:r w:rsidRPr="00301DDB">
              <w:rPr>
                <w:rFonts w:ascii="Times New Roman" w:eastAsiaTheme="minorHAnsi" w:hAnsi="Times New Roman" w:cs="Times New Roman"/>
                <w:b/>
                <w:bCs/>
                <w:iCs/>
                <w:lang w:eastAsia="en-US"/>
              </w:rPr>
              <w:t>Bark</w:t>
            </w:r>
          </w:p>
        </w:tc>
        <w:tc>
          <w:tcPr>
            <w:tcW w:w="674" w:type="pct"/>
          </w:tcPr>
          <w:p w:rsidR="00301DDB" w:rsidRPr="00301DDB" w:rsidRDefault="00301DDB" w:rsidP="00301DDB">
            <w:pPr>
              <w:autoSpaceDE w:val="0"/>
              <w:autoSpaceDN w:val="0"/>
              <w:adjustRightInd w:val="0"/>
              <w:jc w:val="both"/>
              <w:rPr>
                <w:rFonts w:ascii="Times New Roman" w:eastAsiaTheme="minorHAnsi" w:hAnsi="Times New Roman" w:cs="Times New Roman"/>
                <w:b/>
                <w:bCs/>
                <w:iCs/>
                <w:lang w:eastAsia="en-US"/>
              </w:rPr>
            </w:pPr>
            <w:r w:rsidRPr="00301DDB">
              <w:rPr>
                <w:rFonts w:ascii="Times New Roman" w:eastAsiaTheme="minorHAnsi" w:hAnsi="Times New Roman" w:cs="Times New Roman"/>
                <w:b/>
                <w:bCs/>
                <w:iCs/>
                <w:lang w:eastAsia="en-US"/>
              </w:rPr>
              <w:t>Coarse</w:t>
            </w:r>
          </w:p>
          <w:p w:rsidR="00301DDB" w:rsidRPr="00301DDB" w:rsidRDefault="00301DDB" w:rsidP="00301DDB">
            <w:pPr>
              <w:autoSpaceDE w:val="0"/>
              <w:autoSpaceDN w:val="0"/>
              <w:adjustRightInd w:val="0"/>
              <w:jc w:val="both"/>
              <w:rPr>
                <w:rFonts w:ascii="Times New Roman" w:eastAsiaTheme="minorHAnsi" w:hAnsi="Times New Roman" w:cs="Times New Roman"/>
                <w:b/>
                <w:bCs/>
                <w:iCs/>
                <w:lang w:eastAsia="en-US"/>
              </w:rPr>
            </w:pPr>
            <w:r w:rsidRPr="00301DDB">
              <w:rPr>
                <w:rFonts w:ascii="Times New Roman" w:eastAsiaTheme="minorHAnsi" w:hAnsi="Times New Roman" w:cs="Times New Roman"/>
                <w:b/>
                <w:bCs/>
                <w:iCs/>
                <w:lang w:eastAsia="en-US"/>
              </w:rPr>
              <w:t>roots</w:t>
            </w:r>
          </w:p>
          <w:p w:rsidR="00301DDB" w:rsidRPr="00301DDB" w:rsidRDefault="00301DDB" w:rsidP="00301DDB">
            <w:pPr>
              <w:autoSpaceDE w:val="0"/>
              <w:autoSpaceDN w:val="0"/>
              <w:adjustRightInd w:val="0"/>
              <w:jc w:val="both"/>
              <w:rPr>
                <w:rFonts w:ascii="Times New Roman" w:eastAsiaTheme="minorHAnsi" w:hAnsi="Times New Roman" w:cs="Times New Roman"/>
                <w:b/>
                <w:bCs/>
                <w:iCs/>
                <w:lang w:eastAsia="en-US"/>
              </w:rPr>
            </w:pPr>
          </w:p>
        </w:tc>
        <w:tc>
          <w:tcPr>
            <w:tcW w:w="674" w:type="pct"/>
          </w:tcPr>
          <w:p w:rsidR="00301DDB" w:rsidRPr="00301DDB" w:rsidRDefault="00301DDB" w:rsidP="00301DDB">
            <w:pPr>
              <w:autoSpaceDE w:val="0"/>
              <w:autoSpaceDN w:val="0"/>
              <w:adjustRightInd w:val="0"/>
              <w:jc w:val="both"/>
              <w:rPr>
                <w:rFonts w:ascii="Times New Roman" w:eastAsiaTheme="minorHAnsi" w:hAnsi="Times New Roman" w:cs="Times New Roman"/>
                <w:b/>
                <w:bCs/>
                <w:iCs/>
                <w:lang w:eastAsia="en-US"/>
              </w:rPr>
            </w:pPr>
            <w:r w:rsidRPr="00301DDB">
              <w:rPr>
                <w:rFonts w:ascii="Times New Roman" w:eastAsiaTheme="minorHAnsi" w:hAnsi="Times New Roman" w:cs="Times New Roman"/>
                <w:b/>
                <w:bCs/>
                <w:iCs/>
                <w:lang w:eastAsia="en-US"/>
              </w:rPr>
              <w:t>Fine roots</w:t>
            </w:r>
          </w:p>
          <w:p w:rsidR="00301DDB" w:rsidRPr="00301DDB" w:rsidRDefault="00301DDB" w:rsidP="00301DDB">
            <w:pPr>
              <w:autoSpaceDE w:val="0"/>
              <w:autoSpaceDN w:val="0"/>
              <w:adjustRightInd w:val="0"/>
              <w:jc w:val="both"/>
              <w:rPr>
                <w:rFonts w:ascii="Times New Roman" w:eastAsiaTheme="minorHAnsi" w:hAnsi="Times New Roman" w:cs="Times New Roman"/>
                <w:b/>
                <w:bCs/>
                <w:iCs/>
                <w:lang w:eastAsia="en-US"/>
              </w:rPr>
            </w:pPr>
          </w:p>
        </w:tc>
      </w:tr>
      <w:tr w:rsidR="00301DDB" w:rsidRPr="00301DDB" w:rsidTr="00DB6218">
        <w:tc>
          <w:tcPr>
            <w:tcW w:w="957" w:type="pct"/>
          </w:tcPr>
          <w:p w:rsidR="00301DDB" w:rsidRPr="00301DDB" w:rsidRDefault="00301DDB" w:rsidP="00301DDB">
            <w:pPr>
              <w:jc w:val="both"/>
              <w:rPr>
                <w:rFonts w:ascii="Times New Roman" w:eastAsiaTheme="minorHAnsi" w:hAnsi="Times New Roman" w:cs="Times New Roman"/>
                <w:lang w:eastAsia="en-US"/>
              </w:rPr>
            </w:pPr>
            <w:r w:rsidRPr="00301DDB">
              <w:rPr>
                <w:rFonts w:ascii="Times New Roman" w:eastAsiaTheme="minorHAnsi" w:hAnsi="Times New Roman" w:cs="Times New Roman"/>
                <w:lang w:eastAsia="en-US"/>
              </w:rPr>
              <w:t>All National Vegetation Information System Major Vegetation Groups</w:t>
            </w:r>
          </w:p>
        </w:tc>
        <w:tc>
          <w:tcPr>
            <w:tcW w:w="674" w:type="pct"/>
          </w:tcPr>
          <w:p w:rsidR="00301DDB" w:rsidRPr="00301DDB" w:rsidRDefault="00301DDB" w:rsidP="00301DDB">
            <w:pPr>
              <w:jc w:val="both"/>
              <w:rPr>
                <w:rFonts w:ascii="Times New Roman" w:eastAsiaTheme="minorHAnsi" w:hAnsi="Times New Roman" w:cs="Times New Roman"/>
                <w:lang w:eastAsia="en-US"/>
              </w:rPr>
            </w:pPr>
            <w:r w:rsidRPr="00301DDB">
              <w:rPr>
                <w:rFonts w:ascii="Times New Roman" w:eastAsiaTheme="minorHAnsi" w:hAnsi="Times New Roman" w:cs="Times New Roman"/>
                <w:lang w:eastAsia="en-US"/>
              </w:rPr>
              <w:t>1</w:t>
            </w:r>
          </w:p>
        </w:tc>
        <w:tc>
          <w:tcPr>
            <w:tcW w:w="674" w:type="pct"/>
          </w:tcPr>
          <w:p w:rsidR="00301DDB" w:rsidRPr="00301DDB" w:rsidRDefault="00301DDB" w:rsidP="00301DDB">
            <w:pPr>
              <w:jc w:val="both"/>
              <w:rPr>
                <w:rFonts w:ascii="Times New Roman" w:eastAsiaTheme="minorHAnsi" w:hAnsi="Times New Roman" w:cs="Times New Roman"/>
                <w:lang w:eastAsia="en-US"/>
              </w:rPr>
            </w:pPr>
            <w:r w:rsidRPr="00301DDB">
              <w:rPr>
                <w:rFonts w:ascii="Times New Roman" w:eastAsiaTheme="minorHAnsi" w:hAnsi="Times New Roman" w:cs="Times New Roman"/>
                <w:lang w:eastAsia="en-US"/>
              </w:rPr>
              <w:t>0.1</w:t>
            </w:r>
          </w:p>
        </w:tc>
        <w:tc>
          <w:tcPr>
            <w:tcW w:w="674" w:type="pct"/>
          </w:tcPr>
          <w:p w:rsidR="00301DDB" w:rsidRPr="00301DDB" w:rsidRDefault="00301DDB" w:rsidP="00301DDB">
            <w:pPr>
              <w:jc w:val="both"/>
              <w:rPr>
                <w:rFonts w:ascii="Times New Roman" w:eastAsiaTheme="minorHAnsi" w:hAnsi="Times New Roman" w:cs="Times New Roman"/>
                <w:lang w:eastAsia="en-US"/>
              </w:rPr>
            </w:pPr>
            <w:r w:rsidRPr="00301DDB">
              <w:rPr>
                <w:rFonts w:ascii="Times New Roman" w:eastAsiaTheme="minorHAnsi" w:hAnsi="Times New Roman" w:cs="Times New Roman"/>
                <w:lang w:eastAsia="en-US"/>
              </w:rPr>
              <w:t>0.1</w:t>
            </w:r>
          </w:p>
        </w:tc>
        <w:tc>
          <w:tcPr>
            <w:tcW w:w="674" w:type="pct"/>
          </w:tcPr>
          <w:p w:rsidR="00301DDB" w:rsidRPr="00301DDB" w:rsidRDefault="00301DDB" w:rsidP="00301DDB">
            <w:pPr>
              <w:jc w:val="both"/>
              <w:rPr>
                <w:rFonts w:ascii="Times New Roman" w:eastAsiaTheme="minorHAnsi" w:hAnsi="Times New Roman" w:cs="Times New Roman"/>
                <w:lang w:eastAsia="en-US"/>
              </w:rPr>
            </w:pPr>
            <w:r w:rsidRPr="00301DDB">
              <w:rPr>
                <w:rFonts w:ascii="Times New Roman" w:eastAsiaTheme="minorHAnsi" w:hAnsi="Times New Roman" w:cs="Times New Roman"/>
                <w:lang w:eastAsia="en-US"/>
              </w:rPr>
              <w:t>0.5</w:t>
            </w:r>
          </w:p>
        </w:tc>
        <w:tc>
          <w:tcPr>
            <w:tcW w:w="674" w:type="pct"/>
          </w:tcPr>
          <w:p w:rsidR="00301DDB" w:rsidRPr="00301DDB" w:rsidRDefault="00301DDB" w:rsidP="00301DDB">
            <w:pPr>
              <w:jc w:val="both"/>
              <w:rPr>
                <w:rFonts w:ascii="Times New Roman" w:eastAsiaTheme="minorHAnsi" w:hAnsi="Times New Roman" w:cs="Times New Roman"/>
                <w:lang w:eastAsia="en-US"/>
              </w:rPr>
            </w:pPr>
            <w:r w:rsidRPr="00301DDB">
              <w:rPr>
                <w:rFonts w:ascii="Times New Roman" w:eastAsiaTheme="minorHAnsi" w:hAnsi="Times New Roman" w:cs="Times New Roman"/>
                <w:lang w:eastAsia="en-US"/>
              </w:rPr>
              <w:t>0.1</w:t>
            </w:r>
          </w:p>
        </w:tc>
        <w:tc>
          <w:tcPr>
            <w:tcW w:w="674" w:type="pct"/>
          </w:tcPr>
          <w:p w:rsidR="00301DDB" w:rsidRPr="00301DDB" w:rsidRDefault="00301DDB" w:rsidP="00301DDB">
            <w:pPr>
              <w:jc w:val="both"/>
              <w:rPr>
                <w:rFonts w:ascii="Times New Roman" w:eastAsiaTheme="minorHAnsi" w:hAnsi="Times New Roman" w:cs="Times New Roman"/>
                <w:lang w:eastAsia="en-US"/>
              </w:rPr>
            </w:pPr>
            <w:r w:rsidRPr="00301DDB">
              <w:rPr>
                <w:rFonts w:ascii="Times New Roman" w:eastAsiaTheme="minorHAnsi" w:hAnsi="Times New Roman" w:cs="Times New Roman"/>
                <w:lang w:eastAsia="en-US"/>
              </w:rPr>
              <w:t>0.3</w:t>
            </w:r>
          </w:p>
        </w:tc>
      </w:tr>
    </w:tbl>
    <w:p w:rsidR="00301DDB" w:rsidRPr="00301DDB" w:rsidRDefault="00301DDB" w:rsidP="00301DDB">
      <w:pPr>
        <w:keepLines/>
        <w:tabs>
          <w:tab w:val="right" w:pos="794"/>
        </w:tabs>
        <w:spacing w:before="80" w:after="100" w:line="260" w:lineRule="exact"/>
        <w:ind w:left="964" w:hanging="964"/>
        <w:jc w:val="both"/>
      </w:pPr>
      <w:r w:rsidRPr="00301DDB">
        <w:tab/>
      </w:r>
      <w:r w:rsidRPr="00301DDB">
        <w:tab/>
      </w:r>
    </w:p>
    <w:p w:rsidR="00301DDB" w:rsidRPr="00301DDB" w:rsidRDefault="00301DDB" w:rsidP="00301DDB">
      <w:pPr>
        <w:keepLines/>
        <w:pBdr>
          <w:top w:val="single" w:sz="4" w:space="0" w:color="auto"/>
        </w:pBdr>
        <w:spacing w:before="480" w:line="240" w:lineRule="exact"/>
        <w:ind w:left="567" w:hanging="567"/>
        <w:jc w:val="both"/>
        <w:rPr>
          <w:rFonts w:ascii="Arial" w:hAnsi="Arial"/>
          <w:b/>
        </w:rPr>
      </w:pPr>
      <w:r w:rsidRPr="00301DDB">
        <w:rPr>
          <w:rFonts w:ascii="Arial" w:hAnsi="Arial"/>
          <w:b/>
        </w:rPr>
        <w:t>Note</w:t>
      </w:r>
    </w:p>
    <w:p w:rsidR="00301DDB" w:rsidRPr="00301DDB" w:rsidRDefault="00301DDB" w:rsidP="00301DDB">
      <w:pPr>
        <w:keepLines/>
        <w:spacing w:before="120" w:line="240" w:lineRule="exact"/>
        <w:ind w:left="567" w:hanging="567"/>
        <w:jc w:val="both"/>
        <w:rPr>
          <w:sz w:val="22"/>
        </w:rPr>
      </w:pPr>
      <w:r w:rsidRPr="00301DDB">
        <w:rPr>
          <w:sz w:val="22"/>
        </w:rPr>
        <w:t>1.</w:t>
      </w:r>
      <w:r w:rsidRPr="00301DDB">
        <w:rPr>
          <w:sz w:val="22"/>
        </w:rPr>
        <w:tab/>
        <w:t xml:space="preserve">All legislative instruments and compilations are registered on the Federal Register of Legislative Instruments kept under the </w:t>
      </w:r>
      <w:r w:rsidRPr="00301DDB">
        <w:rPr>
          <w:i/>
          <w:sz w:val="22"/>
        </w:rPr>
        <w:t xml:space="preserve">Legislative Instruments Act 2003. </w:t>
      </w:r>
      <w:r w:rsidRPr="00301DDB">
        <w:rPr>
          <w:sz w:val="22"/>
        </w:rPr>
        <w:t xml:space="preserve">See </w:t>
      </w:r>
      <w:r w:rsidRPr="00301DDB">
        <w:rPr>
          <w:sz w:val="22"/>
          <w:u w:val="single"/>
        </w:rPr>
        <w:t>http://www.frli.gov.au</w:t>
      </w:r>
      <w:r w:rsidRPr="00301DDB">
        <w:rPr>
          <w:sz w:val="22"/>
        </w:rPr>
        <w:t>.</w:t>
      </w:r>
    </w:p>
    <w:p w:rsidR="00301DDB" w:rsidRPr="00301DDB" w:rsidRDefault="00301DDB" w:rsidP="00301DDB">
      <w:pPr>
        <w:jc w:val="both"/>
      </w:pPr>
    </w:p>
    <w:p w:rsidR="005E089C" w:rsidRPr="00301DDB" w:rsidRDefault="005E089C" w:rsidP="00301DDB"/>
    <w:sectPr w:rsidR="005E089C" w:rsidRPr="00301DDB" w:rsidSect="00D55828">
      <w:headerReference w:type="default" r:id="rId11"/>
      <w:footerReference w:type="default" r:id="rId12"/>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C8" w:rsidRDefault="006A2BC8" w:rsidP="00CD349A">
      <w:r>
        <w:separator/>
      </w:r>
    </w:p>
  </w:endnote>
  <w:endnote w:type="continuationSeparator" w:id="0">
    <w:p w:rsidR="006A2BC8" w:rsidRDefault="006A2BC8"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24B" w:rsidRDefault="005B524B"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B524B" w:rsidTr="005E089C">
      <w:tc>
        <w:tcPr>
          <w:tcW w:w="1134" w:type="dxa"/>
        </w:tcPr>
        <w:p w:rsidR="005B524B" w:rsidRDefault="005B524B" w:rsidP="005E089C">
          <w:pPr>
            <w:spacing w:line="240" w:lineRule="exact"/>
          </w:pPr>
        </w:p>
      </w:tc>
      <w:tc>
        <w:tcPr>
          <w:tcW w:w="6095" w:type="dxa"/>
        </w:tcPr>
        <w:p w:rsidR="005B524B" w:rsidRPr="004F5D6D" w:rsidRDefault="005B524B" w:rsidP="000338C0">
          <w:pPr>
            <w:pStyle w:val="FooterCitation"/>
          </w:pPr>
          <w:r w:rsidRPr="00335777">
            <w:t>Carbon Credits (Carbon Farming Initiative) (</w:t>
          </w:r>
          <w:r w:rsidR="004B154B">
            <w:t>Avoided Deforestation</w:t>
          </w:r>
          <w:r w:rsidRPr="00335777">
            <w:t>) Methodology Determination 2013</w:t>
          </w:r>
        </w:p>
      </w:tc>
      <w:tc>
        <w:tcPr>
          <w:tcW w:w="1134" w:type="dxa"/>
        </w:tcPr>
        <w:p w:rsidR="005B524B" w:rsidRPr="003D7214" w:rsidRDefault="005B524B"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7142EE">
            <w:rPr>
              <w:rStyle w:val="PageNumber"/>
              <w:rFonts w:cs="Arial"/>
              <w:noProof/>
              <w:szCs w:val="22"/>
            </w:rPr>
            <w:t>58</w:t>
          </w:r>
          <w:r w:rsidRPr="003D7214">
            <w:rPr>
              <w:rStyle w:val="PageNumber"/>
              <w:rFonts w:cs="Arial"/>
              <w:szCs w:val="22"/>
            </w:rPr>
            <w:fldChar w:fldCharType="end"/>
          </w:r>
        </w:p>
      </w:tc>
    </w:tr>
  </w:tbl>
  <w:p w:rsidR="005B524B" w:rsidRPr="00D55828" w:rsidRDefault="005B524B" w:rsidP="00D55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C8" w:rsidRDefault="006A2BC8" w:rsidP="00CD349A">
      <w:r>
        <w:separator/>
      </w:r>
    </w:p>
  </w:footnote>
  <w:footnote w:type="continuationSeparator" w:id="0">
    <w:p w:rsidR="006A2BC8" w:rsidRDefault="006A2BC8"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5B524B" w:rsidTr="005E089C">
      <w:tc>
        <w:tcPr>
          <w:tcW w:w="6914" w:type="dxa"/>
        </w:tcPr>
        <w:p w:rsidR="005B524B" w:rsidRDefault="005B524B"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7142EE">
            <w:rPr>
              <w:b/>
              <w:bCs/>
              <w:noProof/>
              <w:lang w:val="en-US"/>
            </w:rPr>
            <w:instrText>Error! No text of specified style in document.</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7142EE">
            <w:rPr>
              <w:b/>
              <w:bCs/>
              <w:noProof/>
              <w:lang w:val="en-US"/>
            </w:rPr>
            <w:instrText>Error! No text of specified style in document.</w:instrText>
          </w:r>
          <w:r>
            <w:rPr>
              <w:noProof/>
            </w:rPr>
            <w:fldChar w:fldCharType="end"/>
          </w:r>
          <w:r>
            <w:instrText xml:space="preserve"> &lt;&gt; "Error*"</w:instrText>
          </w:r>
          <w:fldSimple w:instr=" STYLEREF  &quot;HP&quot;  \* MERGEFORMAT ">
            <w:r>
              <w:rPr>
                <w:noProof/>
              </w:rPr>
              <w:instrText xml:space="preserve">Part </w:instrText>
            </w:r>
            <w:r>
              <w:rPr>
                <w:noProof/>
              </w:rPr>
              <w:tab/>
              <w:instrText>Monitoring, record-keeping and reporting requirements</w:instrText>
            </w:r>
          </w:fldSimple>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7142EE">
            <w:rPr>
              <w:b/>
              <w:bCs/>
              <w:noProof/>
              <w:lang w:val="en-US"/>
            </w:rPr>
            <w:instrText>Error! No text of specified style in document.</w:instrText>
          </w:r>
          <w:r>
            <w:rPr>
              <w:noProof/>
            </w:rPr>
            <w:fldChar w:fldCharType="end"/>
          </w:r>
          <w:r>
            <w:instrText xml:space="preserve"> &lt;&gt; "Error*"</w:instrText>
          </w:r>
          <w:fldSimple w:instr=" STYLEREF  &quot;HD&quot;  \* MERGEFORMAT ">
            <w:r>
              <w:rPr>
                <w:noProof/>
              </w:rPr>
              <w:instrText xml:space="preserve">Division </w:instrText>
            </w:r>
            <w:r>
              <w:rPr>
                <w:noProof/>
              </w:rPr>
              <w:tab/>
              <w:instrText>General</w:instrText>
            </w:r>
          </w:fldSimple>
          <w:r>
            <w:instrText xml:space="preserve"> \* MERGEFORMAT </w:instrText>
          </w:r>
          <w:r>
            <w:fldChar w:fldCharType="end"/>
          </w:r>
          <w:r>
            <w:br/>
          </w:r>
        </w:p>
      </w:tc>
      <w:tc>
        <w:tcPr>
          <w:tcW w:w="1471" w:type="dxa"/>
        </w:tcPr>
        <w:p w:rsidR="005B524B" w:rsidRDefault="005B524B" w:rsidP="005E089C">
          <w:pPr>
            <w:pStyle w:val="HeaderLiteOdd"/>
          </w:pPr>
        </w:p>
      </w:tc>
    </w:tr>
    <w:tr w:rsidR="005B524B" w:rsidTr="005E089C">
      <w:tc>
        <w:tcPr>
          <w:tcW w:w="6914" w:type="dxa"/>
        </w:tcPr>
        <w:p w:rsidR="005B524B" w:rsidRDefault="005B524B" w:rsidP="005E089C">
          <w:pPr>
            <w:pStyle w:val="HeaderLiteOdd"/>
            <w:jc w:val="left"/>
          </w:pPr>
        </w:p>
      </w:tc>
      <w:tc>
        <w:tcPr>
          <w:tcW w:w="1471" w:type="dxa"/>
        </w:tcPr>
        <w:p w:rsidR="005B524B" w:rsidRDefault="005B524B" w:rsidP="005E089C">
          <w:pPr>
            <w:pStyle w:val="HeaderLiteOdd"/>
          </w:pPr>
        </w:p>
      </w:tc>
    </w:tr>
    <w:tr w:rsidR="005B524B" w:rsidTr="005E089C">
      <w:tc>
        <w:tcPr>
          <w:tcW w:w="8385" w:type="dxa"/>
          <w:gridSpan w:val="2"/>
          <w:tcBorders>
            <w:bottom w:val="single" w:sz="4" w:space="0" w:color="auto"/>
          </w:tcBorders>
        </w:tcPr>
        <w:p w:rsidR="005B524B" w:rsidRDefault="005B524B" w:rsidP="005E089C">
          <w:pPr>
            <w:pStyle w:val="HeaderBoldOdd"/>
          </w:pPr>
        </w:p>
      </w:tc>
    </w:tr>
  </w:tbl>
  <w:p w:rsidR="005B524B" w:rsidRDefault="005B524B" w:rsidP="00D558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34D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E57B6"/>
    <w:lvl w:ilvl="0">
      <w:start w:val="1"/>
      <w:numFmt w:val="decimal"/>
      <w:lvlText w:val="%1."/>
      <w:lvlJc w:val="left"/>
      <w:pPr>
        <w:tabs>
          <w:tab w:val="num" w:pos="1492"/>
        </w:tabs>
        <w:ind w:left="1492" w:hanging="360"/>
      </w:pPr>
    </w:lvl>
  </w:abstractNum>
  <w:abstractNum w:abstractNumId="2">
    <w:nsid w:val="FFFFFF7D"/>
    <w:multiLevelType w:val="singleLevel"/>
    <w:tmpl w:val="EFCAC7DC"/>
    <w:lvl w:ilvl="0">
      <w:start w:val="1"/>
      <w:numFmt w:val="decimal"/>
      <w:lvlText w:val="%1."/>
      <w:lvlJc w:val="left"/>
      <w:pPr>
        <w:tabs>
          <w:tab w:val="num" w:pos="1209"/>
        </w:tabs>
        <w:ind w:left="1209" w:hanging="360"/>
      </w:pPr>
    </w:lvl>
  </w:abstractNum>
  <w:abstractNum w:abstractNumId="3">
    <w:nsid w:val="FFFFFF7E"/>
    <w:multiLevelType w:val="singleLevel"/>
    <w:tmpl w:val="B7EC71CA"/>
    <w:lvl w:ilvl="0">
      <w:start w:val="1"/>
      <w:numFmt w:val="decimal"/>
      <w:lvlText w:val="%1."/>
      <w:lvlJc w:val="left"/>
      <w:pPr>
        <w:tabs>
          <w:tab w:val="num" w:pos="926"/>
        </w:tabs>
        <w:ind w:left="926" w:hanging="360"/>
      </w:pPr>
    </w:lvl>
  </w:abstractNum>
  <w:abstractNum w:abstractNumId="4">
    <w:nsid w:val="FFFFFF7F"/>
    <w:multiLevelType w:val="singleLevel"/>
    <w:tmpl w:val="A90229CA"/>
    <w:lvl w:ilvl="0">
      <w:start w:val="1"/>
      <w:numFmt w:val="decimal"/>
      <w:lvlText w:val="%1."/>
      <w:lvlJc w:val="left"/>
      <w:pPr>
        <w:tabs>
          <w:tab w:val="num" w:pos="643"/>
        </w:tabs>
        <w:ind w:left="643" w:hanging="360"/>
      </w:pPr>
    </w:lvl>
  </w:abstractNum>
  <w:abstractNum w:abstractNumId="5">
    <w:nsid w:val="FFFFFF80"/>
    <w:multiLevelType w:val="singleLevel"/>
    <w:tmpl w:val="AE3E0F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18B9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02ED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6828F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A6B502"/>
    <w:lvl w:ilvl="0">
      <w:start w:val="1"/>
      <w:numFmt w:val="decimal"/>
      <w:lvlText w:val="%1."/>
      <w:lvlJc w:val="left"/>
      <w:pPr>
        <w:tabs>
          <w:tab w:val="num" w:pos="360"/>
        </w:tabs>
        <w:ind w:left="360" w:hanging="360"/>
      </w:pPr>
    </w:lvl>
  </w:abstractNum>
  <w:abstractNum w:abstractNumId="10">
    <w:nsid w:val="FFFFFF89"/>
    <w:multiLevelType w:val="singleLevel"/>
    <w:tmpl w:val="C26C5F88"/>
    <w:lvl w:ilvl="0">
      <w:start w:val="1"/>
      <w:numFmt w:val="bullet"/>
      <w:lvlText w:val=""/>
      <w:lvlJc w:val="left"/>
      <w:pPr>
        <w:tabs>
          <w:tab w:val="num" w:pos="360"/>
        </w:tabs>
        <w:ind w:left="360" w:hanging="360"/>
      </w:pPr>
      <w:rPr>
        <w:rFonts w:ascii="Symbol" w:hAnsi="Symbol" w:hint="default"/>
      </w:rPr>
    </w:lvl>
  </w:abstractNum>
  <w:abstractNum w:abstractNumId="11">
    <w:nsid w:val="01B11C5E"/>
    <w:multiLevelType w:val="multilevel"/>
    <w:tmpl w:val="3E10787A"/>
    <w:lvl w:ilvl="0">
      <w:start w:val="1"/>
      <w:numFmt w:val="decimal"/>
      <w:lvlText w:val="%1"/>
      <w:lvlJc w:val="left"/>
      <w:pPr>
        <w:ind w:left="0" w:firstLine="0"/>
      </w:pPr>
      <w:rPr>
        <w:rFonts w:cs="Times New Roman"/>
      </w:rPr>
    </w:lvl>
    <w:lvl w:ilvl="1">
      <w:start w:val="1"/>
      <w:numFmt w:val="decimal"/>
      <w:lvlRestart w:val="0"/>
      <w:lvlText w:val="%2"/>
      <w:lvlJc w:val="left"/>
      <w:pPr>
        <w:ind w:left="0" w:firstLine="0"/>
      </w:pPr>
      <w:rPr>
        <w:rFonts w:cs="Times New Roman"/>
      </w:rPr>
    </w:lvl>
    <w:lvl w:ilvl="2">
      <w:start w:val="1"/>
      <w:numFmt w:val="decimal"/>
      <w:lvlText w:val="%2.%3"/>
      <w:lvlJc w:val="left"/>
      <w:pPr>
        <w:ind w:left="0" w:firstLine="0"/>
      </w:pPr>
      <w:rPr>
        <w:rFonts w:cs="Times New Roman"/>
      </w:rPr>
    </w:lvl>
    <w:lvl w:ilvl="3">
      <w:start w:val="1"/>
      <w:numFmt w:val="decimal"/>
      <w:lvlText w:val="%2.%3.%4"/>
      <w:lvlJc w:val="left"/>
      <w:pPr>
        <w:ind w:left="1440" w:hanging="1440"/>
      </w:pPr>
      <w:rPr>
        <w:rFonts w:cs="Times New Roman"/>
      </w:rPr>
    </w:lvl>
    <w:lvl w:ilvl="4">
      <w:start w:val="1"/>
      <w:numFmt w:val="decimal"/>
      <w:lvlRestart w:val="2"/>
      <w:lvlText w:val="%2.%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lowerLetter"/>
      <w:lvlText w:val="(%7)"/>
      <w:lvlJc w:val="left"/>
      <w:pPr>
        <w:ind w:left="0" w:firstLine="0"/>
      </w:pPr>
      <w:rPr>
        <w:rFonts w:cs="Times New Roman"/>
      </w:rPr>
    </w:lvl>
    <w:lvl w:ilvl="7">
      <w:start w:val="1"/>
      <w:numFmt w:val="lowerRoman"/>
      <w:lvlText w:val="(%8)"/>
      <w:lvlJc w:val="left"/>
      <w:pPr>
        <w:ind w:left="0" w:firstLine="0"/>
      </w:pPr>
      <w:rPr>
        <w:rFonts w:cs="Times New Roman"/>
      </w:rPr>
    </w:lvl>
    <w:lvl w:ilvl="8">
      <w:start w:val="1"/>
      <w:numFmt w:val="upperLetter"/>
      <w:lvlText w:val="(%9)"/>
      <w:lvlJc w:val="left"/>
      <w:pPr>
        <w:ind w:left="0" w:firstLine="0"/>
      </w:pPr>
      <w:rPr>
        <w:rFonts w:cs="Times New Roman"/>
      </w:rPr>
    </w:lvl>
  </w:abstractNum>
  <w:abstractNum w:abstractNumId="12">
    <w:nsid w:val="08F42685"/>
    <w:multiLevelType w:val="hybridMultilevel"/>
    <w:tmpl w:val="9FB4232C"/>
    <w:lvl w:ilvl="0" w:tplc="423696D4">
      <w:start w:val="1"/>
      <w:numFmt w:val="lowerLetter"/>
      <w:lvlText w:val="(%1)"/>
      <w:lvlJc w:val="left"/>
      <w:pPr>
        <w:ind w:left="1684" w:hanging="360"/>
      </w:pPr>
      <w:rPr>
        <w:rFonts w:cs="Times New Roman" w:hint="default"/>
      </w:rPr>
    </w:lvl>
    <w:lvl w:ilvl="1" w:tplc="0C090019">
      <w:start w:val="1"/>
      <w:numFmt w:val="lowerLetter"/>
      <w:lvlText w:val="%2."/>
      <w:lvlJc w:val="left"/>
      <w:pPr>
        <w:ind w:left="2404" w:hanging="360"/>
      </w:pPr>
      <w:rPr>
        <w:rFonts w:cs="Times New Roman"/>
      </w:rPr>
    </w:lvl>
    <w:lvl w:ilvl="2" w:tplc="0C09001B" w:tentative="1">
      <w:start w:val="1"/>
      <w:numFmt w:val="lowerRoman"/>
      <w:lvlText w:val="%3."/>
      <w:lvlJc w:val="right"/>
      <w:pPr>
        <w:ind w:left="3124" w:hanging="180"/>
      </w:pPr>
      <w:rPr>
        <w:rFonts w:cs="Times New Roman"/>
      </w:rPr>
    </w:lvl>
    <w:lvl w:ilvl="3" w:tplc="0C09000F" w:tentative="1">
      <w:start w:val="1"/>
      <w:numFmt w:val="decimal"/>
      <w:lvlText w:val="%4."/>
      <w:lvlJc w:val="left"/>
      <w:pPr>
        <w:ind w:left="3844" w:hanging="360"/>
      </w:pPr>
      <w:rPr>
        <w:rFonts w:cs="Times New Roman"/>
      </w:rPr>
    </w:lvl>
    <w:lvl w:ilvl="4" w:tplc="0C090019" w:tentative="1">
      <w:start w:val="1"/>
      <w:numFmt w:val="lowerLetter"/>
      <w:lvlText w:val="%5."/>
      <w:lvlJc w:val="left"/>
      <w:pPr>
        <w:ind w:left="4564" w:hanging="360"/>
      </w:pPr>
      <w:rPr>
        <w:rFonts w:cs="Times New Roman"/>
      </w:rPr>
    </w:lvl>
    <w:lvl w:ilvl="5" w:tplc="0C09001B" w:tentative="1">
      <w:start w:val="1"/>
      <w:numFmt w:val="lowerRoman"/>
      <w:lvlText w:val="%6."/>
      <w:lvlJc w:val="right"/>
      <w:pPr>
        <w:ind w:left="5284" w:hanging="180"/>
      </w:pPr>
      <w:rPr>
        <w:rFonts w:cs="Times New Roman"/>
      </w:rPr>
    </w:lvl>
    <w:lvl w:ilvl="6" w:tplc="0C09000F" w:tentative="1">
      <w:start w:val="1"/>
      <w:numFmt w:val="decimal"/>
      <w:lvlText w:val="%7."/>
      <w:lvlJc w:val="left"/>
      <w:pPr>
        <w:ind w:left="6004" w:hanging="360"/>
      </w:pPr>
      <w:rPr>
        <w:rFonts w:cs="Times New Roman"/>
      </w:rPr>
    </w:lvl>
    <w:lvl w:ilvl="7" w:tplc="0C090019" w:tentative="1">
      <w:start w:val="1"/>
      <w:numFmt w:val="lowerLetter"/>
      <w:lvlText w:val="%8."/>
      <w:lvlJc w:val="left"/>
      <w:pPr>
        <w:ind w:left="6724" w:hanging="360"/>
      </w:pPr>
      <w:rPr>
        <w:rFonts w:cs="Times New Roman"/>
      </w:rPr>
    </w:lvl>
    <w:lvl w:ilvl="8" w:tplc="0C09001B" w:tentative="1">
      <w:start w:val="1"/>
      <w:numFmt w:val="lowerRoman"/>
      <w:lvlText w:val="%9."/>
      <w:lvlJc w:val="right"/>
      <w:pPr>
        <w:ind w:left="7444" w:hanging="180"/>
      </w:pPr>
      <w:rPr>
        <w:rFonts w:cs="Times New Roman"/>
      </w:rPr>
    </w:lvl>
  </w:abstractNum>
  <w:abstractNum w:abstractNumId="1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452B22"/>
    <w:multiLevelType w:val="multilevel"/>
    <w:tmpl w:val="D868CB18"/>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AF919A2"/>
    <w:multiLevelType w:val="hybridMultilevel"/>
    <w:tmpl w:val="6B866CE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18">
    <w:nsid w:val="11B17281"/>
    <w:multiLevelType w:val="multilevel"/>
    <w:tmpl w:val="D33EA9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12615813"/>
    <w:multiLevelType w:val="hybridMultilevel"/>
    <w:tmpl w:val="2DC654AE"/>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64CC83A2">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60E5660"/>
    <w:multiLevelType w:val="multilevel"/>
    <w:tmpl w:val="91363FF2"/>
    <w:lvl w:ilvl="0">
      <w:start w:val="1"/>
      <w:numFmt w:val="decimal"/>
      <w:lvlText w:val="%1."/>
      <w:lvlJc w:val="left"/>
      <w:pPr>
        <w:tabs>
          <w:tab w:val="num" w:pos="1240"/>
        </w:tabs>
        <w:ind w:left="1240" w:hanging="520"/>
      </w:pPr>
      <w:rPr>
        <w:rFonts w:cs="Times New Roman" w:hint="default"/>
      </w:rPr>
    </w:lvl>
    <w:lvl w:ilvl="1">
      <w:start w:val="1"/>
      <w:numFmt w:val="decimal"/>
      <w:lvlText w:val="%1.%2."/>
      <w:lvlJc w:val="left"/>
      <w:pPr>
        <w:tabs>
          <w:tab w:val="num" w:pos="1760"/>
        </w:tabs>
        <w:ind w:left="1760" w:hanging="520"/>
      </w:pPr>
      <w:rPr>
        <w:rFonts w:cs="Times New Roman" w:hint="default"/>
      </w:rPr>
    </w:lvl>
    <w:lvl w:ilvl="2">
      <w:start w:val="1"/>
      <w:numFmt w:val="decimal"/>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1E3A4FDE"/>
    <w:multiLevelType w:val="hybridMultilevel"/>
    <w:tmpl w:val="8A6CF1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4">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5">
    <w:nsid w:val="2B25609B"/>
    <w:multiLevelType w:val="multilevel"/>
    <w:tmpl w:val="7174DE74"/>
    <w:lvl w:ilvl="0">
      <w:start w:val="1"/>
      <w:numFmt w:val="decimal"/>
      <w:lvlText w:val="(%1)"/>
      <w:lvlJc w:val="left"/>
      <w:pPr>
        <w:ind w:left="360" w:hanging="360"/>
      </w:pPr>
      <w:rPr>
        <w:rFonts w:cs="Times New Roman" w:hint="default"/>
      </w:rPr>
    </w:lvl>
    <w:lvl w:ilvl="1">
      <w:start w:val="1"/>
      <w:numFmt w:val="decimal"/>
      <w:lvlText w:val="4.%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1AB335D"/>
    <w:multiLevelType w:val="hybridMultilevel"/>
    <w:tmpl w:val="82A444D6"/>
    <w:lvl w:ilvl="0" w:tplc="EF1A7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8A3023A"/>
    <w:multiLevelType w:val="hybridMultilevel"/>
    <w:tmpl w:val="940C00D8"/>
    <w:lvl w:ilvl="0" w:tplc="5BDC773C">
      <w:start w:val="1"/>
      <w:numFmt w:val="lowerLetter"/>
      <w:lvlText w:val="(%1)"/>
      <w:lvlJc w:val="left"/>
      <w:pPr>
        <w:ind w:left="1704" w:hanging="444"/>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8">
    <w:nsid w:val="39DA2B6F"/>
    <w:multiLevelType w:val="multilevel"/>
    <w:tmpl w:val="ED266EAC"/>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F7D631D"/>
    <w:multiLevelType w:val="hybridMultilevel"/>
    <w:tmpl w:val="29FE50C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447E5B26"/>
    <w:multiLevelType w:val="hybridMultilevel"/>
    <w:tmpl w:val="0A0E15B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C96000F2">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4D1344"/>
    <w:multiLevelType w:val="hybridMultilevel"/>
    <w:tmpl w:val="8A60EB6C"/>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523846"/>
    <w:multiLevelType w:val="hybridMultilevel"/>
    <w:tmpl w:val="2676D830"/>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37">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pStyle w:val="Heading6"/>
      <w:lvlText w:val="%6."/>
      <w:lvlJc w:val="right"/>
      <w:pPr>
        <w:tabs>
          <w:tab w:val="num" w:pos="4320"/>
        </w:tabs>
        <w:ind w:left="4320" w:hanging="180"/>
      </w:pPr>
      <w:rPr>
        <w:rFonts w:cs="Times New Roman"/>
      </w:rPr>
    </w:lvl>
    <w:lvl w:ilvl="6" w:tplc="0C09000F" w:tentative="1">
      <w:start w:val="1"/>
      <w:numFmt w:val="decimal"/>
      <w:pStyle w:val="Heading7"/>
      <w:lvlText w:val="%7."/>
      <w:lvlJc w:val="left"/>
      <w:pPr>
        <w:tabs>
          <w:tab w:val="num" w:pos="5040"/>
        </w:tabs>
        <w:ind w:left="5040" w:hanging="360"/>
      </w:pPr>
      <w:rPr>
        <w:rFonts w:cs="Times New Roman"/>
      </w:rPr>
    </w:lvl>
    <w:lvl w:ilvl="7" w:tplc="0C090019" w:tentative="1">
      <w:start w:val="1"/>
      <w:numFmt w:val="lowerLetter"/>
      <w:pStyle w:val="Heading8"/>
      <w:lvlText w:val="%8."/>
      <w:lvlJc w:val="left"/>
      <w:pPr>
        <w:tabs>
          <w:tab w:val="num" w:pos="5760"/>
        </w:tabs>
        <w:ind w:left="5760" w:hanging="360"/>
      </w:pPr>
      <w:rPr>
        <w:rFonts w:cs="Times New Roman"/>
      </w:rPr>
    </w:lvl>
    <w:lvl w:ilvl="8" w:tplc="0C09001B" w:tentative="1">
      <w:start w:val="1"/>
      <w:numFmt w:val="lowerRoman"/>
      <w:pStyle w:val="Heading9"/>
      <w:lvlText w:val="%9."/>
      <w:lvlJc w:val="right"/>
      <w:pPr>
        <w:tabs>
          <w:tab w:val="num" w:pos="6480"/>
        </w:tabs>
        <w:ind w:left="6480" w:hanging="180"/>
      </w:pPr>
      <w:rPr>
        <w:rFonts w:cs="Times New Roman"/>
      </w:rPr>
    </w:lvl>
  </w:abstractNum>
  <w:abstractNum w:abstractNumId="38">
    <w:nsid w:val="650F3820"/>
    <w:multiLevelType w:val="hybridMultilevel"/>
    <w:tmpl w:val="93E0785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935262"/>
    <w:multiLevelType w:val="hybridMultilevel"/>
    <w:tmpl w:val="84B0D1B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num w:numId="1">
    <w:abstractNumId w:val="36"/>
  </w:num>
  <w:num w:numId="2">
    <w:abstractNumId w:val="39"/>
  </w:num>
  <w:num w:numId="3">
    <w:abstractNumId w:val="23"/>
  </w:num>
  <w:num w:numId="4">
    <w:abstractNumId w:val="41"/>
  </w:num>
  <w:num w:numId="5">
    <w:abstractNumId w:val="17"/>
  </w:num>
  <w:num w:numId="6">
    <w:abstractNumId w:val="35"/>
  </w:num>
  <w:num w:numId="7">
    <w:abstractNumId w:val="37"/>
  </w:num>
  <w:num w:numId="8">
    <w:abstractNumId w:val="12"/>
  </w:num>
  <w:num w:numId="9">
    <w:abstractNumId w:val="5"/>
  </w:num>
  <w:num w:numId="10">
    <w:abstractNumId w:val="2"/>
  </w:num>
  <w:num w:numId="11">
    <w:abstractNumId w:val="16"/>
  </w:num>
  <w:num w:numId="12">
    <w:abstractNumId w:val="33"/>
  </w:num>
  <w:num w:numId="13">
    <w:abstractNumId w:val="32"/>
  </w:num>
  <w:num w:numId="14">
    <w:abstractNumId w:val="10"/>
  </w:num>
  <w:num w:numId="15">
    <w:abstractNumId w:val="8"/>
  </w:num>
  <w:num w:numId="16">
    <w:abstractNumId w:val="7"/>
  </w:num>
  <w:num w:numId="17">
    <w:abstractNumId w:val="6"/>
  </w:num>
  <w:num w:numId="18">
    <w:abstractNumId w:val="9"/>
  </w:num>
  <w:num w:numId="19">
    <w:abstractNumId w:val="4"/>
  </w:num>
  <w:num w:numId="20">
    <w:abstractNumId w:val="3"/>
  </w:num>
  <w:num w:numId="21">
    <w:abstractNumId w:val="1"/>
  </w:num>
  <w:num w:numId="22">
    <w:abstractNumId w:val="0"/>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3"/>
  </w:num>
  <w:num w:numId="27">
    <w:abstractNumId w:val="21"/>
  </w:num>
  <w:num w:numId="28">
    <w:abstractNumId w:val="25"/>
  </w:num>
  <w:num w:numId="29">
    <w:abstractNumId w:val="14"/>
  </w:num>
  <w:num w:numId="30">
    <w:abstractNumId w:val="28"/>
  </w:num>
  <w:num w:numId="31">
    <w:abstractNumId w:val="30"/>
  </w:num>
  <w:num w:numId="32">
    <w:abstractNumId w:val="31"/>
  </w:num>
  <w:num w:numId="33">
    <w:abstractNumId w:val="27"/>
  </w:num>
  <w:num w:numId="34">
    <w:abstractNumId w:val="34"/>
  </w:num>
  <w:num w:numId="35">
    <w:abstractNumId w:val="19"/>
  </w:num>
  <w:num w:numId="3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2"/>
  </w:num>
  <w:num w:numId="39">
    <w:abstractNumId w:val="20"/>
  </w:num>
  <w:num w:numId="40">
    <w:abstractNumId w:val="24"/>
  </w:num>
  <w:num w:numId="41">
    <w:abstractNumId w:val="26"/>
  </w:num>
  <w:num w:numId="42">
    <w:abstractNumId w:val="38"/>
  </w:num>
  <w:num w:numId="4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87"/>
    <w:rsid w:val="00004C07"/>
    <w:rsid w:val="00015C8A"/>
    <w:rsid w:val="00020B4A"/>
    <w:rsid w:val="000338C0"/>
    <w:rsid w:val="000355DA"/>
    <w:rsid w:val="00047F86"/>
    <w:rsid w:val="00054D28"/>
    <w:rsid w:val="000617F0"/>
    <w:rsid w:val="000623AF"/>
    <w:rsid w:val="00067B4C"/>
    <w:rsid w:val="000719C5"/>
    <w:rsid w:val="00071ABA"/>
    <w:rsid w:val="00075201"/>
    <w:rsid w:val="00082C07"/>
    <w:rsid w:val="0009092D"/>
    <w:rsid w:val="0009245B"/>
    <w:rsid w:val="00097721"/>
    <w:rsid w:val="000A1DD3"/>
    <w:rsid w:val="000A4395"/>
    <w:rsid w:val="000A4B73"/>
    <w:rsid w:val="000B10B3"/>
    <w:rsid w:val="000C3480"/>
    <w:rsid w:val="000C64D9"/>
    <w:rsid w:val="000C78B2"/>
    <w:rsid w:val="000D19CF"/>
    <w:rsid w:val="000D3FCA"/>
    <w:rsid w:val="000D52E8"/>
    <w:rsid w:val="000D7ADD"/>
    <w:rsid w:val="000E11BD"/>
    <w:rsid w:val="000E5DA5"/>
    <w:rsid w:val="000F25CE"/>
    <w:rsid w:val="000F268F"/>
    <w:rsid w:val="000F5EAB"/>
    <w:rsid w:val="001021CE"/>
    <w:rsid w:val="00103469"/>
    <w:rsid w:val="001039E3"/>
    <w:rsid w:val="00104E4D"/>
    <w:rsid w:val="001221B1"/>
    <w:rsid w:val="001371A8"/>
    <w:rsid w:val="00146C6E"/>
    <w:rsid w:val="00154B52"/>
    <w:rsid w:val="00155A3F"/>
    <w:rsid w:val="00163585"/>
    <w:rsid w:val="001879A5"/>
    <w:rsid w:val="00190146"/>
    <w:rsid w:val="0019197B"/>
    <w:rsid w:val="0019262B"/>
    <w:rsid w:val="00196C56"/>
    <w:rsid w:val="001A1C92"/>
    <w:rsid w:val="001A7D69"/>
    <w:rsid w:val="001A7EF9"/>
    <w:rsid w:val="001B0EDE"/>
    <w:rsid w:val="001B0FDC"/>
    <w:rsid w:val="001B17B7"/>
    <w:rsid w:val="001B43F7"/>
    <w:rsid w:val="001C00EC"/>
    <w:rsid w:val="001C21EF"/>
    <w:rsid w:val="001C4586"/>
    <w:rsid w:val="001C46E5"/>
    <w:rsid w:val="001C53C5"/>
    <w:rsid w:val="001C5B60"/>
    <w:rsid w:val="001D10D2"/>
    <w:rsid w:val="001D343C"/>
    <w:rsid w:val="001E07D6"/>
    <w:rsid w:val="001E3621"/>
    <w:rsid w:val="001F0ECE"/>
    <w:rsid w:val="00200C99"/>
    <w:rsid w:val="00204FF5"/>
    <w:rsid w:val="0020602F"/>
    <w:rsid w:val="002079A5"/>
    <w:rsid w:val="002222C0"/>
    <w:rsid w:val="00226638"/>
    <w:rsid w:val="00240387"/>
    <w:rsid w:val="00240E72"/>
    <w:rsid w:val="00243060"/>
    <w:rsid w:val="00251AB0"/>
    <w:rsid w:val="00251FF0"/>
    <w:rsid w:val="0025248F"/>
    <w:rsid w:val="002613FD"/>
    <w:rsid w:val="002619A7"/>
    <w:rsid w:val="00266EC3"/>
    <w:rsid w:val="00274844"/>
    <w:rsid w:val="0028310D"/>
    <w:rsid w:val="0028435A"/>
    <w:rsid w:val="0028554D"/>
    <w:rsid w:val="002874AF"/>
    <w:rsid w:val="00294C36"/>
    <w:rsid w:val="00295FF1"/>
    <w:rsid w:val="00296B04"/>
    <w:rsid w:val="00296BB0"/>
    <w:rsid w:val="002A0734"/>
    <w:rsid w:val="002A23AC"/>
    <w:rsid w:val="002A3DFD"/>
    <w:rsid w:val="002A715D"/>
    <w:rsid w:val="002A792A"/>
    <w:rsid w:val="002B05DE"/>
    <w:rsid w:val="002B3FCD"/>
    <w:rsid w:val="002C2687"/>
    <w:rsid w:val="002C2F7B"/>
    <w:rsid w:val="002D46BC"/>
    <w:rsid w:val="002D6B77"/>
    <w:rsid w:val="002E5877"/>
    <w:rsid w:val="002F7D85"/>
    <w:rsid w:val="00301DDB"/>
    <w:rsid w:val="00305187"/>
    <w:rsid w:val="003141C8"/>
    <w:rsid w:val="00317F44"/>
    <w:rsid w:val="00320B41"/>
    <w:rsid w:val="003242D9"/>
    <w:rsid w:val="00325010"/>
    <w:rsid w:val="003279DC"/>
    <w:rsid w:val="003305B9"/>
    <w:rsid w:val="00335777"/>
    <w:rsid w:val="0033655F"/>
    <w:rsid w:val="00340A6B"/>
    <w:rsid w:val="00340F5E"/>
    <w:rsid w:val="00346CCC"/>
    <w:rsid w:val="00350190"/>
    <w:rsid w:val="0035089C"/>
    <w:rsid w:val="00357818"/>
    <w:rsid w:val="00357AB6"/>
    <w:rsid w:val="00357F0A"/>
    <w:rsid w:val="00360606"/>
    <w:rsid w:val="00361F86"/>
    <w:rsid w:val="003626B8"/>
    <w:rsid w:val="003650F0"/>
    <w:rsid w:val="0036690A"/>
    <w:rsid w:val="0036772E"/>
    <w:rsid w:val="00370FF3"/>
    <w:rsid w:val="00371133"/>
    <w:rsid w:val="00373147"/>
    <w:rsid w:val="0038655C"/>
    <w:rsid w:val="003873D6"/>
    <w:rsid w:val="0039720F"/>
    <w:rsid w:val="003A5389"/>
    <w:rsid w:val="003B3C38"/>
    <w:rsid w:val="003B533D"/>
    <w:rsid w:val="003B6049"/>
    <w:rsid w:val="003C1036"/>
    <w:rsid w:val="003C4005"/>
    <w:rsid w:val="003D1D52"/>
    <w:rsid w:val="003D3593"/>
    <w:rsid w:val="003E786A"/>
    <w:rsid w:val="00400062"/>
    <w:rsid w:val="004169E9"/>
    <w:rsid w:val="0042214C"/>
    <w:rsid w:val="004256EA"/>
    <w:rsid w:val="0042599E"/>
    <w:rsid w:val="00432C39"/>
    <w:rsid w:val="00435274"/>
    <w:rsid w:val="004364BD"/>
    <w:rsid w:val="0044066B"/>
    <w:rsid w:val="00442743"/>
    <w:rsid w:val="004466D2"/>
    <w:rsid w:val="00454E8D"/>
    <w:rsid w:val="00460E1D"/>
    <w:rsid w:val="00461FEB"/>
    <w:rsid w:val="00470B08"/>
    <w:rsid w:val="0048041D"/>
    <w:rsid w:val="00481C41"/>
    <w:rsid w:val="004851AF"/>
    <w:rsid w:val="00491982"/>
    <w:rsid w:val="00492CF8"/>
    <w:rsid w:val="004A2A6A"/>
    <w:rsid w:val="004A2EAA"/>
    <w:rsid w:val="004A3AA1"/>
    <w:rsid w:val="004A7023"/>
    <w:rsid w:val="004A7433"/>
    <w:rsid w:val="004B006F"/>
    <w:rsid w:val="004B154B"/>
    <w:rsid w:val="004B25AF"/>
    <w:rsid w:val="004B27AD"/>
    <w:rsid w:val="004B5D4C"/>
    <w:rsid w:val="004B627A"/>
    <w:rsid w:val="004C5342"/>
    <w:rsid w:val="004C6301"/>
    <w:rsid w:val="004D7E06"/>
    <w:rsid w:val="004E23CA"/>
    <w:rsid w:val="004E460B"/>
    <w:rsid w:val="004E7320"/>
    <w:rsid w:val="004F142A"/>
    <w:rsid w:val="004F165A"/>
    <w:rsid w:val="005039D7"/>
    <w:rsid w:val="005067AB"/>
    <w:rsid w:val="0051675E"/>
    <w:rsid w:val="00521D2D"/>
    <w:rsid w:val="00523640"/>
    <w:rsid w:val="005278BD"/>
    <w:rsid w:val="00530A5F"/>
    <w:rsid w:val="00534890"/>
    <w:rsid w:val="00543F18"/>
    <w:rsid w:val="005442B8"/>
    <w:rsid w:val="005531AF"/>
    <w:rsid w:val="00560DF0"/>
    <w:rsid w:val="005624F6"/>
    <w:rsid w:val="0056795F"/>
    <w:rsid w:val="00572C6C"/>
    <w:rsid w:val="00576829"/>
    <w:rsid w:val="00585C2A"/>
    <w:rsid w:val="00594D8F"/>
    <w:rsid w:val="00597022"/>
    <w:rsid w:val="005A13BA"/>
    <w:rsid w:val="005A3D09"/>
    <w:rsid w:val="005B1198"/>
    <w:rsid w:val="005B524B"/>
    <w:rsid w:val="005B6638"/>
    <w:rsid w:val="005C5557"/>
    <w:rsid w:val="005D09BD"/>
    <w:rsid w:val="005D12B4"/>
    <w:rsid w:val="005D788F"/>
    <w:rsid w:val="005E089C"/>
    <w:rsid w:val="005E0B2B"/>
    <w:rsid w:val="005E1603"/>
    <w:rsid w:val="005E3EEB"/>
    <w:rsid w:val="005F3FA5"/>
    <w:rsid w:val="005F795E"/>
    <w:rsid w:val="00600BF1"/>
    <w:rsid w:val="00602B66"/>
    <w:rsid w:val="00603A21"/>
    <w:rsid w:val="00606666"/>
    <w:rsid w:val="006102EB"/>
    <w:rsid w:val="00612A92"/>
    <w:rsid w:val="00612F33"/>
    <w:rsid w:val="00614805"/>
    <w:rsid w:val="00616669"/>
    <w:rsid w:val="006178B2"/>
    <w:rsid w:val="0062110B"/>
    <w:rsid w:val="00625E25"/>
    <w:rsid w:val="00626222"/>
    <w:rsid w:val="00631BDD"/>
    <w:rsid w:val="00632F5C"/>
    <w:rsid w:val="006344C2"/>
    <w:rsid w:val="006369A7"/>
    <w:rsid w:val="00637766"/>
    <w:rsid w:val="006440BB"/>
    <w:rsid w:val="00645813"/>
    <w:rsid w:val="00651E79"/>
    <w:rsid w:val="00655E7E"/>
    <w:rsid w:val="00662CB5"/>
    <w:rsid w:val="0067627B"/>
    <w:rsid w:val="006765EF"/>
    <w:rsid w:val="006928A7"/>
    <w:rsid w:val="006944F3"/>
    <w:rsid w:val="006A2BC8"/>
    <w:rsid w:val="006A2D0F"/>
    <w:rsid w:val="006A43B6"/>
    <w:rsid w:val="006B3FF1"/>
    <w:rsid w:val="006B4F2C"/>
    <w:rsid w:val="006B66B1"/>
    <w:rsid w:val="006B6E9E"/>
    <w:rsid w:val="006C10EE"/>
    <w:rsid w:val="006C62F2"/>
    <w:rsid w:val="006D046D"/>
    <w:rsid w:val="006D2167"/>
    <w:rsid w:val="006D6E93"/>
    <w:rsid w:val="006E174A"/>
    <w:rsid w:val="006E675D"/>
    <w:rsid w:val="006E714B"/>
    <w:rsid w:val="006F1F26"/>
    <w:rsid w:val="00702A23"/>
    <w:rsid w:val="0070456A"/>
    <w:rsid w:val="00706322"/>
    <w:rsid w:val="007142EE"/>
    <w:rsid w:val="00735A07"/>
    <w:rsid w:val="007479AC"/>
    <w:rsid w:val="00750E40"/>
    <w:rsid w:val="007525D0"/>
    <w:rsid w:val="00753CD8"/>
    <w:rsid w:val="007546F4"/>
    <w:rsid w:val="00757BB4"/>
    <w:rsid w:val="00765009"/>
    <w:rsid w:val="00775308"/>
    <w:rsid w:val="0077544D"/>
    <w:rsid w:val="007A4262"/>
    <w:rsid w:val="007A7093"/>
    <w:rsid w:val="007B5A3E"/>
    <w:rsid w:val="007B7298"/>
    <w:rsid w:val="007B77B4"/>
    <w:rsid w:val="007B7F82"/>
    <w:rsid w:val="007C6814"/>
    <w:rsid w:val="007D6B31"/>
    <w:rsid w:val="007D7984"/>
    <w:rsid w:val="007E3CC8"/>
    <w:rsid w:val="00802A8C"/>
    <w:rsid w:val="00802BCB"/>
    <w:rsid w:val="00803F1D"/>
    <w:rsid w:val="0081465A"/>
    <w:rsid w:val="00816173"/>
    <w:rsid w:val="008244C7"/>
    <w:rsid w:val="008248A3"/>
    <w:rsid w:val="00835479"/>
    <w:rsid w:val="00837783"/>
    <w:rsid w:val="00850C35"/>
    <w:rsid w:val="00862D1C"/>
    <w:rsid w:val="0086498C"/>
    <w:rsid w:val="00881315"/>
    <w:rsid w:val="00891268"/>
    <w:rsid w:val="0089138C"/>
    <w:rsid w:val="00891D99"/>
    <w:rsid w:val="008928D0"/>
    <w:rsid w:val="008A196F"/>
    <w:rsid w:val="008A6668"/>
    <w:rsid w:val="008B2D7D"/>
    <w:rsid w:val="008B2E01"/>
    <w:rsid w:val="008B3D92"/>
    <w:rsid w:val="008B70DB"/>
    <w:rsid w:val="008B79A2"/>
    <w:rsid w:val="008C232C"/>
    <w:rsid w:val="008C6398"/>
    <w:rsid w:val="008D4A5E"/>
    <w:rsid w:val="008E076A"/>
    <w:rsid w:val="008E1178"/>
    <w:rsid w:val="008E5FE2"/>
    <w:rsid w:val="008E6498"/>
    <w:rsid w:val="008E675D"/>
    <w:rsid w:val="008E6A88"/>
    <w:rsid w:val="008E6F70"/>
    <w:rsid w:val="008F572A"/>
    <w:rsid w:val="009017C3"/>
    <w:rsid w:val="009062A3"/>
    <w:rsid w:val="00906CF9"/>
    <w:rsid w:val="0091062E"/>
    <w:rsid w:val="00913C4C"/>
    <w:rsid w:val="009142CA"/>
    <w:rsid w:val="009157E5"/>
    <w:rsid w:val="00920A65"/>
    <w:rsid w:val="00924286"/>
    <w:rsid w:val="0093227F"/>
    <w:rsid w:val="00945768"/>
    <w:rsid w:val="0095528A"/>
    <w:rsid w:val="009621E7"/>
    <w:rsid w:val="00966897"/>
    <w:rsid w:val="00977226"/>
    <w:rsid w:val="00986743"/>
    <w:rsid w:val="009909B8"/>
    <w:rsid w:val="00990E22"/>
    <w:rsid w:val="0099174E"/>
    <w:rsid w:val="009919DD"/>
    <w:rsid w:val="00997524"/>
    <w:rsid w:val="009A68CC"/>
    <w:rsid w:val="009B6C43"/>
    <w:rsid w:val="009B705E"/>
    <w:rsid w:val="009D76CF"/>
    <w:rsid w:val="009E077E"/>
    <w:rsid w:val="009E0DCE"/>
    <w:rsid w:val="009E54FE"/>
    <w:rsid w:val="009F1B65"/>
    <w:rsid w:val="009F5B13"/>
    <w:rsid w:val="00A01FDC"/>
    <w:rsid w:val="00A07F36"/>
    <w:rsid w:val="00A13CE8"/>
    <w:rsid w:val="00A2009E"/>
    <w:rsid w:val="00A2024D"/>
    <w:rsid w:val="00A269AF"/>
    <w:rsid w:val="00A323FB"/>
    <w:rsid w:val="00A40116"/>
    <w:rsid w:val="00A40B17"/>
    <w:rsid w:val="00A43D44"/>
    <w:rsid w:val="00A50ADA"/>
    <w:rsid w:val="00A56CEE"/>
    <w:rsid w:val="00A57A89"/>
    <w:rsid w:val="00A57EB6"/>
    <w:rsid w:val="00A613A8"/>
    <w:rsid w:val="00A65F23"/>
    <w:rsid w:val="00A7138C"/>
    <w:rsid w:val="00A8314E"/>
    <w:rsid w:val="00A869F8"/>
    <w:rsid w:val="00A91E59"/>
    <w:rsid w:val="00A97C19"/>
    <w:rsid w:val="00AB5405"/>
    <w:rsid w:val="00AB71F2"/>
    <w:rsid w:val="00AC3C70"/>
    <w:rsid w:val="00AC6141"/>
    <w:rsid w:val="00AC71C9"/>
    <w:rsid w:val="00AE1D20"/>
    <w:rsid w:val="00AE2A57"/>
    <w:rsid w:val="00AE47A5"/>
    <w:rsid w:val="00AE6CB5"/>
    <w:rsid w:val="00B02D1D"/>
    <w:rsid w:val="00B078D6"/>
    <w:rsid w:val="00B11C34"/>
    <w:rsid w:val="00B1538F"/>
    <w:rsid w:val="00B24BF4"/>
    <w:rsid w:val="00B27098"/>
    <w:rsid w:val="00B3033E"/>
    <w:rsid w:val="00B312FC"/>
    <w:rsid w:val="00B506F9"/>
    <w:rsid w:val="00B52169"/>
    <w:rsid w:val="00B55630"/>
    <w:rsid w:val="00B611BC"/>
    <w:rsid w:val="00B61308"/>
    <w:rsid w:val="00B67355"/>
    <w:rsid w:val="00B67E6E"/>
    <w:rsid w:val="00B70277"/>
    <w:rsid w:val="00B76CFF"/>
    <w:rsid w:val="00B802EC"/>
    <w:rsid w:val="00B8428D"/>
    <w:rsid w:val="00B85BBF"/>
    <w:rsid w:val="00B9047C"/>
    <w:rsid w:val="00B9396F"/>
    <w:rsid w:val="00BB3B63"/>
    <w:rsid w:val="00BD438D"/>
    <w:rsid w:val="00BE0952"/>
    <w:rsid w:val="00BE721B"/>
    <w:rsid w:val="00BF5084"/>
    <w:rsid w:val="00BF77ED"/>
    <w:rsid w:val="00C016D5"/>
    <w:rsid w:val="00C01F1F"/>
    <w:rsid w:val="00C036C2"/>
    <w:rsid w:val="00C064EC"/>
    <w:rsid w:val="00C06D4F"/>
    <w:rsid w:val="00C070C2"/>
    <w:rsid w:val="00C26221"/>
    <w:rsid w:val="00C34B03"/>
    <w:rsid w:val="00C44A3E"/>
    <w:rsid w:val="00C45148"/>
    <w:rsid w:val="00C4585C"/>
    <w:rsid w:val="00C53E1A"/>
    <w:rsid w:val="00C57317"/>
    <w:rsid w:val="00C616E4"/>
    <w:rsid w:val="00C6353D"/>
    <w:rsid w:val="00C64F4B"/>
    <w:rsid w:val="00C654AF"/>
    <w:rsid w:val="00C66BAA"/>
    <w:rsid w:val="00C75165"/>
    <w:rsid w:val="00C77304"/>
    <w:rsid w:val="00C83705"/>
    <w:rsid w:val="00C842D0"/>
    <w:rsid w:val="00C910C5"/>
    <w:rsid w:val="00CA1E5D"/>
    <w:rsid w:val="00CA63D8"/>
    <w:rsid w:val="00CB2D1B"/>
    <w:rsid w:val="00CB53C2"/>
    <w:rsid w:val="00CC4B75"/>
    <w:rsid w:val="00CD2BD4"/>
    <w:rsid w:val="00CD349A"/>
    <w:rsid w:val="00CE1EF9"/>
    <w:rsid w:val="00CE28C9"/>
    <w:rsid w:val="00CE3915"/>
    <w:rsid w:val="00CE4F51"/>
    <w:rsid w:val="00CF7768"/>
    <w:rsid w:val="00D02B90"/>
    <w:rsid w:val="00D16AF3"/>
    <w:rsid w:val="00D22BF7"/>
    <w:rsid w:val="00D27633"/>
    <w:rsid w:val="00D33FA5"/>
    <w:rsid w:val="00D34F77"/>
    <w:rsid w:val="00D55828"/>
    <w:rsid w:val="00D70111"/>
    <w:rsid w:val="00D72B5A"/>
    <w:rsid w:val="00D768E5"/>
    <w:rsid w:val="00D80959"/>
    <w:rsid w:val="00D80DBD"/>
    <w:rsid w:val="00D81402"/>
    <w:rsid w:val="00D83577"/>
    <w:rsid w:val="00D83E25"/>
    <w:rsid w:val="00D85E1B"/>
    <w:rsid w:val="00D87298"/>
    <w:rsid w:val="00D94819"/>
    <w:rsid w:val="00D95990"/>
    <w:rsid w:val="00DA5416"/>
    <w:rsid w:val="00DB0D12"/>
    <w:rsid w:val="00DB4CFE"/>
    <w:rsid w:val="00DB6BA5"/>
    <w:rsid w:val="00DC1C44"/>
    <w:rsid w:val="00DC25BB"/>
    <w:rsid w:val="00DC357B"/>
    <w:rsid w:val="00DC6B2C"/>
    <w:rsid w:val="00DD3BEB"/>
    <w:rsid w:val="00DD6CAB"/>
    <w:rsid w:val="00DE4D1F"/>
    <w:rsid w:val="00E021C5"/>
    <w:rsid w:val="00E04ACA"/>
    <w:rsid w:val="00E07B55"/>
    <w:rsid w:val="00E1219D"/>
    <w:rsid w:val="00E2322D"/>
    <w:rsid w:val="00E26C4A"/>
    <w:rsid w:val="00E32202"/>
    <w:rsid w:val="00E467C4"/>
    <w:rsid w:val="00E47935"/>
    <w:rsid w:val="00E70EC4"/>
    <w:rsid w:val="00E8327D"/>
    <w:rsid w:val="00E836A0"/>
    <w:rsid w:val="00E860B2"/>
    <w:rsid w:val="00E901DF"/>
    <w:rsid w:val="00E90AC7"/>
    <w:rsid w:val="00E96042"/>
    <w:rsid w:val="00EA50E3"/>
    <w:rsid w:val="00EB54D1"/>
    <w:rsid w:val="00EC07AA"/>
    <w:rsid w:val="00EC5603"/>
    <w:rsid w:val="00EE10DC"/>
    <w:rsid w:val="00EE2559"/>
    <w:rsid w:val="00EE72D7"/>
    <w:rsid w:val="00EF19D4"/>
    <w:rsid w:val="00EF3FA7"/>
    <w:rsid w:val="00EF44FB"/>
    <w:rsid w:val="00EF7FE5"/>
    <w:rsid w:val="00F0052F"/>
    <w:rsid w:val="00F06448"/>
    <w:rsid w:val="00F068DF"/>
    <w:rsid w:val="00F1168D"/>
    <w:rsid w:val="00F118A9"/>
    <w:rsid w:val="00F149FC"/>
    <w:rsid w:val="00F22DBF"/>
    <w:rsid w:val="00F23C89"/>
    <w:rsid w:val="00F25FFB"/>
    <w:rsid w:val="00F26067"/>
    <w:rsid w:val="00F32B3F"/>
    <w:rsid w:val="00F43BE0"/>
    <w:rsid w:val="00F44207"/>
    <w:rsid w:val="00F76EE9"/>
    <w:rsid w:val="00F82B00"/>
    <w:rsid w:val="00F82B94"/>
    <w:rsid w:val="00F82F39"/>
    <w:rsid w:val="00F90D69"/>
    <w:rsid w:val="00F911D3"/>
    <w:rsid w:val="00F91748"/>
    <w:rsid w:val="00F92CE7"/>
    <w:rsid w:val="00F95061"/>
    <w:rsid w:val="00FA17E9"/>
    <w:rsid w:val="00FA2F3D"/>
    <w:rsid w:val="00FA56D4"/>
    <w:rsid w:val="00FA610F"/>
    <w:rsid w:val="00FA7EE6"/>
    <w:rsid w:val="00FB6E73"/>
    <w:rsid w:val="00FC1042"/>
    <w:rsid w:val="00FC3D68"/>
    <w:rsid w:val="00FC49CB"/>
    <w:rsid w:val="00FD3002"/>
    <w:rsid w:val="00FD4EFC"/>
    <w:rsid w:val="00FE7D50"/>
    <w:rsid w:val="00FF1706"/>
    <w:rsid w:val="00FF3678"/>
    <w:rsid w:val="00FF5091"/>
    <w:rsid w:val="00FF6B15"/>
    <w:rsid w:val="00FF6F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295FF1"/>
    <w:pPr>
      <w:numPr>
        <w:ilvl w:val="5"/>
        <w:numId w:val="7"/>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295FF1"/>
    <w:pPr>
      <w:numPr>
        <w:ilvl w:val="6"/>
        <w:numId w:val="7"/>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295FF1"/>
    <w:pPr>
      <w:numPr>
        <w:ilvl w:val="7"/>
        <w:numId w:val="7"/>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295FF1"/>
    <w:pPr>
      <w:numPr>
        <w:ilvl w:val="8"/>
        <w:numId w:val="7"/>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aliases w:val="List number Paragraph"/>
    <w:basedOn w:val="Normal"/>
    <w:uiPriority w:val="99"/>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character" w:customStyle="1" w:styleId="Heading6Char">
    <w:name w:val="Heading 6 Char"/>
    <w:basedOn w:val="DefaultParagraphFont"/>
    <w:link w:val="Heading6"/>
    <w:uiPriority w:val="99"/>
    <w:semiHidden/>
    <w:rsid w:val="00295FF1"/>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295FF1"/>
    <w:rPr>
      <w:rFonts w:eastAsia="Times New Roman"/>
      <w:sz w:val="24"/>
      <w:szCs w:val="24"/>
      <w:lang w:eastAsia="en-AU"/>
    </w:rPr>
  </w:style>
  <w:style w:type="character" w:customStyle="1" w:styleId="Heading8Char">
    <w:name w:val="Heading 8 Char"/>
    <w:basedOn w:val="DefaultParagraphFont"/>
    <w:link w:val="Heading8"/>
    <w:uiPriority w:val="99"/>
    <w:semiHidden/>
    <w:rsid w:val="00295FF1"/>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295FF1"/>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295FF1"/>
    <w:rPr>
      <w:color w:val="800080"/>
      <w:u w:val="single"/>
    </w:rPr>
  </w:style>
  <w:style w:type="paragraph" w:styleId="HTMLAddress">
    <w:name w:val="HTML Address"/>
    <w:basedOn w:val="Normal"/>
    <w:link w:val="HTMLAddressChar"/>
    <w:uiPriority w:val="99"/>
    <w:semiHidden/>
    <w:unhideWhenUsed/>
    <w:rsid w:val="00295FF1"/>
    <w:rPr>
      <w:i/>
      <w:iCs/>
    </w:rPr>
  </w:style>
  <w:style w:type="character" w:customStyle="1" w:styleId="HTMLAddressChar">
    <w:name w:val="HTML Address Char"/>
    <w:basedOn w:val="DefaultParagraphFont"/>
    <w:link w:val="HTMLAddress"/>
    <w:uiPriority w:val="99"/>
    <w:semiHidden/>
    <w:rsid w:val="00295FF1"/>
    <w:rPr>
      <w:rFonts w:eastAsia="Times New Roman"/>
      <w:i/>
      <w:iCs/>
      <w:sz w:val="24"/>
      <w:szCs w:val="24"/>
      <w:lang w:eastAsia="en-AU"/>
    </w:rPr>
  </w:style>
  <w:style w:type="character" w:styleId="HTMLCode">
    <w:name w:val="HTML Code"/>
    <w:basedOn w:val="DefaultParagraphFont"/>
    <w:uiPriority w:val="99"/>
    <w:semiHidden/>
    <w:unhideWhenUsed/>
    <w:rsid w:val="00295FF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95FF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9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5FF1"/>
    <w:rPr>
      <w:rFonts w:ascii="Courier New" w:eastAsia="Times New Roman" w:hAnsi="Courier New" w:cs="Courier New"/>
      <w:lang w:eastAsia="en-AU"/>
    </w:rPr>
  </w:style>
  <w:style w:type="character" w:styleId="HTMLSample">
    <w:name w:val="HTML Sample"/>
    <w:basedOn w:val="DefaultParagraphFont"/>
    <w:uiPriority w:val="99"/>
    <w:semiHidden/>
    <w:unhideWhenUsed/>
    <w:rsid w:val="00295FF1"/>
    <w:rPr>
      <w:rFonts w:ascii="Courier New" w:eastAsia="Times New Roman" w:hAnsi="Courier New" w:cs="Courier New" w:hint="default"/>
    </w:rPr>
  </w:style>
  <w:style w:type="character" w:styleId="HTMLTypewriter">
    <w:name w:val="HTML Typewriter"/>
    <w:basedOn w:val="DefaultParagraphFont"/>
    <w:uiPriority w:val="99"/>
    <w:semiHidden/>
    <w:unhideWhenUsed/>
    <w:rsid w:val="00295FF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295FF1"/>
  </w:style>
  <w:style w:type="paragraph" w:styleId="Index1">
    <w:name w:val="index 1"/>
    <w:basedOn w:val="Normal"/>
    <w:next w:val="Normal"/>
    <w:autoRedefine/>
    <w:uiPriority w:val="99"/>
    <w:semiHidden/>
    <w:unhideWhenUsed/>
    <w:rsid w:val="00295FF1"/>
    <w:pPr>
      <w:ind w:left="240" w:hanging="240"/>
    </w:pPr>
  </w:style>
  <w:style w:type="paragraph" w:styleId="Index2">
    <w:name w:val="index 2"/>
    <w:basedOn w:val="Normal"/>
    <w:next w:val="Normal"/>
    <w:autoRedefine/>
    <w:uiPriority w:val="99"/>
    <w:semiHidden/>
    <w:unhideWhenUsed/>
    <w:rsid w:val="00295FF1"/>
    <w:pPr>
      <w:ind w:left="480" w:hanging="240"/>
    </w:pPr>
  </w:style>
  <w:style w:type="paragraph" w:styleId="Index3">
    <w:name w:val="index 3"/>
    <w:basedOn w:val="Normal"/>
    <w:next w:val="Normal"/>
    <w:autoRedefine/>
    <w:uiPriority w:val="99"/>
    <w:semiHidden/>
    <w:unhideWhenUsed/>
    <w:rsid w:val="00295FF1"/>
    <w:pPr>
      <w:ind w:left="720" w:hanging="240"/>
    </w:pPr>
  </w:style>
  <w:style w:type="paragraph" w:styleId="Index4">
    <w:name w:val="index 4"/>
    <w:basedOn w:val="Normal"/>
    <w:next w:val="Normal"/>
    <w:autoRedefine/>
    <w:uiPriority w:val="99"/>
    <w:semiHidden/>
    <w:unhideWhenUsed/>
    <w:rsid w:val="00295FF1"/>
    <w:pPr>
      <w:ind w:left="960" w:hanging="240"/>
    </w:pPr>
  </w:style>
  <w:style w:type="paragraph" w:styleId="Index5">
    <w:name w:val="index 5"/>
    <w:basedOn w:val="Normal"/>
    <w:next w:val="Normal"/>
    <w:autoRedefine/>
    <w:uiPriority w:val="99"/>
    <w:semiHidden/>
    <w:unhideWhenUsed/>
    <w:rsid w:val="00295FF1"/>
    <w:pPr>
      <w:ind w:left="1200" w:hanging="240"/>
    </w:pPr>
  </w:style>
  <w:style w:type="paragraph" w:styleId="Index6">
    <w:name w:val="index 6"/>
    <w:basedOn w:val="Normal"/>
    <w:next w:val="Normal"/>
    <w:autoRedefine/>
    <w:uiPriority w:val="99"/>
    <w:semiHidden/>
    <w:unhideWhenUsed/>
    <w:rsid w:val="00295FF1"/>
    <w:pPr>
      <w:ind w:left="1440" w:hanging="240"/>
    </w:pPr>
  </w:style>
  <w:style w:type="paragraph" w:styleId="Index7">
    <w:name w:val="index 7"/>
    <w:basedOn w:val="Normal"/>
    <w:next w:val="Normal"/>
    <w:autoRedefine/>
    <w:uiPriority w:val="99"/>
    <w:semiHidden/>
    <w:unhideWhenUsed/>
    <w:rsid w:val="00295FF1"/>
    <w:pPr>
      <w:ind w:left="1680" w:hanging="240"/>
    </w:pPr>
  </w:style>
  <w:style w:type="paragraph" w:styleId="Index8">
    <w:name w:val="index 8"/>
    <w:basedOn w:val="Normal"/>
    <w:next w:val="Normal"/>
    <w:autoRedefine/>
    <w:uiPriority w:val="99"/>
    <w:semiHidden/>
    <w:unhideWhenUsed/>
    <w:rsid w:val="00295FF1"/>
    <w:pPr>
      <w:ind w:left="1920" w:hanging="240"/>
    </w:pPr>
  </w:style>
  <w:style w:type="paragraph" w:styleId="Index9">
    <w:name w:val="index 9"/>
    <w:basedOn w:val="Normal"/>
    <w:next w:val="Normal"/>
    <w:autoRedefine/>
    <w:uiPriority w:val="99"/>
    <w:semiHidden/>
    <w:unhideWhenUsed/>
    <w:rsid w:val="00295FF1"/>
    <w:pPr>
      <w:ind w:left="2160" w:hanging="240"/>
    </w:pPr>
  </w:style>
  <w:style w:type="paragraph" w:styleId="TOC1">
    <w:name w:val="toc 1"/>
    <w:basedOn w:val="Normal"/>
    <w:next w:val="Normal"/>
    <w:autoRedefine/>
    <w:uiPriority w:val="39"/>
    <w:unhideWhenUsed/>
    <w:qFormat/>
    <w:rsid w:val="00295FF1"/>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295FF1"/>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295FF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295FF1"/>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295FF1"/>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295FF1"/>
    <w:pPr>
      <w:ind w:left="720"/>
    </w:pPr>
  </w:style>
  <w:style w:type="paragraph" w:styleId="FootnoteText">
    <w:name w:val="footnote text"/>
    <w:basedOn w:val="Normal"/>
    <w:link w:val="FootnoteTextChar"/>
    <w:uiPriority w:val="99"/>
    <w:semiHidden/>
    <w:unhideWhenUsed/>
    <w:rsid w:val="00295FF1"/>
    <w:rPr>
      <w:sz w:val="20"/>
      <w:szCs w:val="20"/>
    </w:rPr>
  </w:style>
  <w:style w:type="character" w:customStyle="1" w:styleId="FootnoteTextChar">
    <w:name w:val="Footnote Text Char"/>
    <w:basedOn w:val="DefaultParagraphFont"/>
    <w:link w:val="FootnoteText"/>
    <w:uiPriority w:val="99"/>
    <w:semiHidden/>
    <w:rsid w:val="00295FF1"/>
    <w:rPr>
      <w:rFonts w:eastAsia="Times New Roman"/>
      <w:lang w:eastAsia="en-AU"/>
    </w:rPr>
  </w:style>
  <w:style w:type="paragraph" w:styleId="IndexHeading">
    <w:name w:val="index heading"/>
    <w:basedOn w:val="Normal"/>
    <w:next w:val="Index1"/>
    <w:uiPriority w:val="99"/>
    <w:semiHidden/>
    <w:unhideWhenUsed/>
    <w:rsid w:val="00295FF1"/>
    <w:rPr>
      <w:rFonts w:ascii="Arial" w:hAnsi="Arial" w:cs="Arial"/>
      <w:b/>
      <w:bCs/>
    </w:rPr>
  </w:style>
  <w:style w:type="paragraph" w:styleId="Caption">
    <w:name w:val="caption"/>
    <w:aliases w:val="Table Caption"/>
    <w:basedOn w:val="Normal"/>
    <w:next w:val="Normal"/>
    <w:uiPriority w:val="35"/>
    <w:unhideWhenUsed/>
    <w:qFormat/>
    <w:rsid w:val="00295FF1"/>
    <w:pPr>
      <w:spacing w:before="120" w:after="120"/>
    </w:pPr>
    <w:rPr>
      <w:b/>
      <w:bCs/>
      <w:sz w:val="20"/>
      <w:szCs w:val="20"/>
    </w:rPr>
  </w:style>
  <w:style w:type="paragraph" w:styleId="TableofFigures">
    <w:name w:val="table of figures"/>
    <w:basedOn w:val="Normal"/>
    <w:next w:val="Normal"/>
    <w:uiPriority w:val="99"/>
    <w:semiHidden/>
    <w:unhideWhenUsed/>
    <w:rsid w:val="00295FF1"/>
    <w:pPr>
      <w:ind w:left="480" w:hanging="480"/>
    </w:pPr>
  </w:style>
  <w:style w:type="paragraph" w:styleId="EnvelopeAddress">
    <w:name w:val="envelope address"/>
    <w:basedOn w:val="Normal"/>
    <w:uiPriority w:val="99"/>
    <w:semiHidden/>
    <w:unhideWhenUsed/>
    <w:rsid w:val="00295FF1"/>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95FF1"/>
    <w:rPr>
      <w:rFonts w:ascii="Arial" w:hAnsi="Arial" w:cs="Arial"/>
      <w:sz w:val="20"/>
      <w:szCs w:val="20"/>
    </w:rPr>
  </w:style>
  <w:style w:type="paragraph" w:styleId="EndnoteText">
    <w:name w:val="endnote text"/>
    <w:basedOn w:val="Normal"/>
    <w:link w:val="EndnoteTextChar"/>
    <w:uiPriority w:val="99"/>
    <w:semiHidden/>
    <w:unhideWhenUsed/>
    <w:rsid w:val="00295FF1"/>
    <w:rPr>
      <w:sz w:val="20"/>
      <w:szCs w:val="20"/>
    </w:rPr>
  </w:style>
  <w:style w:type="character" w:customStyle="1" w:styleId="EndnoteTextChar">
    <w:name w:val="Endnote Text Char"/>
    <w:basedOn w:val="DefaultParagraphFont"/>
    <w:link w:val="EndnoteText"/>
    <w:uiPriority w:val="99"/>
    <w:semiHidden/>
    <w:rsid w:val="00295FF1"/>
    <w:rPr>
      <w:rFonts w:eastAsia="Times New Roman"/>
      <w:lang w:eastAsia="en-AU"/>
    </w:rPr>
  </w:style>
  <w:style w:type="paragraph" w:styleId="TableofAuthorities">
    <w:name w:val="table of authorities"/>
    <w:basedOn w:val="Normal"/>
    <w:next w:val="Normal"/>
    <w:uiPriority w:val="99"/>
    <w:semiHidden/>
    <w:unhideWhenUsed/>
    <w:rsid w:val="00295FF1"/>
    <w:pPr>
      <w:ind w:left="240" w:hanging="240"/>
    </w:pPr>
  </w:style>
  <w:style w:type="paragraph" w:styleId="MacroText">
    <w:name w:val="macro"/>
    <w:link w:val="MacroTextChar"/>
    <w:uiPriority w:val="99"/>
    <w:semiHidden/>
    <w:unhideWhenUsed/>
    <w:rsid w:val="00295F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295FF1"/>
    <w:rPr>
      <w:rFonts w:ascii="Courier New" w:eastAsia="Times New Roman" w:hAnsi="Courier New" w:cs="Courier New"/>
    </w:rPr>
  </w:style>
  <w:style w:type="paragraph" w:styleId="TOAHeading">
    <w:name w:val="toa heading"/>
    <w:basedOn w:val="Normal"/>
    <w:next w:val="Normal"/>
    <w:uiPriority w:val="99"/>
    <w:semiHidden/>
    <w:unhideWhenUsed/>
    <w:rsid w:val="00295FF1"/>
    <w:pPr>
      <w:spacing w:before="120"/>
    </w:pPr>
    <w:rPr>
      <w:rFonts w:ascii="Arial" w:hAnsi="Arial" w:cs="Arial"/>
      <w:b/>
      <w:bCs/>
    </w:rPr>
  </w:style>
  <w:style w:type="paragraph" w:styleId="List">
    <w:name w:val="List"/>
    <w:basedOn w:val="Normal"/>
    <w:uiPriority w:val="99"/>
    <w:semiHidden/>
    <w:unhideWhenUsed/>
    <w:rsid w:val="00295FF1"/>
    <w:pPr>
      <w:ind w:left="283" w:hanging="283"/>
    </w:pPr>
  </w:style>
  <w:style w:type="paragraph" w:styleId="ListBullet">
    <w:name w:val="List Bullet"/>
    <w:basedOn w:val="Normal"/>
    <w:autoRedefine/>
    <w:uiPriority w:val="99"/>
    <w:semiHidden/>
    <w:unhideWhenUsed/>
    <w:rsid w:val="00295FF1"/>
    <w:pPr>
      <w:tabs>
        <w:tab w:val="num" w:pos="360"/>
      </w:tabs>
      <w:ind w:left="360" w:hanging="360"/>
    </w:pPr>
  </w:style>
  <w:style w:type="paragraph" w:styleId="ListNumber">
    <w:name w:val="List Number"/>
    <w:basedOn w:val="Normal"/>
    <w:uiPriority w:val="99"/>
    <w:semiHidden/>
    <w:unhideWhenUsed/>
    <w:rsid w:val="00295FF1"/>
    <w:pPr>
      <w:tabs>
        <w:tab w:val="num" w:pos="360"/>
      </w:tabs>
      <w:ind w:left="360" w:hanging="360"/>
    </w:pPr>
  </w:style>
  <w:style w:type="paragraph" w:styleId="List2">
    <w:name w:val="List 2"/>
    <w:basedOn w:val="Normal"/>
    <w:uiPriority w:val="99"/>
    <w:semiHidden/>
    <w:unhideWhenUsed/>
    <w:rsid w:val="00295FF1"/>
    <w:pPr>
      <w:ind w:left="566" w:hanging="283"/>
    </w:pPr>
  </w:style>
  <w:style w:type="paragraph" w:styleId="List3">
    <w:name w:val="List 3"/>
    <w:basedOn w:val="Normal"/>
    <w:uiPriority w:val="99"/>
    <w:semiHidden/>
    <w:unhideWhenUsed/>
    <w:rsid w:val="00295FF1"/>
    <w:pPr>
      <w:ind w:left="849" w:hanging="283"/>
    </w:pPr>
  </w:style>
  <w:style w:type="paragraph" w:styleId="List4">
    <w:name w:val="List 4"/>
    <w:basedOn w:val="Normal"/>
    <w:uiPriority w:val="99"/>
    <w:semiHidden/>
    <w:unhideWhenUsed/>
    <w:rsid w:val="00295FF1"/>
    <w:pPr>
      <w:ind w:left="1132" w:hanging="283"/>
    </w:pPr>
  </w:style>
  <w:style w:type="paragraph" w:styleId="List5">
    <w:name w:val="List 5"/>
    <w:basedOn w:val="Normal"/>
    <w:uiPriority w:val="99"/>
    <w:semiHidden/>
    <w:unhideWhenUsed/>
    <w:rsid w:val="00295FF1"/>
    <w:pPr>
      <w:ind w:left="1415" w:hanging="283"/>
    </w:pPr>
  </w:style>
  <w:style w:type="paragraph" w:styleId="ListBullet2">
    <w:name w:val="List Bullet 2"/>
    <w:basedOn w:val="Normal"/>
    <w:autoRedefine/>
    <w:uiPriority w:val="99"/>
    <w:semiHidden/>
    <w:unhideWhenUsed/>
    <w:rsid w:val="00295FF1"/>
    <w:pPr>
      <w:tabs>
        <w:tab w:val="num" w:pos="643"/>
      </w:tabs>
      <w:ind w:left="643" w:hanging="360"/>
    </w:pPr>
  </w:style>
  <w:style w:type="paragraph" w:styleId="ListBullet3">
    <w:name w:val="List Bullet 3"/>
    <w:basedOn w:val="Normal"/>
    <w:autoRedefine/>
    <w:uiPriority w:val="99"/>
    <w:semiHidden/>
    <w:unhideWhenUsed/>
    <w:rsid w:val="00295FF1"/>
    <w:pPr>
      <w:tabs>
        <w:tab w:val="num" w:pos="926"/>
      </w:tabs>
      <w:ind w:left="926" w:hanging="360"/>
    </w:pPr>
  </w:style>
  <w:style w:type="paragraph" w:styleId="ListBullet4">
    <w:name w:val="List Bullet 4"/>
    <w:basedOn w:val="Normal"/>
    <w:autoRedefine/>
    <w:uiPriority w:val="99"/>
    <w:semiHidden/>
    <w:unhideWhenUsed/>
    <w:rsid w:val="00295FF1"/>
    <w:pPr>
      <w:tabs>
        <w:tab w:val="num" w:pos="1209"/>
      </w:tabs>
      <w:ind w:left="1209" w:hanging="360"/>
    </w:pPr>
  </w:style>
  <w:style w:type="paragraph" w:styleId="ListBullet5">
    <w:name w:val="List Bullet 5"/>
    <w:basedOn w:val="Normal"/>
    <w:autoRedefine/>
    <w:uiPriority w:val="99"/>
    <w:semiHidden/>
    <w:unhideWhenUsed/>
    <w:rsid w:val="00295FF1"/>
    <w:pPr>
      <w:tabs>
        <w:tab w:val="num" w:pos="1492"/>
      </w:tabs>
      <w:ind w:left="1492" w:hanging="360"/>
    </w:pPr>
  </w:style>
  <w:style w:type="paragraph" w:styleId="ListNumber2">
    <w:name w:val="List Number 2"/>
    <w:basedOn w:val="Normal"/>
    <w:uiPriority w:val="99"/>
    <w:semiHidden/>
    <w:unhideWhenUsed/>
    <w:rsid w:val="00295FF1"/>
    <w:pPr>
      <w:tabs>
        <w:tab w:val="num" w:pos="643"/>
      </w:tabs>
      <w:ind w:left="643" w:hanging="360"/>
    </w:pPr>
  </w:style>
  <w:style w:type="paragraph" w:styleId="ListNumber3">
    <w:name w:val="List Number 3"/>
    <w:basedOn w:val="Normal"/>
    <w:uiPriority w:val="99"/>
    <w:semiHidden/>
    <w:unhideWhenUsed/>
    <w:rsid w:val="00295FF1"/>
    <w:pPr>
      <w:tabs>
        <w:tab w:val="num" w:pos="926"/>
      </w:tabs>
      <w:ind w:left="926" w:hanging="360"/>
    </w:pPr>
  </w:style>
  <w:style w:type="paragraph" w:styleId="ListNumber4">
    <w:name w:val="List Number 4"/>
    <w:basedOn w:val="Normal"/>
    <w:uiPriority w:val="99"/>
    <w:semiHidden/>
    <w:unhideWhenUsed/>
    <w:rsid w:val="00295FF1"/>
    <w:pPr>
      <w:tabs>
        <w:tab w:val="num" w:pos="1209"/>
      </w:tabs>
      <w:ind w:left="1209" w:hanging="360"/>
    </w:pPr>
  </w:style>
  <w:style w:type="paragraph" w:styleId="ListNumber5">
    <w:name w:val="List Number 5"/>
    <w:basedOn w:val="Normal"/>
    <w:uiPriority w:val="99"/>
    <w:semiHidden/>
    <w:unhideWhenUsed/>
    <w:rsid w:val="00295FF1"/>
    <w:pPr>
      <w:tabs>
        <w:tab w:val="num" w:pos="1492"/>
      </w:tabs>
      <w:ind w:left="1492" w:hanging="360"/>
    </w:pPr>
  </w:style>
  <w:style w:type="paragraph" w:styleId="Closing">
    <w:name w:val="Closing"/>
    <w:basedOn w:val="Normal"/>
    <w:link w:val="ClosingChar"/>
    <w:uiPriority w:val="99"/>
    <w:semiHidden/>
    <w:unhideWhenUsed/>
    <w:rsid w:val="00295FF1"/>
    <w:pPr>
      <w:ind w:left="4252"/>
    </w:pPr>
  </w:style>
  <w:style w:type="character" w:customStyle="1" w:styleId="ClosingChar">
    <w:name w:val="Closing Char"/>
    <w:basedOn w:val="DefaultParagraphFont"/>
    <w:link w:val="Closing"/>
    <w:uiPriority w:val="99"/>
    <w:semiHidden/>
    <w:rsid w:val="00295FF1"/>
    <w:rPr>
      <w:rFonts w:eastAsia="Times New Roman"/>
      <w:sz w:val="24"/>
      <w:szCs w:val="24"/>
      <w:lang w:eastAsia="en-AU"/>
    </w:rPr>
  </w:style>
  <w:style w:type="paragraph" w:styleId="Signature">
    <w:name w:val="Signature"/>
    <w:basedOn w:val="Normal"/>
    <w:link w:val="SignatureChar"/>
    <w:uiPriority w:val="99"/>
    <w:semiHidden/>
    <w:unhideWhenUsed/>
    <w:rsid w:val="00295FF1"/>
    <w:pPr>
      <w:ind w:left="4252"/>
    </w:pPr>
  </w:style>
  <w:style w:type="character" w:customStyle="1" w:styleId="SignatureChar">
    <w:name w:val="Signature Char"/>
    <w:basedOn w:val="DefaultParagraphFont"/>
    <w:link w:val="Signature"/>
    <w:uiPriority w:val="99"/>
    <w:semiHidden/>
    <w:rsid w:val="00295FF1"/>
    <w:rPr>
      <w:rFonts w:eastAsia="Times New Roman"/>
      <w:sz w:val="24"/>
      <w:szCs w:val="24"/>
      <w:lang w:eastAsia="en-AU"/>
    </w:rPr>
  </w:style>
  <w:style w:type="paragraph" w:styleId="BodyTextIndent">
    <w:name w:val="Body Text Indent"/>
    <w:basedOn w:val="Normal"/>
    <w:link w:val="BodyTextIndentChar"/>
    <w:uiPriority w:val="99"/>
    <w:semiHidden/>
    <w:unhideWhenUsed/>
    <w:rsid w:val="00295FF1"/>
    <w:pPr>
      <w:spacing w:after="120"/>
      <w:ind w:left="283"/>
    </w:pPr>
  </w:style>
  <w:style w:type="character" w:customStyle="1" w:styleId="BodyTextIndentChar">
    <w:name w:val="Body Text Indent Char"/>
    <w:basedOn w:val="DefaultParagraphFont"/>
    <w:link w:val="BodyTextIndent"/>
    <w:uiPriority w:val="99"/>
    <w:semiHidden/>
    <w:rsid w:val="00295FF1"/>
    <w:rPr>
      <w:rFonts w:eastAsia="Times New Roman"/>
      <w:sz w:val="24"/>
      <w:szCs w:val="24"/>
      <w:lang w:eastAsia="en-AU"/>
    </w:rPr>
  </w:style>
  <w:style w:type="paragraph" w:styleId="ListContinue">
    <w:name w:val="List Continue"/>
    <w:basedOn w:val="Normal"/>
    <w:uiPriority w:val="99"/>
    <w:semiHidden/>
    <w:unhideWhenUsed/>
    <w:rsid w:val="00295FF1"/>
    <w:pPr>
      <w:spacing w:after="120"/>
      <w:ind w:left="283"/>
    </w:pPr>
  </w:style>
  <w:style w:type="paragraph" w:styleId="ListContinue2">
    <w:name w:val="List Continue 2"/>
    <w:basedOn w:val="Normal"/>
    <w:uiPriority w:val="99"/>
    <w:semiHidden/>
    <w:unhideWhenUsed/>
    <w:rsid w:val="00295FF1"/>
    <w:pPr>
      <w:spacing w:after="120"/>
      <w:ind w:left="566"/>
    </w:pPr>
  </w:style>
  <w:style w:type="paragraph" w:styleId="ListContinue3">
    <w:name w:val="List Continue 3"/>
    <w:basedOn w:val="Normal"/>
    <w:uiPriority w:val="99"/>
    <w:semiHidden/>
    <w:unhideWhenUsed/>
    <w:rsid w:val="00295FF1"/>
    <w:pPr>
      <w:spacing w:after="120"/>
      <w:ind w:left="849"/>
    </w:pPr>
  </w:style>
  <w:style w:type="paragraph" w:styleId="ListContinue4">
    <w:name w:val="List Continue 4"/>
    <w:basedOn w:val="Normal"/>
    <w:uiPriority w:val="99"/>
    <w:semiHidden/>
    <w:unhideWhenUsed/>
    <w:rsid w:val="00295FF1"/>
    <w:pPr>
      <w:spacing w:after="120"/>
      <w:ind w:left="1132"/>
    </w:pPr>
  </w:style>
  <w:style w:type="paragraph" w:styleId="ListContinue5">
    <w:name w:val="List Continue 5"/>
    <w:basedOn w:val="Normal"/>
    <w:uiPriority w:val="99"/>
    <w:semiHidden/>
    <w:unhideWhenUsed/>
    <w:rsid w:val="00295FF1"/>
    <w:pPr>
      <w:spacing w:after="120"/>
      <w:ind w:left="1415"/>
    </w:pPr>
  </w:style>
  <w:style w:type="paragraph" w:styleId="MessageHeader">
    <w:name w:val="Message Header"/>
    <w:basedOn w:val="Normal"/>
    <w:link w:val="MessageHeaderChar"/>
    <w:uiPriority w:val="99"/>
    <w:semiHidden/>
    <w:unhideWhenUsed/>
    <w:rsid w:val="00295F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295FF1"/>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295F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295FF1"/>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295FF1"/>
  </w:style>
  <w:style w:type="character" w:customStyle="1" w:styleId="SalutationChar">
    <w:name w:val="Salutation Char"/>
    <w:basedOn w:val="DefaultParagraphFont"/>
    <w:link w:val="Salutation"/>
    <w:uiPriority w:val="99"/>
    <w:semiHidden/>
    <w:rsid w:val="00295FF1"/>
    <w:rPr>
      <w:rFonts w:eastAsia="Times New Roman"/>
      <w:sz w:val="24"/>
      <w:szCs w:val="24"/>
      <w:lang w:eastAsia="en-AU"/>
    </w:rPr>
  </w:style>
  <w:style w:type="paragraph" w:styleId="Date">
    <w:name w:val="Date"/>
    <w:basedOn w:val="Normal"/>
    <w:next w:val="Normal"/>
    <w:link w:val="DateChar"/>
    <w:uiPriority w:val="99"/>
    <w:semiHidden/>
    <w:unhideWhenUsed/>
    <w:rsid w:val="00295FF1"/>
  </w:style>
  <w:style w:type="character" w:customStyle="1" w:styleId="DateChar">
    <w:name w:val="Date Char"/>
    <w:basedOn w:val="DefaultParagraphFont"/>
    <w:link w:val="Date"/>
    <w:uiPriority w:val="99"/>
    <w:semiHidden/>
    <w:rsid w:val="00295FF1"/>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295FF1"/>
    <w:pPr>
      <w:ind w:firstLine="210"/>
    </w:pPr>
  </w:style>
  <w:style w:type="character" w:customStyle="1" w:styleId="BodyTextFirstIndent2Char">
    <w:name w:val="Body Text First Indent 2 Char"/>
    <w:basedOn w:val="BodyTextIndentChar"/>
    <w:link w:val="BodyTextFirstIndent2"/>
    <w:uiPriority w:val="99"/>
    <w:semiHidden/>
    <w:rsid w:val="00295FF1"/>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295FF1"/>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295FF1"/>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295FF1"/>
    <w:rPr>
      <w:rFonts w:eastAsia="Times New Roman"/>
      <w:sz w:val="24"/>
      <w:szCs w:val="24"/>
      <w:lang w:eastAsia="en-AU"/>
    </w:rPr>
  </w:style>
  <w:style w:type="paragraph" w:styleId="BodyText2">
    <w:name w:val="Body Text 2"/>
    <w:basedOn w:val="Normal"/>
    <w:link w:val="BodyText2Char"/>
    <w:uiPriority w:val="99"/>
    <w:semiHidden/>
    <w:unhideWhenUsed/>
    <w:rsid w:val="00295FF1"/>
    <w:pPr>
      <w:spacing w:after="120" w:line="480" w:lineRule="auto"/>
    </w:pPr>
  </w:style>
  <w:style w:type="character" w:customStyle="1" w:styleId="BodyText2Char">
    <w:name w:val="Body Text 2 Char"/>
    <w:basedOn w:val="DefaultParagraphFont"/>
    <w:link w:val="BodyText2"/>
    <w:uiPriority w:val="99"/>
    <w:semiHidden/>
    <w:rsid w:val="00295FF1"/>
    <w:rPr>
      <w:rFonts w:eastAsia="Times New Roman"/>
      <w:sz w:val="24"/>
      <w:szCs w:val="24"/>
      <w:lang w:eastAsia="en-AU"/>
    </w:rPr>
  </w:style>
  <w:style w:type="paragraph" w:styleId="BodyText3">
    <w:name w:val="Body Text 3"/>
    <w:basedOn w:val="Normal"/>
    <w:link w:val="BodyText3Char"/>
    <w:uiPriority w:val="99"/>
    <w:semiHidden/>
    <w:unhideWhenUsed/>
    <w:rsid w:val="00295FF1"/>
    <w:pPr>
      <w:spacing w:after="120"/>
    </w:pPr>
    <w:rPr>
      <w:sz w:val="16"/>
      <w:szCs w:val="16"/>
    </w:rPr>
  </w:style>
  <w:style w:type="character" w:customStyle="1" w:styleId="BodyText3Char">
    <w:name w:val="Body Text 3 Char"/>
    <w:basedOn w:val="DefaultParagraphFont"/>
    <w:link w:val="BodyText3"/>
    <w:uiPriority w:val="99"/>
    <w:semiHidden/>
    <w:rsid w:val="00295FF1"/>
    <w:rPr>
      <w:rFonts w:eastAsia="Times New Roman"/>
      <w:sz w:val="16"/>
      <w:szCs w:val="16"/>
      <w:lang w:eastAsia="en-AU"/>
    </w:rPr>
  </w:style>
  <w:style w:type="paragraph" w:styleId="BodyTextIndent2">
    <w:name w:val="Body Text Indent 2"/>
    <w:basedOn w:val="Normal"/>
    <w:link w:val="BodyTextIndent2Char"/>
    <w:uiPriority w:val="99"/>
    <w:semiHidden/>
    <w:unhideWhenUsed/>
    <w:rsid w:val="00295FF1"/>
    <w:pPr>
      <w:spacing w:after="120" w:line="480" w:lineRule="auto"/>
      <w:ind w:left="283"/>
    </w:pPr>
  </w:style>
  <w:style w:type="character" w:customStyle="1" w:styleId="BodyTextIndent2Char">
    <w:name w:val="Body Text Indent 2 Char"/>
    <w:basedOn w:val="DefaultParagraphFont"/>
    <w:link w:val="BodyTextIndent2"/>
    <w:uiPriority w:val="99"/>
    <w:semiHidden/>
    <w:rsid w:val="00295FF1"/>
    <w:rPr>
      <w:rFonts w:eastAsia="Times New Roman"/>
      <w:sz w:val="24"/>
      <w:szCs w:val="24"/>
      <w:lang w:eastAsia="en-AU"/>
    </w:rPr>
  </w:style>
  <w:style w:type="paragraph" w:styleId="BodyTextIndent3">
    <w:name w:val="Body Text Indent 3"/>
    <w:basedOn w:val="Normal"/>
    <w:link w:val="BodyTextIndent3Char"/>
    <w:uiPriority w:val="99"/>
    <w:semiHidden/>
    <w:unhideWhenUsed/>
    <w:rsid w:val="00295F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FF1"/>
    <w:rPr>
      <w:rFonts w:eastAsia="Times New Roman"/>
      <w:sz w:val="16"/>
      <w:szCs w:val="16"/>
      <w:lang w:eastAsia="en-AU"/>
    </w:rPr>
  </w:style>
  <w:style w:type="paragraph" w:styleId="DocumentMap">
    <w:name w:val="Document Map"/>
    <w:basedOn w:val="Normal"/>
    <w:link w:val="DocumentMapChar"/>
    <w:uiPriority w:val="99"/>
    <w:semiHidden/>
    <w:unhideWhenUsed/>
    <w:rsid w:val="00295F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5FF1"/>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295FF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95FF1"/>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295FF1"/>
  </w:style>
  <w:style w:type="character" w:customStyle="1" w:styleId="E-mailSignatureChar">
    <w:name w:val="E-mail Signature Char"/>
    <w:basedOn w:val="DefaultParagraphFont"/>
    <w:link w:val="E-mailSignature"/>
    <w:uiPriority w:val="99"/>
    <w:semiHidden/>
    <w:rsid w:val="00295FF1"/>
    <w:rPr>
      <w:rFonts w:eastAsia="Times New Roman"/>
      <w:sz w:val="24"/>
      <w:szCs w:val="24"/>
      <w:lang w:eastAsia="en-AU"/>
    </w:rPr>
  </w:style>
  <w:style w:type="paragraph" w:styleId="NoSpacing">
    <w:name w:val="No Spacing"/>
    <w:uiPriority w:val="1"/>
    <w:qFormat/>
    <w:rsid w:val="00295FF1"/>
    <w:rPr>
      <w:rFonts w:eastAsia="Times New Roman"/>
      <w:sz w:val="24"/>
      <w:szCs w:val="24"/>
      <w:lang w:eastAsia="en-AU"/>
    </w:rPr>
  </w:style>
  <w:style w:type="paragraph" w:styleId="Quote">
    <w:name w:val="Quote"/>
    <w:basedOn w:val="Normal"/>
    <w:next w:val="Normal"/>
    <w:link w:val="QuoteChar"/>
    <w:uiPriority w:val="29"/>
    <w:qFormat/>
    <w:rsid w:val="00295FF1"/>
    <w:rPr>
      <w:i/>
      <w:iCs/>
      <w:color w:val="000000" w:themeColor="text1"/>
    </w:rPr>
  </w:style>
  <w:style w:type="character" w:customStyle="1" w:styleId="QuoteChar">
    <w:name w:val="Quote Char"/>
    <w:basedOn w:val="DefaultParagraphFont"/>
    <w:link w:val="Quote"/>
    <w:uiPriority w:val="29"/>
    <w:rsid w:val="00295FF1"/>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295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5FF1"/>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295FF1"/>
  </w:style>
  <w:style w:type="paragraph" w:styleId="TOCHeading">
    <w:name w:val="TOC Heading"/>
    <w:basedOn w:val="Heading1"/>
    <w:next w:val="Normal"/>
    <w:uiPriority w:val="39"/>
    <w:unhideWhenUsed/>
    <w:qFormat/>
    <w:rsid w:val="00295FF1"/>
    <w:pPr>
      <w:outlineLvl w:val="9"/>
    </w:pPr>
    <w:rPr>
      <w:color w:val="345A8A" w:themeColor="accent1" w:themeShade="B5"/>
      <w:sz w:val="32"/>
      <w:szCs w:val="32"/>
    </w:rPr>
  </w:style>
  <w:style w:type="paragraph" w:customStyle="1" w:styleId="HeaderBoldEven">
    <w:name w:val="HeaderBoldEven"/>
    <w:basedOn w:val="Normal"/>
    <w:uiPriority w:val="99"/>
    <w:rsid w:val="00295FF1"/>
    <w:pPr>
      <w:spacing w:before="120" w:after="60"/>
    </w:pPr>
    <w:rPr>
      <w:rFonts w:ascii="Arial" w:hAnsi="Arial"/>
      <w:b/>
      <w:sz w:val="20"/>
    </w:rPr>
  </w:style>
  <w:style w:type="paragraph" w:customStyle="1" w:styleId="HeaderLiteEven">
    <w:name w:val="HeaderLiteEven"/>
    <w:basedOn w:val="Normal"/>
    <w:uiPriority w:val="99"/>
    <w:rsid w:val="00295FF1"/>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295FF1"/>
    <w:pPr>
      <w:spacing w:before="120" w:after="120"/>
      <w:jc w:val="right"/>
    </w:pPr>
    <w:rPr>
      <w:rFonts w:ascii="Arial" w:hAnsi="Arial"/>
      <w:sz w:val="20"/>
    </w:rPr>
  </w:style>
  <w:style w:type="paragraph" w:customStyle="1" w:styleId="FooterInfo">
    <w:name w:val="FooterInfo"/>
    <w:basedOn w:val="Normal"/>
    <w:uiPriority w:val="99"/>
    <w:rsid w:val="00295FF1"/>
    <w:rPr>
      <w:rFonts w:ascii="Arial" w:hAnsi="Arial"/>
      <w:sz w:val="12"/>
    </w:rPr>
  </w:style>
  <w:style w:type="paragraph" w:customStyle="1" w:styleId="A1">
    <w:name w:val="A1"/>
    <w:aliases w:val="Heading Amendment,1. Amendment"/>
    <w:basedOn w:val="Normal"/>
    <w:next w:val="Normal"/>
    <w:uiPriority w:val="99"/>
    <w:rsid w:val="00295FF1"/>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295FF1"/>
    <w:pPr>
      <w:keepNext/>
      <w:spacing w:before="120" w:line="260" w:lineRule="exact"/>
      <w:ind w:left="964"/>
    </w:pPr>
    <w:rPr>
      <w:i/>
    </w:rPr>
  </w:style>
  <w:style w:type="paragraph" w:customStyle="1" w:styleId="A1S">
    <w:name w:val="A1S"/>
    <w:aliases w:val="1.Schedule Amendment"/>
    <w:basedOn w:val="Normal"/>
    <w:next w:val="A2S"/>
    <w:uiPriority w:val="99"/>
    <w:rsid w:val="00295FF1"/>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295FF1"/>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295FF1"/>
    <w:pPr>
      <w:spacing w:before="60" w:line="260" w:lineRule="exact"/>
      <w:ind w:left="1247"/>
      <w:jc w:val="both"/>
    </w:pPr>
  </w:style>
  <w:style w:type="paragraph" w:customStyle="1" w:styleId="A3">
    <w:name w:val="A3"/>
    <w:aliases w:val="1.2 amendment"/>
    <w:basedOn w:val="Normal"/>
    <w:uiPriority w:val="99"/>
    <w:rsid w:val="00295FF1"/>
    <w:pPr>
      <w:tabs>
        <w:tab w:val="right" w:pos="794"/>
      </w:tabs>
      <w:spacing w:before="180" w:line="260" w:lineRule="exact"/>
      <w:ind w:left="964" w:hanging="964"/>
      <w:jc w:val="both"/>
    </w:pPr>
  </w:style>
  <w:style w:type="paragraph" w:customStyle="1" w:styleId="A4">
    <w:name w:val="A4"/>
    <w:aliases w:val="(a) Amendment"/>
    <w:basedOn w:val="Normal"/>
    <w:uiPriority w:val="99"/>
    <w:rsid w:val="00295FF1"/>
    <w:pPr>
      <w:tabs>
        <w:tab w:val="right" w:pos="1247"/>
      </w:tabs>
      <w:spacing w:before="60" w:line="260" w:lineRule="exact"/>
      <w:ind w:left="1531" w:hanging="1531"/>
      <w:jc w:val="both"/>
    </w:pPr>
  </w:style>
  <w:style w:type="paragraph" w:customStyle="1" w:styleId="A5">
    <w:name w:val="A5"/>
    <w:aliases w:val="(i) Amendment"/>
    <w:basedOn w:val="Normal"/>
    <w:uiPriority w:val="99"/>
    <w:rsid w:val="00295FF1"/>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295FF1"/>
    <w:pPr>
      <w:spacing w:before="120" w:line="220" w:lineRule="exact"/>
      <w:ind w:left="964"/>
      <w:jc w:val="both"/>
    </w:pPr>
    <w:rPr>
      <w:sz w:val="20"/>
    </w:rPr>
  </w:style>
  <w:style w:type="paragraph" w:customStyle="1" w:styleId="ASref">
    <w:name w:val="AS ref"/>
    <w:basedOn w:val="Normal"/>
    <w:next w:val="A1S"/>
    <w:uiPriority w:val="99"/>
    <w:rsid w:val="00295FF1"/>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95FF1"/>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95FF1"/>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295FF1"/>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295FF1"/>
  </w:style>
  <w:style w:type="paragraph" w:customStyle="1" w:styleId="DD">
    <w:name w:val="DD"/>
    <w:aliases w:val="Dictionary Definition"/>
    <w:basedOn w:val="Normal"/>
    <w:uiPriority w:val="99"/>
    <w:rsid w:val="00295FF1"/>
    <w:pPr>
      <w:spacing w:before="80" w:line="260" w:lineRule="exact"/>
      <w:jc w:val="both"/>
    </w:pPr>
  </w:style>
  <w:style w:type="paragraph" w:customStyle="1" w:styleId="DictionaryHeading">
    <w:name w:val="Dictionary Heading"/>
    <w:basedOn w:val="Normal"/>
    <w:next w:val="DD"/>
    <w:uiPriority w:val="99"/>
    <w:rsid w:val="00295FF1"/>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295FF1"/>
  </w:style>
  <w:style w:type="paragraph" w:customStyle="1" w:styleId="DNote">
    <w:name w:val="DNote"/>
    <w:aliases w:val="DictionaryNote"/>
    <w:basedOn w:val="Normal"/>
    <w:uiPriority w:val="99"/>
    <w:rsid w:val="00295FF1"/>
    <w:pPr>
      <w:spacing w:before="120" w:line="220" w:lineRule="exact"/>
      <w:ind w:left="425"/>
      <w:jc w:val="both"/>
    </w:pPr>
    <w:rPr>
      <w:sz w:val="20"/>
    </w:rPr>
  </w:style>
  <w:style w:type="paragraph" w:customStyle="1" w:styleId="DP1a">
    <w:name w:val="DP1(a)"/>
    <w:aliases w:val="Dictionary (a)"/>
    <w:basedOn w:val="Normal"/>
    <w:uiPriority w:val="99"/>
    <w:rsid w:val="00295FF1"/>
    <w:pPr>
      <w:tabs>
        <w:tab w:val="right" w:pos="709"/>
      </w:tabs>
      <w:spacing w:before="60" w:line="260" w:lineRule="exact"/>
      <w:ind w:left="936" w:hanging="936"/>
      <w:jc w:val="both"/>
    </w:pPr>
  </w:style>
  <w:style w:type="paragraph" w:customStyle="1" w:styleId="DP2i">
    <w:name w:val="DP2(i)"/>
    <w:aliases w:val="Dictionary(i)"/>
    <w:basedOn w:val="Normal"/>
    <w:uiPriority w:val="99"/>
    <w:rsid w:val="00295FF1"/>
    <w:pPr>
      <w:tabs>
        <w:tab w:val="right" w:pos="1276"/>
      </w:tabs>
      <w:spacing w:before="60" w:line="260" w:lineRule="exact"/>
      <w:ind w:left="1503" w:hanging="1503"/>
      <w:jc w:val="both"/>
    </w:pPr>
  </w:style>
  <w:style w:type="paragraph" w:customStyle="1" w:styleId="ExampleBody">
    <w:name w:val="Example Body"/>
    <w:basedOn w:val="Normal"/>
    <w:uiPriority w:val="99"/>
    <w:rsid w:val="00295FF1"/>
    <w:pPr>
      <w:keepLines/>
      <w:spacing w:before="60" w:line="220" w:lineRule="exact"/>
      <w:ind w:left="964"/>
      <w:jc w:val="both"/>
    </w:pPr>
    <w:rPr>
      <w:sz w:val="20"/>
    </w:rPr>
  </w:style>
  <w:style w:type="paragraph" w:customStyle="1" w:styleId="ExampleList">
    <w:name w:val="Example List"/>
    <w:basedOn w:val="Normal"/>
    <w:uiPriority w:val="99"/>
    <w:rsid w:val="00295FF1"/>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295FF1"/>
    <w:pPr>
      <w:spacing w:before="180" w:after="180"/>
      <w:jc w:val="center"/>
    </w:pPr>
  </w:style>
  <w:style w:type="paragraph" w:customStyle="1" w:styleId="HR">
    <w:name w:val="HR"/>
    <w:aliases w:val="Regulation Heading"/>
    <w:basedOn w:val="Normal"/>
    <w:next w:val="R1"/>
    <w:uiPriority w:val="99"/>
    <w:rsid w:val="00295FF1"/>
    <w:pPr>
      <w:keepNext/>
      <w:keepLines/>
      <w:spacing w:before="360"/>
      <w:ind w:left="964" w:hanging="964"/>
    </w:pPr>
    <w:rPr>
      <w:rFonts w:ascii="Arial" w:hAnsi="Arial"/>
      <w:b/>
    </w:rPr>
  </w:style>
  <w:style w:type="paragraph" w:customStyle="1" w:styleId="Lt">
    <w:name w:val="Lt"/>
    <w:aliases w:val="Long title"/>
    <w:basedOn w:val="Normal"/>
    <w:uiPriority w:val="99"/>
    <w:rsid w:val="00295FF1"/>
    <w:pPr>
      <w:spacing w:before="260"/>
    </w:pPr>
    <w:rPr>
      <w:rFonts w:ascii="Arial" w:hAnsi="Arial"/>
      <w:b/>
      <w:sz w:val="28"/>
    </w:rPr>
  </w:style>
  <w:style w:type="paragraph" w:customStyle="1" w:styleId="M1">
    <w:name w:val="M1"/>
    <w:aliases w:val="Modification Heading"/>
    <w:basedOn w:val="Normal"/>
    <w:next w:val="Normal"/>
    <w:uiPriority w:val="99"/>
    <w:rsid w:val="00295FF1"/>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295FF1"/>
    <w:pPr>
      <w:keepNext/>
      <w:spacing w:before="120" w:line="260" w:lineRule="exact"/>
      <w:ind w:left="964"/>
    </w:pPr>
    <w:rPr>
      <w:i/>
    </w:rPr>
  </w:style>
  <w:style w:type="paragraph" w:customStyle="1" w:styleId="M3">
    <w:name w:val="M3"/>
    <w:aliases w:val="Modification Text"/>
    <w:basedOn w:val="Normal"/>
    <w:next w:val="M1"/>
    <w:uiPriority w:val="99"/>
    <w:rsid w:val="00295FF1"/>
    <w:pPr>
      <w:spacing w:before="60" w:line="260" w:lineRule="exact"/>
      <w:ind w:left="1247"/>
      <w:jc w:val="both"/>
    </w:pPr>
  </w:style>
  <w:style w:type="paragraph" w:customStyle="1" w:styleId="MainBodySectionBreak">
    <w:name w:val="MainBody Section Break"/>
    <w:basedOn w:val="Normal"/>
    <w:next w:val="Normal"/>
    <w:uiPriority w:val="99"/>
    <w:rsid w:val="00295FF1"/>
  </w:style>
  <w:style w:type="paragraph" w:customStyle="1" w:styleId="Maker">
    <w:name w:val="Maker"/>
    <w:basedOn w:val="Normal"/>
    <w:uiPriority w:val="99"/>
    <w:rsid w:val="00295FF1"/>
    <w:pPr>
      <w:tabs>
        <w:tab w:val="left" w:pos="3119"/>
      </w:tabs>
      <w:spacing w:line="300" w:lineRule="atLeast"/>
    </w:pPr>
  </w:style>
  <w:style w:type="paragraph" w:customStyle="1" w:styleId="MHD">
    <w:name w:val="MHD"/>
    <w:aliases w:val="Mod Division Heading"/>
    <w:basedOn w:val="Normal"/>
    <w:next w:val="Normal"/>
    <w:uiPriority w:val="99"/>
    <w:rsid w:val="00295FF1"/>
    <w:pPr>
      <w:keepNext/>
      <w:spacing w:before="360"/>
      <w:ind w:left="2410" w:hanging="2410"/>
    </w:pPr>
    <w:rPr>
      <w:b/>
      <w:sz w:val="28"/>
    </w:rPr>
  </w:style>
  <w:style w:type="paragraph" w:customStyle="1" w:styleId="MHP">
    <w:name w:val="MHP"/>
    <w:aliases w:val="Mod Part Heading"/>
    <w:basedOn w:val="Normal"/>
    <w:next w:val="Normal"/>
    <w:uiPriority w:val="99"/>
    <w:rsid w:val="00295FF1"/>
    <w:pPr>
      <w:keepNext/>
      <w:spacing w:before="360"/>
      <w:ind w:left="2410" w:hanging="2410"/>
    </w:pPr>
    <w:rPr>
      <w:b/>
      <w:sz w:val="32"/>
    </w:rPr>
  </w:style>
  <w:style w:type="paragraph" w:customStyle="1" w:styleId="MHR">
    <w:name w:val="MHR"/>
    <w:aliases w:val="Mod Regulation Heading"/>
    <w:basedOn w:val="Normal"/>
    <w:next w:val="Normal"/>
    <w:uiPriority w:val="99"/>
    <w:rsid w:val="00295FF1"/>
    <w:pPr>
      <w:keepNext/>
      <w:spacing w:before="360"/>
      <w:ind w:left="964" w:hanging="964"/>
    </w:pPr>
    <w:rPr>
      <w:b/>
    </w:rPr>
  </w:style>
  <w:style w:type="paragraph" w:customStyle="1" w:styleId="MHS">
    <w:name w:val="MHS"/>
    <w:aliases w:val="Mod Subdivision Heading"/>
    <w:basedOn w:val="Normal"/>
    <w:next w:val="MHR"/>
    <w:uiPriority w:val="99"/>
    <w:rsid w:val="00295FF1"/>
    <w:pPr>
      <w:keepNext/>
      <w:spacing w:before="360"/>
      <w:ind w:left="2410" w:hanging="2410"/>
    </w:pPr>
    <w:rPr>
      <w:b/>
    </w:rPr>
  </w:style>
  <w:style w:type="paragraph" w:customStyle="1" w:styleId="MHSR">
    <w:name w:val="MHSR"/>
    <w:aliases w:val="Mod Subregulation Heading"/>
    <w:basedOn w:val="Normal"/>
    <w:next w:val="Normal"/>
    <w:uiPriority w:val="99"/>
    <w:rsid w:val="00295FF1"/>
    <w:pPr>
      <w:keepNext/>
      <w:spacing w:before="300"/>
      <w:ind w:left="964" w:hanging="964"/>
    </w:pPr>
    <w:rPr>
      <w:i/>
    </w:rPr>
  </w:style>
  <w:style w:type="paragraph" w:customStyle="1" w:styleId="Note">
    <w:name w:val="Note"/>
    <w:basedOn w:val="Normal"/>
    <w:uiPriority w:val="99"/>
    <w:rsid w:val="00295FF1"/>
    <w:pPr>
      <w:keepLines/>
      <w:spacing w:before="120" w:line="220" w:lineRule="exact"/>
      <w:ind w:left="964"/>
      <w:jc w:val="both"/>
    </w:pPr>
    <w:rPr>
      <w:sz w:val="20"/>
    </w:rPr>
  </w:style>
  <w:style w:type="paragraph" w:customStyle="1" w:styleId="NotesSectionBreak">
    <w:name w:val="NotesSectionBreak"/>
    <w:basedOn w:val="Normal"/>
    <w:next w:val="Normal"/>
    <w:uiPriority w:val="99"/>
    <w:rsid w:val="00295FF1"/>
  </w:style>
  <w:style w:type="paragraph" w:customStyle="1" w:styleId="P4">
    <w:name w:val="P4"/>
    <w:aliases w:val="(I)"/>
    <w:basedOn w:val="Normal"/>
    <w:uiPriority w:val="99"/>
    <w:rsid w:val="00295FF1"/>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295FF1"/>
    <w:rPr>
      <w:sz w:val="4"/>
      <w:szCs w:val="2"/>
    </w:rPr>
  </w:style>
  <w:style w:type="paragraph" w:customStyle="1" w:styleId="Penalty">
    <w:name w:val="Penalty"/>
    <w:basedOn w:val="Normal"/>
    <w:next w:val="Normal"/>
    <w:uiPriority w:val="99"/>
    <w:rsid w:val="00295FF1"/>
    <w:pPr>
      <w:spacing w:before="180" w:line="260" w:lineRule="exact"/>
      <w:ind w:left="964"/>
      <w:jc w:val="both"/>
    </w:pPr>
  </w:style>
  <w:style w:type="paragraph" w:customStyle="1" w:styleId="Query">
    <w:name w:val="Query"/>
    <w:aliases w:val="QY"/>
    <w:basedOn w:val="Normal"/>
    <w:uiPriority w:val="99"/>
    <w:rsid w:val="00295FF1"/>
    <w:pPr>
      <w:spacing w:before="180" w:line="260" w:lineRule="exact"/>
      <w:ind w:left="964" w:hanging="964"/>
      <w:jc w:val="both"/>
    </w:pPr>
    <w:rPr>
      <w:b/>
      <w:i/>
    </w:rPr>
  </w:style>
  <w:style w:type="paragraph" w:customStyle="1" w:styleId="Rc">
    <w:name w:val="Rc"/>
    <w:aliases w:val="Rn continued"/>
    <w:basedOn w:val="Normal"/>
    <w:next w:val="R2"/>
    <w:uiPriority w:val="99"/>
    <w:rsid w:val="00295FF1"/>
    <w:pPr>
      <w:spacing w:before="60" w:line="260" w:lineRule="exact"/>
      <w:ind w:left="964"/>
      <w:jc w:val="both"/>
    </w:pPr>
  </w:style>
  <w:style w:type="paragraph" w:customStyle="1" w:styleId="ReadersGuideSectionBreak">
    <w:name w:val="ReadersGuideSectionBreak"/>
    <w:basedOn w:val="Normal"/>
    <w:next w:val="Normal"/>
    <w:uiPriority w:val="99"/>
    <w:rsid w:val="00295FF1"/>
  </w:style>
  <w:style w:type="paragraph" w:customStyle="1" w:styleId="RGHead">
    <w:name w:val="RGHead"/>
    <w:basedOn w:val="Normal"/>
    <w:next w:val="Normal"/>
    <w:uiPriority w:val="99"/>
    <w:rsid w:val="00295FF1"/>
    <w:pPr>
      <w:keepNext/>
      <w:spacing w:before="360"/>
    </w:pPr>
    <w:rPr>
      <w:rFonts w:ascii="Arial" w:hAnsi="Arial"/>
      <w:b/>
      <w:sz w:val="32"/>
    </w:rPr>
  </w:style>
  <w:style w:type="paragraph" w:customStyle="1" w:styleId="RGPara">
    <w:name w:val="RGPara"/>
    <w:aliases w:val="Readers Guide Para"/>
    <w:basedOn w:val="Normal"/>
    <w:uiPriority w:val="99"/>
    <w:rsid w:val="00295FF1"/>
    <w:pPr>
      <w:spacing w:before="120" w:line="260" w:lineRule="exact"/>
      <w:jc w:val="both"/>
    </w:pPr>
  </w:style>
  <w:style w:type="paragraph" w:customStyle="1" w:styleId="RGPtHd">
    <w:name w:val="RGPtHd"/>
    <w:aliases w:val="Readers Guide PT Heading"/>
    <w:basedOn w:val="Normal"/>
    <w:next w:val="Normal"/>
    <w:uiPriority w:val="99"/>
    <w:rsid w:val="00295FF1"/>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295FF1"/>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295FF1"/>
  </w:style>
  <w:style w:type="paragraph" w:customStyle="1" w:styleId="ScheduleHeading">
    <w:name w:val="Schedule Heading"/>
    <w:basedOn w:val="Normal"/>
    <w:next w:val="Normal"/>
    <w:uiPriority w:val="99"/>
    <w:rsid w:val="00295FF1"/>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295FF1"/>
    <w:pPr>
      <w:keepNext/>
      <w:keepLines/>
      <w:spacing w:before="360"/>
      <w:ind w:left="1559" w:hanging="1559"/>
    </w:pPr>
    <w:rPr>
      <w:rFonts w:ascii="Arial" w:hAnsi="Arial"/>
      <w:b/>
    </w:rPr>
  </w:style>
  <w:style w:type="paragraph" w:customStyle="1" w:styleId="IntroP1a">
    <w:name w:val="IntroP1(a)"/>
    <w:basedOn w:val="Normal"/>
    <w:uiPriority w:val="99"/>
    <w:rsid w:val="00295FF1"/>
    <w:pPr>
      <w:spacing w:before="60" w:line="260" w:lineRule="exact"/>
      <w:ind w:left="454" w:hanging="454"/>
      <w:jc w:val="both"/>
    </w:pPr>
  </w:style>
  <w:style w:type="paragraph" w:customStyle="1" w:styleId="Footerinfo0">
    <w:name w:val="Footerinfo"/>
    <w:basedOn w:val="Footer"/>
    <w:uiPriority w:val="99"/>
    <w:rsid w:val="00295FF1"/>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295FF1"/>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295FF1"/>
  </w:style>
  <w:style w:type="paragraph" w:customStyle="1" w:styleId="Schedulelist">
    <w:name w:val="Schedule list"/>
    <w:basedOn w:val="Normal"/>
    <w:uiPriority w:val="99"/>
    <w:rsid w:val="00295FF1"/>
    <w:pPr>
      <w:tabs>
        <w:tab w:val="right" w:pos="1985"/>
      </w:tabs>
      <w:spacing w:before="60" w:line="260" w:lineRule="exact"/>
      <w:ind w:left="454"/>
    </w:pPr>
  </w:style>
  <w:style w:type="paragraph" w:customStyle="1" w:styleId="Schedulepara">
    <w:name w:val="Schedule para"/>
    <w:basedOn w:val="Normal"/>
    <w:uiPriority w:val="99"/>
    <w:rsid w:val="00295FF1"/>
    <w:pPr>
      <w:tabs>
        <w:tab w:val="right" w:pos="567"/>
      </w:tabs>
      <w:spacing w:before="180" w:line="260" w:lineRule="exact"/>
      <w:ind w:left="964" w:hanging="964"/>
      <w:jc w:val="both"/>
    </w:pPr>
  </w:style>
  <w:style w:type="paragraph" w:customStyle="1" w:styleId="Schedulepart">
    <w:name w:val="Schedule part"/>
    <w:basedOn w:val="Normal"/>
    <w:uiPriority w:val="99"/>
    <w:rsid w:val="00295FF1"/>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295FF1"/>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295FF1"/>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295FF1"/>
  </w:style>
  <w:style w:type="paragraph" w:customStyle="1" w:styleId="SRNo">
    <w:name w:val="SRNo"/>
    <w:basedOn w:val="Normal"/>
    <w:next w:val="Normal"/>
    <w:uiPriority w:val="99"/>
    <w:rsid w:val="00295FF1"/>
    <w:pPr>
      <w:pBdr>
        <w:bottom w:val="single" w:sz="4" w:space="3" w:color="auto"/>
      </w:pBdr>
      <w:spacing w:before="480"/>
    </w:pPr>
    <w:rPr>
      <w:rFonts w:ascii="Arial" w:hAnsi="Arial"/>
      <w:b/>
    </w:rPr>
  </w:style>
  <w:style w:type="paragraph" w:customStyle="1" w:styleId="TableColHead">
    <w:name w:val="TableColHead"/>
    <w:basedOn w:val="Normal"/>
    <w:uiPriority w:val="99"/>
    <w:rsid w:val="00295FF1"/>
    <w:pPr>
      <w:keepNext/>
      <w:spacing w:before="120" w:after="60" w:line="200" w:lineRule="exact"/>
    </w:pPr>
    <w:rPr>
      <w:rFonts w:ascii="Arial" w:hAnsi="Arial"/>
      <w:b/>
      <w:sz w:val="18"/>
    </w:rPr>
  </w:style>
  <w:style w:type="paragraph" w:customStyle="1" w:styleId="TableP1a">
    <w:name w:val="TableP1(a)"/>
    <w:basedOn w:val="Normal"/>
    <w:uiPriority w:val="99"/>
    <w:rsid w:val="00295FF1"/>
    <w:pPr>
      <w:tabs>
        <w:tab w:val="right" w:pos="408"/>
      </w:tabs>
      <w:spacing w:after="60" w:line="240" w:lineRule="exact"/>
      <w:ind w:left="533" w:hanging="533"/>
    </w:pPr>
    <w:rPr>
      <w:sz w:val="22"/>
    </w:rPr>
  </w:style>
  <w:style w:type="paragraph" w:customStyle="1" w:styleId="TableP2i">
    <w:name w:val="TableP2(i)"/>
    <w:basedOn w:val="Normal"/>
    <w:uiPriority w:val="99"/>
    <w:rsid w:val="00295FF1"/>
    <w:pPr>
      <w:tabs>
        <w:tab w:val="right" w:pos="726"/>
      </w:tabs>
      <w:spacing w:after="60" w:line="240" w:lineRule="exact"/>
      <w:ind w:left="868" w:hanging="868"/>
    </w:pPr>
    <w:rPr>
      <w:sz w:val="22"/>
    </w:rPr>
  </w:style>
  <w:style w:type="paragraph" w:customStyle="1" w:styleId="TableText0">
    <w:name w:val="TableText"/>
    <w:basedOn w:val="Normal"/>
    <w:uiPriority w:val="99"/>
    <w:rsid w:val="00295FF1"/>
    <w:pPr>
      <w:spacing w:before="60" w:after="60" w:line="240" w:lineRule="exact"/>
    </w:pPr>
    <w:rPr>
      <w:sz w:val="22"/>
    </w:rPr>
  </w:style>
  <w:style w:type="paragraph" w:customStyle="1" w:styleId="TOC">
    <w:name w:val="TOC"/>
    <w:basedOn w:val="Normal"/>
    <w:next w:val="Normal"/>
    <w:uiPriority w:val="99"/>
    <w:rsid w:val="00295FF1"/>
    <w:pPr>
      <w:tabs>
        <w:tab w:val="right" w:pos="7088"/>
      </w:tabs>
      <w:spacing w:after="120"/>
    </w:pPr>
    <w:rPr>
      <w:rFonts w:ascii="Arial" w:hAnsi="Arial"/>
      <w:sz w:val="20"/>
      <w:lang w:eastAsia="en-US"/>
    </w:rPr>
  </w:style>
  <w:style w:type="paragraph" w:customStyle="1" w:styleId="IntroP2i">
    <w:name w:val="IntroP2(i)"/>
    <w:basedOn w:val="Normal"/>
    <w:uiPriority w:val="99"/>
    <w:rsid w:val="00295FF1"/>
    <w:pPr>
      <w:tabs>
        <w:tab w:val="right" w:pos="709"/>
      </w:tabs>
      <w:spacing w:before="60" w:line="260" w:lineRule="exact"/>
      <w:ind w:left="907" w:hanging="907"/>
      <w:jc w:val="both"/>
    </w:pPr>
  </w:style>
  <w:style w:type="paragraph" w:customStyle="1" w:styleId="IntroP3A">
    <w:name w:val="IntroP3(A)"/>
    <w:basedOn w:val="Normal"/>
    <w:uiPriority w:val="99"/>
    <w:rsid w:val="00295FF1"/>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295FF1"/>
    <w:pPr>
      <w:spacing w:before="120"/>
      <w:ind w:left="958" w:hanging="958"/>
    </w:pPr>
    <w:rPr>
      <w:rFonts w:ascii="Arial" w:hAnsi="Arial" w:cs="Arial"/>
      <w:b/>
      <w:sz w:val="16"/>
      <w:szCs w:val="18"/>
      <w:lang w:eastAsia="en-US"/>
    </w:rPr>
  </w:style>
  <w:style w:type="paragraph" w:customStyle="1" w:styleId="ZA2">
    <w:name w:val="ZA2"/>
    <w:basedOn w:val="A2"/>
    <w:uiPriority w:val="99"/>
    <w:rsid w:val="00295FF1"/>
    <w:pPr>
      <w:keepNext/>
    </w:pPr>
  </w:style>
  <w:style w:type="paragraph" w:customStyle="1" w:styleId="ZA3">
    <w:name w:val="ZA3"/>
    <w:basedOn w:val="A3"/>
    <w:uiPriority w:val="99"/>
    <w:rsid w:val="00295FF1"/>
    <w:pPr>
      <w:keepNext/>
    </w:pPr>
  </w:style>
  <w:style w:type="paragraph" w:customStyle="1" w:styleId="ZA4">
    <w:name w:val="ZA4"/>
    <w:basedOn w:val="Normal"/>
    <w:next w:val="A4"/>
    <w:uiPriority w:val="99"/>
    <w:rsid w:val="00295FF1"/>
    <w:pPr>
      <w:keepNext/>
      <w:tabs>
        <w:tab w:val="right" w:pos="1247"/>
      </w:tabs>
      <w:spacing w:before="60" w:line="260" w:lineRule="exact"/>
      <w:ind w:left="1531" w:hanging="1531"/>
      <w:jc w:val="both"/>
    </w:pPr>
  </w:style>
  <w:style w:type="paragraph" w:customStyle="1" w:styleId="ZDD">
    <w:name w:val="ZDD"/>
    <w:aliases w:val="Dict Def"/>
    <w:basedOn w:val="DD"/>
    <w:uiPriority w:val="99"/>
    <w:rsid w:val="00295FF1"/>
    <w:pPr>
      <w:keepNext/>
    </w:pPr>
  </w:style>
  <w:style w:type="paragraph" w:customStyle="1" w:styleId="Zdefinition">
    <w:name w:val="Zdefinition"/>
    <w:basedOn w:val="definition"/>
    <w:uiPriority w:val="99"/>
    <w:rsid w:val="00295FF1"/>
    <w:pPr>
      <w:keepNext/>
    </w:pPr>
  </w:style>
  <w:style w:type="paragraph" w:customStyle="1" w:styleId="ZDP1">
    <w:name w:val="ZDP1"/>
    <w:basedOn w:val="DP1a"/>
    <w:uiPriority w:val="99"/>
    <w:rsid w:val="00295FF1"/>
    <w:pPr>
      <w:keepNext/>
    </w:pPr>
  </w:style>
  <w:style w:type="paragraph" w:customStyle="1" w:styleId="ZExampleBody">
    <w:name w:val="ZExample Body"/>
    <w:basedOn w:val="ExampleBody"/>
    <w:uiPriority w:val="99"/>
    <w:rsid w:val="00295FF1"/>
    <w:pPr>
      <w:keepNext/>
    </w:pPr>
  </w:style>
  <w:style w:type="paragraph" w:customStyle="1" w:styleId="ZNote">
    <w:name w:val="ZNote"/>
    <w:basedOn w:val="Note"/>
    <w:uiPriority w:val="99"/>
    <w:rsid w:val="00295FF1"/>
    <w:pPr>
      <w:keepNext/>
    </w:pPr>
  </w:style>
  <w:style w:type="paragraph" w:customStyle="1" w:styleId="ZP1">
    <w:name w:val="ZP1"/>
    <w:basedOn w:val="P1"/>
    <w:uiPriority w:val="99"/>
    <w:rsid w:val="00295FF1"/>
    <w:pPr>
      <w:keepNext/>
    </w:pPr>
  </w:style>
  <w:style w:type="paragraph" w:customStyle="1" w:styleId="ZP2">
    <w:name w:val="ZP2"/>
    <w:basedOn w:val="P2"/>
    <w:uiPriority w:val="99"/>
    <w:rsid w:val="00295FF1"/>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295FF1"/>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295FF1"/>
    <w:pPr>
      <w:keepNext/>
    </w:pPr>
  </w:style>
  <w:style w:type="paragraph" w:customStyle="1" w:styleId="ZR2">
    <w:name w:val="ZR2"/>
    <w:basedOn w:val="R2"/>
    <w:uiPriority w:val="99"/>
    <w:rsid w:val="00295FF1"/>
    <w:pPr>
      <w:keepNext/>
    </w:pPr>
  </w:style>
  <w:style w:type="paragraph" w:customStyle="1" w:styleId="ZRcN">
    <w:name w:val="ZRcN"/>
    <w:basedOn w:val="Rc"/>
    <w:uiPriority w:val="99"/>
    <w:rsid w:val="00295FF1"/>
    <w:pPr>
      <w:keepNext/>
    </w:pPr>
  </w:style>
  <w:style w:type="paragraph" w:customStyle="1" w:styleId="top1">
    <w:name w:val="top1"/>
    <w:basedOn w:val="Normal"/>
    <w:uiPriority w:val="99"/>
    <w:rsid w:val="00295FF1"/>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295FF1"/>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295FF1"/>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295FF1"/>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locked/>
    <w:rsid w:val="00295FF1"/>
    <w:rPr>
      <w:rFonts w:ascii="Calibri" w:eastAsia="Calibri" w:hAnsi="Calibri" w:cs="Calibri"/>
      <w:sz w:val="24"/>
      <w:szCs w:val="22"/>
    </w:rPr>
  </w:style>
  <w:style w:type="paragraph" w:customStyle="1" w:styleId="OutlineNumbered1">
    <w:name w:val="Outline Numbered 1"/>
    <w:basedOn w:val="Normal"/>
    <w:link w:val="OutlineNumbered1Char"/>
    <w:rsid w:val="00295FF1"/>
    <w:pPr>
      <w:spacing w:line="276" w:lineRule="auto"/>
    </w:pPr>
    <w:rPr>
      <w:rFonts w:ascii="Calibri" w:eastAsia="Calibri" w:hAnsi="Calibri" w:cs="Calibri"/>
      <w:szCs w:val="22"/>
      <w:lang w:eastAsia="en-US"/>
    </w:rPr>
  </w:style>
  <w:style w:type="paragraph" w:customStyle="1" w:styleId="OutlineNumbered2">
    <w:name w:val="Outline Numbered 2"/>
    <w:basedOn w:val="Normal"/>
    <w:rsid w:val="00295FF1"/>
    <w:pPr>
      <w:spacing w:line="276" w:lineRule="auto"/>
    </w:pPr>
    <w:rPr>
      <w:rFonts w:eastAsia="Calibri"/>
      <w:szCs w:val="22"/>
      <w:lang w:eastAsia="en-US"/>
    </w:rPr>
  </w:style>
  <w:style w:type="paragraph" w:customStyle="1" w:styleId="OutlineNumbered3">
    <w:name w:val="Outline Numbered 3"/>
    <w:basedOn w:val="Normal"/>
    <w:rsid w:val="00295FF1"/>
    <w:pPr>
      <w:spacing w:line="276" w:lineRule="auto"/>
    </w:pPr>
    <w:rPr>
      <w:rFonts w:eastAsia="Calibri"/>
      <w:szCs w:val="22"/>
      <w:lang w:eastAsia="en-US"/>
    </w:rPr>
  </w:style>
  <w:style w:type="character" w:customStyle="1" w:styleId="BulletChar">
    <w:name w:val="Bullet Char"/>
    <w:aliases w:val="b Char"/>
    <w:basedOn w:val="DefaultParagraphFont"/>
    <w:link w:val="Bullet"/>
    <w:uiPriority w:val="99"/>
    <w:locked/>
    <w:rsid w:val="00295FF1"/>
    <w:rPr>
      <w:sz w:val="24"/>
      <w:szCs w:val="22"/>
    </w:rPr>
  </w:style>
  <w:style w:type="paragraph" w:customStyle="1" w:styleId="Bullet">
    <w:name w:val="Bullet"/>
    <w:aliases w:val="b"/>
    <w:basedOn w:val="Normal"/>
    <w:link w:val="BulletChar"/>
    <w:uiPriority w:val="99"/>
    <w:qFormat/>
    <w:rsid w:val="00295FF1"/>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295FF1"/>
    <w:rPr>
      <w:sz w:val="24"/>
      <w:szCs w:val="22"/>
    </w:rPr>
  </w:style>
  <w:style w:type="paragraph" w:customStyle="1" w:styleId="Dash">
    <w:name w:val="Dash"/>
    <w:basedOn w:val="Normal"/>
    <w:link w:val="DashChar"/>
    <w:uiPriority w:val="99"/>
    <w:qFormat/>
    <w:rsid w:val="00295FF1"/>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295FF1"/>
    <w:rPr>
      <w:sz w:val="24"/>
      <w:szCs w:val="22"/>
    </w:rPr>
  </w:style>
  <w:style w:type="paragraph" w:customStyle="1" w:styleId="DoubleDot">
    <w:name w:val="Double Dot"/>
    <w:basedOn w:val="Normal"/>
    <w:link w:val="DoubleDotChar"/>
    <w:uiPriority w:val="99"/>
    <w:rsid w:val="00295FF1"/>
    <w:pPr>
      <w:spacing w:before="120" w:after="120" w:line="276" w:lineRule="auto"/>
    </w:pPr>
    <w:rPr>
      <w:rFonts w:eastAsiaTheme="minorHAnsi"/>
      <w:szCs w:val="22"/>
      <w:lang w:eastAsia="en-US"/>
    </w:rPr>
  </w:style>
  <w:style w:type="paragraph" w:customStyle="1" w:styleId="note0">
    <w:name w:val="note"/>
    <w:basedOn w:val="Normal"/>
    <w:uiPriority w:val="99"/>
    <w:rsid w:val="00295FF1"/>
    <w:pPr>
      <w:spacing w:before="100" w:beforeAutospacing="1" w:after="100" w:afterAutospacing="1"/>
    </w:pPr>
  </w:style>
  <w:style w:type="paragraph" w:customStyle="1" w:styleId="zdefinition0">
    <w:name w:val="zdefinition"/>
    <w:basedOn w:val="Normal"/>
    <w:rsid w:val="00295FF1"/>
    <w:pPr>
      <w:spacing w:before="100" w:beforeAutospacing="1" w:after="100" w:afterAutospacing="1"/>
    </w:pPr>
  </w:style>
  <w:style w:type="paragraph" w:customStyle="1" w:styleId="p10">
    <w:name w:val="p1"/>
    <w:basedOn w:val="Normal"/>
    <w:rsid w:val="00295FF1"/>
    <w:pPr>
      <w:spacing w:before="100" w:beforeAutospacing="1" w:after="100" w:afterAutospacing="1"/>
    </w:pPr>
  </w:style>
  <w:style w:type="paragraph" w:customStyle="1" w:styleId="zr20">
    <w:name w:val="zr2"/>
    <w:basedOn w:val="Normal"/>
    <w:uiPriority w:val="99"/>
    <w:rsid w:val="00295FF1"/>
    <w:pPr>
      <w:spacing w:before="100" w:beforeAutospacing="1" w:after="100" w:afterAutospacing="1"/>
    </w:pPr>
  </w:style>
  <w:style w:type="paragraph" w:customStyle="1" w:styleId="rc0">
    <w:name w:val="rc"/>
    <w:basedOn w:val="Normal"/>
    <w:uiPriority w:val="99"/>
    <w:rsid w:val="00295FF1"/>
    <w:pPr>
      <w:spacing w:before="100" w:beforeAutospacing="1" w:after="100" w:afterAutospacing="1"/>
    </w:pPr>
  </w:style>
  <w:style w:type="paragraph" w:customStyle="1" w:styleId="Rx12">
    <w:name w:val="Rx.12"/>
    <w:aliases w:val="Subdivision"/>
    <w:basedOn w:val="Normal"/>
    <w:next w:val="Normal"/>
    <w:uiPriority w:val="99"/>
    <w:rsid w:val="00295FF1"/>
    <w:pPr>
      <w:keepNext/>
      <w:keepLines/>
      <w:spacing w:before="360" w:line="260" w:lineRule="atLeast"/>
      <w:ind w:left="1134" w:hanging="1134"/>
    </w:pPr>
    <w:rPr>
      <w:rFonts w:ascii="Arial" w:hAnsi="Arial"/>
      <w:b/>
      <w:lang w:eastAsia="en-US"/>
    </w:rPr>
  </w:style>
  <w:style w:type="paragraph" w:customStyle="1" w:styleId="r20">
    <w:name w:val="r2"/>
    <w:basedOn w:val="Normal"/>
    <w:rsid w:val="00295FF1"/>
    <w:pPr>
      <w:spacing w:before="100" w:beforeAutospacing="1" w:after="100" w:afterAutospacing="1"/>
    </w:pPr>
  </w:style>
  <w:style w:type="paragraph" w:customStyle="1" w:styleId="notepara1">
    <w:name w:val="notepara"/>
    <w:basedOn w:val="Normal"/>
    <w:uiPriority w:val="99"/>
    <w:rsid w:val="00295FF1"/>
    <w:pPr>
      <w:spacing w:before="100" w:beforeAutospacing="1" w:after="100" w:afterAutospacing="1"/>
    </w:pPr>
  </w:style>
  <w:style w:type="paragraph" w:customStyle="1" w:styleId="paragraph">
    <w:name w:val="paragraph"/>
    <w:basedOn w:val="Normal"/>
    <w:rsid w:val="00295FF1"/>
    <w:pPr>
      <w:spacing w:before="100" w:beforeAutospacing="1" w:after="100" w:afterAutospacing="1"/>
    </w:pPr>
  </w:style>
  <w:style w:type="paragraph" w:customStyle="1" w:styleId="acthead5">
    <w:name w:val="acthead5"/>
    <w:basedOn w:val="Normal"/>
    <w:uiPriority w:val="99"/>
    <w:rsid w:val="00295FF1"/>
    <w:pPr>
      <w:spacing w:before="100" w:beforeAutospacing="1" w:after="100" w:afterAutospacing="1"/>
    </w:pPr>
  </w:style>
  <w:style w:type="paragraph" w:customStyle="1" w:styleId="subsectionhead">
    <w:name w:val="subsectionhead"/>
    <w:basedOn w:val="Normal"/>
    <w:uiPriority w:val="99"/>
    <w:rsid w:val="00295FF1"/>
    <w:pPr>
      <w:spacing w:before="100" w:beforeAutospacing="1" w:after="100" w:afterAutospacing="1"/>
    </w:pPr>
  </w:style>
  <w:style w:type="paragraph" w:customStyle="1" w:styleId="subsection">
    <w:name w:val="subsection"/>
    <w:basedOn w:val="Normal"/>
    <w:uiPriority w:val="99"/>
    <w:rsid w:val="00295FF1"/>
    <w:pPr>
      <w:spacing w:before="100" w:beforeAutospacing="1" w:after="100" w:afterAutospacing="1"/>
    </w:pPr>
  </w:style>
  <w:style w:type="paragraph" w:customStyle="1" w:styleId="NoteLevel11">
    <w:name w:val="Note Level 11"/>
    <w:basedOn w:val="Normal"/>
    <w:uiPriority w:val="99"/>
    <w:semiHidden/>
    <w:rsid w:val="00295FF1"/>
    <w:pPr>
      <w:keepNext/>
      <w:contextualSpacing/>
      <w:outlineLvl w:val="0"/>
    </w:pPr>
    <w:rPr>
      <w:rFonts w:ascii="Verdana" w:hAnsi="Verdana"/>
    </w:rPr>
  </w:style>
  <w:style w:type="paragraph" w:customStyle="1" w:styleId="NoteLevel21">
    <w:name w:val="Note Level 21"/>
    <w:basedOn w:val="Normal"/>
    <w:uiPriority w:val="99"/>
    <w:semiHidden/>
    <w:rsid w:val="00295FF1"/>
    <w:pPr>
      <w:keepNext/>
      <w:contextualSpacing/>
      <w:outlineLvl w:val="1"/>
    </w:pPr>
    <w:rPr>
      <w:rFonts w:ascii="Verdana" w:hAnsi="Verdana"/>
    </w:rPr>
  </w:style>
  <w:style w:type="paragraph" w:customStyle="1" w:styleId="NoteLevel31">
    <w:name w:val="Note Level 31"/>
    <w:basedOn w:val="Normal"/>
    <w:uiPriority w:val="99"/>
    <w:semiHidden/>
    <w:rsid w:val="00295FF1"/>
    <w:pPr>
      <w:keepNext/>
      <w:contextualSpacing/>
      <w:outlineLvl w:val="2"/>
    </w:pPr>
    <w:rPr>
      <w:rFonts w:ascii="Verdana" w:hAnsi="Verdana"/>
    </w:rPr>
  </w:style>
  <w:style w:type="paragraph" w:customStyle="1" w:styleId="NoteLevel41">
    <w:name w:val="Note Level 41"/>
    <w:basedOn w:val="Normal"/>
    <w:uiPriority w:val="99"/>
    <w:semiHidden/>
    <w:rsid w:val="00295FF1"/>
    <w:pPr>
      <w:keepNext/>
      <w:contextualSpacing/>
      <w:outlineLvl w:val="3"/>
    </w:pPr>
    <w:rPr>
      <w:rFonts w:ascii="Verdana" w:hAnsi="Verdana"/>
    </w:rPr>
  </w:style>
  <w:style w:type="paragraph" w:customStyle="1" w:styleId="NoteLevel51">
    <w:name w:val="Note Level 51"/>
    <w:basedOn w:val="Normal"/>
    <w:uiPriority w:val="99"/>
    <w:semiHidden/>
    <w:rsid w:val="00295FF1"/>
    <w:pPr>
      <w:keepNext/>
      <w:contextualSpacing/>
      <w:outlineLvl w:val="4"/>
    </w:pPr>
    <w:rPr>
      <w:rFonts w:ascii="Verdana" w:hAnsi="Verdana"/>
    </w:rPr>
  </w:style>
  <w:style w:type="paragraph" w:customStyle="1" w:styleId="NoteLevel61">
    <w:name w:val="Note Level 61"/>
    <w:basedOn w:val="Normal"/>
    <w:uiPriority w:val="99"/>
    <w:semiHidden/>
    <w:rsid w:val="00295FF1"/>
    <w:pPr>
      <w:keepNext/>
      <w:contextualSpacing/>
      <w:outlineLvl w:val="5"/>
    </w:pPr>
    <w:rPr>
      <w:rFonts w:ascii="Verdana" w:hAnsi="Verdana"/>
    </w:rPr>
  </w:style>
  <w:style w:type="paragraph" w:customStyle="1" w:styleId="NoteLevel71">
    <w:name w:val="Note Level 71"/>
    <w:basedOn w:val="Normal"/>
    <w:uiPriority w:val="99"/>
    <w:semiHidden/>
    <w:rsid w:val="00295FF1"/>
    <w:pPr>
      <w:keepNext/>
      <w:contextualSpacing/>
      <w:outlineLvl w:val="6"/>
    </w:pPr>
    <w:rPr>
      <w:rFonts w:ascii="Verdana" w:hAnsi="Verdana"/>
    </w:rPr>
  </w:style>
  <w:style w:type="paragraph" w:customStyle="1" w:styleId="NoteLevel81">
    <w:name w:val="Note Level 81"/>
    <w:basedOn w:val="Normal"/>
    <w:uiPriority w:val="99"/>
    <w:semiHidden/>
    <w:rsid w:val="00295FF1"/>
    <w:pPr>
      <w:keepNext/>
      <w:contextualSpacing/>
      <w:outlineLvl w:val="7"/>
    </w:pPr>
    <w:rPr>
      <w:rFonts w:ascii="Verdana" w:hAnsi="Verdana"/>
    </w:rPr>
  </w:style>
  <w:style w:type="paragraph" w:customStyle="1" w:styleId="NoteLevel91">
    <w:name w:val="Note Level 91"/>
    <w:basedOn w:val="Normal"/>
    <w:uiPriority w:val="99"/>
    <w:semiHidden/>
    <w:rsid w:val="00295FF1"/>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295FF1"/>
    <w:rPr>
      <w:rFonts w:ascii="Times New Roman" w:hAnsi="Times New Roman" w:cs="Times New Roman" w:hint="default"/>
      <w:sz w:val="20"/>
      <w:vertAlign w:val="superscript"/>
    </w:rPr>
  </w:style>
  <w:style w:type="character" w:styleId="EndnoteReference">
    <w:name w:val="endnote reference"/>
    <w:basedOn w:val="DefaultParagraphFont"/>
    <w:uiPriority w:val="99"/>
    <w:semiHidden/>
    <w:unhideWhenUsed/>
    <w:rsid w:val="00295FF1"/>
    <w:rPr>
      <w:vertAlign w:val="superscript"/>
    </w:rPr>
  </w:style>
  <w:style w:type="character" w:styleId="PlaceholderText">
    <w:name w:val="Placeholder Text"/>
    <w:basedOn w:val="DefaultParagraphFont"/>
    <w:uiPriority w:val="99"/>
    <w:semiHidden/>
    <w:rsid w:val="00295FF1"/>
    <w:rPr>
      <w:color w:val="808080"/>
    </w:rPr>
  </w:style>
  <w:style w:type="character" w:styleId="SubtleEmphasis">
    <w:name w:val="Subtle Emphasis"/>
    <w:basedOn w:val="DefaultParagraphFont"/>
    <w:uiPriority w:val="99"/>
    <w:qFormat/>
    <w:rsid w:val="00295FF1"/>
    <w:rPr>
      <w:rFonts w:ascii="Arial" w:hAnsi="Arial" w:cs="Times New Roman" w:hint="default"/>
      <w:i/>
      <w:iCs w:val="0"/>
      <w:color w:val="7F7F7F"/>
      <w:sz w:val="20"/>
    </w:rPr>
  </w:style>
  <w:style w:type="character" w:customStyle="1" w:styleId="CharAmSchNo">
    <w:name w:val="CharAmSchNo"/>
    <w:basedOn w:val="DefaultParagraphFont"/>
    <w:uiPriority w:val="99"/>
    <w:rsid w:val="00295FF1"/>
  </w:style>
  <w:style w:type="character" w:customStyle="1" w:styleId="CharAmSchText">
    <w:name w:val="CharAmSchText"/>
    <w:basedOn w:val="DefaultParagraphFont"/>
    <w:uiPriority w:val="99"/>
    <w:rsid w:val="00295FF1"/>
  </w:style>
  <w:style w:type="character" w:customStyle="1" w:styleId="CharChapNo">
    <w:name w:val="CharChapNo"/>
    <w:basedOn w:val="DefaultParagraphFont"/>
    <w:uiPriority w:val="99"/>
    <w:rsid w:val="00295FF1"/>
  </w:style>
  <w:style w:type="character" w:customStyle="1" w:styleId="CharChapText">
    <w:name w:val="CharChapText"/>
    <w:basedOn w:val="DefaultParagraphFont"/>
    <w:uiPriority w:val="99"/>
    <w:rsid w:val="00295FF1"/>
  </w:style>
  <w:style w:type="character" w:customStyle="1" w:styleId="CharDivNo">
    <w:name w:val="CharDivNo"/>
    <w:basedOn w:val="DefaultParagraphFont"/>
    <w:uiPriority w:val="99"/>
    <w:rsid w:val="00295FF1"/>
  </w:style>
  <w:style w:type="character" w:customStyle="1" w:styleId="CharDivText">
    <w:name w:val="CharDivText"/>
    <w:basedOn w:val="DefaultParagraphFont"/>
    <w:uiPriority w:val="99"/>
    <w:rsid w:val="00295FF1"/>
  </w:style>
  <w:style w:type="character" w:customStyle="1" w:styleId="CharPartNo">
    <w:name w:val="CharPartNo"/>
    <w:basedOn w:val="DefaultParagraphFont"/>
    <w:uiPriority w:val="99"/>
    <w:rsid w:val="00295FF1"/>
  </w:style>
  <w:style w:type="character" w:customStyle="1" w:styleId="CharPartText">
    <w:name w:val="CharPartText"/>
    <w:basedOn w:val="DefaultParagraphFont"/>
    <w:uiPriority w:val="99"/>
    <w:rsid w:val="00295FF1"/>
  </w:style>
  <w:style w:type="character" w:customStyle="1" w:styleId="CharSchPTNo">
    <w:name w:val="CharSchPTNo"/>
    <w:basedOn w:val="DefaultParagraphFont"/>
    <w:uiPriority w:val="99"/>
    <w:rsid w:val="00295FF1"/>
  </w:style>
  <w:style w:type="character" w:customStyle="1" w:styleId="CharSchPTText">
    <w:name w:val="CharSchPTText"/>
    <w:basedOn w:val="DefaultParagraphFont"/>
    <w:uiPriority w:val="99"/>
    <w:rsid w:val="00295FF1"/>
  </w:style>
  <w:style w:type="character" w:customStyle="1" w:styleId="CharSchNo">
    <w:name w:val="CharSchNo"/>
    <w:basedOn w:val="DefaultParagraphFont"/>
    <w:uiPriority w:val="99"/>
    <w:rsid w:val="00295FF1"/>
  </w:style>
  <w:style w:type="character" w:customStyle="1" w:styleId="CharSchText">
    <w:name w:val="CharSchText"/>
    <w:basedOn w:val="DefaultParagraphFont"/>
    <w:uiPriority w:val="99"/>
    <w:rsid w:val="00295FF1"/>
  </w:style>
  <w:style w:type="character" w:customStyle="1" w:styleId="CharAmSchPTNo">
    <w:name w:val="CharAmSchPTNo"/>
    <w:basedOn w:val="DefaultParagraphFont"/>
    <w:uiPriority w:val="99"/>
    <w:rsid w:val="00295FF1"/>
  </w:style>
  <w:style w:type="character" w:customStyle="1" w:styleId="CharAmSchPTText">
    <w:name w:val="CharAmSchPTText"/>
    <w:basedOn w:val="DefaultParagraphFont"/>
    <w:uiPriority w:val="99"/>
    <w:rsid w:val="00295FF1"/>
  </w:style>
  <w:style w:type="character" w:customStyle="1" w:styleId="TitleSuperscript">
    <w:name w:val="TitleSuperscript"/>
    <w:basedOn w:val="DefaultParagraphFont"/>
    <w:uiPriority w:val="99"/>
    <w:rsid w:val="00295FF1"/>
    <w:rPr>
      <w:rFonts w:ascii="Arial" w:hAnsi="Arial" w:cs="Arial" w:hint="default"/>
      <w:position w:val="6"/>
      <w:sz w:val="24"/>
      <w:szCs w:val="24"/>
      <w:vertAlign w:val="superscript"/>
    </w:rPr>
  </w:style>
  <w:style w:type="character" w:customStyle="1" w:styleId="charsectno0">
    <w:name w:val="charsectno"/>
    <w:basedOn w:val="DefaultParagraphFont"/>
    <w:rsid w:val="00295FF1"/>
  </w:style>
  <w:style w:type="table" w:styleId="TableSimple1">
    <w:name w:val="Table Simple 1"/>
    <w:basedOn w:val="TableNormal"/>
    <w:uiPriority w:val="99"/>
    <w:semiHidden/>
    <w:unhideWhenUsed/>
    <w:rsid w:val="00295FF1"/>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FF1"/>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FF1"/>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FF1"/>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FF1"/>
    <w:rPr>
      <w:rFonts w:eastAsia="Times New Roman"/>
      <w:lang w:eastAsia="en-AU"/>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unhideWhenUsed/>
    <w:rsid w:val="00295FF1"/>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FF1"/>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FF1"/>
    <w:rPr>
      <w:rFonts w:eastAsia="Times New Roman"/>
      <w:b/>
      <w:bCs/>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FF1"/>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FF1"/>
    <w:rPr>
      <w:rFonts w:eastAsia="Times New Roman"/>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295FF1"/>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FF1"/>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FF1"/>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FF1"/>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FF1"/>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FF1"/>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FF1"/>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FF1"/>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FF1"/>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FF1"/>
    <w:rPr>
      <w:rFonts w:eastAsia="Times New Roman"/>
      <w:lang w:eastAsia="en-AU"/>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295FF1"/>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FF1"/>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ap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FF1"/>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Web1">
    <w:name w:val="Table Web 1"/>
    <w:basedOn w:val="TableNormal"/>
    <w:uiPriority w:val="99"/>
    <w:semiHidden/>
    <w:unhideWhenUsed/>
    <w:rsid w:val="00295FF1"/>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FF1"/>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FF1"/>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FF1"/>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eneral">
    <w:name w:val="TableGeneral"/>
    <w:basedOn w:val="TableNormal"/>
    <w:uiPriority w:val="99"/>
    <w:rsid w:val="00295FF1"/>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hidden/>
    </w:trPr>
    <w:tblStylePr w:type="firstRow">
      <w:pPr>
        <w:wordWrap/>
        <w:spacing w:beforeLines="0" w:beforeAutospacing="1" w:afterLines="0" w:afterAutospacing="1" w:line="200" w:lineRule="exact"/>
      </w:pPr>
      <w:rPr>
        <w:rFonts w:ascii="Arial" w:hAnsi="Arial" w:cs="Arial" w:hint="default"/>
        <w:b/>
        <w:sz w:val="18"/>
        <w:szCs w:val="18"/>
      </w:rPr>
      <w:tblPr/>
      <w:trPr>
        <w:hidden/>
      </w:trPr>
      <w:tcPr>
        <w:tcBorders>
          <w:top w:val="nil"/>
          <w:left w:val="nil"/>
          <w:bottom w:val="single" w:sz="4" w:space="0" w:color="auto"/>
          <w:right w:val="nil"/>
          <w:insideH w:val="nil"/>
          <w:insideV w:val="nil"/>
          <w:tl2br w:val="nil"/>
          <w:tr2bl w:val="nil"/>
        </w:tcBorders>
      </w:tcPr>
    </w:tblStylePr>
    <w:tblStylePr w:type="lastRow">
      <w:pPr>
        <w:wordWrap/>
      </w:pPr>
      <w:tblPr/>
      <w:trPr>
        <w:hidden/>
      </w:tr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295FF1"/>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
    <w:name w:val="Light Shading - Accent 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1">
    <w:name w:val="Light Shading - Accent 1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295FF1"/>
    <w:pPr>
      <w:jc w:val="left"/>
    </w:pPr>
  </w:style>
  <w:style w:type="numbering" w:styleId="1ai">
    <w:name w:val="Outline List 1"/>
    <w:basedOn w:val="NoList"/>
    <w:uiPriority w:val="99"/>
    <w:semiHidden/>
    <w:unhideWhenUsed/>
    <w:rsid w:val="00295FF1"/>
    <w:pPr>
      <w:numPr>
        <w:numId w:val="23"/>
      </w:numPr>
    </w:pPr>
  </w:style>
  <w:style w:type="numbering" w:styleId="ArticleSection">
    <w:name w:val="Outline List 3"/>
    <w:basedOn w:val="NoList"/>
    <w:uiPriority w:val="99"/>
    <w:semiHidden/>
    <w:unhideWhenUsed/>
    <w:rsid w:val="00295FF1"/>
    <w:pPr>
      <w:numPr>
        <w:numId w:val="26"/>
      </w:numPr>
    </w:pPr>
  </w:style>
  <w:style w:type="numbering" w:styleId="111111">
    <w:name w:val="Outline List 2"/>
    <w:basedOn w:val="NoList"/>
    <w:uiPriority w:val="99"/>
    <w:semiHidden/>
    <w:unhideWhenUsed/>
    <w:rsid w:val="00295FF1"/>
    <w:pPr>
      <w:numPr>
        <w:numId w:val="27"/>
      </w:numPr>
    </w:pPr>
  </w:style>
  <w:style w:type="character" w:styleId="HTMLVariable">
    <w:name w:val="HTML Variable"/>
    <w:basedOn w:val="DefaultParagraphFont"/>
    <w:uiPriority w:val="99"/>
    <w:rsid w:val="00295FF1"/>
    <w:rPr>
      <w:i/>
      <w:iCs/>
    </w:rPr>
  </w:style>
  <w:style w:type="character" w:styleId="Emphasis">
    <w:name w:val="Emphasis"/>
    <w:uiPriority w:val="20"/>
    <w:qFormat/>
    <w:rsid w:val="00301DDB"/>
    <w:rPr>
      <w:i/>
      <w:iCs/>
    </w:rPr>
  </w:style>
  <w:style w:type="character" w:customStyle="1" w:styleId="st">
    <w:name w:val="st"/>
    <w:basedOn w:val="DefaultParagraphFont"/>
    <w:rsid w:val="00301DDB"/>
  </w:style>
  <w:style w:type="character" w:customStyle="1" w:styleId="DocumentMapChar1">
    <w:name w:val="Document Map Char1"/>
    <w:basedOn w:val="DefaultParagraphFont"/>
    <w:uiPriority w:val="99"/>
    <w:semiHidden/>
    <w:rsid w:val="00301DDB"/>
    <w:rPr>
      <w:rFonts w:ascii="Tahoma" w:eastAsia="Times New Roman" w:hAnsi="Tahoma" w:cs="Tahoma"/>
      <w:sz w:val="16"/>
      <w:szCs w:val="16"/>
      <w:lang w:eastAsia="en-AU"/>
    </w:rPr>
  </w:style>
  <w:style w:type="paragraph" w:customStyle="1" w:styleId="Quotation">
    <w:name w:val="Quotation"/>
    <w:basedOn w:val="Normal"/>
    <w:semiHidden/>
    <w:rsid w:val="00301DDB"/>
    <w:pPr>
      <w:numPr>
        <w:ilvl w:val="1"/>
        <w:numId w:val="40"/>
      </w:numPr>
      <w:spacing w:after="140" w:line="260" w:lineRule="atLeast"/>
    </w:pPr>
    <w:rPr>
      <w:rFonts w:ascii="Arial" w:hAnsi="Arial" w:cs="Arial"/>
      <w:sz w:val="20"/>
      <w:szCs w:val="22"/>
    </w:rPr>
  </w:style>
  <w:style w:type="paragraph" w:customStyle="1" w:styleId="Quotation1">
    <w:name w:val="Quotation 1"/>
    <w:basedOn w:val="Normal"/>
    <w:rsid w:val="00301DDB"/>
    <w:pPr>
      <w:tabs>
        <w:tab w:val="num" w:pos="425"/>
      </w:tabs>
      <w:spacing w:after="140" w:line="260" w:lineRule="atLeast"/>
      <w:ind w:left="425"/>
    </w:pPr>
    <w:rPr>
      <w:rFonts w:ascii="Arial" w:hAnsi="Arial" w:cs="Arial"/>
      <w:sz w:val="20"/>
      <w:szCs w:val="22"/>
    </w:rPr>
  </w:style>
  <w:style w:type="paragraph" w:customStyle="1" w:styleId="Quotation2">
    <w:name w:val="Quotation 2"/>
    <w:basedOn w:val="Normal"/>
    <w:semiHidden/>
    <w:rsid w:val="00301DDB"/>
    <w:pPr>
      <w:tabs>
        <w:tab w:val="num" w:pos="850"/>
      </w:tabs>
      <w:spacing w:after="140" w:line="260" w:lineRule="atLeast"/>
      <w:ind w:left="850"/>
    </w:pPr>
    <w:rPr>
      <w:rFonts w:ascii="Arial" w:hAnsi="Arial" w:cs="Arial"/>
      <w:sz w:val="20"/>
      <w:szCs w:val="22"/>
    </w:rPr>
  </w:style>
  <w:style w:type="paragraph" w:customStyle="1" w:styleId="Quotation3">
    <w:name w:val="Quotation 3"/>
    <w:basedOn w:val="Normal"/>
    <w:semiHidden/>
    <w:rsid w:val="00301DDB"/>
    <w:pPr>
      <w:tabs>
        <w:tab w:val="num" w:pos="1276"/>
      </w:tabs>
      <w:spacing w:after="140" w:line="260" w:lineRule="atLeast"/>
      <w:ind w:left="1276"/>
    </w:pPr>
    <w:rPr>
      <w:rFonts w:ascii="Arial" w:hAnsi="Arial" w:cs="Arial"/>
      <w:sz w:val="20"/>
      <w:szCs w:val="22"/>
    </w:rPr>
  </w:style>
  <w:style w:type="paragraph" w:customStyle="1" w:styleId="Quotation4">
    <w:name w:val="Quotation 4"/>
    <w:basedOn w:val="Normal"/>
    <w:semiHidden/>
    <w:rsid w:val="00301DDB"/>
    <w:pPr>
      <w:tabs>
        <w:tab w:val="num" w:pos="1701"/>
      </w:tabs>
      <w:spacing w:after="140" w:line="260" w:lineRule="atLeast"/>
      <w:ind w:left="1701"/>
    </w:pPr>
    <w:rPr>
      <w:rFonts w:ascii="Arial" w:hAnsi="Arial" w:cs="Arial"/>
      <w:sz w:val="20"/>
      <w:szCs w:val="22"/>
    </w:rPr>
  </w:style>
  <w:style w:type="paragraph" w:customStyle="1" w:styleId="Quotation5">
    <w:name w:val="Quotation 5"/>
    <w:basedOn w:val="Normal"/>
    <w:semiHidden/>
    <w:rsid w:val="00301DDB"/>
    <w:pPr>
      <w:tabs>
        <w:tab w:val="num" w:pos="2126"/>
      </w:tabs>
      <w:spacing w:after="140" w:line="260" w:lineRule="atLeast"/>
      <w:ind w:left="2126"/>
    </w:pPr>
    <w:rPr>
      <w:rFonts w:ascii="Arial" w:hAnsi="Arial" w:cs="Arial"/>
      <w:sz w:val="20"/>
      <w:szCs w:val="22"/>
    </w:rPr>
  </w:style>
  <w:style w:type="paragraph" w:customStyle="1" w:styleId="Quotation6">
    <w:name w:val="Quotation 6"/>
    <w:basedOn w:val="Normal"/>
    <w:semiHidden/>
    <w:rsid w:val="00301DDB"/>
    <w:pPr>
      <w:tabs>
        <w:tab w:val="num" w:pos="2551"/>
      </w:tabs>
      <w:spacing w:after="140" w:line="260" w:lineRule="atLeast"/>
      <w:ind w:left="2551"/>
    </w:pPr>
    <w:rPr>
      <w:rFonts w:ascii="Arial" w:hAnsi="Arial" w:cs="Arial"/>
      <w:sz w:val="20"/>
      <w:szCs w:val="22"/>
    </w:rPr>
  </w:style>
  <w:style w:type="paragraph" w:customStyle="1" w:styleId="Quotation7">
    <w:name w:val="Quotation 7"/>
    <w:basedOn w:val="Normal"/>
    <w:semiHidden/>
    <w:rsid w:val="00301DDB"/>
    <w:pPr>
      <w:tabs>
        <w:tab w:val="num" w:pos="2976"/>
      </w:tabs>
      <w:spacing w:after="140" w:line="260" w:lineRule="atLeast"/>
      <w:ind w:left="2976"/>
    </w:pPr>
    <w:rPr>
      <w:rFonts w:ascii="Arial" w:hAnsi="Arial" w:cs="Arial"/>
      <w:sz w:val="20"/>
      <w:szCs w:val="22"/>
    </w:rPr>
  </w:style>
  <w:style w:type="paragraph" w:customStyle="1" w:styleId="Quotation8">
    <w:name w:val="Quotation 8"/>
    <w:basedOn w:val="Normal"/>
    <w:semiHidden/>
    <w:rsid w:val="00301DDB"/>
    <w:pPr>
      <w:tabs>
        <w:tab w:val="num" w:pos="3402"/>
      </w:tabs>
      <w:spacing w:after="140" w:line="260" w:lineRule="atLeast"/>
      <w:ind w:left="3402"/>
    </w:pPr>
    <w:rPr>
      <w:rFonts w:ascii="Arial" w:hAnsi="Arial" w:cs="Arial"/>
      <w:sz w:val="20"/>
      <w:szCs w:val="22"/>
    </w:rPr>
  </w:style>
  <w:style w:type="character" w:styleId="Strong">
    <w:name w:val="Strong"/>
    <w:uiPriority w:val="22"/>
    <w:qFormat/>
    <w:rsid w:val="00301DDB"/>
    <w:rPr>
      <w:b/>
      <w:bCs/>
    </w:rPr>
  </w:style>
  <w:style w:type="paragraph" w:customStyle="1" w:styleId="References">
    <w:name w:val="References"/>
    <w:basedOn w:val="BodyText"/>
    <w:uiPriority w:val="99"/>
    <w:rsid w:val="00301DDB"/>
    <w:pPr>
      <w:spacing w:before="180" w:after="120" w:line="276" w:lineRule="auto"/>
    </w:pPr>
    <w:rPr>
      <w:rFonts w:ascii="Calibri" w:eastAsia="Times New Roman" w:hAnsi="Calibri"/>
      <w:szCs w:val="22"/>
      <w:lang w:val="en-AU"/>
    </w:rPr>
  </w:style>
  <w:style w:type="table" w:customStyle="1" w:styleId="TableGrid11">
    <w:name w:val="Table Grid11"/>
    <w:basedOn w:val="TableNormal"/>
    <w:next w:val="TableGrid"/>
    <w:uiPriority w:val="59"/>
    <w:rsid w:val="00301DD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
    <w:name w:val="Table Grid21"/>
    <w:basedOn w:val="TableNormal"/>
    <w:next w:val="TableGrid"/>
    <w:uiPriority w:val="59"/>
    <w:rsid w:val="00301DD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295FF1"/>
    <w:pPr>
      <w:numPr>
        <w:ilvl w:val="5"/>
        <w:numId w:val="7"/>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295FF1"/>
    <w:pPr>
      <w:numPr>
        <w:ilvl w:val="6"/>
        <w:numId w:val="7"/>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295FF1"/>
    <w:pPr>
      <w:numPr>
        <w:ilvl w:val="7"/>
        <w:numId w:val="7"/>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295FF1"/>
    <w:pPr>
      <w:numPr>
        <w:ilvl w:val="8"/>
        <w:numId w:val="7"/>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aliases w:val="List number Paragraph"/>
    <w:basedOn w:val="Normal"/>
    <w:uiPriority w:val="99"/>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character" w:customStyle="1" w:styleId="Heading6Char">
    <w:name w:val="Heading 6 Char"/>
    <w:basedOn w:val="DefaultParagraphFont"/>
    <w:link w:val="Heading6"/>
    <w:uiPriority w:val="99"/>
    <w:semiHidden/>
    <w:rsid w:val="00295FF1"/>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295FF1"/>
    <w:rPr>
      <w:rFonts w:eastAsia="Times New Roman"/>
      <w:sz w:val="24"/>
      <w:szCs w:val="24"/>
      <w:lang w:eastAsia="en-AU"/>
    </w:rPr>
  </w:style>
  <w:style w:type="character" w:customStyle="1" w:styleId="Heading8Char">
    <w:name w:val="Heading 8 Char"/>
    <w:basedOn w:val="DefaultParagraphFont"/>
    <w:link w:val="Heading8"/>
    <w:uiPriority w:val="99"/>
    <w:semiHidden/>
    <w:rsid w:val="00295FF1"/>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295FF1"/>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295FF1"/>
    <w:rPr>
      <w:color w:val="800080"/>
      <w:u w:val="single"/>
    </w:rPr>
  </w:style>
  <w:style w:type="paragraph" w:styleId="HTMLAddress">
    <w:name w:val="HTML Address"/>
    <w:basedOn w:val="Normal"/>
    <w:link w:val="HTMLAddressChar"/>
    <w:uiPriority w:val="99"/>
    <w:semiHidden/>
    <w:unhideWhenUsed/>
    <w:rsid w:val="00295FF1"/>
    <w:rPr>
      <w:i/>
      <w:iCs/>
    </w:rPr>
  </w:style>
  <w:style w:type="character" w:customStyle="1" w:styleId="HTMLAddressChar">
    <w:name w:val="HTML Address Char"/>
    <w:basedOn w:val="DefaultParagraphFont"/>
    <w:link w:val="HTMLAddress"/>
    <w:uiPriority w:val="99"/>
    <w:semiHidden/>
    <w:rsid w:val="00295FF1"/>
    <w:rPr>
      <w:rFonts w:eastAsia="Times New Roman"/>
      <w:i/>
      <w:iCs/>
      <w:sz w:val="24"/>
      <w:szCs w:val="24"/>
      <w:lang w:eastAsia="en-AU"/>
    </w:rPr>
  </w:style>
  <w:style w:type="character" w:styleId="HTMLCode">
    <w:name w:val="HTML Code"/>
    <w:basedOn w:val="DefaultParagraphFont"/>
    <w:uiPriority w:val="99"/>
    <w:semiHidden/>
    <w:unhideWhenUsed/>
    <w:rsid w:val="00295FF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95FF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9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5FF1"/>
    <w:rPr>
      <w:rFonts w:ascii="Courier New" w:eastAsia="Times New Roman" w:hAnsi="Courier New" w:cs="Courier New"/>
      <w:lang w:eastAsia="en-AU"/>
    </w:rPr>
  </w:style>
  <w:style w:type="character" w:styleId="HTMLSample">
    <w:name w:val="HTML Sample"/>
    <w:basedOn w:val="DefaultParagraphFont"/>
    <w:uiPriority w:val="99"/>
    <w:semiHidden/>
    <w:unhideWhenUsed/>
    <w:rsid w:val="00295FF1"/>
    <w:rPr>
      <w:rFonts w:ascii="Courier New" w:eastAsia="Times New Roman" w:hAnsi="Courier New" w:cs="Courier New" w:hint="default"/>
    </w:rPr>
  </w:style>
  <w:style w:type="character" w:styleId="HTMLTypewriter">
    <w:name w:val="HTML Typewriter"/>
    <w:basedOn w:val="DefaultParagraphFont"/>
    <w:uiPriority w:val="99"/>
    <w:semiHidden/>
    <w:unhideWhenUsed/>
    <w:rsid w:val="00295FF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295FF1"/>
  </w:style>
  <w:style w:type="paragraph" w:styleId="Index1">
    <w:name w:val="index 1"/>
    <w:basedOn w:val="Normal"/>
    <w:next w:val="Normal"/>
    <w:autoRedefine/>
    <w:uiPriority w:val="99"/>
    <w:semiHidden/>
    <w:unhideWhenUsed/>
    <w:rsid w:val="00295FF1"/>
    <w:pPr>
      <w:ind w:left="240" w:hanging="240"/>
    </w:pPr>
  </w:style>
  <w:style w:type="paragraph" w:styleId="Index2">
    <w:name w:val="index 2"/>
    <w:basedOn w:val="Normal"/>
    <w:next w:val="Normal"/>
    <w:autoRedefine/>
    <w:uiPriority w:val="99"/>
    <w:semiHidden/>
    <w:unhideWhenUsed/>
    <w:rsid w:val="00295FF1"/>
    <w:pPr>
      <w:ind w:left="480" w:hanging="240"/>
    </w:pPr>
  </w:style>
  <w:style w:type="paragraph" w:styleId="Index3">
    <w:name w:val="index 3"/>
    <w:basedOn w:val="Normal"/>
    <w:next w:val="Normal"/>
    <w:autoRedefine/>
    <w:uiPriority w:val="99"/>
    <w:semiHidden/>
    <w:unhideWhenUsed/>
    <w:rsid w:val="00295FF1"/>
    <w:pPr>
      <w:ind w:left="720" w:hanging="240"/>
    </w:pPr>
  </w:style>
  <w:style w:type="paragraph" w:styleId="Index4">
    <w:name w:val="index 4"/>
    <w:basedOn w:val="Normal"/>
    <w:next w:val="Normal"/>
    <w:autoRedefine/>
    <w:uiPriority w:val="99"/>
    <w:semiHidden/>
    <w:unhideWhenUsed/>
    <w:rsid w:val="00295FF1"/>
    <w:pPr>
      <w:ind w:left="960" w:hanging="240"/>
    </w:pPr>
  </w:style>
  <w:style w:type="paragraph" w:styleId="Index5">
    <w:name w:val="index 5"/>
    <w:basedOn w:val="Normal"/>
    <w:next w:val="Normal"/>
    <w:autoRedefine/>
    <w:uiPriority w:val="99"/>
    <w:semiHidden/>
    <w:unhideWhenUsed/>
    <w:rsid w:val="00295FF1"/>
    <w:pPr>
      <w:ind w:left="1200" w:hanging="240"/>
    </w:pPr>
  </w:style>
  <w:style w:type="paragraph" w:styleId="Index6">
    <w:name w:val="index 6"/>
    <w:basedOn w:val="Normal"/>
    <w:next w:val="Normal"/>
    <w:autoRedefine/>
    <w:uiPriority w:val="99"/>
    <w:semiHidden/>
    <w:unhideWhenUsed/>
    <w:rsid w:val="00295FF1"/>
    <w:pPr>
      <w:ind w:left="1440" w:hanging="240"/>
    </w:pPr>
  </w:style>
  <w:style w:type="paragraph" w:styleId="Index7">
    <w:name w:val="index 7"/>
    <w:basedOn w:val="Normal"/>
    <w:next w:val="Normal"/>
    <w:autoRedefine/>
    <w:uiPriority w:val="99"/>
    <w:semiHidden/>
    <w:unhideWhenUsed/>
    <w:rsid w:val="00295FF1"/>
    <w:pPr>
      <w:ind w:left="1680" w:hanging="240"/>
    </w:pPr>
  </w:style>
  <w:style w:type="paragraph" w:styleId="Index8">
    <w:name w:val="index 8"/>
    <w:basedOn w:val="Normal"/>
    <w:next w:val="Normal"/>
    <w:autoRedefine/>
    <w:uiPriority w:val="99"/>
    <w:semiHidden/>
    <w:unhideWhenUsed/>
    <w:rsid w:val="00295FF1"/>
    <w:pPr>
      <w:ind w:left="1920" w:hanging="240"/>
    </w:pPr>
  </w:style>
  <w:style w:type="paragraph" w:styleId="Index9">
    <w:name w:val="index 9"/>
    <w:basedOn w:val="Normal"/>
    <w:next w:val="Normal"/>
    <w:autoRedefine/>
    <w:uiPriority w:val="99"/>
    <w:semiHidden/>
    <w:unhideWhenUsed/>
    <w:rsid w:val="00295FF1"/>
    <w:pPr>
      <w:ind w:left="2160" w:hanging="240"/>
    </w:pPr>
  </w:style>
  <w:style w:type="paragraph" w:styleId="TOC1">
    <w:name w:val="toc 1"/>
    <w:basedOn w:val="Normal"/>
    <w:next w:val="Normal"/>
    <w:autoRedefine/>
    <w:uiPriority w:val="39"/>
    <w:unhideWhenUsed/>
    <w:qFormat/>
    <w:rsid w:val="00295FF1"/>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295FF1"/>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295FF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295FF1"/>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295FF1"/>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295FF1"/>
    <w:pPr>
      <w:ind w:left="720"/>
    </w:pPr>
  </w:style>
  <w:style w:type="paragraph" w:styleId="FootnoteText">
    <w:name w:val="footnote text"/>
    <w:basedOn w:val="Normal"/>
    <w:link w:val="FootnoteTextChar"/>
    <w:uiPriority w:val="99"/>
    <w:semiHidden/>
    <w:unhideWhenUsed/>
    <w:rsid w:val="00295FF1"/>
    <w:rPr>
      <w:sz w:val="20"/>
      <w:szCs w:val="20"/>
    </w:rPr>
  </w:style>
  <w:style w:type="character" w:customStyle="1" w:styleId="FootnoteTextChar">
    <w:name w:val="Footnote Text Char"/>
    <w:basedOn w:val="DefaultParagraphFont"/>
    <w:link w:val="FootnoteText"/>
    <w:uiPriority w:val="99"/>
    <w:semiHidden/>
    <w:rsid w:val="00295FF1"/>
    <w:rPr>
      <w:rFonts w:eastAsia="Times New Roman"/>
      <w:lang w:eastAsia="en-AU"/>
    </w:rPr>
  </w:style>
  <w:style w:type="paragraph" w:styleId="IndexHeading">
    <w:name w:val="index heading"/>
    <w:basedOn w:val="Normal"/>
    <w:next w:val="Index1"/>
    <w:uiPriority w:val="99"/>
    <w:semiHidden/>
    <w:unhideWhenUsed/>
    <w:rsid w:val="00295FF1"/>
    <w:rPr>
      <w:rFonts w:ascii="Arial" w:hAnsi="Arial" w:cs="Arial"/>
      <w:b/>
      <w:bCs/>
    </w:rPr>
  </w:style>
  <w:style w:type="paragraph" w:styleId="Caption">
    <w:name w:val="caption"/>
    <w:aliases w:val="Table Caption"/>
    <w:basedOn w:val="Normal"/>
    <w:next w:val="Normal"/>
    <w:uiPriority w:val="35"/>
    <w:unhideWhenUsed/>
    <w:qFormat/>
    <w:rsid w:val="00295FF1"/>
    <w:pPr>
      <w:spacing w:before="120" w:after="120"/>
    </w:pPr>
    <w:rPr>
      <w:b/>
      <w:bCs/>
      <w:sz w:val="20"/>
      <w:szCs w:val="20"/>
    </w:rPr>
  </w:style>
  <w:style w:type="paragraph" w:styleId="TableofFigures">
    <w:name w:val="table of figures"/>
    <w:basedOn w:val="Normal"/>
    <w:next w:val="Normal"/>
    <w:uiPriority w:val="99"/>
    <w:semiHidden/>
    <w:unhideWhenUsed/>
    <w:rsid w:val="00295FF1"/>
    <w:pPr>
      <w:ind w:left="480" w:hanging="480"/>
    </w:pPr>
  </w:style>
  <w:style w:type="paragraph" w:styleId="EnvelopeAddress">
    <w:name w:val="envelope address"/>
    <w:basedOn w:val="Normal"/>
    <w:uiPriority w:val="99"/>
    <w:semiHidden/>
    <w:unhideWhenUsed/>
    <w:rsid w:val="00295FF1"/>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95FF1"/>
    <w:rPr>
      <w:rFonts w:ascii="Arial" w:hAnsi="Arial" w:cs="Arial"/>
      <w:sz w:val="20"/>
      <w:szCs w:val="20"/>
    </w:rPr>
  </w:style>
  <w:style w:type="paragraph" w:styleId="EndnoteText">
    <w:name w:val="endnote text"/>
    <w:basedOn w:val="Normal"/>
    <w:link w:val="EndnoteTextChar"/>
    <w:uiPriority w:val="99"/>
    <w:semiHidden/>
    <w:unhideWhenUsed/>
    <w:rsid w:val="00295FF1"/>
    <w:rPr>
      <w:sz w:val="20"/>
      <w:szCs w:val="20"/>
    </w:rPr>
  </w:style>
  <w:style w:type="character" w:customStyle="1" w:styleId="EndnoteTextChar">
    <w:name w:val="Endnote Text Char"/>
    <w:basedOn w:val="DefaultParagraphFont"/>
    <w:link w:val="EndnoteText"/>
    <w:uiPriority w:val="99"/>
    <w:semiHidden/>
    <w:rsid w:val="00295FF1"/>
    <w:rPr>
      <w:rFonts w:eastAsia="Times New Roman"/>
      <w:lang w:eastAsia="en-AU"/>
    </w:rPr>
  </w:style>
  <w:style w:type="paragraph" w:styleId="TableofAuthorities">
    <w:name w:val="table of authorities"/>
    <w:basedOn w:val="Normal"/>
    <w:next w:val="Normal"/>
    <w:uiPriority w:val="99"/>
    <w:semiHidden/>
    <w:unhideWhenUsed/>
    <w:rsid w:val="00295FF1"/>
    <w:pPr>
      <w:ind w:left="240" w:hanging="240"/>
    </w:pPr>
  </w:style>
  <w:style w:type="paragraph" w:styleId="MacroText">
    <w:name w:val="macro"/>
    <w:link w:val="MacroTextChar"/>
    <w:uiPriority w:val="99"/>
    <w:semiHidden/>
    <w:unhideWhenUsed/>
    <w:rsid w:val="00295F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295FF1"/>
    <w:rPr>
      <w:rFonts w:ascii="Courier New" w:eastAsia="Times New Roman" w:hAnsi="Courier New" w:cs="Courier New"/>
    </w:rPr>
  </w:style>
  <w:style w:type="paragraph" w:styleId="TOAHeading">
    <w:name w:val="toa heading"/>
    <w:basedOn w:val="Normal"/>
    <w:next w:val="Normal"/>
    <w:uiPriority w:val="99"/>
    <w:semiHidden/>
    <w:unhideWhenUsed/>
    <w:rsid w:val="00295FF1"/>
    <w:pPr>
      <w:spacing w:before="120"/>
    </w:pPr>
    <w:rPr>
      <w:rFonts w:ascii="Arial" w:hAnsi="Arial" w:cs="Arial"/>
      <w:b/>
      <w:bCs/>
    </w:rPr>
  </w:style>
  <w:style w:type="paragraph" w:styleId="List">
    <w:name w:val="List"/>
    <w:basedOn w:val="Normal"/>
    <w:uiPriority w:val="99"/>
    <w:semiHidden/>
    <w:unhideWhenUsed/>
    <w:rsid w:val="00295FF1"/>
    <w:pPr>
      <w:ind w:left="283" w:hanging="283"/>
    </w:pPr>
  </w:style>
  <w:style w:type="paragraph" w:styleId="ListBullet">
    <w:name w:val="List Bullet"/>
    <w:basedOn w:val="Normal"/>
    <w:autoRedefine/>
    <w:uiPriority w:val="99"/>
    <w:semiHidden/>
    <w:unhideWhenUsed/>
    <w:rsid w:val="00295FF1"/>
    <w:pPr>
      <w:tabs>
        <w:tab w:val="num" w:pos="360"/>
      </w:tabs>
      <w:ind w:left="360" w:hanging="360"/>
    </w:pPr>
  </w:style>
  <w:style w:type="paragraph" w:styleId="ListNumber">
    <w:name w:val="List Number"/>
    <w:basedOn w:val="Normal"/>
    <w:uiPriority w:val="99"/>
    <w:semiHidden/>
    <w:unhideWhenUsed/>
    <w:rsid w:val="00295FF1"/>
    <w:pPr>
      <w:tabs>
        <w:tab w:val="num" w:pos="360"/>
      </w:tabs>
      <w:ind w:left="360" w:hanging="360"/>
    </w:pPr>
  </w:style>
  <w:style w:type="paragraph" w:styleId="List2">
    <w:name w:val="List 2"/>
    <w:basedOn w:val="Normal"/>
    <w:uiPriority w:val="99"/>
    <w:semiHidden/>
    <w:unhideWhenUsed/>
    <w:rsid w:val="00295FF1"/>
    <w:pPr>
      <w:ind w:left="566" w:hanging="283"/>
    </w:pPr>
  </w:style>
  <w:style w:type="paragraph" w:styleId="List3">
    <w:name w:val="List 3"/>
    <w:basedOn w:val="Normal"/>
    <w:uiPriority w:val="99"/>
    <w:semiHidden/>
    <w:unhideWhenUsed/>
    <w:rsid w:val="00295FF1"/>
    <w:pPr>
      <w:ind w:left="849" w:hanging="283"/>
    </w:pPr>
  </w:style>
  <w:style w:type="paragraph" w:styleId="List4">
    <w:name w:val="List 4"/>
    <w:basedOn w:val="Normal"/>
    <w:uiPriority w:val="99"/>
    <w:semiHidden/>
    <w:unhideWhenUsed/>
    <w:rsid w:val="00295FF1"/>
    <w:pPr>
      <w:ind w:left="1132" w:hanging="283"/>
    </w:pPr>
  </w:style>
  <w:style w:type="paragraph" w:styleId="List5">
    <w:name w:val="List 5"/>
    <w:basedOn w:val="Normal"/>
    <w:uiPriority w:val="99"/>
    <w:semiHidden/>
    <w:unhideWhenUsed/>
    <w:rsid w:val="00295FF1"/>
    <w:pPr>
      <w:ind w:left="1415" w:hanging="283"/>
    </w:pPr>
  </w:style>
  <w:style w:type="paragraph" w:styleId="ListBullet2">
    <w:name w:val="List Bullet 2"/>
    <w:basedOn w:val="Normal"/>
    <w:autoRedefine/>
    <w:uiPriority w:val="99"/>
    <w:semiHidden/>
    <w:unhideWhenUsed/>
    <w:rsid w:val="00295FF1"/>
    <w:pPr>
      <w:tabs>
        <w:tab w:val="num" w:pos="643"/>
      </w:tabs>
      <w:ind w:left="643" w:hanging="360"/>
    </w:pPr>
  </w:style>
  <w:style w:type="paragraph" w:styleId="ListBullet3">
    <w:name w:val="List Bullet 3"/>
    <w:basedOn w:val="Normal"/>
    <w:autoRedefine/>
    <w:uiPriority w:val="99"/>
    <w:semiHidden/>
    <w:unhideWhenUsed/>
    <w:rsid w:val="00295FF1"/>
    <w:pPr>
      <w:tabs>
        <w:tab w:val="num" w:pos="926"/>
      </w:tabs>
      <w:ind w:left="926" w:hanging="360"/>
    </w:pPr>
  </w:style>
  <w:style w:type="paragraph" w:styleId="ListBullet4">
    <w:name w:val="List Bullet 4"/>
    <w:basedOn w:val="Normal"/>
    <w:autoRedefine/>
    <w:uiPriority w:val="99"/>
    <w:semiHidden/>
    <w:unhideWhenUsed/>
    <w:rsid w:val="00295FF1"/>
    <w:pPr>
      <w:tabs>
        <w:tab w:val="num" w:pos="1209"/>
      </w:tabs>
      <w:ind w:left="1209" w:hanging="360"/>
    </w:pPr>
  </w:style>
  <w:style w:type="paragraph" w:styleId="ListBullet5">
    <w:name w:val="List Bullet 5"/>
    <w:basedOn w:val="Normal"/>
    <w:autoRedefine/>
    <w:uiPriority w:val="99"/>
    <w:semiHidden/>
    <w:unhideWhenUsed/>
    <w:rsid w:val="00295FF1"/>
    <w:pPr>
      <w:tabs>
        <w:tab w:val="num" w:pos="1492"/>
      </w:tabs>
      <w:ind w:left="1492" w:hanging="360"/>
    </w:pPr>
  </w:style>
  <w:style w:type="paragraph" w:styleId="ListNumber2">
    <w:name w:val="List Number 2"/>
    <w:basedOn w:val="Normal"/>
    <w:uiPriority w:val="99"/>
    <w:semiHidden/>
    <w:unhideWhenUsed/>
    <w:rsid w:val="00295FF1"/>
    <w:pPr>
      <w:tabs>
        <w:tab w:val="num" w:pos="643"/>
      </w:tabs>
      <w:ind w:left="643" w:hanging="360"/>
    </w:pPr>
  </w:style>
  <w:style w:type="paragraph" w:styleId="ListNumber3">
    <w:name w:val="List Number 3"/>
    <w:basedOn w:val="Normal"/>
    <w:uiPriority w:val="99"/>
    <w:semiHidden/>
    <w:unhideWhenUsed/>
    <w:rsid w:val="00295FF1"/>
    <w:pPr>
      <w:tabs>
        <w:tab w:val="num" w:pos="926"/>
      </w:tabs>
      <w:ind w:left="926" w:hanging="360"/>
    </w:pPr>
  </w:style>
  <w:style w:type="paragraph" w:styleId="ListNumber4">
    <w:name w:val="List Number 4"/>
    <w:basedOn w:val="Normal"/>
    <w:uiPriority w:val="99"/>
    <w:semiHidden/>
    <w:unhideWhenUsed/>
    <w:rsid w:val="00295FF1"/>
    <w:pPr>
      <w:tabs>
        <w:tab w:val="num" w:pos="1209"/>
      </w:tabs>
      <w:ind w:left="1209" w:hanging="360"/>
    </w:pPr>
  </w:style>
  <w:style w:type="paragraph" w:styleId="ListNumber5">
    <w:name w:val="List Number 5"/>
    <w:basedOn w:val="Normal"/>
    <w:uiPriority w:val="99"/>
    <w:semiHidden/>
    <w:unhideWhenUsed/>
    <w:rsid w:val="00295FF1"/>
    <w:pPr>
      <w:tabs>
        <w:tab w:val="num" w:pos="1492"/>
      </w:tabs>
      <w:ind w:left="1492" w:hanging="360"/>
    </w:pPr>
  </w:style>
  <w:style w:type="paragraph" w:styleId="Closing">
    <w:name w:val="Closing"/>
    <w:basedOn w:val="Normal"/>
    <w:link w:val="ClosingChar"/>
    <w:uiPriority w:val="99"/>
    <w:semiHidden/>
    <w:unhideWhenUsed/>
    <w:rsid w:val="00295FF1"/>
    <w:pPr>
      <w:ind w:left="4252"/>
    </w:pPr>
  </w:style>
  <w:style w:type="character" w:customStyle="1" w:styleId="ClosingChar">
    <w:name w:val="Closing Char"/>
    <w:basedOn w:val="DefaultParagraphFont"/>
    <w:link w:val="Closing"/>
    <w:uiPriority w:val="99"/>
    <w:semiHidden/>
    <w:rsid w:val="00295FF1"/>
    <w:rPr>
      <w:rFonts w:eastAsia="Times New Roman"/>
      <w:sz w:val="24"/>
      <w:szCs w:val="24"/>
      <w:lang w:eastAsia="en-AU"/>
    </w:rPr>
  </w:style>
  <w:style w:type="paragraph" w:styleId="Signature">
    <w:name w:val="Signature"/>
    <w:basedOn w:val="Normal"/>
    <w:link w:val="SignatureChar"/>
    <w:uiPriority w:val="99"/>
    <w:semiHidden/>
    <w:unhideWhenUsed/>
    <w:rsid w:val="00295FF1"/>
    <w:pPr>
      <w:ind w:left="4252"/>
    </w:pPr>
  </w:style>
  <w:style w:type="character" w:customStyle="1" w:styleId="SignatureChar">
    <w:name w:val="Signature Char"/>
    <w:basedOn w:val="DefaultParagraphFont"/>
    <w:link w:val="Signature"/>
    <w:uiPriority w:val="99"/>
    <w:semiHidden/>
    <w:rsid w:val="00295FF1"/>
    <w:rPr>
      <w:rFonts w:eastAsia="Times New Roman"/>
      <w:sz w:val="24"/>
      <w:szCs w:val="24"/>
      <w:lang w:eastAsia="en-AU"/>
    </w:rPr>
  </w:style>
  <w:style w:type="paragraph" w:styleId="BodyTextIndent">
    <w:name w:val="Body Text Indent"/>
    <w:basedOn w:val="Normal"/>
    <w:link w:val="BodyTextIndentChar"/>
    <w:uiPriority w:val="99"/>
    <w:semiHidden/>
    <w:unhideWhenUsed/>
    <w:rsid w:val="00295FF1"/>
    <w:pPr>
      <w:spacing w:after="120"/>
      <w:ind w:left="283"/>
    </w:pPr>
  </w:style>
  <w:style w:type="character" w:customStyle="1" w:styleId="BodyTextIndentChar">
    <w:name w:val="Body Text Indent Char"/>
    <w:basedOn w:val="DefaultParagraphFont"/>
    <w:link w:val="BodyTextIndent"/>
    <w:uiPriority w:val="99"/>
    <w:semiHidden/>
    <w:rsid w:val="00295FF1"/>
    <w:rPr>
      <w:rFonts w:eastAsia="Times New Roman"/>
      <w:sz w:val="24"/>
      <w:szCs w:val="24"/>
      <w:lang w:eastAsia="en-AU"/>
    </w:rPr>
  </w:style>
  <w:style w:type="paragraph" w:styleId="ListContinue">
    <w:name w:val="List Continue"/>
    <w:basedOn w:val="Normal"/>
    <w:uiPriority w:val="99"/>
    <w:semiHidden/>
    <w:unhideWhenUsed/>
    <w:rsid w:val="00295FF1"/>
    <w:pPr>
      <w:spacing w:after="120"/>
      <w:ind w:left="283"/>
    </w:pPr>
  </w:style>
  <w:style w:type="paragraph" w:styleId="ListContinue2">
    <w:name w:val="List Continue 2"/>
    <w:basedOn w:val="Normal"/>
    <w:uiPriority w:val="99"/>
    <w:semiHidden/>
    <w:unhideWhenUsed/>
    <w:rsid w:val="00295FF1"/>
    <w:pPr>
      <w:spacing w:after="120"/>
      <w:ind w:left="566"/>
    </w:pPr>
  </w:style>
  <w:style w:type="paragraph" w:styleId="ListContinue3">
    <w:name w:val="List Continue 3"/>
    <w:basedOn w:val="Normal"/>
    <w:uiPriority w:val="99"/>
    <w:semiHidden/>
    <w:unhideWhenUsed/>
    <w:rsid w:val="00295FF1"/>
    <w:pPr>
      <w:spacing w:after="120"/>
      <w:ind w:left="849"/>
    </w:pPr>
  </w:style>
  <w:style w:type="paragraph" w:styleId="ListContinue4">
    <w:name w:val="List Continue 4"/>
    <w:basedOn w:val="Normal"/>
    <w:uiPriority w:val="99"/>
    <w:semiHidden/>
    <w:unhideWhenUsed/>
    <w:rsid w:val="00295FF1"/>
    <w:pPr>
      <w:spacing w:after="120"/>
      <w:ind w:left="1132"/>
    </w:pPr>
  </w:style>
  <w:style w:type="paragraph" w:styleId="ListContinue5">
    <w:name w:val="List Continue 5"/>
    <w:basedOn w:val="Normal"/>
    <w:uiPriority w:val="99"/>
    <w:semiHidden/>
    <w:unhideWhenUsed/>
    <w:rsid w:val="00295FF1"/>
    <w:pPr>
      <w:spacing w:after="120"/>
      <w:ind w:left="1415"/>
    </w:pPr>
  </w:style>
  <w:style w:type="paragraph" w:styleId="MessageHeader">
    <w:name w:val="Message Header"/>
    <w:basedOn w:val="Normal"/>
    <w:link w:val="MessageHeaderChar"/>
    <w:uiPriority w:val="99"/>
    <w:semiHidden/>
    <w:unhideWhenUsed/>
    <w:rsid w:val="00295F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295FF1"/>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295F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295FF1"/>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295FF1"/>
  </w:style>
  <w:style w:type="character" w:customStyle="1" w:styleId="SalutationChar">
    <w:name w:val="Salutation Char"/>
    <w:basedOn w:val="DefaultParagraphFont"/>
    <w:link w:val="Salutation"/>
    <w:uiPriority w:val="99"/>
    <w:semiHidden/>
    <w:rsid w:val="00295FF1"/>
    <w:rPr>
      <w:rFonts w:eastAsia="Times New Roman"/>
      <w:sz w:val="24"/>
      <w:szCs w:val="24"/>
      <w:lang w:eastAsia="en-AU"/>
    </w:rPr>
  </w:style>
  <w:style w:type="paragraph" w:styleId="Date">
    <w:name w:val="Date"/>
    <w:basedOn w:val="Normal"/>
    <w:next w:val="Normal"/>
    <w:link w:val="DateChar"/>
    <w:uiPriority w:val="99"/>
    <w:semiHidden/>
    <w:unhideWhenUsed/>
    <w:rsid w:val="00295FF1"/>
  </w:style>
  <w:style w:type="character" w:customStyle="1" w:styleId="DateChar">
    <w:name w:val="Date Char"/>
    <w:basedOn w:val="DefaultParagraphFont"/>
    <w:link w:val="Date"/>
    <w:uiPriority w:val="99"/>
    <w:semiHidden/>
    <w:rsid w:val="00295FF1"/>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295FF1"/>
    <w:pPr>
      <w:ind w:firstLine="210"/>
    </w:pPr>
  </w:style>
  <w:style w:type="character" w:customStyle="1" w:styleId="BodyTextFirstIndent2Char">
    <w:name w:val="Body Text First Indent 2 Char"/>
    <w:basedOn w:val="BodyTextIndentChar"/>
    <w:link w:val="BodyTextFirstIndent2"/>
    <w:uiPriority w:val="99"/>
    <w:semiHidden/>
    <w:rsid w:val="00295FF1"/>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295FF1"/>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295FF1"/>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295FF1"/>
    <w:rPr>
      <w:rFonts w:eastAsia="Times New Roman"/>
      <w:sz w:val="24"/>
      <w:szCs w:val="24"/>
      <w:lang w:eastAsia="en-AU"/>
    </w:rPr>
  </w:style>
  <w:style w:type="paragraph" w:styleId="BodyText2">
    <w:name w:val="Body Text 2"/>
    <w:basedOn w:val="Normal"/>
    <w:link w:val="BodyText2Char"/>
    <w:uiPriority w:val="99"/>
    <w:semiHidden/>
    <w:unhideWhenUsed/>
    <w:rsid w:val="00295FF1"/>
    <w:pPr>
      <w:spacing w:after="120" w:line="480" w:lineRule="auto"/>
    </w:pPr>
  </w:style>
  <w:style w:type="character" w:customStyle="1" w:styleId="BodyText2Char">
    <w:name w:val="Body Text 2 Char"/>
    <w:basedOn w:val="DefaultParagraphFont"/>
    <w:link w:val="BodyText2"/>
    <w:uiPriority w:val="99"/>
    <w:semiHidden/>
    <w:rsid w:val="00295FF1"/>
    <w:rPr>
      <w:rFonts w:eastAsia="Times New Roman"/>
      <w:sz w:val="24"/>
      <w:szCs w:val="24"/>
      <w:lang w:eastAsia="en-AU"/>
    </w:rPr>
  </w:style>
  <w:style w:type="paragraph" w:styleId="BodyText3">
    <w:name w:val="Body Text 3"/>
    <w:basedOn w:val="Normal"/>
    <w:link w:val="BodyText3Char"/>
    <w:uiPriority w:val="99"/>
    <w:semiHidden/>
    <w:unhideWhenUsed/>
    <w:rsid w:val="00295FF1"/>
    <w:pPr>
      <w:spacing w:after="120"/>
    </w:pPr>
    <w:rPr>
      <w:sz w:val="16"/>
      <w:szCs w:val="16"/>
    </w:rPr>
  </w:style>
  <w:style w:type="character" w:customStyle="1" w:styleId="BodyText3Char">
    <w:name w:val="Body Text 3 Char"/>
    <w:basedOn w:val="DefaultParagraphFont"/>
    <w:link w:val="BodyText3"/>
    <w:uiPriority w:val="99"/>
    <w:semiHidden/>
    <w:rsid w:val="00295FF1"/>
    <w:rPr>
      <w:rFonts w:eastAsia="Times New Roman"/>
      <w:sz w:val="16"/>
      <w:szCs w:val="16"/>
      <w:lang w:eastAsia="en-AU"/>
    </w:rPr>
  </w:style>
  <w:style w:type="paragraph" w:styleId="BodyTextIndent2">
    <w:name w:val="Body Text Indent 2"/>
    <w:basedOn w:val="Normal"/>
    <w:link w:val="BodyTextIndent2Char"/>
    <w:uiPriority w:val="99"/>
    <w:semiHidden/>
    <w:unhideWhenUsed/>
    <w:rsid w:val="00295FF1"/>
    <w:pPr>
      <w:spacing w:after="120" w:line="480" w:lineRule="auto"/>
      <w:ind w:left="283"/>
    </w:pPr>
  </w:style>
  <w:style w:type="character" w:customStyle="1" w:styleId="BodyTextIndent2Char">
    <w:name w:val="Body Text Indent 2 Char"/>
    <w:basedOn w:val="DefaultParagraphFont"/>
    <w:link w:val="BodyTextIndent2"/>
    <w:uiPriority w:val="99"/>
    <w:semiHidden/>
    <w:rsid w:val="00295FF1"/>
    <w:rPr>
      <w:rFonts w:eastAsia="Times New Roman"/>
      <w:sz w:val="24"/>
      <w:szCs w:val="24"/>
      <w:lang w:eastAsia="en-AU"/>
    </w:rPr>
  </w:style>
  <w:style w:type="paragraph" w:styleId="BodyTextIndent3">
    <w:name w:val="Body Text Indent 3"/>
    <w:basedOn w:val="Normal"/>
    <w:link w:val="BodyTextIndent3Char"/>
    <w:uiPriority w:val="99"/>
    <w:semiHidden/>
    <w:unhideWhenUsed/>
    <w:rsid w:val="00295F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FF1"/>
    <w:rPr>
      <w:rFonts w:eastAsia="Times New Roman"/>
      <w:sz w:val="16"/>
      <w:szCs w:val="16"/>
      <w:lang w:eastAsia="en-AU"/>
    </w:rPr>
  </w:style>
  <w:style w:type="paragraph" w:styleId="DocumentMap">
    <w:name w:val="Document Map"/>
    <w:basedOn w:val="Normal"/>
    <w:link w:val="DocumentMapChar"/>
    <w:uiPriority w:val="99"/>
    <w:semiHidden/>
    <w:unhideWhenUsed/>
    <w:rsid w:val="00295F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5FF1"/>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295FF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95FF1"/>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295FF1"/>
  </w:style>
  <w:style w:type="character" w:customStyle="1" w:styleId="E-mailSignatureChar">
    <w:name w:val="E-mail Signature Char"/>
    <w:basedOn w:val="DefaultParagraphFont"/>
    <w:link w:val="E-mailSignature"/>
    <w:uiPriority w:val="99"/>
    <w:semiHidden/>
    <w:rsid w:val="00295FF1"/>
    <w:rPr>
      <w:rFonts w:eastAsia="Times New Roman"/>
      <w:sz w:val="24"/>
      <w:szCs w:val="24"/>
      <w:lang w:eastAsia="en-AU"/>
    </w:rPr>
  </w:style>
  <w:style w:type="paragraph" w:styleId="NoSpacing">
    <w:name w:val="No Spacing"/>
    <w:uiPriority w:val="1"/>
    <w:qFormat/>
    <w:rsid w:val="00295FF1"/>
    <w:rPr>
      <w:rFonts w:eastAsia="Times New Roman"/>
      <w:sz w:val="24"/>
      <w:szCs w:val="24"/>
      <w:lang w:eastAsia="en-AU"/>
    </w:rPr>
  </w:style>
  <w:style w:type="paragraph" w:styleId="Quote">
    <w:name w:val="Quote"/>
    <w:basedOn w:val="Normal"/>
    <w:next w:val="Normal"/>
    <w:link w:val="QuoteChar"/>
    <w:uiPriority w:val="29"/>
    <w:qFormat/>
    <w:rsid w:val="00295FF1"/>
    <w:rPr>
      <w:i/>
      <w:iCs/>
      <w:color w:val="000000" w:themeColor="text1"/>
    </w:rPr>
  </w:style>
  <w:style w:type="character" w:customStyle="1" w:styleId="QuoteChar">
    <w:name w:val="Quote Char"/>
    <w:basedOn w:val="DefaultParagraphFont"/>
    <w:link w:val="Quote"/>
    <w:uiPriority w:val="29"/>
    <w:rsid w:val="00295FF1"/>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295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5FF1"/>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295FF1"/>
  </w:style>
  <w:style w:type="paragraph" w:styleId="TOCHeading">
    <w:name w:val="TOC Heading"/>
    <w:basedOn w:val="Heading1"/>
    <w:next w:val="Normal"/>
    <w:uiPriority w:val="39"/>
    <w:unhideWhenUsed/>
    <w:qFormat/>
    <w:rsid w:val="00295FF1"/>
    <w:pPr>
      <w:outlineLvl w:val="9"/>
    </w:pPr>
    <w:rPr>
      <w:color w:val="345A8A" w:themeColor="accent1" w:themeShade="B5"/>
      <w:sz w:val="32"/>
      <w:szCs w:val="32"/>
    </w:rPr>
  </w:style>
  <w:style w:type="paragraph" w:customStyle="1" w:styleId="HeaderBoldEven">
    <w:name w:val="HeaderBoldEven"/>
    <w:basedOn w:val="Normal"/>
    <w:uiPriority w:val="99"/>
    <w:rsid w:val="00295FF1"/>
    <w:pPr>
      <w:spacing w:before="120" w:after="60"/>
    </w:pPr>
    <w:rPr>
      <w:rFonts w:ascii="Arial" w:hAnsi="Arial"/>
      <w:b/>
      <w:sz w:val="20"/>
    </w:rPr>
  </w:style>
  <w:style w:type="paragraph" w:customStyle="1" w:styleId="HeaderLiteEven">
    <w:name w:val="HeaderLiteEven"/>
    <w:basedOn w:val="Normal"/>
    <w:uiPriority w:val="99"/>
    <w:rsid w:val="00295FF1"/>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295FF1"/>
    <w:pPr>
      <w:spacing w:before="120" w:after="120"/>
      <w:jc w:val="right"/>
    </w:pPr>
    <w:rPr>
      <w:rFonts w:ascii="Arial" w:hAnsi="Arial"/>
      <w:sz w:val="20"/>
    </w:rPr>
  </w:style>
  <w:style w:type="paragraph" w:customStyle="1" w:styleId="FooterInfo">
    <w:name w:val="FooterInfo"/>
    <w:basedOn w:val="Normal"/>
    <w:uiPriority w:val="99"/>
    <w:rsid w:val="00295FF1"/>
    <w:rPr>
      <w:rFonts w:ascii="Arial" w:hAnsi="Arial"/>
      <w:sz w:val="12"/>
    </w:rPr>
  </w:style>
  <w:style w:type="paragraph" w:customStyle="1" w:styleId="A1">
    <w:name w:val="A1"/>
    <w:aliases w:val="Heading Amendment,1. Amendment"/>
    <w:basedOn w:val="Normal"/>
    <w:next w:val="Normal"/>
    <w:uiPriority w:val="99"/>
    <w:rsid w:val="00295FF1"/>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295FF1"/>
    <w:pPr>
      <w:keepNext/>
      <w:spacing w:before="120" w:line="260" w:lineRule="exact"/>
      <w:ind w:left="964"/>
    </w:pPr>
    <w:rPr>
      <w:i/>
    </w:rPr>
  </w:style>
  <w:style w:type="paragraph" w:customStyle="1" w:styleId="A1S">
    <w:name w:val="A1S"/>
    <w:aliases w:val="1.Schedule Amendment"/>
    <w:basedOn w:val="Normal"/>
    <w:next w:val="A2S"/>
    <w:uiPriority w:val="99"/>
    <w:rsid w:val="00295FF1"/>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295FF1"/>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295FF1"/>
    <w:pPr>
      <w:spacing w:before="60" w:line="260" w:lineRule="exact"/>
      <w:ind w:left="1247"/>
      <w:jc w:val="both"/>
    </w:pPr>
  </w:style>
  <w:style w:type="paragraph" w:customStyle="1" w:styleId="A3">
    <w:name w:val="A3"/>
    <w:aliases w:val="1.2 amendment"/>
    <w:basedOn w:val="Normal"/>
    <w:uiPriority w:val="99"/>
    <w:rsid w:val="00295FF1"/>
    <w:pPr>
      <w:tabs>
        <w:tab w:val="right" w:pos="794"/>
      </w:tabs>
      <w:spacing w:before="180" w:line="260" w:lineRule="exact"/>
      <w:ind w:left="964" w:hanging="964"/>
      <w:jc w:val="both"/>
    </w:pPr>
  </w:style>
  <w:style w:type="paragraph" w:customStyle="1" w:styleId="A4">
    <w:name w:val="A4"/>
    <w:aliases w:val="(a) Amendment"/>
    <w:basedOn w:val="Normal"/>
    <w:uiPriority w:val="99"/>
    <w:rsid w:val="00295FF1"/>
    <w:pPr>
      <w:tabs>
        <w:tab w:val="right" w:pos="1247"/>
      </w:tabs>
      <w:spacing w:before="60" w:line="260" w:lineRule="exact"/>
      <w:ind w:left="1531" w:hanging="1531"/>
      <w:jc w:val="both"/>
    </w:pPr>
  </w:style>
  <w:style w:type="paragraph" w:customStyle="1" w:styleId="A5">
    <w:name w:val="A5"/>
    <w:aliases w:val="(i) Amendment"/>
    <w:basedOn w:val="Normal"/>
    <w:uiPriority w:val="99"/>
    <w:rsid w:val="00295FF1"/>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295FF1"/>
    <w:pPr>
      <w:spacing w:before="120" w:line="220" w:lineRule="exact"/>
      <w:ind w:left="964"/>
      <w:jc w:val="both"/>
    </w:pPr>
    <w:rPr>
      <w:sz w:val="20"/>
    </w:rPr>
  </w:style>
  <w:style w:type="paragraph" w:customStyle="1" w:styleId="ASref">
    <w:name w:val="AS ref"/>
    <w:basedOn w:val="Normal"/>
    <w:next w:val="A1S"/>
    <w:uiPriority w:val="99"/>
    <w:rsid w:val="00295FF1"/>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95FF1"/>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95FF1"/>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295FF1"/>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295FF1"/>
  </w:style>
  <w:style w:type="paragraph" w:customStyle="1" w:styleId="DD">
    <w:name w:val="DD"/>
    <w:aliases w:val="Dictionary Definition"/>
    <w:basedOn w:val="Normal"/>
    <w:uiPriority w:val="99"/>
    <w:rsid w:val="00295FF1"/>
    <w:pPr>
      <w:spacing w:before="80" w:line="260" w:lineRule="exact"/>
      <w:jc w:val="both"/>
    </w:pPr>
  </w:style>
  <w:style w:type="paragraph" w:customStyle="1" w:styleId="DictionaryHeading">
    <w:name w:val="Dictionary Heading"/>
    <w:basedOn w:val="Normal"/>
    <w:next w:val="DD"/>
    <w:uiPriority w:val="99"/>
    <w:rsid w:val="00295FF1"/>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295FF1"/>
  </w:style>
  <w:style w:type="paragraph" w:customStyle="1" w:styleId="DNote">
    <w:name w:val="DNote"/>
    <w:aliases w:val="DictionaryNote"/>
    <w:basedOn w:val="Normal"/>
    <w:uiPriority w:val="99"/>
    <w:rsid w:val="00295FF1"/>
    <w:pPr>
      <w:spacing w:before="120" w:line="220" w:lineRule="exact"/>
      <w:ind w:left="425"/>
      <w:jc w:val="both"/>
    </w:pPr>
    <w:rPr>
      <w:sz w:val="20"/>
    </w:rPr>
  </w:style>
  <w:style w:type="paragraph" w:customStyle="1" w:styleId="DP1a">
    <w:name w:val="DP1(a)"/>
    <w:aliases w:val="Dictionary (a)"/>
    <w:basedOn w:val="Normal"/>
    <w:uiPriority w:val="99"/>
    <w:rsid w:val="00295FF1"/>
    <w:pPr>
      <w:tabs>
        <w:tab w:val="right" w:pos="709"/>
      </w:tabs>
      <w:spacing w:before="60" w:line="260" w:lineRule="exact"/>
      <w:ind w:left="936" w:hanging="936"/>
      <w:jc w:val="both"/>
    </w:pPr>
  </w:style>
  <w:style w:type="paragraph" w:customStyle="1" w:styleId="DP2i">
    <w:name w:val="DP2(i)"/>
    <w:aliases w:val="Dictionary(i)"/>
    <w:basedOn w:val="Normal"/>
    <w:uiPriority w:val="99"/>
    <w:rsid w:val="00295FF1"/>
    <w:pPr>
      <w:tabs>
        <w:tab w:val="right" w:pos="1276"/>
      </w:tabs>
      <w:spacing w:before="60" w:line="260" w:lineRule="exact"/>
      <w:ind w:left="1503" w:hanging="1503"/>
      <w:jc w:val="both"/>
    </w:pPr>
  </w:style>
  <w:style w:type="paragraph" w:customStyle="1" w:styleId="ExampleBody">
    <w:name w:val="Example Body"/>
    <w:basedOn w:val="Normal"/>
    <w:uiPriority w:val="99"/>
    <w:rsid w:val="00295FF1"/>
    <w:pPr>
      <w:keepLines/>
      <w:spacing w:before="60" w:line="220" w:lineRule="exact"/>
      <w:ind w:left="964"/>
      <w:jc w:val="both"/>
    </w:pPr>
    <w:rPr>
      <w:sz w:val="20"/>
    </w:rPr>
  </w:style>
  <w:style w:type="paragraph" w:customStyle="1" w:styleId="ExampleList">
    <w:name w:val="Example List"/>
    <w:basedOn w:val="Normal"/>
    <w:uiPriority w:val="99"/>
    <w:rsid w:val="00295FF1"/>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295FF1"/>
    <w:pPr>
      <w:spacing w:before="180" w:after="180"/>
      <w:jc w:val="center"/>
    </w:pPr>
  </w:style>
  <w:style w:type="paragraph" w:customStyle="1" w:styleId="HR">
    <w:name w:val="HR"/>
    <w:aliases w:val="Regulation Heading"/>
    <w:basedOn w:val="Normal"/>
    <w:next w:val="R1"/>
    <w:uiPriority w:val="99"/>
    <w:rsid w:val="00295FF1"/>
    <w:pPr>
      <w:keepNext/>
      <w:keepLines/>
      <w:spacing w:before="360"/>
      <w:ind w:left="964" w:hanging="964"/>
    </w:pPr>
    <w:rPr>
      <w:rFonts w:ascii="Arial" w:hAnsi="Arial"/>
      <w:b/>
    </w:rPr>
  </w:style>
  <w:style w:type="paragraph" w:customStyle="1" w:styleId="Lt">
    <w:name w:val="Lt"/>
    <w:aliases w:val="Long title"/>
    <w:basedOn w:val="Normal"/>
    <w:uiPriority w:val="99"/>
    <w:rsid w:val="00295FF1"/>
    <w:pPr>
      <w:spacing w:before="260"/>
    </w:pPr>
    <w:rPr>
      <w:rFonts w:ascii="Arial" w:hAnsi="Arial"/>
      <w:b/>
      <w:sz w:val="28"/>
    </w:rPr>
  </w:style>
  <w:style w:type="paragraph" w:customStyle="1" w:styleId="M1">
    <w:name w:val="M1"/>
    <w:aliases w:val="Modification Heading"/>
    <w:basedOn w:val="Normal"/>
    <w:next w:val="Normal"/>
    <w:uiPriority w:val="99"/>
    <w:rsid w:val="00295FF1"/>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295FF1"/>
    <w:pPr>
      <w:keepNext/>
      <w:spacing w:before="120" w:line="260" w:lineRule="exact"/>
      <w:ind w:left="964"/>
    </w:pPr>
    <w:rPr>
      <w:i/>
    </w:rPr>
  </w:style>
  <w:style w:type="paragraph" w:customStyle="1" w:styleId="M3">
    <w:name w:val="M3"/>
    <w:aliases w:val="Modification Text"/>
    <w:basedOn w:val="Normal"/>
    <w:next w:val="M1"/>
    <w:uiPriority w:val="99"/>
    <w:rsid w:val="00295FF1"/>
    <w:pPr>
      <w:spacing w:before="60" w:line="260" w:lineRule="exact"/>
      <w:ind w:left="1247"/>
      <w:jc w:val="both"/>
    </w:pPr>
  </w:style>
  <w:style w:type="paragraph" w:customStyle="1" w:styleId="MainBodySectionBreak">
    <w:name w:val="MainBody Section Break"/>
    <w:basedOn w:val="Normal"/>
    <w:next w:val="Normal"/>
    <w:uiPriority w:val="99"/>
    <w:rsid w:val="00295FF1"/>
  </w:style>
  <w:style w:type="paragraph" w:customStyle="1" w:styleId="Maker">
    <w:name w:val="Maker"/>
    <w:basedOn w:val="Normal"/>
    <w:uiPriority w:val="99"/>
    <w:rsid w:val="00295FF1"/>
    <w:pPr>
      <w:tabs>
        <w:tab w:val="left" w:pos="3119"/>
      </w:tabs>
      <w:spacing w:line="300" w:lineRule="atLeast"/>
    </w:pPr>
  </w:style>
  <w:style w:type="paragraph" w:customStyle="1" w:styleId="MHD">
    <w:name w:val="MHD"/>
    <w:aliases w:val="Mod Division Heading"/>
    <w:basedOn w:val="Normal"/>
    <w:next w:val="Normal"/>
    <w:uiPriority w:val="99"/>
    <w:rsid w:val="00295FF1"/>
    <w:pPr>
      <w:keepNext/>
      <w:spacing w:before="360"/>
      <w:ind w:left="2410" w:hanging="2410"/>
    </w:pPr>
    <w:rPr>
      <w:b/>
      <w:sz w:val="28"/>
    </w:rPr>
  </w:style>
  <w:style w:type="paragraph" w:customStyle="1" w:styleId="MHP">
    <w:name w:val="MHP"/>
    <w:aliases w:val="Mod Part Heading"/>
    <w:basedOn w:val="Normal"/>
    <w:next w:val="Normal"/>
    <w:uiPriority w:val="99"/>
    <w:rsid w:val="00295FF1"/>
    <w:pPr>
      <w:keepNext/>
      <w:spacing w:before="360"/>
      <w:ind w:left="2410" w:hanging="2410"/>
    </w:pPr>
    <w:rPr>
      <w:b/>
      <w:sz w:val="32"/>
    </w:rPr>
  </w:style>
  <w:style w:type="paragraph" w:customStyle="1" w:styleId="MHR">
    <w:name w:val="MHR"/>
    <w:aliases w:val="Mod Regulation Heading"/>
    <w:basedOn w:val="Normal"/>
    <w:next w:val="Normal"/>
    <w:uiPriority w:val="99"/>
    <w:rsid w:val="00295FF1"/>
    <w:pPr>
      <w:keepNext/>
      <w:spacing w:before="360"/>
      <w:ind w:left="964" w:hanging="964"/>
    </w:pPr>
    <w:rPr>
      <w:b/>
    </w:rPr>
  </w:style>
  <w:style w:type="paragraph" w:customStyle="1" w:styleId="MHS">
    <w:name w:val="MHS"/>
    <w:aliases w:val="Mod Subdivision Heading"/>
    <w:basedOn w:val="Normal"/>
    <w:next w:val="MHR"/>
    <w:uiPriority w:val="99"/>
    <w:rsid w:val="00295FF1"/>
    <w:pPr>
      <w:keepNext/>
      <w:spacing w:before="360"/>
      <w:ind w:left="2410" w:hanging="2410"/>
    </w:pPr>
    <w:rPr>
      <w:b/>
    </w:rPr>
  </w:style>
  <w:style w:type="paragraph" w:customStyle="1" w:styleId="MHSR">
    <w:name w:val="MHSR"/>
    <w:aliases w:val="Mod Subregulation Heading"/>
    <w:basedOn w:val="Normal"/>
    <w:next w:val="Normal"/>
    <w:uiPriority w:val="99"/>
    <w:rsid w:val="00295FF1"/>
    <w:pPr>
      <w:keepNext/>
      <w:spacing w:before="300"/>
      <w:ind w:left="964" w:hanging="964"/>
    </w:pPr>
    <w:rPr>
      <w:i/>
    </w:rPr>
  </w:style>
  <w:style w:type="paragraph" w:customStyle="1" w:styleId="Note">
    <w:name w:val="Note"/>
    <w:basedOn w:val="Normal"/>
    <w:uiPriority w:val="99"/>
    <w:rsid w:val="00295FF1"/>
    <w:pPr>
      <w:keepLines/>
      <w:spacing w:before="120" w:line="220" w:lineRule="exact"/>
      <w:ind w:left="964"/>
      <w:jc w:val="both"/>
    </w:pPr>
    <w:rPr>
      <w:sz w:val="20"/>
    </w:rPr>
  </w:style>
  <w:style w:type="paragraph" w:customStyle="1" w:styleId="NotesSectionBreak">
    <w:name w:val="NotesSectionBreak"/>
    <w:basedOn w:val="Normal"/>
    <w:next w:val="Normal"/>
    <w:uiPriority w:val="99"/>
    <w:rsid w:val="00295FF1"/>
  </w:style>
  <w:style w:type="paragraph" w:customStyle="1" w:styleId="P4">
    <w:name w:val="P4"/>
    <w:aliases w:val="(I)"/>
    <w:basedOn w:val="Normal"/>
    <w:uiPriority w:val="99"/>
    <w:rsid w:val="00295FF1"/>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295FF1"/>
    <w:rPr>
      <w:sz w:val="4"/>
      <w:szCs w:val="2"/>
    </w:rPr>
  </w:style>
  <w:style w:type="paragraph" w:customStyle="1" w:styleId="Penalty">
    <w:name w:val="Penalty"/>
    <w:basedOn w:val="Normal"/>
    <w:next w:val="Normal"/>
    <w:uiPriority w:val="99"/>
    <w:rsid w:val="00295FF1"/>
    <w:pPr>
      <w:spacing w:before="180" w:line="260" w:lineRule="exact"/>
      <w:ind w:left="964"/>
      <w:jc w:val="both"/>
    </w:pPr>
  </w:style>
  <w:style w:type="paragraph" w:customStyle="1" w:styleId="Query">
    <w:name w:val="Query"/>
    <w:aliases w:val="QY"/>
    <w:basedOn w:val="Normal"/>
    <w:uiPriority w:val="99"/>
    <w:rsid w:val="00295FF1"/>
    <w:pPr>
      <w:spacing w:before="180" w:line="260" w:lineRule="exact"/>
      <w:ind w:left="964" w:hanging="964"/>
      <w:jc w:val="both"/>
    </w:pPr>
    <w:rPr>
      <w:b/>
      <w:i/>
    </w:rPr>
  </w:style>
  <w:style w:type="paragraph" w:customStyle="1" w:styleId="Rc">
    <w:name w:val="Rc"/>
    <w:aliases w:val="Rn continued"/>
    <w:basedOn w:val="Normal"/>
    <w:next w:val="R2"/>
    <w:uiPriority w:val="99"/>
    <w:rsid w:val="00295FF1"/>
    <w:pPr>
      <w:spacing w:before="60" w:line="260" w:lineRule="exact"/>
      <w:ind w:left="964"/>
      <w:jc w:val="both"/>
    </w:pPr>
  </w:style>
  <w:style w:type="paragraph" w:customStyle="1" w:styleId="ReadersGuideSectionBreak">
    <w:name w:val="ReadersGuideSectionBreak"/>
    <w:basedOn w:val="Normal"/>
    <w:next w:val="Normal"/>
    <w:uiPriority w:val="99"/>
    <w:rsid w:val="00295FF1"/>
  </w:style>
  <w:style w:type="paragraph" w:customStyle="1" w:styleId="RGHead">
    <w:name w:val="RGHead"/>
    <w:basedOn w:val="Normal"/>
    <w:next w:val="Normal"/>
    <w:uiPriority w:val="99"/>
    <w:rsid w:val="00295FF1"/>
    <w:pPr>
      <w:keepNext/>
      <w:spacing w:before="360"/>
    </w:pPr>
    <w:rPr>
      <w:rFonts w:ascii="Arial" w:hAnsi="Arial"/>
      <w:b/>
      <w:sz w:val="32"/>
    </w:rPr>
  </w:style>
  <w:style w:type="paragraph" w:customStyle="1" w:styleId="RGPara">
    <w:name w:val="RGPara"/>
    <w:aliases w:val="Readers Guide Para"/>
    <w:basedOn w:val="Normal"/>
    <w:uiPriority w:val="99"/>
    <w:rsid w:val="00295FF1"/>
    <w:pPr>
      <w:spacing w:before="120" w:line="260" w:lineRule="exact"/>
      <w:jc w:val="both"/>
    </w:pPr>
  </w:style>
  <w:style w:type="paragraph" w:customStyle="1" w:styleId="RGPtHd">
    <w:name w:val="RGPtHd"/>
    <w:aliases w:val="Readers Guide PT Heading"/>
    <w:basedOn w:val="Normal"/>
    <w:next w:val="Normal"/>
    <w:uiPriority w:val="99"/>
    <w:rsid w:val="00295FF1"/>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295FF1"/>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295FF1"/>
  </w:style>
  <w:style w:type="paragraph" w:customStyle="1" w:styleId="ScheduleHeading">
    <w:name w:val="Schedule Heading"/>
    <w:basedOn w:val="Normal"/>
    <w:next w:val="Normal"/>
    <w:uiPriority w:val="99"/>
    <w:rsid w:val="00295FF1"/>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295FF1"/>
    <w:pPr>
      <w:keepNext/>
      <w:keepLines/>
      <w:spacing w:before="360"/>
      <w:ind w:left="1559" w:hanging="1559"/>
    </w:pPr>
    <w:rPr>
      <w:rFonts w:ascii="Arial" w:hAnsi="Arial"/>
      <w:b/>
    </w:rPr>
  </w:style>
  <w:style w:type="paragraph" w:customStyle="1" w:styleId="IntroP1a">
    <w:name w:val="IntroP1(a)"/>
    <w:basedOn w:val="Normal"/>
    <w:uiPriority w:val="99"/>
    <w:rsid w:val="00295FF1"/>
    <w:pPr>
      <w:spacing w:before="60" w:line="260" w:lineRule="exact"/>
      <w:ind w:left="454" w:hanging="454"/>
      <w:jc w:val="both"/>
    </w:pPr>
  </w:style>
  <w:style w:type="paragraph" w:customStyle="1" w:styleId="Footerinfo0">
    <w:name w:val="Footerinfo"/>
    <w:basedOn w:val="Footer"/>
    <w:uiPriority w:val="99"/>
    <w:rsid w:val="00295FF1"/>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295FF1"/>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295FF1"/>
  </w:style>
  <w:style w:type="paragraph" w:customStyle="1" w:styleId="Schedulelist">
    <w:name w:val="Schedule list"/>
    <w:basedOn w:val="Normal"/>
    <w:uiPriority w:val="99"/>
    <w:rsid w:val="00295FF1"/>
    <w:pPr>
      <w:tabs>
        <w:tab w:val="right" w:pos="1985"/>
      </w:tabs>
      <w:spacing w:before="60" w:line="260" w:lineRule="exact"/>
      <w:ind w:left="454"/>
    </w:pPr>
  </w:style>
  <w:style w:type="paragraph" w:customStyle="1" w:styleId="Schedulepara">
    <w:name w:val="Schedule para"/>
    <w:basedOn w:val="Normal"/>
    <w:uiPriority w:val="99"/>
    <w:rsid w:val="00295FF1"/>
    <w:pPr>
      <w:tabs>
        <w:tab w:val="right" w:pos="567"/>
      </w:tabs>
      <w:spacing w:before="180" w:line="260" w:lineRule="exact"/>
      <w:ind w:left="964" w:hanging="964"/>
      <w:jc w:val="both"/>
    </w:pPr>
  </w:style>
  <w:style w:type="paragraph" w:customStyle="1" w:styleId="Schedulepart">
    <w:name w:val="Schedule part"/>
    <w:basedOn w:val="Normal"/>
    <w:uiPriority w:val="99"/>
    <w:rsid w:val="00295FF1"/>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295FF1"/>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295FF1"/>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295FF1"/>
  </w:style>
  <w:style w:type="paragraph" w:customStyle="1" w:styleId="SRNo">
    <w:name w:val="SRNo"/>
    <w:basedOn w:val="Normal"/>
    <w:next w:val="Normal"/>
    <w:uiPriority w:val="99"/>
    <w:rsid w:val="00295FF1"/>
    <w:pPr>
      <w:pBdr>
        <w:bottom w:val="single" w:sz="4" w:space="3" w:color="auto"/>
      </w:pBdr>
      <w:spacing w:before="480"/>
    </w:pPr>
    <w:rPr>
      <w:rFonts w:ascii="Arial" w:hAnsi="Arial"/>
      <w:b/>
    </w:rPr>
  </w:style>
  <w:style w:type="paragraph" w:customStyle="1" w:styleId="TableColHead">
    <w:name w:val="TableColHead"/>
    <w:basedOn w:val="Normal"/>
    <w:uiPriority w:val="99"/>
    <w:rsid w:val="00295FF1"/>
    <w:pPr>
      <w:keepNext/>
      <w:spacing w:before="120" w:after="60" w:line="200" w:lineRule="exact"/>
    </w:pPr>
    <w:rPr>
      <w:rFonts w:ascii="Arial" w:hAnsi="Arial"/>
      <w:b/>
      <w:sz w:val="18"/>
    </w:rPr>
  </w:style>
  <w:style w:type="paragraph" w:customStyle="1" w:styleId="TableP1a">
    <w:name w:val="TableP1(a)"/>
    <w:basedOn w:val="Normal"/>
    <w:uiPriority w:val="99"/>
    <w:rsid w:val="00295FF1"/>
    <w:pPr>
      <w:tabs>
        <w:tab w:val="right" w:pos="408"/>
      </w:tabs>
      <w:spacing w:after="60" w:line="240" w:lineRule="exact"/>
      <w:ind w:left="533" w:hanging="533"/>
    </w:pPr>
    <w:rPr>
      <w:sz w:val="22"/>
    </w:rPr>
  </w:style>
  <w:style w:type="paragraph" w:customStyle="1" w:styleId="TableP2i">
    <w:name w:val="TableP2(i)"/>
    <w:basedOn w:val="Normal"/>
    <w:uiPriority w:val="99"/>
    <w:rsid w:val="00295FF1"/>
    <w:pPr>
      <w:tabs>
        <w:tab w:val="right" w:pos="726"/>
      </w:tabs>
      <w:spacing w:after="60" w:line="240" w:lineRule="exact"/>
      <w:ind w:left="868" w:hanging="868"/>
    </w:pPr>
    <w:rPr>
      <w:sz w:val="22"/>
    </w:rPr>
  </w:style>
  <w:style w:type="paragraph" w:customStyle="1" w:styleId="TableText0">
    <w:name w:val="TableText"/>
    <w:basedOn w:val="Normal"/>
    <w:uiPriority w:val="99"/>
    <w:rsid w:val="00295FF1"/>
    <w:pPr>
      <w:spacing w:before="60" w:after="60" w:line="240" w:lineRule="exact"/>
    </w:pPr>
    <w:rPr>
      <w:sz w:val="22"/>
    </w:rPr>
  </w:style>
  <w:style w:type="paragraph" w:customStyle="1" w:styleId="TOC">
    <w:name w:val="TOC"/>
    <w:basedOn w:val="Normal"/>
    <w:next w:val="Normal"/>
    <w:uiPriority w:val="99"/>
    <w:rsid w:val="00295FF1"/>
    <w:pPr>
      <w:tabs>
        <w:tab w:val="right" w:pos="7088"/>
      </w:tabs>
      <w:spacing w:after="120"/>
    </w:pPr>
    <w:rPr>
      <w:rFonts w:ascii="Arial" w:hAnsi="Arial"/>
      <w:sz w:val="20"/>
      <w:lang w:eastAsia="en-US"/>
    </w:rPr>
  </w:style>
  <w:style w:type="paragraph" w:customStyle="1" w:styleId="IntroP2i">
    <w:name w:val="IntroP2(i)"/>
    <w:basedOn w:val="Normal"/>
    <w:uiPriority w:val="99"/>
    <w:rsid w:val="00295FF1"/>
    <w:pPr>
      <w:tabs>
        <w:tab w:val="right" w:pos="709"/>
      </w:tabs>
      <w:spacing w:before="60" w:line="260" w:lineRule="exact"/>
      <w:ind w:left="907" w:hanging="907"/>
      <w:jc w:val="both"/>
    </w:pPr>
  </w:style>
  <w:style w:type="paragraph" w:customStyle="1" w:styleId="IntroP3A">
    <w:name w:val="IntroP3(A)"/>
    <w:basedOn w:val="Normal"/>
    <w:uiPriority w:val="99"/>
    <w:rsid w:val="00295FF1"/>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295FF1"/>
    <w:pPr>
      <w:spacing w:before="120"/>
      <w:ind w:left="958" w:hanging="958"/>
    </w:pPr>
    <w:rPr>
      <w:rFonts w:ascii="Arial" w:hAnsi="Arial" w:cs="Arial"/>
      <w:b/>
      <w:sz w:val="16"/>
      <w:szCs w:val="18"/>
      <w:lang w:eastAsia="en-US"/>
    </w:rPr>
  </w:style>
  <w:style w:type="paragraph" w:customStyle="1" w:styleId="ZA2">
    <w:name w:val="ZA2"/>
    <w:basedOn w:val="A2"/>
    <w:uiPriority w:val="99"/>
    <w:rsid w:val="00295FF1"/>
    <w:pPr>
      <w:keepNext/>
    </w:pPr>
  </w:style>
  <w:style w:type="paragraph" w:customStyle="1" w:styleId="ZA3">
    <w:name w:val="ZA3"/>
    <w:basedOn w:val="A3"/>
    <w:uiPriority w:val="99"/>
    <w:rsid w:val="00295FF1"/>
    <w:pPr>
      <w:keepNext/>
    </w:pPr>
  </w:style>
  <w:style w:type="paragraph" w:customStyle="1" w:styleId="ZA4">
    <w:name w:val="ZA4"/>
    <w:basedOn w:val="Normal"/>
    <w:next w:val="A4"/>
    <w:uiPriority w:val="99"/>
    <w:rsid w:val="00295FF1"/>
    <w:pPr>
      <w:keepNext/>
      <w:tabs>
        <w:tab w:val="right" w:pos="1247"/>
      </w:tabs>
      <w:spacing w:before="60" w:line="260" w:lineRule="exact"/>
      <w:ind w:left="1531" w:hanging="1531"/>
      <w:jc w:val="both"/>
    </w:pPr>
  </w:style>
  <w:style w:type="paragraph" w:customStyle="1" w:styleId="ZDD">
    <w:name w:val="ZDD"/>
    <w:aliases w:val="Dict Def"/>
    <w:basedOn w:val="DD"/>
    <w:uiPriority w:val="99"/>
    <w:rsid w:val="00295FF1"/>
    <w:pPr>
      <w:keepNext/>
    </w:pPr>
  </w:style>
  <w:style w:type="paragraph" w:customStyle="1" w:styleId="Zdefinition">
    <w:name w:val="Zdefinition"/>
    <w:basedOn w:val="definition"/>
    <w:uiPriority w:val="99"/>
    <w:rsid w:val="00295FF1"/>
    <w:pPr>
      <w:keepNext/>
    </w:pPr>
  </w:style>
  <w:style w:type="paragraph" w:customStyle="1" w:styleId="ZDP1">
    <w:name w:val="ZDP1"/>
    <w:basedOn w:val="DP1a"/>
    <w:uiPriority w:val="99"/>
    <w:rsid w:val="00295FF1"/>
    <w:pPr>
      <w:keepNext/>
    </w:pPr>
  </w:style>
  <w:style w:type="paragraph" w:customStyle="1" w:styleId="ZExampleBody">
    <w:name w:val="ZExample Body"/>
    <w:basedOn w:val="ExampleBody"/>
    <w:uiPriority w:val="99"/>
    <w:rsid w:val="00295FF1"/>
    <w:pPr>
      <w:keepNext/>
    </w:pPr>
  </w:style>
  <w:style w:type="paragraph" w:customStyle="1" w:styleId="ZNote">
    <w:name w:val="ZNote"/>
    <w:basedOn w:val="Note"/>
    <w:uiPriority w:val="99"/>
    <w:rsid w:val="00295FF1"/>
    <w:pPr>
      <w:keepNext/>
    </w:pPr>
  </w:style>
  <w:style w:type="paragraph" w:customStyle="1" w:styleId="ZP1">
    <w:name w:val="ZP1"/>
    <w:basedOn w:val="P1"/>
    <w:uiPriority w:val="99"/>
    <w:rsid w:val="00295FF1"/>
    <w:pPr>
      <w:keepNext/>
    </w:pPr>
  </w:style>
  <w:style w:type="paragraph" w:customStyle="1" w:styleId="ZP2">
    <w:name w:val="ZP2"/>
    <w:basedOn w:val="P2"/>
    <w:uiPriority w:val="99"/>
    <w:rsid w:val="00295FF1"/>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295FF1"/>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295FF1"/>
    <w:pPr>
      <w:keepNext/>
    </w:pPr>
  </w:style>
  <w:style w:type="paragraph" w:customStyle="1" w:styleId="ZR2">
    <w:name w:val="ZR2"/>
    <w:basedOn w:val="R2"/>
    <w:uiPriority w:val="99"/>
    <w:rsid w:val="00295FF1"/>
    <w:pPr>
      <w:keepNext/>
    </w:pPr>
  </w:style>
  <w:style w:type="paragraph" w:customStyle="1" w:styleId="ZRcN">
    <w:name w:val="ZRcN"/>
    <w:basedOn w:val="Rc"/>
    <w:uiPriority w:val="99"/>
    <w:rsid w:val="00295FF1"/>
    <w:pPr>
      <w:keepNext/>
    </w:pPr>
  </w:style>
  <w:style w:type="paragraph" w:customStyle="1" w:styleId="top1">
    <w:name w:val="top1"/>
    <w:basedOn w:val="Normal"/>
    <w:uiPriority w:val="99"/>
    <w:rsid w:val="00295FF1"/>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295FF1"/>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295FF1"/>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295FF1"/>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locked/>
    <w:rsid w:val="00295FF1"/>
    <w:rPr>
      <w:rFonts w:ascii="Calibri" w:eastAsia="Calibri" w:hAnsi="Calibri" w:cs="Calibri"/>
      <w:sz w:val="24"/>
      <w:szCs w:val="22"/>
    </w:rPr>
  </w:style>
  <w:style w:type="paragraph" w:customStyle="1" w:styleId="OutlineNumbered1">
    <w:name w:val="Outline Numbered 1"/>
    <w:basedOn w:val="Normal"/>
    <w:link w:val="OutlineNumbered1Char"/>
    <w:rsid w:val="00295FF1"/>
    <w:pPr>
      <w:spacing w:line="276" w:lineRule="auto"/>
    </w:pPr>
    <w:rPr>
      <w:rFonts w:ascii="Calibri" w:eastAsia="Calibri" w:hAnsi="Calibri" w:cs="Calibri"/>
      <w:szCs w:val="22"/>
      <w:lang w:eastAsia="en-US"/>
    </w:rPr>
  </w:style>
  <w:style w:type="paragraph" w:customStyle="1" w:styleId="OutlineNumbered2">
    <w:name w:val="Outline Numbered 2"/>
    <w:basedOn w:val="Normal"/>
    <w:rsid w:val="00295FF1"/>
    <w:pPr>
      <w:spacing w:line="276" w:lineRule="auto"/>
    </w:pPr>
    <w:rPr>
      <w:rFonts w:eastAsia="Calibri"/>
      <w:szCs w:val="22"/>
      <w:lang w:eastAsia="en-US"/>
    </w:rPr>
  </w:style>
  <w:style w:type="paragraph" w:customStyle="1" w:styleId="OutlineNumbered3">
    <w:name w:val="Outline Numbered 3"/>
    <w:basedOn w:val="Normal"/>
    <w:rsid w:val="00295FF1"/>
    <w:pPr>
      <w:spacing w:line="276" w:lineRule="auto"/>
    </w:pPr>
    <w:rPr>
      <w:rFonts w:eastAsia="Calibri"/>
      <w:szCs w:val="22"/>
      <w:lang w:eastAsia="en-US"/>
    </w:rPr>
  </w:style>
  <w:style w:type="character" w:customStyle="1" w:styleId="BulletChar">
    <w:name w:val="Bullet Char"/>
    <w:aliases w:val="b Char"/>
    <w:basedOn w:val="DefaultParagraphFont"/>
    <w:link w:val="Bullet"/>
    <w:uiPriority w:val="99"/>
    <w:locked/>
    <w:rsid w:val="00295FF1"/>
    <w:rPr>
      <w:sz w:val="24"/>
      <w:szCs w:val="22"/>
    </w:rPr>
  </w:style>
  <w:style w:type="paragraph" w:customStyle="1" w:styleId="Bullet">
    <w:name w:val="Bullet"/>
    <w:aliases w:val="b"/>
    <w:basedOn w:val="Normal"/>
    <w:link w:val="BulletChar"/>
    <w:uiPriority w:val="99"/>
    <w:qFormat/>
    <w:rsid w:val="00295FF1"/>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295FF1"/>
    <w:rPr>
      <w:sz w:val="24"/>
      <w:szCs w:val="22"/>
    </w:rPr>
  </w:style>
  <w:style w:type="paragraph" w:customStyle="1" w:styleId="Dash">
    <w:name w:val="Dash"/>
    <w:basedOn w:val="Normal"/>
    <w:link w:val="DashChar"/>
    <w:uiPriority w:val="99"/>
    <w:qFormat/>
    <w:rsid w:val="00295FF1"/>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295FF1"/>
    <w:rPr>
      <w:sz w:val="24"/>
      <w:szCs w:val="22"/>
    </w:rPr>
  </w:style>
  <w:style w:type="paragraph" w:customStyle="1" w:styleId="DoubleDot">
    <w:name w:val="Double Dot"/>
    <w:basedOn w:val="Normal"/>
    <w:link w:val="DoubleDotChar"/>
    <w:uiPriority w:val="99"/>
    <w:rsid w:val="00295FF1"/>
    <w:pPr>
      <w:spacing w:before="120" w:after="120" w:line="276" w:lineRule="auto"/>
    </w:pPr>
    <w:rPr>
      <w:rFonts w:eastAsiaTheme="minorHAnsi"/>
      <w:szCs w:val="22"/>
      <w:lang w:eastAsia="en-US"/>
    </w:rPr>
  </w:style>
  <w:style w:type="paragraph" w:customStyle="1" w:styleId="note0">
    <w:name w:val="note"/>
    <w:basedOn w:val="Normal"/>
    <w:uiPriority w:val="99"/>
    <w:rsid w:val="00295FF1"/>
    <w:pPr>
      <w:spacing w:before="100" w:beforeAutospacing="1" w:after="100" w:afterAutospacing="1"/>
    </w:pPr>
  </w:style>
  <w:style w:type="paragraph" w:customStyle="1" w:styleId="zdefinition0">
    <w:name w:val="zdefinition"/>
    <w:basedOn w:val="Normal"/>
    <w:rsid w:val="00295FF1"/>
    <w:pPr>
      <w:spacing w:before="100" w:beforeAutospacing="1" w:after="100" w:afterAutospacing="1"/>
    </w:pPr>
  </w:style>
  <w:style w:type="paragraph" w:customStyle="1" w:styleId="p10">
    <w:name w:val="p1"/>
    <w:basedOn w:val="Normal"/>
    <w:rsid w:val="00295FF1"/>
    <w:pPr>
      <w:spacing w:before="100" w:beforeAutospacing="1" w:after="100" w:afterAutospacing="1"/>
    </w:pPr>
  </w:style>
  <w:style w:type="paragraph" w:customStyle="1" w:styleId="zr20">
    <w:name w:val="zr2"/>
    <w:basedOn w:val="Normal"/>
    <w:uiPriority w:val="99"/>
    <w:rsid w:val="00295FF1"/>
    <w:pPr>
      <w:spacing w:before="100" w:beforeAutospacing="1" w:after="100" w:afterAutospacing="1"/>
    </w:pPr>
  </w:style>
  <w:style w:type="paragraph" w:customStyle="1" w:styleId="rc0">
    <w:name w:val="rc"/>
    <w:basedOn w:val="Normal"/>
    <w:uiPriority w:val="99"/>
    <w:rsid w:val="00295FF1"/>
    <w:pPr>
      <w:spacing w:before="100" w:beforeAutospacing="1" w:after="100" w:afterAutospacing="1"/>
    </w:pPr>
  </w:style>
  <w:style w:type="paragraph" w:customStyle="1" w:styleId="Rx12">
    <w:name w:val="Rx.12"/>
    <w:aliases w:val="Subdivision"/>
    <w:basedOn w:val="Normal"/>
    <w:next w:val="Normal"/>
    <w:uiPriority w:val="99"/>
    <w:rsid w:val="00295FF1"/>
    <w:pPr>
      <w:keepNext/>
      <w:keepLines/>
      <w:spacing w:before="360" w:line="260" w:lineRule="atLeast"/>
      <w:ind w:left="1134" w:hanging="1134"/>
    </w:pPr>
    <w:rPr>
      <w:rFonts w:ascii="Arial" w:hAnsi="Arial"/>
      <w:b/>
      <w:lang w:eastAsia="en-US"/>
    </w:rPr>
  </w:style>
  <w:style w:type="paragraph" w:customStyle="1" w:styleId="r20">
    <w:name w:val="r2"/>
    <w:basedOn w:val="Normal"/>
    <w:rsid w:val="00295FF1"/>
    <w:pPr>
      <w:spacing w:before="100" w:beforeAutospacing="1" w:after="100" w:afterAutospacing="1"/>
    </w:pPr>
  </w:style>
  <w:style w:type="paragraph" w:customStyle="1" w:styleId="notepara1">
    <w:name w:val="notepara"/>
    <w:basedOn w:val="Normal"/>
    <w:uiPriority w:val="99"/>
    <w:rsid w:val="00295FF1"/>
    <w:pPr>
      <w:spacing w:before="100" w:beforeAutospacing="1" w:after="100" w:afterAutospacing="1"/>
    </w:pPr>
  </w:style>
  <w:style w:type="paragraph" w:customStyle="1" w:styleId="paragraph">
    <w:name w:val="paragraph"/>
    <w:basedOn w:val="Normal"/>
    <w:rsid w:val="00295FF1"/>
    <w:pPr>
      <w:spacing w:before="100" w:beforeAutospacing="1" w:after="100" w:afterAutospacing="1"/>
    </w:pPr>
  </w:style>
  <w:style w:type="paragraph" w:customStyle="1" w:styleId="acthead5">
    <w:name w:val="acthead5"/>
    <w:basedOn w:val="Normal"/>
    <w:uiPriority w:val="99"/>
    <w:rsid w:val="00295FF1"/>
    <w:pPr>
      <w:spacing w:before="100" w:beforeAutospacing="1" w:after="100" w:afterAutospacing="1"/>
    </w:pPr>
  </w:style>
  <w:style w:type="paragraph" w:customStyle="1" w:styleId="subsectionhead">
    <w:name w:val="subsectionhead"/>
    <w:basedOn w:val="Normal"/>
    <w:uiPriority w:val="99"/>
    <w:rsid w:val="00295FF1"/>
    <w:pPr>
      <w:spacing w:before="100" w:beforeAutospacing="1" w:after="100" w:afterAutospacing="1"/>
    </w:pPr>
  </w:style>
  <w:style w:type="paragraph" w:customStyle="1" w:styleId="subsection">
    <w:name w:val="subsection"/>
    <w:basedOn w:val="Normal"/>
    <w:uiPriority w:val="99"/>
    <w:rsid w:val="00295FF1"/>
    <w:pPr>
      <w:spacing w:before="100" w:beforeAutospacing="1" w:after="100" w:afterAutospacing="1"/>
    </w:pPr>
  </w:style>
  <w:style w:type="paragraph" w:customStyle="1" w:styleId="NoteLevel11">
    <w:name w:val="Note Level 11"/>
    <w:basedOn w:val="Normal"/>
    <w:uiPriority w:val="99"/>
    <w:semiHidden/>
    <w:rsid w:val="00295FF1"/>
    <w:pPr>
      <w:keepNext/>
      <w:contextualSpacing/>
      <w:outlineLvl w:val="0"/>
    </w:pPr>
    <w:rPr>
      <w:rFonts w:ascii="Verdana" w:hAnsi="Verdana"/>
    </w:rPr>
  </w:style>
  <w:style w:type="paragraph" w:customStyle="1" w:styleId="NoteLevel21">
    <w:name w:val="Note Level 21"/>
    <w:basedOn w:val="Normal"/>
    <w:uiPriority w:val="99"/>
    <w:semiHidden/>
    <w:rsid w:val="00295FF1"/>
    <w:pPr>
      <w:keepNext/>
      <w:contextualSpacing/>
      <w:outlineLvl w:val="1"/>
    </w:pPr>
    <w:rPr>
      <w:rFonts w:ascii="Verdana" w:hAnsi="Verdana"/>
    </w:rPr>
  </w:style>
  <w:style w:type="paragraph" w:customStyle="1" w:styleId="NoteLevel31">
    <w:name w:val="Note Level 31"/>
    <w:basedOn w:val="Normal"/>
    <w:uiPriority w:val="99"/>
    <w:semiHidden/>
    <w:rsid w:val="00295FF1"/>
    <w:pPr>
      <w:keepNext/>
      <w:contextualSpacing/>
      <w:outlineLvl w:val="2"/>
    </w:pPr>
    <w:rPr>
      <w:rFonts w:ascii="Verdana" w:hAnsi="Verdana"/>
    </w:rPr>
  </w:style>
  <w:style w:type="paragraph" w:customStyle="1" w:styleId="NoteLevel41">
    <w:name w:val="Note Level 41"/>
    <w:basedOn w:val="Normal"/>
    <w:uiPriority w:val="99"/>
    <w:semiHidden/>
    <w:rsid w:val="00295FF1"/>
    <w:pPr>
      <w:keepNext/>
      <w:contextualSpacing/>
      <w:outlineLvl w:val="3"/>
    </w:pPr>
    <w:rPr>
      <w:rFonts w:ascii="Verdana" w:hAnsi="Verdana"/>
    </w:rPr>
  </w:style>
  <w:style w:type="paragraph" w:customStyle="1" w:styleId="NoteLevel51">
    <w:name w:val="Note Level 51"/>
    <w:basedOn w:val="Normal"/>
    <w:uiPriority w:val="99"/>
    <w:semiHidden/>
    <w:rsid w:val="00295FF1"/>
    <w:pPr>
      <w:keepNext/>
      <w:contextualSpacing/>
      <w:outlineLvl w:val="4"/>
    </w:pPr>
    <w:rPr>
      <w:rFonts w:ascii="Verdana" w:hAnsi="Verdana"/>
    </w:rPr>
  </w:style>
  <w:style w:type="paragraph" w:customStyle="1" w:styleId="NoteLevel61">
    <w:name w:val="Note Level 61"/>
    <w:basedOn w:val="Normal"/>
    <w:uiPriority w:val="99"/>
    <w:semiHidden/>
    <w:rsid w:val="00295FF1"/>
    <w:pPr>
      <w:keepNext/>
      <w:contextualSpacing/>
      <w:outlineLvl w:val="5"/>
    </w:pPr>
    <w:rPr>
      <w:rFonts w:ascii="Verdana" w:hAnsi="Verdana"/>
    </w:rPr>
  </w:style>
  <w:style w:type="paragraph" w:customStyle="1" w:styleId="NoteLevel71">
    <w:name w:val="Note Level 71"/>
    <w:basedOn w:val="Normal"/>
    <w:uiPriority w:val="99"/>
    <w:semiHidden/>
    <w:rsid w:val="00295FF1"/>
    <w:pPr>
      <w:keepNext/>
      <w:contextualSpacing/>
      <w:outlineLvl w:val="6"/>
    </w:pPr>
    <w:rPr>
      <w:rFonts w:ascii="Verdana" w:hAnsi="Verdana"/>
    </w:rPr>
  </w:style>
  <w:style w:type="paragraph" w:customStyle="1" w:styleId="NoteLevel81">
    <w:name w:val="Note Level 81"/>
    <w:basedOn w:val="Normal"/>
    <w:uiPriority w:val="99"/>
    <w:semiHidden/>
    <w:rsid w:val="00295FF1"/>
    <w:pPr>
      <w:keepNext/>
      <w:contextualSpacing/>
      <w:outlineLvl w:val="7"/>
    </w:pPr>
    <w:rPr>
      <w:rFonts w:ascii="Verdana" w:hAnsi="Verdana"/>
    </w:rPr>
  </w:style>
  <w:style w:type="paragraph" w:customStyle="1" w:styleId="NoteLevel91">
    <w:name w:val="Note Level 91"/>
    <w:basedOn w:val="Normal"/>
    <w:uiPriority w:val="99"/>
    <w:semiHidden/>
    <w:rsid w:val="00295FF1"/>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295FF1"/>
    <w:rPr>
      <w:rFonts w:ascii="Times New Roman" w:hAnsi="Times New Roman" w:cs="Times New Roman" w:hint="default"/>
      <w:sz w:val="20"/>
      <w:vertAlign w:val="superscript"/>
    </w:rPr>
  </w:style>
  <w:style w:type="character" w:styleId="EndnoteReference">
    <w:name w:val="endnote reference"/>
    <w:basedOn w:val="DefaultParagraphFont"/>
    <w:uiPriority w:val="99"/>
    <w:semiHidden/>
    <w:unhideWhenUsed/>
    <w:rsid w:val="00295FF1"/>
    <w:rPr>
      <w:vertAlign w:val="superscript"/>
    </w:rPr>
  </w:style>
  <w:style w:type="character" w:styleId="PlaceholderText">
    <w:name w:val="Placeholder Text"/>
    <w:basedOn w:val="DefaultParagraphFont"/>
    <w:uiPriority w:val="99"/>
    <w:semiHidden/>
    <w:rsid w:val="00295FF1"/>
    <w:rPr>
      <w:color w:val="808080"/>
    </w:rPr>
  </w:style>
  <w:style w:type="character" w:styleId="SubtleEmphasis">
    <w:name w:val="Subtle Emphasis"/>
    <w:basedOn w:val="DefaultParagraphFont"/>
    <w:uiPriority w:val="99"/>
    <w:qFormat/>
    <w:rsid w:val="00295FF1"/>
    <w:rPr>
      <w:rFonts w:ascii="Arial" w:hAnsi="Arial" w:cs="Times New Roman" w:hint="default"/>
      <w:i/>
      <w:iCs w:val="0"/>
      <w:color w:val="7F7F7F"/>
      <w:sz w:val="20"/>
    </w:rPr>
  </w:style>
  <w:style w:type="character" w:customStyle="1" w:styleId="CharAmSchNo">
    <w:name w:val="CharAmSchNo"/>
    <w:basedOn w:val="DefaultParagraphFont"/>
    <w:uiPriority w:val="99"/>
    <w:rsid w:val="00295FF1"/>
  </w:style>
  <w:style w:type="character" w:customStyle="1" w:styleId="CharAmSchText">
    <w:name w:val="CharAmSchText"/>
    <w:basedOn w:val="DefaultParagraphFont"/>
    <w:uiPriority w:val="99"/>
    <w:rsid w:val="00295FF1"/>
  </w:style>
  <w:style w:type="character" w:customStyle="1" w:styleId="CharChapNo">
    <w:name w:val="CharChapNo"/>
    <w:basedOn w:val="DefaultParagraphFont"/>
    <w:uiPriority w:val="99"/>
    <w:rsid w:val="00295FF1"/>
  </w:style>
  <w:style w:type="character" w:customStyle="1" w:styleId="CharChapText">
    <w:name w:val="CharChapText"/>
    <w:basedOn w:val="DefaultParagraphFont"/>
    <w:uiPriority w:val="99"/>
    <w:rsid w:val="00295FF1"/>
  </w:style>
  <w:style w:type="character" w:customStyle="1" w:styleId="CharDivNo">
    <w:name w:val="CharDivNo"/>
    <w:basedOn w:val="DefaultParagraphFont"/>
    <w:uiPriority w:val="99"/>
    <w:rsid w:val="00295FF1"/>
  </w:style>
  <w:style w:type="character" w:customStyle="1" w:styleId="CharDivText">
    <w:name w:val="CharDivText"/>
    <w:basedOn w:val="DefaultParagraphFont"/>
    <w:uiPriority w:val="99"/>
    <w:rsid w:val="00295FF1"/>
  </w:style>
  <w:style w:type="character" w:customStyle="1" w:styleId="CharPartNo">
    <w:name w:val="CharPartNo"/>
    <w:basedOn w:val="DefaultParagraphFont"/>
    <w:uiPriority w:val="99"/>
    <w:rsid w:val="00295FF1"/>
  </w:style>
  <w:style w:type="character" w:customStyle="1" w:styleId="CharPartText">
    <w:name w:val="CharPartText"/>
    <w:basedOn w:val="DefaultParagraphFont"/>
    <w:uiPriority w:val="99"/>
    <w:rsid w:val="00295FF1"/>
  </w:style>
  <w:style w:type="character" w:customStyle="1" w:styleId="CharSchPTNo">
    <w:name w:val="CharSchPTNo"/>
    <w:basedOn w:val="DefaultParagraphFont"/>
    <w:uiPriority w:val="99"/>
    <w:rsid w:val="00295FF1"/>
  </w:style>
  <w:style w:type="character" w:customStyle="1" w:styleId="CharSchPTText">
    <w:name w:val="CharSchPTText"/>
    <w:basedOn w:val="DefaultParagraphFont"/>
    <w:uiPriority w:val="99"/>
    <w:rsid w:val="00295FF1"/>
  </w:style>
  <w:style w:type="character" w:customStyle="1" w:styleId="CharSchNo">
    <w:name w:val="CharSchNo"/>
    <w:basedOn w:val="DefaultParagraphFont"/>
    <w:uiPriority w:val="99"/>
    <w:rsid w:val="00295FF1"/>
  </w:style>
  <w:style w:type="character" w:customStyle="1" w:styleId="CharSchText">
    <w:name w:val="CharSchText"/>
    <w:basedOn w:val="DefaultParagraphFont"/>
    <w:uiPriority w:val="99"/>
    <w:rsid w:val="00295FF1"/>
  </w:style>
  <w:style w:type="character" w:customStyle="1" w:styleId="CharAmSchPTNo">
    <w:name w:val="CharAmSchPTNo"/>
    <w:basedOn w:val="DefaultParagraphFont"/>
    <w:uiPriority w:val="99"/>
    <w:rsid w:val="00295FF1"/>
  </w:style>
  <w:style w:type="character" w:customStyle="1" w:styleId="CharAmSchPTText">
    <w:name w:val="CharAmSchPTText"/>
    <w:basedOn w:val="DefaultParagraphFont"/>
    <w:uiPriority w:val="99"/>
    <w:rsid w:val="00295FF1"/>
  </w:style>
  <w:style w:type="character" w:customStyle="1" w:styleId="TitleSuperscript">
    <w:name w:val="TitleSuperscript"/>
    <w:basedOn w:val="DefaultParagraphFont"/>
    <w:uiPriority w:val="99"/>
    <w:rsid w:val="00295FF1"/>
    <w:rPr>
      <w:rFonts w:ascii="Arial" w:hAnsi="Arial" w:cs="Arial" w:hint="default"/>
      <w:position w:val="6"/>
      <w:sz w:val="24"/>
      <w:szCs w:val="24"/>
      <w:vertAlign w:val="superscript"/>
    </w:rPr>
  </w:style>
  <w:style w:type="character" w:customStyle="1" w:styleId="charsectno0">
    <w:name w:val="charsectno"/>
    <w:basedOn w:val="DefaultParagraphFont"/>
    <w:rsid w:val="00295FF1"/>
  </w:style>
  <w:style w:type="table" w:styleId="TableSimple1">
    <w:name w:val="Table Simple 1"/>
    <w:basedOn w:val="TableNormal"/>
    <w:uiPriority w:val="99"/>
    <w:semiHidden/>
    <w:unhideWhenUsed/>
    <w:rsid w:val="00295FF1"/>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FF1"/>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FF1"/>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FF1"/>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FF1"/>
    <w:rPr>
      <w:rFonts w:eastAsia="Times New Roman"/>
      <w:lang w:eastAsia="en-AU"/>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unhideWhenUsed/>
    <w:rsid w:val="00295FF1"/>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FF1"/>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FF1"/>
    <w:rPr>
      <w:rFonts w:eastAsia="Times New Roman"/>
      <w:b/>
      <w:bCs/>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FF1"/>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FF1"/>
    <w:rPr>
      <w:rFonts w:eastAsia="Times New Roman"/>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295FF1"/>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FF1"/>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FF1"/>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FF1"/>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FF1"/>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FF1"/>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FF1"/>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FF1"/>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FF1"/>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FF1"/>
    <w:rPr>
      <w:rFonts w:eastAsia="Times New Roman"/>
      <w:lang w:eastAsia="en-AU"/>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295FF1"/>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FF1"/>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ap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FF1"/>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Web1">
    <w:name w:val="Table Web 1"/>
    <w:basedOn w:val="TableNormal"/>
    <w:uiPriority w:val="99"/>
    <w:semiHidden/>
    <w:unhideWhenUsed/>
    <w:rsid w:val="00295FF1"/>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FF1"/>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FF1"/>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FF1"/>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eneral">
    <w:name w:val="TableGeneral"/>
    <w:basedOn w:val="TableNormal"/>
    <w:uiPriority w:val="99"/>
    <w:rsid w:val="00295FF1"/>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hidden/>
    </w:trPr>
    <w:tblStylePr w:type="firstRow">
      <w:pPr>
        <w:wordWrap/>
        <w:spacing w:beforeLines="0" w:beforeAutospacing="1" w:afterLines="0" w:afterAutospacing="1" w:line="200" w:lineRule="exact"/>
      </w:pPr>
      <w:rPr>
        <w:rFonts w:ascii="Arial" w:hAnsi="Arial" w:cs="Arial" w:hint="default"/>
        <w:b/>
        <w:sz w:val="18"/>
        <w:szCs w:val="18"/>
      </w:rPr>
      <w:tblPr/>
      <w:trPr>
        <w:hidden/>
      </w:trPr>
      <w:tcPr>
        <w:tcBorders>
          <w:top w:val="nil"/>
          <w:left w:val="nil"/>
          <w:bottom w:val="single" w:sz="4" w:space="0" w:color="auto"/>
          <w:right w:val="nil"/>
          <w:insideH w:val="nil"/>
          <w:insideV w:val="nil"/>
          <w:tl2br w:val="nil"/>
          <w:tr2bl w:val="nil"/>
        </w:tcBorders>
      </w:tcPr>
    </w:tblStylePr>
    <w:tblStylePr w:type="lastRow">
      <w:pPr>
        <w:wordWrap/>
      </w:pPr>
      <w:tblPr/>
      <w:trPr>
        <w:hidden/>
      </w:tr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295FF1"/>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
    <w:name w:val="Light Shading - Accent 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1">
    <w:name w:val="Light Shading - Accent 1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295FF1"/>
    <w:pPr>
      <w:jc w:val="left"/>
    </w:pPr>
  </w:style>
  <w:style w:type="numbering" w:styleId="1ai">
    <w:name w:val="Outline List 1"/>
    <w:basedOn w:val="NoList"/>
    <w:uiPriority w:val="99"/>
    <w:semiHidden/>
    <w:unhideWhenUsed/>
    <w:rsid w:val="00295FF1"/>
    <w:pPr>
      <w:numPr>
        <w:numId w:val="23"/>
      </w:numPr>
    </w:pPr>
  </w:style>
  <w:style w:type="numbering" w:styleId="ArticleSection">
    <w:name w:val="Outline List 3"/>
    <w:basedOn w:val="NoList"/>
    <w:uiPriority w:val="99"/>
    <w:semiHidden/>
    <w:unhideWhenUsed/>
    <w:rsid w:val="00295FF1"/>
    <w:pPr>
      <w:numPr>
        <w:numId w:val="26"/>
      </w:numPr>
    </w:pPr>
  </w:style>
  <w:style w:type="numbering" w:styleId="111111">
    <w:name w:val="Outline List 2"/>
    <w:basedOn w:val="NoList"/>
    <w:uiPriority w:val="99"/>
    <w:semiHidden/>
    <w:unhideWhenUsed/>
    <w:rsid w:val="00295FF1"/>
    <w:pPr>
      <w:numPr>
        <w:numId w:val="27"/>
      </w:numPr>
    </w:pPr>
  </w:style>
  <w:style w:type="character" w:styleId="HTMLVariable">
    <w:name w:val="HTML Variable"/>
    <w:basedOn w:val="DefaultParagraphFont"/>
    <w:uiPriority w:val="99"/>
    <w:rsid w:val="00295FF1"/>
    <w:rPr>
      <w:i/>
      <w:iCs/>
    </w:rPr>
  </w:style>
  <w:style w:type="character" w:styleId="Emphasis">
    <w:name w:val="Emphasis"/>
    <w:uiPriority w:val="20"/>
    <w:qFormat/>
    <w:rsid w:val="00301DDB"/>
    <w:rPr>
      <w:i/>
      <w:iCs/>
    </w:rPr>
  </w:style>
  <w:style w:type="character" w:customStyle="1" w:styleId="st">
    <w:name w:val="st"/>
    <w:basedOn w:val="DefaultParagraphFont"/>
    <w:rsid w:val="00301DDB"/>
  </w:style>
  <w:style w:type="character" w:customStyle="1" w:styleId="DocumentMapChar1">
    <w:name w:val="Document Map Char1"/>
    <w:basedOn w:val="DefaultParagraphFont"/>
    <w:uiPriority w:val="99"/>
    <w:semiHidden/>
    <w:rsid w:val="00301DDB"/>
    <w:rPr>
      <w:rFonts w:ascii="Tahoma" w:eastAsia="Times New Roman" w:hAnsi="Tahoma" w:cs="Tahoma"/>
      <w:sz w:val="16"/>
      <w:szCs w:val="16"/>
      <w:lang w:eastAsia="en-AU"/>
    </w:rPr>
  </w:style>
  <w:style w:type="paragraph" w:customStyle="1" w:styleId="Quotation">
    <w:name w:val="Quotation"/>
    <w:basedOn w:val="Normal"/>
    <w:semiHidden/>
    <w:rsid w:val="00301DDB"/>
    <w:pPr>
      <w:numPr>
        <w:ilvl w:val="1"/>
        <w:numId w:val="40"/>
      </w:numPr>
      <w:spacing w:after="140" w:line="260" w:lineRule="atLeast"/>
    </w:pPr>
    <w:rPr>
      <w:rFonts w:ascii="Arial" w:hAnsi="Arial" w:cs="Arial"/>
      <w:sz w:val="20"/>
      <w:szCs w:val="22"/>
    </w:rPr>
  </w:style>
  <w:style w:type="paragraph" w:customStyle="1" w:styleId="Quotation1">
    <w:name w:val="Quotation 1"/>
    <w:basedOn w:val="Normal"/>
    <w:rsid w:val="00301DDB"/>
    <w:pPr>
      <w:tabs>
        <w:tab w:val="num" w:pos="425"/>
      </w:tabs>
      <w:spacing w:after="140" w:line="260" w:lineRule="atLeast"/>
      <w:ind w:left="425"/>
    </w:pPr>
    <w:rPr>
      <w:rFonts w:ascii="Arial" w:hAnsi="Arial" w:cs="Arial"/>
      <w:sz w:val="20"/>
      <w:szCs w:val="22"/>
    </w:rPr>
  </w:style>
  <w:style w:type="paragraph" w:customStyle="1" w:styleId="Quotation2">
    <w:name w:val="Quotation 2"/>
    <w:basedOn w:val="Normal"/>
    <w:semiHidden/>
    <w:rsid w:val="00301DDB"/>
    <w:pPr>
      <w:tabs>
        <w:tab w:val="num" w:pos="850"/>
      </w:tabs>
      <w:spacing w:after="140" w:line="260" w:lineRule="atLeast"/>
      <w:ind w:left="850"/>
    </w:pPr>
    <w:rPr>
      <w:rFonts w:ascii="Arial" w:hAnsi="Arial" w:cs="Arial"/>
      <w:sz w:val="20"/>
      <w:szCs w:val="22"/>
    </w:rPr>
  </w:style>
  <w:style w:type="paragraph" w:customStyle="1" w:styleId="Quotation3">
    <w:name w:val="Quotation 3"/>
    <w:basedOn w:val="Normal"/>
    <w:semiHidden/>
    <w:rsid w:val="00301DDB"/>
    <w:pPr>
      <w:tabs>
        <w:tab w:val="num" w:pos="1276"/>
      </w:tabs>
      <w:spacing w:after="140" w:line="260" w:lineRule="atLeast"/>
      <w:ind w:left="1276"/>
    </w:pPr>
    <w:rPr>
      <w:rFonts w:ascii="Arial" w:hAnsi="Arial" w:cs="Arial"/>
      <w:sz w:val="20"/>
      <w:szCs w:val="22"/>
    </w:rPr>
  </w:style>
  <w:style w:type="paragraph" w:customStyle="1" w:styleId="Quotation4">
    <w:name w:val="Quotation 4"/>
    <w:basedOn w:val="Normal"/>
    <w:semiHidden/>
    <w:rsid w:val="00301DDB"/>
    <w:pPr>
      <w:tabs>
        <w:tab w:val="num" w:pos="1701"/>
      </w:tabs>
      <w:spacing w:after="140" w:line="260" w:lineRule="atLeast"/>
      <w:ind w:left="1701"/>
    </w:pPr>
    <w:rPr>
      <w:rFonts w:ascii="Arial" w:hAnsi="Arial" w:cs="Arial"/>
      <w:sz w:val="20"/>
      <w:szCs w:val="22"/>
    </w:rPr>
  </w:style>
  <w:style w:type="paragraph" w:customStyle="1" w:styleId="Quotation5">
    <w:name w:val="Quotation 5"/>
    <w:basedOn w:val="Normal"/>
    <w:semiHidden/>
    <w:rsid w:val="00301DDB"/>
    <w:pPr>
      <w:tabs>
        <w:tab w:val="num" w:pos="2126"/>
      </w:tabs>
      <w:spacing w:after="140" w:line="260" w:lineRule="atLeast"/>
      <w:ind w:left="2126"/>
    </w:pPr>
    <w:rPr>
      <w:rFonts w:ascii="Arial" w:hAnsi="Arial" w:cs="Arial"/>
      <w:sz w:val="20"/>
      <w:szCs w:val="22"/>
    </w:rPr>
  </w:style>
  <w:style w:type="paragraph" w:customStyle="1" w:styleId="Quotation6">
    <w:name w:val="Quotation 6"/>
    <w:basedOn w:val="Normal"/>
    <w:semiHidden/>
    <w:rsid w:val="00301DDB"/>
    <w:pPr>
      <w:tabs>
        <w:tab w:val="num" w:pos="2551"/>
      </w:tabs>
      <w:spacing w:after="140" w:line="260" w:lineRule="atLeast"/>
      <w:ind w:left="2551"/>
    </w:pPr>
    <w:rPr>
      <w:rFonts w:ascii="Arial" w:hAnsi="Arial" w:cs="Arial"/>
      <w:sz w:val="20"/>
      <w:szCs w:val="22"/>
    </w:rPr>
  </w:style>
  <w:style w:type="paragraph" w:customStyle="1" w:styleId="Quotation7">
    <w:name w:val="Quotation 7"/>
    <w:basedOn w:val="Normal"/>
    <w:semiHidden/>
    <w:rsid w:val="00301DDB"/>
    <w:pPr>
      <w:tabs>
        <w:tab w:val="num" w:pos="2976"/>
      </w:tabs>
      <w:spacing w:after="140" w:line="260" w:lineRule="atLeast"/>
      <w:ind w:left="2976"/>
    </w:pPr>
    <w:rPr>
      <w:rFonts w:ascii="Arial" w:hAnsi="Arial" w:cs="Arial"/>
      <w:sz w:val="20"/>
      <w:szCs w:val="22"/>
    </w:rPr>
  </w:style>
  <w:style w:type="paragraph" w:customStyle="1" w:styleId="Quotation8">
    <w:name w:val="Quotation 8"/>
    <w:basedOn w:val="Normal"/>
    <w:semiHidden/>
    <w:rsid w:val="00301DDB"/>
    <w:pPr>
      <w:tabs>
        <w:tab w:val="num" w:pos="3402"/>
      </w:tabs>
      <w:spacing w:after="140" w:line="260" w:lineRule="atLeast"/>
      <w:ind w:left="3402"/>
    </w:pPr>
    <w:rPr>
      <w:rFonts w:ascii="Arial" w:hAnsi="Arial" w:cs="Arial"/>
      <w:sz w:val="20"/>
      <w:szCs w:val="22"/>
    </w:rPr>
  </w:style>
  <w:style w:type="character" w:styleId="Strong">
    <w:name w:val="Strong"/>
    <w:uiPriority w:val="22"/>
    <w:qFormat/>
    <w:rsid w:val="00301DDB"/>
    <w:rPr>
      <w:b/>
      <w:bCs/>
    </w:rPr>
  </w:style>
  <w:style w:type="paragraph" w:customStyle="1" w:styleId="References">
    <w:name w:val="References"/>
    <w:basedOn w:val="BodyText"/>
    <w:uiPriority w:val="99"/>
    <w:rsid w:val="00301DDB"/>
    <w:pPr>
      <w:spacing w:before="180" w:after="120" w:line="276" w:lineRule="auto"/>
    </w:pPr>
    <w:rPr>
      <w:rFonts w:ascii="Calibri" w:eastAsia="Times New Roman" w:hAnsi="Calibri"/>
      <w:szCs w:val="22"/>
      <w:lang w:val="en-AU"/>
    </w:rPr>
  </w:style>
  <w:style w:type="table" w:customStyle="1" w:styleId="TableGrid11">
    <w:name w:val="Table Grid11"/>
    <w:basedOn w:val="TableNormal"/>
    <w:next w:val="TableGrid"/>
    <w:uiPriority w:val="59"/>
    <w:rsid w:val="00301DD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
    <w:name w:val="Table Grid21"/>
    <w:basedOn w:val="TableNormal"/>
    <w:next w:val="TableGrid"/>
    <w:uiPriority w:val="59"/>
    <w:rsid w:val="00301DD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1DDF-5EC8-483C-BCAA-2086DA5B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CA2BD1AF</Template>
  <TotalTime>5</TotalTime>
  <Pages>58</Pages>
  <Words>15162</Words>
  <Characters>86429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101389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Kim Begbie</cp:lastModifiedBy>
  <cp:revision>3</cp:revision>
  <cp:lastPrinted>2013-05-16T05:04:00Z</cp:lastPrinted>
  <dcterms:created xsi:type="dcterms:W3CDTF">2013-06-25T04:32:00Z</dcterms:created>
  <dcterms:modified xsi:type="dcterms:W3CDTF">2013-06-26T05:45:00Z</dcterms:modified>
</cp:coreProperties>
</file>