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0376B" w14:textId="77777777" w:rsidR="00F37373" w:rsidRPr="009F522D" w:rsidRDefault="00F37373" w:rsidP="009F522D">
      <w:pPr>
        <w:jc w:val="center"/>
        <w:rPr>
          <w:rFonts w:ascii="Times New Roman" w:hAnsi="Times New Roman" w:cs="Times New Roman"/>
          <w:sz w:val="24"/>
          <w:szCs w:val="24"/>
        </w:rPr>
      </w:pPr>
      <w:bookmarkStart w:id="0" w:name="_GoBack"/>
      <w:bookmarkEnd w:id="0"/>
      <w:r w:rsidRPr="009F522D">
        <w:rPr>
          <w:rFonts w:ascii="Times New Roman" w:hAnsi="Times New Roman" w:cs="Times New Roman"/>
          <w:b/>
          <w:sz w:val="24"/>
          <w:szCs w:val="24"/>
        </w:rPr>
        <w:t>EXPLANATORY STATEMENT</w:t>
      </w:r>
    </w:p>
    <w:p w14:paraId="1CAAD16D" w14:textId="77777777" w:rsidR="00F37373" w:rsidRPr="009F522D" w:rsidRDefault="00F37373" w:rsidP="009F522D">
      <w:pPr>
        <w:jc w:val="center"/>
        <w:rPr>
          <w:rFonts w:ascii="Times New Roman" w:hAnsi="Times New Roman" w:cs="Times New Roman"/>
          <w:sz w:val="24"/>
          <w:szCs w:val="24"/>
        </w:rPr>
      </w:pPr>
      <w:r w:rsidRPr="009F522D">
        <w:rPr>
          <w:rFonts w:ascii="Times New Roman" w:hAnsi="Times New Roman" w:cs="Times New Roman"/>
          <w:sz w:val="24"/>
          <w:szCs w:val="24"/>
        </w:rPr>
        <w:t>Issued by the authority of the Minister for Financial Services and Superannuation</w:t>
      </w:r>
    </w:p>
    <w:p w14:paraId="6030F5FF" w14:textId="77777777" w:rsidR="00D77266" w:rsidRPr="009F522D" w:rsidRDefault="00F37373" w:rsidP="009F522D">
      <w:pPr>
        <w:autoSpaceDE w:val="0"/>
        <w:autoSpaceDN w:val="0"/>
        <w:adjustRightInd w:val="0"/>
        <w:spacing w:after="0" w:line="240" w:lineRule="auto"/>
        <w:jc w:val="center"/>
        <w:rPr>
          <w:rFonts w:ascii="Times New Roman" w:hAnsi="Times New Roman" w:cs="Times New Roman"/>
          <w:i/>
          <w:sz w:val="24"/>
          <w:szCs w:val="24"/>
        </w:rPr>
      </w:pPr>
      <w:r w:rsidRPr="00D77266">
        <w:rPr>
          <w:rFonts w:ascii="Times New Roman" w:hAnsi="Times New Roman" w:cs="Times New Roman"/>
          <w:i/>
          <w:sz w:val="24"/>
          <w:szCs w:val="24"/>
        </w:rPr>
        <w:t>National Disability Insurance Scheme Act 2013</w:t>
      </w:r>
    </w:p>
    <w:p w14:paraId="515A28B4" w14:textId="77777777" w:rsidR="00D77266" w:rsidRPr="009F522D" w:rsidRDefault="00D77266" w:rsidP="009F522D">
      <w:pPr>
        <w:autoSpaceDE w:val="0"/>
        <w:autoSpaceDN w:val="0"/>
        <w:adjustRightInd w:val="0"/>
        <w:spacing w:after="0" w:line="240" w:lineRule="auto"/>
        <w:jc w:val="center"/>
        <w:rPr>
          <w:rFonts w:ascii="Times New Roman" w:hAnsi="Times New Roman" w:cs="Times New Roman"/>
          <w:sz w:val="24"/>
          <w:szCs w:val="24"/>
        </w:rPr>
      </w:pPr>
    </w:p>
    <w:p w14:paraId="0AD85EE8" w14:textId="77777777" w:rsidR="00F37373" w:rsidRPr="009F522D" w:rsidRDefault="00D77266" w:rsidP="009F522D">
      <w:pPr>
        <w:autoSpaceDE w:val="0"/>
        <w:autoSpaceDN w:val="0"/>
        <w:adjustRightInd w:val="0"/>
        <w:spacing w:after="0" w:line="240" w:lineRule="auto"/>
        <w:jc w:val="center"/>
        <w:rPr>
          <w:rFonts w:ascii="Times New Roman" w:hAnsi="Times New Roman" w:cs="Times New Roman"/>
          <w:i/>
          <w:sz w:val="24"/>
          <w:szCs w:val="24"/>
        </w:rPr>
      </w:pPr>
      <w:r w:rsidRPr="009F522D">
        <w:rPr>
          <w:rFonts w:ascii="Times New Roman" w:hAnsi="Times New Roman" w:cs="Times New Roman"/>
          <w:i/>
          <w:sz w:val="24"/>
          <w:szCs w:val="24"/>
        </w:rPr>
        <w:t>National Disability Insurance Scheme—Risk Management Rules 2013</w:t>
      </w:r>
    </w:p>
    <w:p w14:paraId="29BD91C5" w14:textId="77777777" w:rsidR="00D77266" w:rsidRPr="00D77266" w:rsidRDefault="00D77266" w:rsidP="009F522D">
      <w:pPr>
        <w:autoSpaceDE w:val="0"/>
        <w:autoSpaceDN w:val="0"/>
        <w:adjustRightInd w:val="0"/>
        <w:spacing w:after="0" w:line="240" w:lineRule="auto"/>
        <w:rPr>
          <w:rFonts w:ascii="Times New Roman" w:hAnsi="Times New Roman" w:cs="Times New Roman"/>
          <w:sz w:val="24"/>
          <w:szCs w:val="24"/>
        </w:rPr>
      </w:pPr>
    </w:p>
    <w:p w14:paraId="688E01D7" w14:textId="77777777" w:rsidR="00F37373" w:rsidRPr="00D95F3F" w:rsidRDefault="00F37373" w:rsidP="00F37373">
      <w:pPr>
        <w:rPr>
          <w:rFonts w:ascii="Times New Roman" w:hAnsi="Times New Roman" w:cs="Times New Roman"/>
          <w:sz w:val="24"/>
          <w:szCs w:val="24"/>
        </w:rPr>
      </w:pPr>
      <w:r w:rsidRPr="00D95F3F">
        <w:rPr>
          <w:rFonts w:ascii="Times New Roman" w:hAnsi="Times New Roman" w:cs="Times New Roman"/>
          <w:sz w:val="24"/>
          <w:szCs w:val="24"/>
        </w:rPr>
        <w:t xml:space="preserve">Section 125B of the </w:t>
      </w:r>
      <w:r w:rsidRPr="00D95F3F">
        <w:rPr>
          <w:rFonts w:ascii="Times New Roman" w:hAnsi="Times New Roman" w:cs="Times New Roman"/>
          <w:i/>
          <w:sz w:val="24"/>
          <w:szCs w:val="24"/>
        </w:rPr>
        <w:t xml:space="preserve">National Disability Insurance </w:t>
      </w:r>
      <w:r w:rsidR="00476EA9">
        <w:rPr>
          <w:rFonts w:ascii="Times New Roman" w:hAnsi="Times New Roman" w:cs="Times New Roman"/>
          <w:i/>
          <w:sz w:val="24"/>
          <w:szCs w:val="24"/>
        </w:rPr>
        <w:t xml:space="preserve">Scheme </w:t>
      </w:r>
      <w:r w:rsidRPr="00D95F3F">
        <w:rPr>
          <w:rFonts w:ascii="Times New Roman" w:hAnsi="Times New Roman" w:cs="Times New Roman"/>
          <w:i/>
          <w:sz w:val="24"/>
          <w:szCs w:val="24"/>
        </w:rPr>
        <w:t>Act 2013</w:t>
      </w:r>
      <w:r w:rsidRPr="00D95F3F">
        <w:rPr>
          <w:rFonts w:ascii="Times New Roman" w:hAnsi="Times New Roman" w:cs="Times New Roman"/>
          <w:sz w:val="24"/>
          <w:szCs w:val="24"/>
        </w:rPr>
        <w:t xml:space="preserve"> (‘the NDIS Act’)</w:t>
      </w:r>
      <w:r w:rsidR="00E7564A">
        <w:rPr>
          <w:rFonts w:ascii="Times New Roman" w:hAnsi="Times New Roman" w:cs="Times New Roman"/>
          <w:sz w:val="24"/>
          <w:szCs w:val="24"/>
        </w:rPr>
        <w:t xml:space="preserve"> provides that</w:t>
      </w:r>
      <w:r>
        <w:rPr>
          <w:rFonts w:ascii="Times New Roman" w:hAnsi="Times New Roman" w:cs="Times New Roman"/>
          <w:sz w:val="24"/>
          <w:szCs w:val="24"/>
        </w:rPr>
        <w:t xml:space="preserve"> the Minister administering the </w:t>
      </w:r>
      <w:r>
        <w:rPr>
          <w:rFonts w:ascii="Times New Roman" w:hAnsi="Times New Roman" w:cs="Times New Roman"/>
          <w:i/>
          <w:sz w:val="24"/>
          <w:szCs w:val="24"/>
        </w:rPr>
        <w:t>Insurance Act 1973</w:t>
      </w:r>
      <w:r w:rsidRPr="00D95F3F">
        <w:rPr>
          <w:rFonts w:ascii="Times New Roman" w:hAnsi="Times New Roman" w:cs="Times New Roman"/>
          <w:sz w:val="24"/>
          <w:szCs w:val="24"/>
        </w:rPr>
        <w:t xml:space="preserve"> </w:t>
      </w:r>
      <w:r w:rsidR="00E7564A">
        <w:rPr>
          <w:rFonts w:ascii="Times New Roman" w:hAnsi="Times New Roman" w:cs="Times New Roman"/>
          <w:sz w:val="24"/>
          <w:szCs w:val="24"/>
        </w:rPr>
        <w:t>may</w:t>
      </w:r>
      <w:r>
        <w:rPr>
          <w:rFonts w:ascii="Times New Roman" w:hAnsi="Times New Roman" w:cs="Times New Roman"/>
          <w:sz w:val="24"/>
          <w:szCs w:val="24"/>
        </w:rPr>
        <w:t xml:space="preserve"> determine rules that:</w:t>
      </w:r>
    </w:p>
    <w:p w14:paraId="2AE975B1" w14:textId="77777777" w:rsidR="00F37373" w:rsidRDefault="00F37373" w:rsidP="00F37373">
      <w:pPr>
        <w:pStyle w:val="Bullet"/>
        <w:rPr>
          <w:szCs w:val="24"/>
        </w:rPr>
      </w:pPr>
      <w:r w:rsidRPr="00D95F3F">
        <w:rPr>
          <w:szCs w:val="24"/>
        </w:rPr>
        <w:t>relate to the management of risks, whether financial or not, tha</w:t>
      </w:r>
      <w:r>
        <w:rPr>
          <w:szCs w:val="24"/>
        </w:rPr>
        <w:t xml:space="preserve">t are likely to be faced by </w:t>
      </w:r>
      <w:r w:rsidR="009F522D">
        <w:rPr>
          <w:szCs w:val="24"/>
        </w:rPr>
        <w:t xml:space="preserve">the </w:t>
      </w:r>
      <w:proofErr w:type="spellStart"/>
      <w:r>
        <w:rPr>
          <w:szCs w:val="24"/>
        </w:rPr>
        <w:t>DisabilityCare</w:t>
      </w:r>
      <w:proofErr w:type="spellEnd"/>
      <w:r>
        <w:rPr>
          <w:szCs w:val="24"/>
        </w:rPr>
        <w:t xml:space="preserve"> Australia </w:t>
      </w:r>
      <w:r w:rsidRPr="00D95F3F">
        <w:rPr>
          <w:szCs w:val="24"/>
        </w:rPr>
        <w:t>Agency</w:t>
      </w:r>
      <w:r w:rsidR="00D12594">
        <w:rPr>
          <w:szCs w:val="24"/>
        </w:rPr>
        <w:t xml:space="preserve"> (‘the Agency</w:t>
      </w:r>
      <w:r w:rsidR="002F4308">
        <w:rPr>
          <w:szCs w:val="24"/>
        </w:rPr>
        <w:t>’</w:t>
      </w:r>
      <w:r w:rsidR="00D12594">
        <w:rPr>
          <w:szCs w:val="24"/>
        </w:rPr>
        <w:t>)</w:t>
      </w:r>
      <w:r w:rsidRPr="00D95F3F">
        <w:rPr>
          <w:szCs w:val="24"/>
        </w:rPr>
        <w:t xml:space="preserve">; and </w:t>
      </w:r>
    </w:p>
    <w:p w14:paraId="5954BFF2" w14:textId="77777777" w:rsidR="00F37373" w:rsidRDefault="00F37373" w:rsidP="00F37373">
      <w:pPr>
        <w:pStyle w:val="Bullet"/>
        <w:rPr>
          <w:szCs w:val="24"/>
        </w:rPr>
      </w:pPr>
      <w:proofErr w:type="gramStart"/>
      <w:r>
        <w:rPr>
          <w:szCs w:val="24"/>
        </w:rPr>
        <w:t>must</w:t>
      </w:r>
      <w:proofErr w:type="gramEnd"/>
      <w:r>
        <w:rPr>
          <w:szCs w:val="24"/>
        </w:rPr>
        <w:t xml:space="preserve"> be complied with by </w:t>
      </w:r>
      <w:proofErr w:type="spellStart"/>
      <w:r>
        <w:rPr>
          <w:szCs w:val="24"/>
        </w:rPr>
        <w:t>DisabilityCare</w:t>
      </w:r>
      <w:proofErr w:type="spellEnd"/>
      <w:r>
        <w:rPr>
          <w:szCs w:val="24"/>
        </w:rPr>
        <w:t xml:space="preserve"> Australia’s </w:t>
      </w:r>
      <w:r w:rsidRPr="00D95F3F">
        <w:rPr>
          <w:szCs w:val="24"/>
        </w:rPr>
        <w:t xml:space="preserve">Board </w:t>
      </w:r>
      <w:r w:rsidR="006B4AAE">
        <w:rPr>
          <w:szCs w:val="24"/>
        </w:rPr>
        <w:t>of Directors (‘the Board’)</w:t>
      </w:r>
      <w:r w:rsidRPr="00D95F3F">
        <w:rPr>
          <w:szCs w:val="24"/>
        </w:rPr>
        <w:t>.</w:t>
      </w:r>
    </w:p>
    <w:p w14:paraId="23548D0B" w14:textId="77777777" w:rsidR="00205990" w:rsidRDefault="00205990" w:rsidP="00F37373">
      <w:pPr>
        <w:pStyle w:val="Bullet"/>
        <w:numPr>
          <w:ilvl w:val="0"/>
          <w:numId w:val="0"/>
        </w:numPr>
        <w:ind w:left="-14" w:firstLine="14"/>
        <w:rPr>
          <w:rFonts w:eastAsiaTheme="minorHAnsi"/>
          <w:szCs w:val="24"/>
          <w:lang w:eastAsia="en-US"/>
        </w:rPr>
      </w:pPr>
      <w:r>
        <w:t xml:space="preserve">The Minister for Financial Services and Superannuation is the Minister administering the </w:t>
      </w:r>
      <w:r>
        <w:rPr>
          <w:i/>
        </w:rPr>
        <w:t>Insurance Act 1973</w:t>
      </w:r>
      <w:r>
        <w:t xml:space="preserve"> and therefore has the authority to determine these rules.</w:t>
      </w:r>
    </w:p>
    <w:p w14:paraId="7DB3A892" w14:textId="77777777" w:rsidR="00126F2F" w:rsidRDefault="00F37373" w:rsidP="00126F2F">
      <w:pPr>
        <w:pStyle w:val="Bullet"/>
        <w:numPr>
          <w:ilvl w:val="0"/>
          <w:numId w:val="0"/>
        </w:numPr>
        <w:ind w:left="-14" w:firstLine="14"/>
        <w:rPr>
          <w:rFonts w:eastAsiaTheme="minorHAnsi"/>
          <w:szCs w:val="24"/>
          <w:lang w:eastAsia="en-US"/>
        </w:rPr>
      </w:pPr>
      <w:r>
        <w:rPr>
          <w:rFonts w:eastAsiaTheme="minorHAnsi"/>
          <w:szCs w:val="24"/>
          <w:lang w:eastAsia="en-US"/>
        </w:rPr>
        <w:t xml:space="preserve">The purpose of these rules is to </w:t>
      </w:r>
      <w:r w:rsidRPr="00D95F3F">
        <w:rPr>
          <w:rFonts w:eastAsiaTheme="minorHAnsi"/>
          <w:szCs w:val="24"/>
          <w:lang w:eastAsia="en-US"/>
        </w:rPr>
        <w:t xml:space="preserve">support </w:t>
      </w:r>
      <w:r w:rsidR="006B4AAE">
        <w:rPr>
          <w:rFonts w:eastAsiaTheme="minorHAnsi"/>
          <w:szCs w:val="24"/>
          <w:lang w:eastAsia="en-US"/>
        </w:rPr>
        <w:t xml:space="preserve">members of </w:t>
      </w:r>
      <w:r w:rsidR="002F4308">
        <w:rPr>
          <w:rFonts w:eastAsiaTheme="minorHAnsi"/>
          <w:szCs w:val="24"/>
          <w:lang w:eastAsia="en-US"/>
        </w:rPr>
        <w:t>the</w:t>
      </w:r>
      <w:r w:rsidRPr="00D95F3F">
        <w:rPr>
          <w:rFonts w:eastAsiaTheme="minorHAnsi"/>
          <w:szCs w:val="24"/>
          <w:lang w:eastAsia="en-US"/>
        </w:rPr>
        <w:t xml:space="preserve"> Board to satisfy their obligations under the </w:t>
      </w:r>
      <w:r w:rsidRPr="00D95F3F">
        <w:rPr>
          <w:rFonts w:eastAsiaTheme="minorHAnsi"/>
          <w:i/>
          <w:szCs w:val="24"/>
          <w:lang w:eastAsia="en-US"/>
        </w:rPr>
        <w:t>Commonwealth Authorities and Companies Act 1997</w:t>
      </w:r>
      <w:r w:rsidRPr="00D95F3F">
        <w:rPr>
          <w:rFonts w:eastAsiaTheme="minorHAnsi"/>
          <w:szCs w:val="24"/>
          <w:lang w:eastAsia="en-US"/>
        </w:rPr>
        <w:t xml:space="preserve"> and the </w:t>
      </w:r>
      <w:r>
        <w:rPr>
          <w:rFonts w:eastAsiaTheme="minorHAnsi"/>
          <w:szCs w:val="24"/>
          <w:lang w:eastAsia="en-US"/>
        </w:rPr>
        <w:t>NDIS Act</w:t>
      </w:r>
      <w:r w:rsidR="00237519">
        <w:rPr>
          <w:rFonts w:eastAsiaTheme="minorHAnsi"/>
          <w:szCs w:val="24"/>
          <w:lang w:eastAsia="en-US"/>
        </w:rPr>
        <w:t xml:space="preserve"> and support the long-term financial sustainability of </w:t>
      </w:r>
      <w:proofErr w:type="spellStart"/>
      <w:r w:rsidR="00237519">
        <w:rPr>
          <w:rFonts w:eastAsiaTheme="minorHAnsi"/>
          <w:szCs w:val="24"/>
          <w:lang w:eastAsia="en-US"/>
        </w:rPr>
        <w:t>DisabilityCare</w:t>
      </w:r>
      <w:proofErr w:type="spellEnd"/>
      <w:r w:rsidR="00237519">
        <w:rPr>
          <w:rFonts w:eastAsiaTheme="minorHAnsi"/>
          <w:szCs w:val="24"/>
          <w:lang w:eastAsia="en-US"/>
        </w:rPr>
        <w:t xml:space="preserve"> Australia</w:t>
      </w:r>
      <w:r>
        <w:rPr>
          <w:rFonts w:eastAsiaTheme="minorHAnsi"/>
          <w:szCs w:val="24"/>
          <w:lang w:eastAsia="en-US"/>
        </w:rPr>
        <w:t xml:space="preserve">.  </w:t>
      </w:r>
      <w:r w:rsidR="00126F2F">
        <w:rPr>
          <w:rFonts w:eastAsiaTheme="minorHAnsi"/>
          <w:szCs w:val="24"/>
          <w:lang w:eastAsia="en-US"/>
        </w:rPr>
        <w:t>In particular, the rules require the Board to ensure there is a risk management framework</w:t>
      </w:r>
      <w:r w:rsidR="00FD770C">
        <w:rPr>
          <w:rFonts w:eastAsiaTheme="minorHAnsi"/>
          <w:szCs w:val="24"/>
          <w:lang w:eastAsia="en-US"/>
        </w:rPr>
        <w:t xml:space="preserve"> which is documented in a risk management strategy and </w:t>
      </w:r>
      <w:proofErr w:type="spellStart"/>
      <w:r w:rsidR="00FD770C">
        <w:rPr>
          <w:rFonts w:eastAsiaTheme="minorHAnsi"/>
          <w:szCs w:val="24"/>
          <w:lang w:eastAsia="en-US"/>
        </w:rPr>
        <w:t>operationalised</w:t>
      </w:r>
      <w:proofErr w:type="spellEnd"/>
      <w:r w:rsidR="00FD770C">
        <w:rPr>
          <w:rFonts w:eastAsiaTheme="minorHAnsi"/>
          <w:szCs w:val="24"/>
          <w:lang w:eastAsia="en-US"/>
        </w:rPr>
        <w:t xml:space="preserve"> </w:t>
      </w:r>
      <w:r w:rsidR="00D12594">
        <w:rPr>
          <w:rFonts w:eastAsiaTheme="minorHAnsi"/>
          <w:szCs w:val="24"/>
          <w:lang w:eastAsia="en-US"/>
        </w:rPr>
        <w:t>through</w:t>
      </w:r>
      <w:r w:rsidR="00126F2F">
        <w:rPr>
          <w:rFonts w:eastAsiaTheme="minorHAnsi"/>
          <w:szCs w:val="24"/>
          <w:lang w:eastAsia="en-US"/>
        </w:rPr>
        <w:t xml:space="preserve"> </w:t>
      </w:r>
      <w:r w:rsidR="00FD770C">
        <w:rPr>
          <w:rFonts w:eastAsiaTheme="minorHAnsi"/>
          <w:szCs w:val="24"/>
          <w:lang w:eastAsia="en-US"/>
        </w:rPr>
        <w:t xml:space="preserve">the risk management </w:t>
      </w:r>
      <w:r w:rsidR="00126F2F">
        <w:rPr>
          <w:rFonts w:eastAsiaTheme="minorHAnsi"/>
          <w:szCs w:val="24"/>
          <w:lang w:eastAsia="en-US"/>
        </w:rPr>
        <w:t>function</w:t>
      </w:r>
      <w:r w:rsidR="00FD770C">
        <w:rPr>
          <w:rFonts w:eastAsiaTheme="minorHAnsi"/>
          <w:szCs w:val="24"/>
          <w:lang w:eastAsia="en-US"/>
        </w:rPr>
        <w:t>.  The risk management declaration ensures that the Board remain</w:t>
      </w:r>
      <w:r w:rsidR="00656599">
        <w:rPr>
          <w:rFonts w:eastAsiaTheme="minorHAnsi"/>
          <w:szCs w:val="24"/>
          <w:lang w:eastAsia="en-US"/>
        </w:rPr>
        <w:t>s</w:t>
      </w:r>
      <w:r w:rsidR="00FD770C">
        <w:rPr>
          <w:rFonts w:eastAsiaTheme="minorHAnsi"/>
          <w:szCs w:val="24"/>
          <w:lang w:eastAsia="en-US"/>
        </w:rPr>
        <w:t xml:space="preserve"> accountable for its risk management responsibilities.</w:t>
      </w:r>
    </w:p>
    <w:p w14:paraId="7056F77A" w14:textId="77777777" w:rsidR="00F37373" w:rsidRDefault="00237519" w:rsidP="00F37373">
      <w:pPr>
        <w:pStyle w:val="Bullet"/>
        <w:numPr>
          <w:ilvl w:val="0"/>
          <w:numId w:val="0"/>
        </w:numPr>
        <w:ind w:left="-14" w:firstLine="14"/>
        <w:rPr>
          <w:rFonts w:eastAsiaTheme="minorHAnsi"/>
          <w:szCs w:val="24"/>
          <w:lang w:eastAsia="en-US"/>
        </w:rPr>
      </w:pPr>
      <w:r>
        <w:rPr>
          <w:rFonts w:eastAsiaTheme="minorHAnsi"/>
          <w:szCs w:val="24"/>
          <w:lang w:eastAsia="en-US"/>
        </w:rPr>
        <w:t>These rules embed insurance</w:t>
      </w:r>
      <w:r w:rsidR="00D12594">
        <w:rPr>
          <w:rFonts w:eastAsiaTheme="minorHAnsi"/>
          <w:szCs w:val="24"/>
          <w:lang w:eastAsia="en-US"/>
        </w:rPr>
        <w:t>-based</w:t>
      </w:r>
      <w:r>
        <w:rPr>
          <w:rFonts w:eastAsiaTheme="minorHAnsi"/>
          <w:szCs w:val="24"/>
          <w:lang w:eastAsia="en-US"/>
        </w:rPr>
        <w:t xml:space="preserve"> principles in the management of the scheme to ensure the Ag</w:t>
      </w:r>
      <w:r w:rsidR="00195656">
        <w:rPr>
          <w:rFonts w:eastAsiaTheme="minorHAnsi"/>
          <w:szCs w:val="24"/>
          <w:lang w:eastAsia="en-US"/>
        </w:rPr>
        <w:t>ency and Board regularly assess</w:t>
      </w:r>
      <w:r>
        <w:rPr>
          <w:rFonts w:eastAsiaTheme="minorHAnsi"/>
          <w:szCs w:val="24"/>
          <w:lang w:eastAsia="en-US"/>
        </w:rPr>
        <w:t xml:space="preserve"> and monitor </w:t>
      </w:r>
      <w:r w:rsidR="00195656">
        <w:rPr>
          <w:rFonts w:eastAsiaTheme="minorHAnsi"/>
          <w:szCs w:val="24"/>
          <w:lang w:eastAsia="en-US"/>
        </w:rPr>
        <w:t>the scheme’s</w:t>
      </w:r>
      <w:r>
        <w:rPr>
          <w:rFonts w:eastAsiaTheme="minorHAnsi"/>
          <w:szCs w:val="24"/>
          <w:lang w:eastAsia="en-US"/>
        </w:rPr>
        <w:t xml:space="preserve"> liabilities and perfo</w:t>
      </w:r>
      <w:r w:rsidR="00195656">
        <w:rPr>
          <w:rFonts w:eastAsiaTheme="minorHAnsi"/>
          <w:szCs w:val="24"/>
          <w:lang w:eastAsia="en-US"/>
        </w:rPr>
        <w:t>rmance and have</w:t>
      </w:r>
      <w:r>
        <w:rPr>
          <w:rFonts w:eastAsiaTheme="minorHAnsi"/>
          <w:szCs w:val="24"/>
          <w:lang w:eastAsia="en-US"/>
        </w:rPr>
        <w:t xml:space="preserve"> the capacity to respond to emerging risks.  </w:t>
      </w:r>
      <w:r w:rsidR="00F37373" w:rsidRPr="006B27DA" w:rsidDel="00237519">
        <w:rPr>
          <w:rFonts w:eastAsiaTheme="minorHAnsi"/>
          <w:szCs w:val="24"/>
          <w:lang w:eastAsia="en-US"/>
        </w:rPr>
        <w:t xml:space="preserve">The rules </w:t>
      </w:r>
      <w:r w:rsidR="00F37373" w:rsidDel="00237519">
        <w:rPr>
          <w:rFonts w:eastAsiaTheme="minorHAnsi"/>
          <w:szCs w:val="24"/>
          <w:lang w:eastAsia="en-US"/>
        </w:rPr>
        <w:t xml:space="preserve">establish a </w:t>
      </w:r>
      <w:r w:rsidR="00E55078">
        <w:rPr>
          <w:rFonts w:eastAsiaTheme="minorHAnsi"/>
          <w:szCs w:val="24"/>
          <w:lang w:eastAsia="en-US"/>
        </w:rPr>
        <w:t xml:space="preserve">strong financial and </w:t>
      </w:r>
      <w:r w:rsidR="00F37373" w:rsidDel="00237519">
        <w:rPr>
          <w:rFonts w:eastAsiaTheme="minorHAnsi"/>
          <w:szCs w:val="24"/>
          <w:lang w:eastAsia="en-US"/>
        </w:rPr>
        <w:t xml:space="preserve">risk management framework </w:t>
      </w:r>
      <w:r w:rsidR="00E55078">
        <w:rPr>
          <w:rFonts w:eastAsiaTheme="minorHAnsi"/>
          <w:szCs w:val="24"/>
          <w:lang w:eastAsia="en-US"/>
        </w:rPr>
        <w:t xml:space="preserve">in the Agency </w:t>
      </w:r>
      <w:r w:rsidR="00E7564A" w:rsidDel="00237519">
        <w:rPr>
          <w:rFonts w:eastAsiaTheme="minorHAnsi"/>
          <w:szCs w:val="24"/>
          <w:lang w:eastAsia="en-US"/>
        </w:rPr>
        <w:t>to</w:t>
      </w:r>
      <w:r w:rsidR="00F37373" w:rsidDel="00237519">
        <w:rPr>
          <w:rFonts w:eastAsiaTheme="minorHAnsi"/>
          <w:szCs w:val="24"/>
          <w:lang w:eastAsia="en-US"/>
        </w:rPr>
        <w:t xml:space="preserve"> ensure that </w:t>
      </w:r>
      <w:r w:rsidR="00EA3ADF">
        <w:rPr>
          <w:rFonts w:eastAsiaTheme="minorHAnsi"/>
          <w:szCs w:val="24"/>
          <w:lang w:eastAsia="en-US"/>
        </w:rPr>
        <w:t>its</w:t>
      </w:r>
      <w:r w:rsidR="00F37373" w:rsidDel="00237519">
        <w:rPr>
          <w:rFonts w:eastAsiaTheme="minorHAnsi"/>
          <w:szCs w:val="24"/>
          <w:lang w:eastAsia="en-US"/>
        </w:rPr>
        <w:t xml:space="preserve"> risks are prudently and soundly managed.</w:t>
      </w:r>
      <w:r w:rsidR="00F37373">
        <w:rPr>
          <w:rFonts w:eastAsiaTheme="minorHAnsi"/>
          <w:szCs w:val="24"/>
          <w:lang w:eastAsia="en-US"/>
        </w:rPr>
        <w:t xml:space="preserve">  </w:t>
      </w:r>
    </w:p>
    <w:p w14:paraId="5360E8B3" w14:textId="77777777" w:rsidR="00F37373" w:rsidRDefault="00F37373" w:rsidP="00F37373">
      <w:pPr>
        <w:pStyle w:val="Bullet"/>
        <w:numPr>
          <w:ilvl w:val="0"/>
          <w:numId w:val="0"/>
        </w:numPr>
        <w:ind w:left="-14" w:firstLine="14"/>
        <w:rPr>
          <w:b/>
        </w:rPr>
      </w:pPr>
      <w:r>
        <w:rPr>
          <w:b/>
        </w:rPr>
        <w:t xml:space="preserve">Commencement </w:t>
      </w:r>
    </w:p>
    <w:p w14:paraId="47CBEBBA" w14:textId="77777777" w:rsidR="00F37373" w:rsidRDefault="00F37373" w:rsidP="00205990">
      <w:pPr>
        <w:pStyle w:val="Bullet"/>
        <w:numPr>
          <w:ilvl w:val="0"/>
          <w:numId w:val="0"/>
        </w:numPr>
        <w:ind w:left="-14" w:firstLine="14"/>
      </w:pPr>
      <w:r>
        <w:t xml:space="preserve">The rules commence </w:t>
      </w:r>
      <w:r w:rsidR="00205990">
        <w:t>on 1 July 2013, unless they are registered on or after this date, in which case they commence</w:t>
      </w:r>
      <w:r w:rsidR="0059379F">
        <w:t xml:space="preserve"> on</w:t>
      </w:r>
      <w:r w:rsidR="00205990">
        <w:t xml:space="preserve"> the day after they are registered</w:t>
      </w:r>
      <w:r>
        <w:t xml:space="preserve">. </w:t>
      </w:r>
    </w:p>
    <w:p w14:paraId="751F0A18" w14:textId="77777777" w:rsidR="00F37373" w:rsidRDefault="00F37373" w:rsidP="00F37373">
      <w:pPr>
        <w:pStyle w:val="Bullet"/>
        <w:numPr>
          <w:ilvl w:val="0"/>
          <w:numId w:val="0"/>
        </w:numPr>
        <w:ind w:left="-14" w:firstLine="14"/>
        <w:rPr>
          <w:b/>
        </w:rPr>
      </w:pPr>
      <w:r>
        <w:rPr>
          <w:b/>
        </w:rPr>
        <w:t>Consultation</w:t>
      </w:r>
    </w:p>
    <w:p w14:paraId="42D33E85" w14:textId="77777777" w:rsidR="00B30D24" w:rsidRDefault="00B30D24" w:rsidP="00B30D24">
      <w:pPr>
        <w:pStyle w:val="Bullet"/>
        <w:numPr>
          <w:ilvl w:val="0"/>
          <w:numId w:val="0"/>
        </w:numPr>
        <w:ind w:left="-14" w:firstLine="14"/>
      </w:pPr>
      <w:r>
        <w:t>The States and Territories were consulted before the Minister determin</w:t>
      </w:r>
      <w:r w:rsidR="00284B8E">
        <w:t>ed</w:t>
      </w:r>
      <w:r>
        <w:t xml:space="preserve"> the rules, but formal agreement was not sought as it is not required under the NDIS Act.  The following were </w:t>
      </w:r>
      <w:r w:rsidR="00035C6C">
        <w:t xml:space="preserve">also </w:t>
      </w:r>
      <w:r>
        <w:t xml:space="preserve">consulted: </w:t>
      </w:r>
    </w:p>
    <w:p w14:paraId="3D123B46" w14:textId="77777777" w:rsidR="00B30D24" w:rsidRPr="000D3B61" w:rsidRDefault="007407B1" w:rsidP="00B30D24">
      <w:pPr>
        <w:pStyle w:val="Bullet"/>
        <w:rPr>
          <w:i/>
        </w:rPr>
      </w:pPr>
      <w:r>
        <w:t>t</w:t>
      </w:r>
      <w:r w:rsidR="00B30D24">
        <w:t>he Australian Prudential Regulation Authority</w:t>
      </w:r>
      <w:r>
        <w:t>;</w:t>
      </w:r>
    </w:p>
    <w:p w14:paraId="7F78C6CA" w14:textId="77777777" w:rsidR="00B30D24" w:rsidRPr="007A1488" w:rsidRDefault="007407B1" w:rsidP="00B30D24">
      <w:pPr>
        <w:pStyle w:val="Bullet"/>
        <w:rPr>
          <w:i/>
        </w:rPr>
      </w:pPr>
      <w:r>
        <w:t>t</w:t>
      </w:r>
      <w:r w:rsidR="00B30D24">
        <w:t xml:space="preserve">he Chief Executive Officer, Chair and Board member of </w:t>
      </w:r>
      <w:proofErr w:type="spellStart"/>
      <w:r w:rsidR="00B30D24">
        <w:t>DisabilityCare</w:t>
      </w:r>
      <w:proofErr w:type="spellEnd"/>
      <w:r w:rsidR="00B30D24">
        <w:t xml:space="preserve"> Australia</w:t>
      </w:r>
    </w:p>
    <w:p w14:paraId="576F35D5" w14:textId="77777777" w:rsidR="00B30D24" w:rsidRPr="007A1488" w:rsidRDefault="007407B1" w:rsidP="00B30D24">
      <w:pPr>
        <w:pStyle w:val="Bullet"/>
        <w:rPr>
          <w:i/>
        </w:rPr>
      </w:pPr>
      <w:r>
        <w:t xml:space="preserve">the </w:t>
      </w:r>
      <w:r w:rsidR="00B30D24">
        <w:t>Department of Finance and Deregulation</w:t>
      </w:r>
      <w:r>
        <w:t>; and</w:t>
      </w:r>
    </w:p>
    <w:p w14:paraId="60710F5C" w14:textId="77777777" w:rsidR="00B30D24" w:rsidRPr="00514B93" w:rsidRDefault="007407B1" w:rsidP="00B30D24">
      <w:pPr>
        <w:pStyle w:val="Bullet"/>
        <w:rPr>
          <w:i/>
        </w:rPr>
      </w:pPr>
      <w:r>
        <w:t xml:space="preserve">the </w:t>
      </w:r>
      <w:r w:rsidR="00B30D24">
        <w:t>Australian Government Actuary</w:t>
      </w:r>
      <w:r>
        <w:t>.</w:t>
      </w:r>
    </w:p>
    <w:p w14:paraId="6C67143C" w14:textId="77777777" w:rsidR="00F37373" w:rsidRPr="00F37373" w:rsidRDefault="00F37373" w:rsidP="00F37373">
      <w:pPr>
        <w:spacing w:before="120" w:after="240" w:line="240" w:lineRule="auto"/>
        <w:rPr>
          <w:rFonts w:ascii="Times New Roman" w:eastAsia="Times New Roman" w:hAnsi="Times New Roman" w:cs="Times New Roman"/>
          <w:b/>
          <w:sz w:val="24"/>
          <w:szCs w:val="24"/>
          <w:lang w:eastAsia="en-AU"/>
        </w:rPr>
      </w:pPr>
      <w:r w:rsidRPr="00F37373">
        <w:rPr>
          <w:rFonts w:ascii="Times New Roman" w:eastAsia="Times New Roman" w:hAnsi="Times New Roman" w:cs="Times New Roman"/>
          <w:b/>
          <w:sz w:val="24"/>
          <w:szCs w:val="24"/>
          <w:lang w:eastAsia="en-AU"/>
        </w:rPr>
        <w:lastRenderedPageBreak/>
        <w:t>Explanation of provisions</w:t>
      </w:r>
    </w:p>
    <w:p w14:paraId="49803D81" w14:textId="77777777" w:rsidR="007F4C46" w:rsidRDefault="00F37373">
      <w:pPr>
        <w:rPr>
          <w:rFonts w:ascii="Times New Roman" w:hAnsi="Times New Roman" w:cs="Times New Roman"/>
          <w:sz w:val="24"/>
          <w:szCs w:val="24"/>
        </w:rPr>
      </w:pPr>
      <w:r>
        <w:rPr>
          <w:rFonts w:ascii="Times New Roman" w:hAnsi="Times New Roman" w:cs="Times New Roman"/>
          <w:sz w:val="24"/>
          <w:szCs w:val="24"/>
        </w:rPr>
        <w:t xml:space="preserve">The </w:t>
      </w:r>
      <w:r w:rsidR="002F4308">
        <w:rPr>
          <w:rFonts w:ascii="Times New Roman" w:hAnsi="Times New Roman" w:cs="Times New Roman"/>
          <w:sz w:val="24"/>
          <w:szCs w:val="24"/>
        </w:rPr>
        <w:t>rules</w:t>
      </w:r>
      <w:r>
        <w:rPr>
          <w:rFonts w:ascii="Times New Roman" w:hAnsi="Times New Roman" w:cs="Times New Roman"/>
          <w:sz w:val="24"/>
          <w:szCs w:val="24"/>
        </w:rPr>
        <w:t xml:space="preserve"> ha</w:t>
      </w:r>
      <w:r w:rsidR="00D77266">
        <w:rPr>
          <w:rFonts w:ascii="Times New Roman" w:hAnsi="Times New Roman" w:cs="Times New Roman"/>
          <w:sz w:val="24"/>
          <w:szCs w:val="24"/>
        </w:rPr>
        <w:t>ve</w:t>
      </w:r>
      <w:r>
        <w:rPr>
          <w:rFonts w:ascii="Times New Roman" w:hAnsi="Times New Roman" w:cs="Times New Roman"/>
          <w:sz w:val="24"/>
          <w:szCs w:val="24"/>
        </w:rPr>
        <w:t xml:space="preserve"> five Parts:</w:t>
      </w:r>
    </w:p>
    <w:p w14:paraId="57C45381" w14:textId="77777777" w:rsidR="00F37373" w:rsidRDefault="00F37373" w:rsidP="00F37373">
      <w:pPr>
        <w:pStyle w:val="Bullet"/>
        <w:spacing w:after="120"/>
      </w:pPr>
      <w:r w:rsidRPr="00F37373">
        <w:rPr>
          <w:b/>
        </w:rPr>
        <w:t>Part 1</w:t>
      </w:r>
      <w:r>
        <w:t xml:space="preserve"> is the preliminaries.</w:t>
      </w:r>
    </w:p>
    <w:p w14:paraId="21C46D4F" w14:textId="77777777" w:rsidR="00F37373" w:rsidRDefault="00F37373" w:rsidP="00F37373">
      <w:pPr>
        <w:pStyle w:val="Bullet"/>
        <w:spacing w:after="120"/>
      </w:pPr>
      <w:r w:rsidRPr="00F37373">
        <w:rPr>
          <w:b/>
        </w:rPr>
        <w:t>Part 2</w:t>
      </w:r>
      <w:r>
        <w:t xml:space="preserve"> outlines the general responsibilities of the Board.</w:t>
      </w:r>
    </w:p>
    <w:p w14:paraId="07A22354" w14:textId="77777777" w:rsidR="00F37373" w:rsidRDefault="00F37373" w:rsidP="00F37373">
      <w:pPr>
        <w:pStyle w:val="Bullet"/>
        <w:spacing w:after="120"/>
      </w:pPr>
      <w:r w:rsidRPr="00F37373">
        <w:rPr>
          <w:b/>
        </w:rPr>
        <w:t>Part 3</w:t>
      </w:r>
      <w:r>
        <w:t xml:space="preserve"> deals with the risk management framework and strategy.</w:t>
      </w:r>
    </w:p>
    <w:p w14:paraId="723206C2" w14:textId="77777777" w:rsidR="00F37373" w:rsidRDefault="00F37373" w:rsidP="00F37373">
      <w:pPr>
        <w:pStyle w:val="Bullet"/>
        <w:spacing w:after="120"/>
      </w:pPr>
      <w:r w:rsidRPr="00F37373">
        <w:rPr>
          <w:b/>
        </w:rPr>
        <w:t>Part 4</w:t>
      </w:r>
      <w:r>
        <w:t xml:space="preserve"> deals with the risk management function. </w:t>
      </w:r>
    </w:p>
    <w:p w14:paraId="043A37FE" w14:textId="77777777" w:rsidR="00F37373" w:rsidRDefault="00F37373" w:rsidP="00F37373">
      <w:pPr>
        <w:pStyle w:val="Bullet"/>
        <w:spacing w:after="120"/>
      </w:pPr>
      <w:r w:rsidRPr="00F37373">
        <w:rPr>
          <w:b/>
        </w:rPr>
        <w:t>Part 5</w:t>
      </w:r>
      <w:r>
        <w:t xml:space="preserve"> explains the risk management declaration.</w:t>
      </w:r>
    </w:p>
    <w:p w14:paraId="4882B3F6" w14:textId="77777777" w:rsidR="002F74E1" w:rsidRDefault="002F74E1" w:rsidP="002F74E1">
      <w:pPr>
        <w:pStyle w:val="Bullet"/>
        <w:numPr>
          <w:ilvl w:val="0"/>
          <w:numId w:val="0"/>
        </w:numPr>
        <w:spacing w:after="120"/>
        <w:rPr>
          <w:b/>
        </w:rPr>
      </w:pPr>
      <w:r>
        <w:rPr>
          <w:b/>
        </w:rPr>
        <w:t>Part 1 Preliminary</w:t>
      </w:r>
    </w:p>
    <w:p w14:paraId="593EB00B" w14:textId="77777777" w:rsidR="00205990" w:rsidRDefault="00476EA9" w:rsidP="002F74E1">
      <w:pPr>
        <w:pStyle w:val="Bullet"/>
        <w:numPr>
          <w:ilvl w:val="0"/>
          <w:numId w:val="0"/>
        </w:numPr>
        <w:spacing w:after="120"/>
      </w:pPr>
      <w:r>
        <w:t xml:space="preserve">Section </w:t>
      </w:r>
      <w:r w:rsidR="002F74E1" w:rsidRPr="009F522D">
        <w:t xml:space="preserve">1 </w:t>
      </w:r>
      <w:r w:rsidR="00205990">
        <w:t xml:space="preserve">provides </w:t>
      </w:r>
      <w:r w:rsidR="00205990" w:rsidRPr="002F74E1">
        <w:t xml:space="preserve">the </w:t>
      </w:r>
      <w:r w:rsidR="00205990">
        <w:t>name</w:t>
      </w:r>
      <w:r w:rsidR="00205990" w:rsidRPr="00205990">
        <w:t xml:space="preserve"> </w:t>
      </w:r>
      <w:r w:rsidR="00205990">
        <w:t>of these rules.</w:t>
      </w:r>
    </w:p>
    <w:p w14:paraId="54F4815E" w14:textId="77777777" w:rsidR="00F37373" w:rsidRDefault="00476EA9" w:rsidP="002F74E1">
      <w:pPr>
        <w:pStyle w:val="Bullet"/>
        <w:numPr>
          <w:ilvl w:val="0"/>
          <w:numId w:val="0"/>
        </w:numPr>
        <w:spacing w:after="120"/>
      </w:pPr>
      <w:r>
        <w:t>Section</w:t>
      </w:r>
      <w:r w:rsidR="00205990">
        <w:t xml:space="preserve"> </w:t>
      </w:r>
      <w:r w:rsidR="002F74E1" w:rsidRPr="009F522D">
        <w:t>2</w:t>
      </w:r>
      <w:r w:rsidR="002F74E1">
        <w:rPr>
          <w:b/>
        </w:rPr>
        <w:t xml:space="preserve"> </w:t>
      </w:r>
      <w:r w:rsidR="00205990">
        <w:t>provides that the rules are to commence on 1 July 2013, unless they are registered on or after this date, in which case they commence</w:t>
      </w:r>
      <w:r w:rsidR="0059379F">
        <w:t xml:space="preserve"> on</w:t>
      </w:r>
      <w:r w:rsidR="00205990">
        <w:t xml:space="preserve"> the day after they are registered.</w:t>
      </w:r>
    </w:p>
    <w:p w14:paraId="4313D827" w14:textId="77777777" w:rsidR="002F74E1" w:rsidRDefault="00476EA9" w:rsidP="00F37373">
      <w:pPr>
        <w:pStyle w:val="Bullet"/>
        <w:numPr>
          <w:ilvl w:val="0"/>
          <w:numId w:val="0"/>
        </w:numPr>
        <w:spacing w:after="120"/>
      </w:pPr>
      <w:r>
        <w:t>Section</w:t>
      </w:r>
      <w:r w:rsidR="002F74E1" w:rsidRPr="009F522D">
        <w:t xml:space="preserve"> 3</w:t>
      </w:r>
      <w:r w:rsidR="00613768">
        <w:rPr>
          <w:b/>
        </w:rPr>
        <w:t xml:space="preserve"> </w:t>
      </w:r>
      <w:r w:rsidR="008A4A9F">
        <w:t xml:space="preserve">provides </w:t>
      </w:r>
      <w:r w:rsidR="00613768">
        <w:t xml:space="preserve">definitions </w:t>
      </w:r>
      <w:r w:rsidR="008A4A9F">
        <w:t xml:space="preserve">for </w:t>
      </w:r>
      <w:r w:rsidR="006B4AAE">
        <w:t xml:space="preserve">terms in </w:t>
      </w:r>
      <w:r w:rsidR="00613768">
        <w:t>the</w:t>
      </w:r>
      <w:r w:rsidR="00205990">
        <w:t>se</w:t>
      </w:r>
      <w:r w:rsidR="00613768">
        <w:t xml:space="preserve"> rules.</w:t>
      </w:r>
    </w:p>
    <w:p w14:paraId="6B58244F" w14:textId="77777777" w:rsidR="002F74E1" w:rsidRDefault="002F74E1" w:rsidP="00F37373">
      <w:pPr>
        <w:pStyle w:val="Bullet"/>
        <w:numPr>
          <w:ilvl w:val="0"/>
          <w:numId w:val="0"/>
        </w:numPr>
        <w:spacing w:after="120"/>
        <w:rPr>
          <w:b/>
        </w:rPr>
      </w:pPr>
      <w:r w:rsidRPr="002F74E1">
        <w:rPr>
          <w:b/>
        </w:rPr>
        <w:t xml:space="preserve">Part 2 </w:t>
      </w:r>
      <w:r>
        <w:rPr>
          <w:b/>
        </w:rPr>
        <w:t>General responsibilities of the Board</w:t>
      </w:r>
    </w:p>
    <w:p w14:paraId="2F75EA3A" w14:textId="77777777" w:rsidR="00321C3C" w:rsidRPr="00321C3C" w:rsidRDefault="00205990" w:rsidP="00F37373">
      <w:pPr>
        <w:pStyle w:val="Bullet"/>
        <w:numPr>
          <w:ilvl w:val="0"/>
          <w:numId w:val="0"/>
        </w:numPr>
        <w:spacing w:after="120"/>
      </w:pPr>
      <w:r>
        <w:t>This Part</w:t>
      </w:r>
      <w:r w:rsidR="00321C3C">
        <w:rPr>
          <w:b/>
        </w:rPr>
        <w:t xml:space="preserve"> </w:t>
      </w:r>
      <w:r w:rsidR="008A4A9F">
        <w:t xml:space="preserve">provides a description of </w:t>
      </w:r>
      <w:r w:rsidR="00F8101B">
        <w:t>the role of the Board</w:t>
      </w:r>
      <w:r w:rsidR="006B4AAE">
        <w:t xml:space="preserve"> in relation to the management of risks</w:t>
      </w:r>
      <w:r w:rsidR="00F8101B">
        <w:t xml:space="preserve">.       </w:t>
      </w:r>
    </w:p>
    <w:p w14:paraId="59A792C1" w14:textId="77777777" w:rsidR="00E6775F" w:rsidRDefault="00476EA9" w:rsidP="00F37373">
      <w:pPr>
        <w:pStyle w:val="Bullet"/>
        <w:numPr>
          <w:ilvl w:val="0"/>
          <w:numId w:val="0"/>
        </w:numPr>
        <w:spacing w:after="120"/>
      </w:pPr>
      <w:r>
        <w:t>Subsection 4(1)</w:t>
      </w:r>
      <w:r w:rsidR="002F74E1">
        <w:rPr>
          <w:b/>
        </w:rPr>
        <w:t xml:space="preserve"> </w:t>
      </w:r>
      <w:r w:rsidR="008A4A9F">
        <w:t>provides</w:t>
      </w:r>
      <w:r w:rsidR="002F74E1" w:rsidRPr="002F74E1">
        <w:t xml:space="preserve"> the obligations of the Board</w:t>
      </w:r>
      <w:r w:rsidR="00B46CDA">
        <w:t xml:space="preserve"> regarding the management of risks</w:t>
      </w:r>
      <w:r w:rsidR="00F8101B">
        <w:t xml:space="preserve">.  </w:t>
      </w:r>
      <w:r w:rsidR="009F522D">
        <w:t xml:space="preserve">This includes </w:t>
      </w:r>
      <w:r w:rsidR="00613768">
        <w:t xml:space="preserve">responsibility </w:t>
      </w:r>
      <w:r w:rsidR="009F522D">
        <w:t>for</w:t>
      </w:r>
      <w:r w:rsidR="00613768">
        <w:t xml:space="preserve"> </w:t>
      </w:r>
      <w:r w:rsidR="00E6775F">
        <w:t>prepar</w:t>
      </w:r>
      <w:r w:rsidR="009F522D">
        <w:t>ing</w:t>
      </w:r>
      <w:r w:rsidR="00E6775F">
        <w:t xml:space="preserve"> a risk management strategy</w:t>
      </w:r>
      <w:r w:rsidR="009F522D">
        <w:t xml:space="preserve"> and ensuring</w:t>
      </w:r>
      <w:r w:rsidR="00613768">
        <w:t xml:space="preserve"> that the Agency has an appropriate risk management culture</w:t>
      </w:r>
      <w:r w:rsidR="00E6775F">
        <w:t xml:space="preserve">.  </w:t>
      </w:r>
      <w:r w:rsidR="00CF4729">
        <w:t xml:space="preserve">The Board must ensure that </w:t>
      </w:r>
      <w:r w:rsidR="009F522D">
        <w:t xml:space="preserve">the </w:t>
      </w:r>
      <w:r w:rsidR="00613768">
        <w:t>Agency take</w:t>
      </w:r>
      <w:r w:rsidR="00CF4729">
        <w:t>s</w:t>
      </w:r>
      <w:r w:rsidR="00613768">
        <w:t xml:space="preserve"> the necessary steps to monitor, control and effectively manage risks including </w:t>
      </w:r>
      <w:r w:rsidR="00577D7D">
        <w:t xml:space="preserve">establishing an appropriate operational structure and </w:t>
      </w:r>
      <w:r w:rsidR="00613768">
        <w:t>developing policies and processes</w:t>
      </w:r>
      <w:r w:rsidR="00577D7D">
        <w:t xml:space="preserve"> </w:t>
      </w:r>
      <w:r w:rsidR="00613768">
        <w:t>consistent with the risk management strategy.</w:t>
      </w:r>
      <w:r w:rsidR="00572108">
        <w:t xml:space="preserve"> </w:t>
      </w:r>
      <w:r w:rsidR="00E6775F">
        <w:t xml:space="preserve">  </w:t>
      </w:r>
    </w:p>
    <w:p w14:paraId="0CB5CE3B" w14:textId="77777777" w:rsidR="00E6775F" w:rsidRDefault="00476EA9" w:rsidP="00F37373">
      <w:pPr>
        <w:pStyle w:val="Bullet"/>
        <w:numPr>
          <w:ilvl w:val="0"/>
          <w:numId w:val="0"/>
        </w:numPr>
        <w:spacing w:after="120"/>
      </w:pPr>
      <w:r>
        <w:t xml:space="preserve">Subsection 4(2) </w:t>
      </w:r>
      <w:r w:rsidR="008A4A9F">
        <w:t xml:space="preserve">provides </w:t>
      </w:r>
      <w:r w:rsidR="00E6775F">
        <w:t>that the Board must ensure the scheme actuary</w:t>
      </w:r>
      <w:r w:rsidR="00577D7D">
        <w:t xml:space="preserve">, within his or her scope of duties as specified in the NDIS Act and the </w:t>
      </w:r>
      <w:r w:rsidR="00577D7D" w:rsidRPr="009F522D">
        <w:rPr>
          <w:i/>
        </w:rPr>
        <w:t>National Disability Insurance Scheme</w:t>
      </w:r>
      <w:r w:rsidR="0059379F" w:rsidRPr="009F522D">
        <w:rPr>
          <w:i/>
          <w:szCs w:val="24"/>
        </w:rPr>
        <w:t>—</w:t>
      </w:r>
      <w:r w:rsidR="00577D7D" w:rsidRPr="009F522D">
        <w:rPr>
          <w:i/>
        </w:rPr>
        <w:t>Rules for the Scheme Actuary 2013</w:t>
      </w:r>
      <w:r w:rsidR="00577D7D">
        <w:t>,</w:t>
      </w:r>
      <w:r w:rsidR="00E6775F">
        <w:t xml:space="preserve"> is involved in decisions </w:t>
      </w:r>
      <w:r w:rsidR="00FB59BD">
        <w:t>made by the Agency and Board which relate to risk.</w:t>
      </w:r>
    </w:p>
    <w:p w14:paraId="35B5784A" w14:textId="77777777" w:rsidR="00CF4729" w:rsidRDefault="00CF4729" w:rsidP="00F37373">
      <w:pPr>
        <w:pStyle w:val="Bullet"/>
        <w:numPr>
          <w:ilvl w:val="0"/>
          <w:numId w:val="0"/>
        </w:numPr>
        <w:spacing w:after="120"/>
        <w:rPr>
          <w:b/>
        </w:rPr>
      </w:pPr>
      <w:r w:rsidRPr="00CF4729">
        <w:rPr>
          <w:b/>
        </w:rPr>
        <w:t>Part 3</w:t>
      </w:r>
      <w:r>
        <w:rPr>
          <w:b/>
        </w:rPr>
        <w:t xml:space="preserve"> </w:t>
      </w:r>
      <w:r w:rsidRPr="00CF4729">
        <w:rPr>
          <w:b/>
        </w:rPr>
        <w:t xml:space="preserve">Risk management framework and </w:t>
      </w:r>
      <w:r>
        <w:rPr>
          <w:b/>
        </w:rPr>
        <w:t xml:space="preserve">risk management </w:t>
      </w:r>
      <w:r w:rsidRPr="00CF4729">
        <w:rPr>
          <w:b/>
        </w:rPr>
        <w:t>strategy</w:t>
      </w:r>
    </w:p>
    <w:p w14:paraId="0DD473F8" w14:textId="77777777" w:rsidR="00CF4729" w:rsidRDefault="00205990" w:rsidP="00F37373">
      <w:pPr>
        <w:pStyle w:val="Bullet"/>
        <w:numPr>
          <w:ilvl w:val="0"/>
          <w:numId w:val="0"/>
        </w:numPr>
        <w:spacing w:after="120"/>
      </w:pPr>
      <w:r>
        <w:t>This Part</w:t>
      </w:r>
      <w:r w:rsidR="00CF4729">
        <w:rPr>
          <w:b/>
        </w:rPr>
        <w:t xml:space="preserve"> </w:t>
      </w:r>
      <w:r w:rsidR="008A4A9F">
        <w:t xml:space="preserve">provides that </w:t>
      </w:r>
      <w:r w:rsidR="00CF4729">
        <w:t xml:space="preserve">the Board </w:t>
      </w:r>
      <w:r w:rsidR="008A4A9F">
        <w:t xml:space="preserve">must </w:t>
      </w:r>
      <w:r w:rsidR="00CF4729">
        <w:t>establish, maintain and review the risk management framework</w:t>
      </w:r>
      <w:r w:rsidR="007626BB">
        <w:t xml:space="preserve">.  </w:t>
      </w:r>
      <w:r w:rsidR="0074052B">
        <w:t xml:space="preserve">Key elements of the risk management framework include: </w:t>
      </w:r>
    </w:p>
    <w:p w14:paraId="2A71B6B4" w14:textId="77777777" w:rsidR="0074052B" w:rsidRDefault="0074052B" w:rsidP="009F522D">
      <w:pPr>
        <w:pStyle w:val="Bullet"/>
      </w:pPr>
      <w:r>
        <w:t>a written risk management strategy;</w:t>
      </w:r>
    </w:p>
    <w:p w14:paraId="677AE769" w14:textId="77777777" w:rsidR="009F522D" w:rsidRDefault="009F522D" w:rsidP="009F522D">
      <w:pPr>
        <w:pStyle w:val="Bullet"/>
      </w:pPr>
      <w:r>
        <w:t>policies and procedures to identify, assess, monitor, report on and mitigate all material risks, whether financial or not, that are likel</w:t>
      </w:r>
      <w:r w:rsidR="0074052B">
        <w:t xml:space="preserve">y to be faced by the Agency; </w:t>
      </w:r>
    </w:p>
    <w:p w14:paraId="710CA70B" w14:textId="77777777" w:rsidR="009F522D" w:rsidRDefault="009F522D" w:rsidP="009F522D">
      <w:pPr>
        <w:pStyle w:val="Bullet"/>
      </w:pPr>
      <w:r>
        <w:t>clearly defined managerial responsibilities and controls in relation to risk; and</w:t>
      </w:r>
    </w:p>
    <w:p w14:paraId="0D715386" w14:textId="77777777" w:rsidR="009F522D" w:rsidRDefault="009F522D" w:rsidP="009F522D">
      <w:pPr>
        <w:pStyle w:val="Bullet"/>
      </w:pPr>
      <w:proofErr w:type="gramStart"/>
      <w:r>
        <w:t>a</w:t>
      </w:r>
      <w:proofErr w:type="gramEnd"/>
      <w:r>
        <w:t xml:space="preserve"> review process to ensure that the risk management framework is effective in identifying, measuring, evaluating, monitoring, reporting, and controlling or mitigating, material risks.</w:t>
      </w:r>
    </w:p>
    <w:p w14:paraId="4F9DFF31" w14:textId="77777777" w:rsidR="0074052B" w:rsidRDefault="0074052B" w:rsidP="00C43ABD">
      <w:pPr>
        <w:pStyle w:val="Bullet"/>
        <w:numPr>
          <w:ilvl w:val="0"/>
          <w:numId w:val="0"/>
        </w:numPr>
      </w:pPr>
      <w:r>
        <w:t xml:space="preserve">This Part also outlines the types of material risks that the risk management framework must address and the requirements of the risk management strategy.  </w:t>
      </w:r>
    </w:p>
    <w:p w14:paraId="7B53C786" w14:textId="77777777" w:rsidR="00C43ABD" w:rsidRPr="00C43ABD" w:rsidRDefault="00C43ABD" w:rsidP="00C43ABD">
      <w:pPr>
        <w:pStyle w:val="Bullet"/>
        <w:numPr>
          <w:ilvl w:val="0"/>
          <w:numId w:val="0"/>
        </w:numPr>
      </w:pPr>
      <w:r>
        <w:lastRenderedPageBreak/>
        <w:t xml:space="preserve">The Board may have regard to the International Organization for Standardization’s </w:t>
      </w:r>
      <w:r>
        <w:rPr>
          <w:i/>
        </w:rPr>
        <w:t xml:space="preserve">ISO 31000:2009 Risk management – Principles and guidelines </w:t>
      </w:r>
      <w:r>
        <w:t>document when performing its duties in Part 3.</w:t>
      </w:r>
    </w:p>
    <w:p w14:paraId="581A5FE1" w14:textId="77777777" w:rsidR="00CF4729" w:rsidRDefault="006E3346" w:rsidP="00CD4DCE">
      <w:pPr>
        <w:pStyle w:val="Bullet"/>
        <w:numPr>
          <w:ilvl w:val="0"/>
          <w:numId w:val="0"/>
        </w:numPr>
        <w:spacing w:after="120"/>
      </w:pPr>
      <w:r>
        <w:t>Subsections 5(1) and 5(2)</w:t>
      </w:r>
      <w:r w:rsidR="00CD4DCE">
        <w:rPr>
          <w:b/>
        </w:rPr>
        <w:t xml:space="preserve"> </w:t>
      </w:r>
      <w:r>
        <w:t>provide</w:t>
      </w:r>
      <w:r w:rsidR="00FB4005">
        <w:t xml:space="preserve"> that </w:t>
      </w:r>
      <w:r w:rsidR="00CD4DCE">
        <w:t>the</w:t>
      </w:r>
      <w:r w:rsidR="00E6775F" w:rsidRPr="00E6775F">
        <w:t xml:space="preserve"> Board is responsible for the risk management framework of the Agency</w:t>
      </w:r>
      <w:r w:rsidR="00577D7D">
        <w:t xml:space="preserve"> including </w:t>
      </w:r>
      <w:r w:rsidR="00CD4DCE">
        <w:t>ensur</w:t>
      </w:r>
      <w:r w:rsidR="00577D7D">
        <w:t xml:space="preserve">ing </w:t>
      </w:r>
      <w:r w:rsidR="00CD4DCE">
        <w:t xml:space="preserve">that the Agency </w:t>
      </w:r>
      <w:r w:rsidR="00577D7D">
        <w:t xml:space="preserve">always </w:t>
      </w:r>
      <w:r w:rsidR="00CD4DCE">
        <w:t xml:space="preserve">has a risk management framework that provides reasonable assurance that </w:t>
      </w:r>
      <w:r w:rsidR="006A3B7C">
        <w:t>its</w:t>
      </w:r>
      <w:r w:rsidR="00CD4DCE">
        <w:t xml:space="preserve"> risks are prudently and soundly managed.</w:t>
      </w:r>
    </w:p>
    <w:p w14:paraId="06DD32DA" w14:textId="77777777" w:rsidR="00CD4DCE" w:rsidRDefault="00F176C3" w:rsidP="00CD4DCE">
      <w:pPr>
        <w:pStyle w:val="Bullet"/>
        <w:numPr>
          <w:ilvl w:val="0"/>
          <w:numId w:val="0"/>
        </w:numPr>
        <w:spacing w:after="120"/>
      </w:pPr>
      <w:r>
        <w:t>Subsection 5(3)</w:t>
      </w:r>
      <w:r w:rsidR="00CD4DCE" w:rsidRPr="00CD4DCE">
        <w:rPr>
          <w:b/>
        </w:rPr>
        <w:t xml:space="preserve"> </w:t>
      </w:r>
      <w:r w:rsidR="008A4A9F">
        <w:t xml:space="preserve">provides </w:t>
      </w:r>
      <w:r w:rsidR="001125F7">
        <w:t xml:space="preserve">that </w:t>
      </w:r>
      <w:r w:rsidR="00CD4DCE">
        <w:t xml:space="preserve">the risk management </w:t>
      </w:r>
      <w:r w:rsidR="001125F7">
        <w:t xml:space="preserve">framework is the totality of systems, structures, policies, processes and people within the Agency that identify, assess, mitigate and monitor all internal and external sources of risk that could have an impact on the Agency’s operations, funding and financial sustainability. </w:t>
      </w:r>
      <w:r w:rsidR="00CD4DCE">
        <w:t xml:space="preserve"> </w:t>
      </w:r>
    </w:p>
    <w:p w14:paraId="6EF48F30" w14:textId="77777777" w:rsidR="001125F7" w:rsidRDefault="00F176C3" w:rsidP="00CD4DCE">
      <w:pPr>
        <w:pStyle w:val="Bullet"/>
        <w:numPr>
          <w:ilvl w:val="0"/>
          <w:numId w:val="0"/>
        </w:numPr>
        <w:spacing w:after="120"/>
      </w:pPr>
      <w:r>
        <w:t>Subsection 5(4)</w:t>
      </w:r>
      <w:r w:rsidR="001125F7">
        <w:rPr>
          <w:b/>
        </w:rPr>
        <w:t xml:space="preserve"> </w:t>
      </w:r>
      <w:r w:rsidR="008A4A9F">
        <w:t>provides</w:t>
      </w:r>
      <w:r w:rsidR="001125F7">
        <w:t xml:space="preserve"> the </w:t>
      </w:r>
      <w:r w:rsidR="006A3B7C">
        <w:t xml:space="preserve">requirements of the </w:t>
      </w:r>
      <w:r w:rsidR="001125F7">
        <w:t>risk management framework</w:t>
      </w:r>
      <w:r w:rsidR="00990885">
        <w:t xml:space="preserve"> including</w:t>
      </w:r>
      <w:r w:rsidR="00833249">
        <w:t>:</w:t>
      </w:r>
      <w:r w:rsidR="00990885">
        <w:t xml:space="preserve"> </w:t>
      </w:r>
      <w:r w:rsidR="00833249">
        <w:t>a written risk management strategy; policies and procedures to identify, assess, monitor, report on and mitigate all material risks likely to be faced by the Agency; clearl</w:t>
      </w:r>
      <w:r w:rsidR="00FB2167">
        <w:t xml:space="preserve">y defining </w:t>
      </w:r>
      <w:r w:rsidR="00833249">
        <w:t>managerial responsibilities and controls; and a process to review the effectiveness of the framework</w:t>
      </w:r>
      <w:r w:rsidR="001125F7">
        <w:t>.</w:t>
      </w:r>
      <w:r w:rsidR="00930306">
        <w:t xml:space="preserve">  </w:t>
      </w:r>
    </w:p>
    <w:p w14:paraId="372614E8" w14:textId="77777777" w:rsidR="00911237" w:rsidRDefault="00F176C3" w:rsidP="00CD4DCE">
      <w:pPr>
        <w:pStyle w:val="Bullet"/>
        <w:numPr>
          <w:ilvl w:val="0"/>
          <w:numId w:val="0"/>
        </w:numPr>
        <w:spacing w:after="120"/>
      </w:pPr>
      <w:r>
        <w:t>Section</w:t>
      </w:r>
      <w:r w:rsidR="001125F7" w:rsidRPr="009F522D">
        <w:t xml:space="preserve"> 6</w:t>
      </w:r>
      <w:r w:rsidR="001125F7" w:rsidRPr="001125F7">
        <w:rPr>
          <w:b/>
        </w:rPr>
        <w:t xml:space="preserve"> </w:t>
      </w:r>
      <w:r w:rsidR="00911237" w:rsidRPr="00911237">
        <w:t>explains</w:t>
      </w:r>
      <w:r w:rsidR="00911237">
        <w:t xml:space="preserve"> the types of material risks relevant to the Agency that the risk management framework </w:t>
      </w:r>
      <w:r w:rsidR="006A3B7C">
        <w:t>must address</w:t>
      </w:r>
      <w:r w:rsidR="00911237">
        <w:t>, including operational and financial sustainability risks</w:t>
      </w:r>
      <w:r w:rsidR="00492C95">
        <w:t>.</w:t>
      </w:r>
      <w:r w:rsidR="00CA73F3">
        <w:t xml:space="preserve">  This could also include non-financial risks, such as consis</w:t>
      </w:r>
      <w:r w:rsidR="0022393C">
        <w:t xml:space="preserve">tent application of </w:t>
      </w:r>
      <w:r w:rsidR="0074052B">
        <w:t>access</w:t>
      </w:r>
      <w:r w:rsidR="0022393C">
        <w:t xml:space="preserve"> </w:t>
      </w:r>
      <w:r w:rsidR="00CA73F3">
        <w:t>criteria.</w:t>
      </w:r>
    </w:p>
    <w:p w14:paraId="4AFCD47C" w14:textId="77777777" w:rsidR="00025625" w:rsidRDefault="00F176C3" w:rsidP="00CD4DCE">
      <w:pPr>
        <w:pStyle w:val="Bullet"/>
        <w:numPr>
          <w:ilvl w:val="0"/>
          <w:numId w:val="0"/>
        </w:numPr>
        <w:spacing w:after="120"/>
      </w:pPr>
      <w:r>
        <w:t>Subsection 7(1)</w:t>
      </w:r>
      <w:r w:rsidR="00025625">
        <w:rPr>
          <w:b/>
        </w:rPr>
        <w:t xml:space="preserve"> </w:t>
      </w:r>
      <w:r w:rsidR="00025625" w:rsidRPr="00025625">
        <w:t>outlines</w:t>
      </w:r>
      <w:r w:rsidR="00025625">
        <w:t xml:space="preserve"> that the Board must ensure that its risk management framework is subject to effective and comprehensive review by operationally independent, appropriately trained and competent persons.  The frequency and scope of such reviews </w:t>
      </w:r>
      <w:r w:rsidR="006A3B7C">
        <w:t>must have</w:t>
      </w:r>
      <w:r w:rsidR="00025625">
        <w:t xml:space="preserve"> regard to the size and complexity of the Agency’s operations.</w:t>
      </w:r>
    </w:p>
    <w:p w14:paraId="60706878" w14:textId="77777777" w:rsidR="00025625" w:rsidRDefault="00F176C3" w:rsidP="00CD4DCE">
      <w:pPr>
        <w:pStyle w:val="Bullet"/>
        <w:numPr>
          <w:ilvl w:val="0"/>
          <w:numId w:val="0"/>
        </w:numPr>
        <w:spacing w:after="120"/>
      </w:pPr>
      <w:r>
        <w:t xml:space="preserve">Subsection 7(2) </w:t>
      </w:r>
      <w:r w:rsidR="00025625">
        <w:t xml:space="preserve">defines </w:t>
      </w:r>
      <w:r w:rsidR="002F4308">
        <w:t>‘</w:t>
      </w:r>
      <w:r w:rsidR="00025625">
        <w:t>operationally independent</w:t>
      </w:r>
      <w:r w:rsidR="002F4308">
        <w:t>’</w:t>
      </w:r>
      <w:r w:rsidR="006A3B7C">
        <w:t xml:space="preserve"> which is an eligibility requirement listed under </w:t>
      </w:r>
      <w:r w:rsidR="00D41801">
        <w:t>subsection 7(1)</w:t>
      </w:r>
      <w:r w:rsidR="006A3B7C">
        <w:t xml:space="preserve"> for reviewers of the risk management framework</w:t>
      </w:r>
      <w:r w:rsidR="00025625">
        <w:t>.</w:t>
      </w:r>
    </w:p>
    <w:p w14:paraId="5364B21D" w14:textId="77777777" w:rsidR="00073B32" w:rsidRDefault="00F176C3" w:rsidP="00CD4DCE">
      <w:pPr>
        <w:pStyle w:val="Bullet"/>
        <w:numPr>
          <w:ilvl w:val="0"/>
          <w:numId w:val="0"/>
        </w:numPr>
        <w:spacing w:after="120"/>
        <w:rPr>
          <w:b/>
        </w:rPr>
      </w:pPr>
      <w:r>
        <w:t>Subsection 7(3)</w:t>
      </w:r>
      <w:r w:rsidR="00025625">
        <w:t xml:space="preserve"> </w:t>
      </w:r>
      <w:r w:rsidR="00FB2167">
        <w:t>provides that a review of</w:t>
      </w:r>
      <w:r w:rsidR="00025625">
        <w:t xml:space="preserve"> the risk management framework must include</w:t>
      </w:r>
      <w:r w:rsidR="00FB2167">
        <w:t xml:space="preserve"> the risk management function, risk management strategy, and the Agency’s controls and procedures in relation to risk</w:t>
      </w:r>
      <w:r w:rsidR="00025625">
        <w:t>.</w:t>
      </w:r>
      <w:r w:rsidR="00025625" w:rsidRPr="00025625">
        <w:rPr>
          <w:b/>
        </w:rPr>
        <w:t xml:space="preserve">  </w:t>
      </w:r>
    </w:p>
    <w:p w14:paraId="5911D94D" w14:textId="77777777" w:rsidR="00073B32" w:rsidRDefault="00F176C3" w:rsidP="00CD4DCE">
      <w:pPr>
        <w:pStyle w:val="Bullet"/>
        <w:numPr>
          <w:ilvl w:val="0"/>
          <w:numId w:val="0"/>
        </w:numPr>
        <w:spacing w:after="120"/>
      </w:pPr>
      <w:r>
        <w:t>Section 8</w:t>
      </w:r>
      <w:r w:rsidR="00745B34">
        <w:rPr>
          <w:b/>
        </w:rPr>
        <w:t xml:space="preserve"> </w:t>
      </w:r>
      <w:r w:rsidR="00745B34">
        <w:t xml:space="preserve">sets out the requirements of the risk management strategy.  The risk management strategy is a high level, strategic document intended to describe the key elements of the risk management framework.  </w:t>
      </w:r>
    </w:p>
    <w:p w14:paraId="1CCA45DA" w14:textId="77777777" w:rsidR="00745B34" w:rsidRDefault="00F176C3" w:rsidP="00CD4DCE">
      <w:pPr>
        <w:pStyle w:val="Bullet"/>
        <w:numPr>
          <w:ilvl w:val="0"/>
          <w:numId w:val="0"/>
        </w:numPr>
        <w:spacing w:after="120"/>
      </w:pPr>
      <w:r>
        <w:t>Subsection 8(1)</w:t>
      </w:r>
      <w:r w:rsidR="00745B34" w:rsidRPr="00745B34">
        <w:rPr>
          <w:b/>
        </w:rPr>
        <w:t xml:space="preserve"> </w:t>
      </w:r>
      <w:r w:rsidR="000C638B">
        <w:t>provides the requirements of</w:t>
      </w:r>
      <w:r w:rsidR="00745B34">
        <w:t xml:space="preserve"> the risk management strategy </w:t>
      </w:r>
      <w:r w:rsidR="0025174D">
        <w:t>such as</w:t>
      </w:r>
      <w:r w:rsidR="000C638B">
        <w:t>:</w:t>
      </w:r>
      <w:r w:rsidR="0025174D">
        <w:t xml:space="preserve"> </w:t>
      </w:r>
      <w:r w:rsidR="000C638B">
        <w:t xml:space="preserve">a </w:t>
      </w:r>
      <w:r w:rsidR="0025174D">
        <w:t>descri</w:t>
      </w:r>
      <w:r w:rsidR="000C638B">
        <w:t>ption of</w:t>
      </w:r>
      <w:r w:rsidR="0025174D">
        <w:t xml:space="preserve"> the risk governance relationship between the Board, committees of the Board and the Agency’s senior management; </w:t>
      </w:r>
      <w:r w:rsidR="000C638B">
        <w:t xml:space="preserve">an </w:t>
      </w:r>
      <w:r w:rsidR="0025174D">
        <w:t>outlin</w:t>
      </w:r>
      <w:r w:rsidR="000C638B">
        <w:t>e of</w:t>
      </w:r>
      <w:r w:rsidR="0025174D">
        <w:t xml:space="preserve"> the processes of the Agency to </w:t>
      </w:r>
      <w:r w:rsidR="000C638B">
        <w:t>manage</w:t>
      </w:r>
      <w:r w:rsidR="0025174D">
        <w:t xml:space="preserve"> risk issues; </w:t>
      </w:r>
      <w:r w:rsidR="000C638B">
        <w:t>ensuring</w:t>
      </w:r>
      <w:r w:rsidR="0025174D">
        <w:t xml:space="preserve"> that Agency staff develop an appropriate risk culture and have access to the risk management strategy; identifying persons and positions in the Agency responsible for risk management; and </w:t>
      </w:r>
      <w:r w:rsidR="000C638B">
        <w:t>a description of</w:t>
      </w:r>
      <w:r w:rsidR="0074052B">
        <w:t xml:space="preserve"> a</w:t>
      </w:r>
      <w:r w:rsidR="0025174D">
        <w:t xml:space="preserve"> process </w:t>
      </w:r>
      <w:r w:rsidR="0074052B">
        <w:t xml:space="preserve">to review </w:t>
      </w:r>
      <w:r w:rsidR="0025174D">
        <w:t>the framework.</w:t>
      </w:r>
    </w:p>
    <w:p w14:paraId="16E67EBC" w14:textId="77777777" w:rsidR="00745B34" w:rsidRPr="00195656" w:rsidRDefault="00F176C3" w:rsidP="00CD4DCE">
      <w:pPr>
        <w:pStyle w:val="Bullet"/>
        <w:numPr>
          <w:ilvl w:val="0"/>
          <w:numId w:val="0"/>
        </w:numPr>
        <w:spacing w:after="120"/>
      </w:pPr>
      <w:r>
        <w:t>Subsection 8(2)</w:t>
      </w:r>
      <w:r w:rsidR="0025174D">
        <w:t xml:space="preserve"> provides </w:t>
      </w:r>
      <w:r w:rsidR="00745B34">
        <w:t>the process for amending the risk management strategy</w:t>
      </w:r>
      <w:r w:rsidR="0025174D">
        <w:t xml:space="preserve"> including seeking approval by the Ministerial Council as defined in section 9 of the </w:t>
      </w:r>
      <w:r w:rsidR="00195656">
        <w:t>NDIS Act.</w:t>
      </w:r>
      <w:r w:rsidR="00943FFD">
        <w:t xml:space="preserve">  The </w:t>
      </w:r>
      <w:r w:rsidR="0074052B">
        <w:t xml:space="preserve">relevant </w:t>
      </w:r>
      <w:r w:rsidR="00943FFD">
        <w:t>Ministerial Council is the Standing Council on Disability Reform.</w:t>
      </w:r>
    </w:p>
    <w:p w14:paraId="2398B12A" w14:textId="77777777" w:rsidR="00745B34" w:rsidRDefault="00F176C3" w:rsidP="00CD4DCE">
      <w:pPr>
        <w:pStyle w:val="Bullet"/>
        <w:numPr>
          <w:ilvl w:val="0"/>
          <w:numId w:val="0"/>
        </w:numPr>
        <w:spacing w:after="120"/>
      </w:pPr>
      <w:r>
        <w:t>Subsection 8(3)</w:t>
      </w:r>
      <w:r w:rsidR="00745B34" w:rsidRPr="00745B34">
        <w:rPr>
          <w:b/>
        </w:rPr>
        <w:t xml:space="preserve"> </w:t>
      </w:r>
      <w:r w:rsidR="000C638B">
        <w:t>provides</w:t>
      </w:r>
      <w:r w:rsidR="00745B34">
        <w:t xml:space="preserve"> that the risk management strategy must be reviewed at least annually.</w:t>
      </w:r>
    </w:p>
    <w:p w14:paraId="33D15AF2" w14:textId="77777777" w:rsidR="0074052B" w:rsidRDefault="0074052B" w:rsidP="00CD4DCE">
      <w:pPr>
        <w:pStyle w:val="Bullet"/>
        <w:numPr>
          <w:ilvl w:val="0"/>
          <w:numId w:val="0"/>
        </w:numPr>
        <w:spacing w:after="120"/>
      </w:pPr>
    </w:p>
    <w:p w14:paraId="019AC2B8" w14:textId="77777777" w:rsidR="0074052B" w:rsidRPr="00745B34" w:rsidRDefault="0074052B" w:rsidP="00CD4DCE">
      <w:pPr>
        <w:pStyle w:val="Bullet"/>
        <w:numPr>
          <w:ilvl w:val="0"/>
          <w:numId w:val="0"/>
        </w:numPr>
        <w:spacing w:after="120"/>
      </w:pPr>
    </w:p>
    <w:p w14:paraId="292CC74A" w14:textId="77777777" w:rsidR="00073B32" w:rsidRDefault="00073B32" w:rsidP="00CD4DCE">
      <w:pPr>
        <w:pStyle w:val="Bullet"/>
        <w:numPr>
          <w:ilvl w:val="0"/>
          <w:numId w:val="0"/>
        </w:numPr>
        <w:spacing w:after="120"/>
        <w:rPr>
          <w:b/>
        </w:rPr>
      </w:pPr>
      <w:r>
        <w:rPr>
          <w:b/>
        </w:rPr>
        <w:lastRenderedPageBreak/>
        <w:t>Part 4 Risk management function</w:t>
      </w:r>
    </w:p>
    <w:p w14:paraId="35E62F70" w14:textId="77777777" w:rsidR="00073B32" w:rsidRDefault="00205990" w:rsidP="00CD4DCE">
      <w:pPr>
        <w:pStyle w:val="Bullet"/>
        <w:numPr>
          <w:ilvl w:val="0"/>
          <w:numId w:val="0"/>
        </w:numPr>
        <w:spacing w:after="120"/>
      </w:pPr>
      <w:r>
        <w:t>This Part</w:t>
      </w:r>
      <w:r w:rsidR="00C631F4">
        <w:rPr>
          <w:b/>
        </w:rPr>
        <w:t xml:space="preserve"> </w:t>
      </w:r>
      <w:r w:rsidR="00C631F4" w:rsidRPr="00C631F4">
        <w:t>outlines the requirements for the Agency in setting up its risk management function</w:t>
      </w:r>
      <w:r w:rsidR="00C631F4">
        <w:t xml:space="preserve"> and the role that the risk management function </w:t>
      </w:r>
      <w:r w:rsidR="000D2821">
        <w:t>pe</w:t>
      </w:r>
      <w:r w:rsidR="0074052B">
        <w:t>r</w:t>
      </w:r>
      <w:r w:rsidR="000D2821">
        <w:t>forms</w:t>
      </w:r>
      <w:r w:rsidR="00C631F4">
        <w:t>.</w:t>
      </w:r>
    </w:p>
    <w:p w14:paraId="5AB69A97" w14:textId="77777777" w:rsidR="00400883" w:rsidRDefault="00F176C3" w:rsidP="00492C95">
      <w:pPr>
        <w:pStyle w:val="CommentText"/>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Section</w:t>
      </w:r>
      <w:r w:rsidR="00073B32" w:rsidRPr="00FD770C">
        <w:rPr>
          <w:rFonts w:ascii="Times New Roman" w:eastAsia="Times New Roman" w:hAnsi="Times New Roman" w:cs="Times New Roman"/>
          <w:sz w:val="24"/>
          <w:lang w:eastAsia="en-AU"/>
        </w:rPr>
        <w:t xml:space="preserve"> 9</w:t>
      </w:r>
      <w:r w:rsidR="00D42BC9" w:rsidRPr="00FD770C">
        <w:rPr>
          <w:rFonts w:ascii="Times New Roman" w:eastAsia="Times New Roman" w:hAnsi="Times New Roman" w:cs="Times New Roman"/>
          <w:sz w:val="24"/>
          <w:lang w:eastAsia="en-AU"/>
        </w:rPr>
        <w:t xml:space="preserve"> </w:t>
      </w:r>
      <w:r w:rsidR="009F522D" w:rsidRPr="00FD770C">
        <w:rPr>
          <w:rFonts w:ascii="Times New Roman" w:eastAsia="Times New Roman" w:hAnsi="Times New Roman" w:cs="Times New Roman"/>
          <w:sz w:val="24"/>
          <w:lang w:eastAsia="en-AU"/>
        </w:rPr>
        <w:t xml:space="preserve">provides </w:t>
      </w:r>
      <w:r w:rsidR="00D42BC9" w:rsidRPr="00FD770C">
        <w:rPr>
          <w:rFonts w:ascii="Times New Roman" w:eastAsia="Times New Roman" w:hAnsi="Times New Roman" w:cs="Times New Roman"/>
          <w:sz w:val="24"/>
          <w:lang w:eastAsia="en-AU"/>
        </w:rPr>
        <w:t>that the Board must designate</w:t>
      </w:r>
      <w:r w:rsidR="00C82A49">
        <w:rPr>
          <w:rFonts w:ascii="Times New Roman" w:eastAsia="Times New Roman" w:hAnsi="Times New Roman" w:cs="Times New Roman"/>
          <w:sz w:val="24"/>
          <w:lang w:eastAsia="en-AU"/>
        </w:rPr>
        <w:t xml:space="preserve"> </w:t>
      </w:r>
      <w:r w:rsidR="0074052B">
        <w:rPr>
          <w:rFonts w:ascii="Times New Roman" w:eastAsia="Times New Roman" w:hAnsi="Times New Roman" w:cs="Times New Roman"/>
          <w:sz w:val="24"/>
          <w:lang w:eastAsia="en-AU"/>
        </w:rPr>
        <w:t>a part of</w:t>
      </w:r>
      <w:r w:rsidR="0074052B" w:rsidRPr="000D2821">
        <w:rPr>
          <w:rFonts w:ascii="Times New Roman" w:eastAsia="Times New Roman" w:hAnsi="Times New Roman" w:cs="Times New Roman"/>
          <w:sz w:val="24"/>
          <w:lang w:eastAsia="en-AU"/>
        </w:rPr>
        <w:t xml:space="preserve"> the Agency or a person in the Agency</w:t>
      </w:r>
      <w:r w:rsidR="0074052B">
        <w:rPr>
          <w:rFonts w:ascii="Times New Roman" w:eastAsia="Times New Roman" w:hAnsi="Times New Roman" w:cs="Times New Roman"/>
          <w:sz w:val="24"/>
          <w:lang w:eastAsia="en-AU"/>
        </w:rPr>
        <w:t xml:space="preserve"> </w:t>
      </w:r>
      <w:r w:rsidR="0074052B" w:rsidRPr="00FD770C">
        <w:rPr>
          <w:rFonts w:ascii="Times New Roman" w:eastAsia="Times New Roman" w:hAnsi="Times New Roman" w:cs="Times New Roman"/>
          <w:sz w:val="24"/>
          <w:lang w:eastAsia="en-AU"/>
        </w:rPr>
        <w:t>to perform the risk management function</w:t>
      </w:r>
      <w:r w:rsidR="0074052B">
        <w:rPr>
          <w:rFonts w:ascii="Times New Roman" w:eastAsia="Times New Roman" w:hAnsi="Times New Roman" w:cs="Times New Roman"/>
          <w:sz w:val="24"/>
          <w:lang w:eastAsia="en-AU"/>
        </w:rPr>
        <w:t>.  It o</w:t>
      </w:r>
      <w:r w:rsidR="004B38C6">
        <w:rPr>
          <w:rFonts w:ascii="Times New Roman" w:eastAsia="Times New Roman" w:hAnsi="Times New Roman" w:cs="Times New Roman"/>
          <w:sz w:val="24"/>
          <w:lang w:eastAsia="en-AU"/>
        </w:rPr>
        <w:t>utline</w:t>
      </w:r>
      <w:r w:rsidR="0074052B">
        <w:rPr>
          <w:rFonts w:ascii="Times New Roman" w:eastAsia="Times New Roman" w:hAnsi="Times New Roman" w:cs="Times New Roman"/>
          <w:sz w:val="24"/>
          <w:lang w:eastAsia="en-AU"/>
        </w:rPr>
        <w:t>s</w:t>
      </w:r>
      <w:r w:rsidR="004B38C6">
        <w:rPr>
          <w:rFonts w:ascii="Times New Roman" w:eastAsia="Times New Roman" w:hAnsi="Times New Roman" w:cs="Times New Roman"/>
          <w:sz w:val="24"/>
          <w:lang w:eastAsia="en-AU"/>
        </w:rPr>
        <w:t xml:space="preserve"> the responsibilities of</w:t>
      </w:r>
      <w:r w:rsidR="00400883">
        <w:rPr>
          <w:rFonts w:ascii="Times New Roman" w:eastAsia="Times New Roman" w:hAnsi="Times New Roman" w:cs="Times New Roman"/>
          <w:sz w:val="24"/>
          <w:lang w:eastAsia="en-AU"/>
        </w:rPr>
        <w:t xml:space="preserve"> those carrying out the risk management function such as</w:t>
      </w:r>
      <w:r w:rsidR="000C638B" w:rsidRPr="00FD770C">
        <w:rPr>
          <w:rFonts w:ascii="Times New Roman" w:eastAsia="Times New Roman" w:hAnsi="Times New Roman" w:cs="Times New Roman"/>
          <w:sz w:val="24"/>
          <w:lang w:eastAsia="en-AU"/>
        </w:rPr>
        <w:t xml:space="preserve"> assist</w:t>
      </w:r>
      <w:r w:rsidR="00400883">
        <w:rPr>
          <w:rFonts w:ascii="Times New Roman" w:eastAsia="Times New Roman" w:hAnsi="Times New Roman" w:cs="Times New Roman"/>
          <w:sz w:val="24"/>
          <w:lang w:eastAsia="en-AU"/>
        </w:rPr>
        <w:t>ing</w:t>
      </w:r>
      <w:r w:rsidR="000C638B" w:rsidRPr="00FD770C">
        <w:rPr>
          <w:rFonts w:ascii="Times New Roman" w:eastAsia="Times New Roman" w:hAnsi="Times New Roman" w:cs="Times New Roman"/>
          <w:sz w:val="24"/>
          <w:lang w:eastAsia="en-AU"/>
        </w:rPr>
        <w:t xml:space="preserve"> </w:t>
      </w:r>
      <w:r w:rsidR="00B429B5" w:rsidRPr="00FD770C">
        <w:rPr>
          <w:rFonts w:ascii="Times New Roman" w:eastAsia="Times New Roman" w:hAnsi="Times New Roman" w:cs="Times New Roman"/>
          <w:sz w:val="24"/>
          <w:lang w:eastAsia="en-AU"/>
        </w:rPr>
        <w:t xml:space="preserve">with the </w:t>
      </w:r>
      <w:r w:rsidR="000C638B" w:rsidRPr="00FD770C">
        <w:rPr>
          <w:rFonts w:ascii="Times New Roman" w:eastAsia="Times New Roman" w:hAnsi="Times New Roman" w:cs="Times New Roman"/>
          <w:sz w:val="24"/>
          <w:lang w:eastAsia="en-AU"/>
        </w:rPr>
        <w:t>develop</w:t>
      </w:r>
      <w:r w:rsidR="00B429B5" w:rsidRPr="00FD770C">
        <w:rPr>
          <w:rFonts w:ascii="Times New Roman" w:eastAsia="Times New Roman" w:hAnsi="Times New Roman" w:cs="Times New Roman"/>
          <w:sz w:val="24"/>
          <w:lang w:eastAsia="en-AU"/>
        </w:rPr>
        <w:t>ment and maintenance of</w:t>
      </w:r>
      <w:r w:rsidR="000C638B" w:rsidRPr="00FD770C">
        <w:rPr>
          <w:rFonts w:ascii="Times New Roman" w:eastAsia="Times New Roman" w:hAnsi="Times New Roman" w:cs="Times New Roman"/>
          <w:sz w:val="24"/>
          <w:lang w:eastAsia="en-AU"/>
        </w:rPr>
        <w:t xml:space="preserve"> the risk management framework</w:t>
      </w:r>
      <w:r w:rsidR="00B429B5" w:rsidRPr="00FD770C">
        <w:rPr>
          <w:rFonts w:ascii="Times New Roman" w:eastAsia="Times New Roman" w:hAnsi="Times New Roman" w:cs="Times New Roman"/>
          <w:sz w:val="24"/>
          <w:lang w:eastAsia="en-AU"/>
        </w:rPr>
        <w:t xml:space="preserve"> and </w:t>
      </w:r>
      <w:r w:rsidR="00400883">
        <w:rPr>
          <w:rFonts w:ascii="Times New Roman" w:eastAsia="Times New Roman" w:hAnsi="Times New Roman" w:cs="Times New Roman"/>
          <w:sz w:val="24"/>
          <w:lang w:eastAsia="en-AU"/>
        </w:rPr>
        <w:t>notifying</w:t>
      </w:r>
      <w:r w:rsidR="00B429B5" w:rsidRPr="00FD770C">
        <w:rPr>
          <w:rFonts w:ascii="Times New Roman" w:eastAsia="Times New Roman" w:hAnsi="Times New Roman" w:cs="Times New Roman"/>
          <w:sz w:val="24"/>
          <w:lang w:eastAsia="en-AU"/>
        </w:rPr>
        <w:t xml:space="preserve"> the Board of any significant breach of, or material deviation from, the risk management framework</w:t>
      </w:r>
      <w:r w:rsidR="000C638B" w:rsidRPr="00FD770C">
        <w:rPr>
          <w:rFonts w:ascii="Times New Roman" w:eastAsia="Times New Roman" w:hAnsi="Times New Roman" w:cs="Times New Roman"/>
          <w:sz w:val="24"/>
          <w:lang w:eastAsia="en-AU"/>
        </w:rPr>
        <w:t xml:space="preserve">.  </w:t>
      </w:r>
    </w:p>
    <w:p w14:paraId="2A556C3F" w14:textId="77777777" w:rsidR="00400883" w:rsidRDefault="00B429B5" w:rsidP="00492C95">
      <w:pPr>
        <w:pStyle w:val="CommentText"/>
        <w:rPr>
          <w:rFonts w:ascii="Times New Roman" w:eastAsia="Times New Roman" w:hAnsi="Times New Roman" w:cs="Times New Roman"/>
          <w:sz w:val="24"/>
          <w:lang w:eastAsia="en-AU"/>
        </w:rPr>
      </w:pPr>
      <w:r w:rsidRPr="00FD770C">
        <w:rPr>
          <w:rFonts w:ascii="Times New Roman" w:eastAsia="Times New Roman" w:hAnsi="Times New Roman" w:cs="Times New Roman"/>
          <w:sz w:val="24"/>
          <w:lang w:eastAsia="en-AU"/>
        </w:rPr>
        <w:t xml:space="preserve">To </w:t>
      </w:r>
      <w:r w:rsidR="00552EC1">
        <w:rPr>
          <w:rFonts w:ascii="Times New Roman" w:eastAsia="Times New Roman" w:hAnsi="Times New Roman" w:cs="Times New Roman"/>
          <w:sz w:val="24"/>
          <w:lang w:eastAsia="en-AU"/>
        </w:rPr>
        <w:t xml:space="preserve">effectively </w:t>
      </w:r>
      <w:r w:rsidRPr="00FD770C">
        <w:rPr>
          <w:rFonts w:ascii="Times New Roman" w:eastAsia="Times New Roman" w:hAnsi="Times New Roman" w:cs="Times New Roman"/>
          <w:sz w:val="24"/>
          <w:lang w:eastAsia="en-AU"/>
        </w:rPr>
        <w:t xml:space="preserve">carry out </w:t>
      </w:r>
      <w:r w:rsidR="00BE62C6">
        <w:rPr>
          <w:rFonts w:ascii="Times New Roman" w:eastAsia="Times New Roman" w:hAnsi="Times New Roman" w:cs="Times New Roman"/>
          <w:sz w:val="24"/>
          <w:lang w:eastAsia="en-AU"/>
        </w:rPr>
        <w:t>its activities in an effective and independent manner</w:t>
      </w:r>
      <w:r w:rsidRPr="00FD770C">
        <w:rPr>
          <w:rFonts w:ascii="Times New Roman" w:eastAsia="Times New Roman" w:hAnsi="Times New Roman" w:cs="Times New Roman"/>
          <w:sz w:val="24"/>
          <w:lang w:eastAsia="en-AU"/>
        </w:rPr>
        <w:t xml:space="preserve">, the designated person or </w:t>
      </w:r>
      <w:r w:rsidR="004B38C6">
        <w:rPr>
          <w:rFonts w:ascii="Times New Roman" w:eastAsia="Times New Roman" w:hAnsi="Times New Roman" w:cs="Times New Roman"/>
          <w:sz w:val="24"/>
          <w:lang w:eastAsia="en-AU"/>
        </w:rPr>
        <w:t>persons must be</w:t>
      </w:r>
      <w:r w:rsidR="00552EC1">
        <w:rPr>
          <w:rFonts w:ascii="Times New Roman" w:eastAsia="Times New Roman" w:hAnsi="Times New Roman" w:cs="Times New Roman"/>
          <w:sz w:val="24"/>
          <w:lang w:eastAsia="en-AU"/>
        </w:rPr>
        <w:t xml:space="preserve"> </w:t>
      </w:r>
      <w:r w:rsidR="00BE62C6">
        <w:rPr>
          <w:rFonts w:ascii="Times New Roman" w:eastAsia="Times New Roman" w:hAnsi="Times New Roman" w:cs="Times New Roman"/>
          <w:sz w:val="24"/>
          <w:lang w:eastAsia="en-AU"/>
        </w:rPr>
        <w:t>conferred</w:t>
      </w:r>
      <w:r w:rsidR="00552EC1">
        <w:rPr>
          <w:rFonts w:ascii="Times New Roman" w:eastAsia="Times New Roman" w:hAnsi="Times New Roman" w:cs="Times New Roman"/>
          <w:sz w:val="24"/>
          <w:lang w:eastAsia="en-AU"/>
        </w:rPr>
        <w:t xml:space="preserve"> </w:t>
      </w:r>
      <w:r w:rsidR="00400883">
        <w:rPr>
          <w:rFonts w:ascii="Times New Roman" w:eastAsia="Times New Roman" w:hAnsi="Times New Roman" w:cs="Times New Roman"/>
          <w:sz w:val="24"/>
          <w:lang w:eastAsia="en-AU"/>
        </w:rPr>
        <w:t xml:space="preserve">with </w:t>
      </w:r>
      <w:r w:rsidRPr="00FD770C">
        <w:rPr>
          <w:rFonts w:ascii="Times New Roman" w:eastAsia="Times New Roman" w:hAnsi="Times New Roman" w:cs="Times New Roman"/>
          <w:sz w:val="24"/>
          <w:lang w:eastAsia="en-AU"/>
        </w:rPr>
        <w:t xml:space="preserve">the authority and access to the Board, committees of the Board and senior management of the Agency.  </w:t>
      </w:r>
    </w:p>
    <w:p w14:paraId="2A267B1D" w14:textId="77777777" w:rsidR="00400883" w:rsidRDefault="00BE62C6" w:rsidP="00492C95">
      <w:pPr>
        <w:pStyle w:val="CommentText"/>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person </w:t>
      </w:r>
      <w:r w:rsidR="00531639">
        <w:rPr>
          <w:rFonts w:ascii="Times New Roman" w:eastAsia="Times New Roman" w:hAnsi="Times New Roman" w:cs="Times New Roman"/>
          <w:sz w:val="24"/>
          <w:lang w:eastAsia="en-AU"/>
        </w:rPr>
        <w:t xml:space="preserve">or </w:t>
      </w:r>
      <w:r w:rsidR="004B38C6">
        <w:rPr>
          <w:rFonts w:ascii="Times New Roman" w:eastAsia="Times New Roman" w:hAnsi="Times New Roman" w:cs="Times New Roman"/>
          <w:sz w:val="24"/>
          <w:lang w:eastAsia="en-AU"/>
        </w:rPr>
        <w:t>persons</w:t>
      </w:r>
      <w:r>
        <w:rPr>
          <w:rFonts w:ascii="Times New Roman" w:eastAsia="Times New Roman" w:hAnsi="Times New Roman" w:cs="Times New Roman"/>
          <w:sz w:val="24"/>
          <w:lang w:eastAsia="en-AU"/>
        </w:rPr>
        <w:t xml:space="preserve"> must also be appropriately supported or resourced with staff </w:t>
      </w:r>
      <w:proofErr w:type="gramStart"/>
      <w:r>
        <w:rPr>
          <w:rFonts w:ascii="Times New Roman" w:eastAsia="Times New Roman" w:hAnsi="Times New Roman" w:cs="Times New Roman"/>
          <w:sz w:val="24"/>
          <w:lang w:eastAsia="en-AU"/>
        </w:rPr>
        <w:t>who</w:t>
      </w:r>
      <w:proofErr w:type="gramEnd"/>
      <w:r>
        <w:rPr>
          <w:rFonts w:ascii="Times New Roman" w:eastAsia="Times New Roman" w:hAnsi="Times New Roman" w:cs="Times New Roman"/>
          <w:sz w:val="24"/>
          <w:lang w:eastAsia="en-AU"/>
        </w:rPr>
        <w:t xml:space="preserve"> have suitable qualifications, experience and expertise to effectively carry out the risk management function.</w:t>
      </w:r>
      <w:r w:rsidR="000C638B" w:rsidRPr="00FD770C">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 </w:t>
      </w:r>
    </w:p>
    <w:p w14:paraId="214DD34A" w14:textId="77777777" w:rsidR="00073B32" w:rsidRDefault="00BE62C6" w:rsidP="00492C95">
      <w:pPr>
        <w:pStyle w:val="CommentText"/>
      </w:pPr>
      <w:r>
        <w:rPr>
          <w:rFonts w:ascii="Times New Roman" w:eastAsia="Times New Roman" w:hAnsi="Times New Roman" w:cs="Times New Roman"/>
          <w:sz w:val="24"/>
          <w:lang w:eastAsia="en-AU"/>
        </w:rPr>
        <w:t>T</w:t>
      </w:r>
      <w:r w:rsidRPr="00FD770C">
        <w:rPr>
          <w:rFonts w:ascii="Times New Roman" w:eastAsia="Times New Roman" w:hAnsi="Times New Roman" w:cs="Times New Roman"/>
          <w:sz w:val="24"/>
          <w:lang w:eastAsia="en-AU"/>
        </w:rPr>
        <w:t>o avoid significant conflicts of interest</w:t>
      </w:r>
      <w:r>
        <w:rPr>
          <w:rFonts w:ascii="Times New Roman" w:eastAsia="Times New Roman" w:hAnsi="Times New Roman" w:cs="Times New Roman"/>
          <w:sz w:val="24"/>
          <w:lang w:eastAsia="en-AU"/>
        </w:rPr>
        <w:t xml:space="preserve">, the person or </w:t>
      </w:r>
      <w:r w:rsidR="004B38C6">
        <w:rPr>
          <w:rFonts w:ascii="Times New Roman" w:eastAsia="Times New Roman" w:hAnsi="Times New Roman" w:cs="Times New Roman"/>
          <w:sz w:val="24"/>
          <w:lang w:eastAsia="en-AU"/>
        </w:rPr>
        <w:t>persons</w:t>
      </w:r>
      <w:r w:rsidRPr="00FD770C">
        <w:rPr>
          <w:rFonts w:ascii="Times New Roman" w:eastAsia="Times New Roman" w:hAnsi="Times New Roman" w:cs="Times New Roman"/>
          <w:sz w:val="24"/>
          <w:lang w:eastAsia="en-AU"/>
        </w:rPr>
        <w:t xml:space="preserve"> </w:t>
      </w:r>
      <w:r w:rsidR="000C638B" w:rsidRPr="00FD770C">
        <w:rPr>
          <w:rFonts w:ascii="Times New Roman" w:eastAsia="Times New Roman" w:hAnsi="Times New Roman" w:cs="Times New Roman"/>
          <w:sz w:val="24"/>
          <w:lang w:eastAsia="en-AU"/>
        </w:rPr>
        <w:t xml:space="preserve">must not directly be involved </w:t>
      </w:r>
      <w:r w:rsidR="00B429B5" w:rsidRPr="00FD770C">
        <w:rPr>
          <w:rFonts w:ascii="Times New Roman" w:eastAsia="Times New Roman" w:hAnsi="Times New Roman" w:cs="Times New Roman"/>
          <w:sz w:val="24"/>
          <w:lang w:eastAsia="en-AU"/>
        </w:rPr>
        <w:t>in the</w:t>
      </w:r>
      <w:r w:rsidR="000C638B" w:rsidRPr="00FD770C">
        <w:rPr>
          <w:rFonts w:ascii="Times New Roman" w:eastAsia="Times New Roman" w:hAnsi="Times New Roman" w:cs="Times New Roman"/>
          <w:sz w:val="24"/>
          <w:lang w:eastAsia="en-AU"/>
        </w:rPr>
        <w:t xml:space="preserve"> </w:t>
      </w:r>
      <w:r w:rsidR="00B429B5" w:rsidRPr="00FD770C">
        <w:rPr>
          <w:rFonts w:ascii="Times New Roman" w:eastAsia="Times New Roman" w:hAnsi="Times New Roman" w:cs="Times New Roman"/>
          <w:sz w:val="24"/>
          <w:lang w:eastAsia="en-AU"/>
        </w:rPr>
        <w:t xml:space="preserve">Agency’s functions of </w:t>
      </w:r>
      <w:r w:rsidR="000C638B" w:rsidRPr="00FD770C">
        <w:rPr>
          <w:rFonts w:ascii="Times New Roman" w:eastAsia="Times New Roman" w:hAnsi="Times New Roman" w:cs="Times New Roman"/>
          <w:sz w:val="24"/>
          <w:lang w:eastAsia="en-AU"/>
        </w:rPr>
        <w:t>funding</w:t>
      </w:r>
      <w:r w:rsidR="00B429B5" w:rsidRPr="00FD770C">
        <w:rPr>
          <w:rFonts w:ascii="Times New Roman" w:eastAsia="Times New Roman" w:hAnsi="Times New Roman" w:cs="Times New Roman"/>
          <w:sz w:val="24"/>
          <w:lang w:eastAsia="en-AU"/>
        </w:rPr>
        <w:t xml:space="preserve"> </w:t>
      </w:r>
      <w:r w:rsidR="000C638B" w:rsidRPr="00FD770C">
        <w:rPr>
          <w:rFonts w:ascii="Times New Roman" w:eastAsia="Times New Roman" w:hAnsi="Times New Roman" w:cs="Times New Roman"/>
          <w:sz w:val="24"/>
          <w:lang w:eastAsia="en-AU"/>
        </w:rPr>
        <w:t>or provision of supports</w:t>
      </w:r>
      <w:r>
        <w:rPr>
          <w:rFonts w:ascii="Times New Roman" w:eastAsia="Times New Roman" w:hAnsi="Times New Roman" w:cs="Times New Roman"/>
          <w:sz w:val="24"/>
          <w:lang w:eastAsia="en-AU"/>
        </w:rPr>
        <w:t>.</w:t>
      </w:r>
      <w:r w:rsidR="00492C95">
        <w:t xml:space="preserve">  </w:t>
      </w:r>
      <w:r w:rsidR="00492C95">
        <w:rPr>
          <w:rFonts w:ascii="Times New Roman" w:eastAsia="Times New Roman" w:hAnsi="Times New Roman" w:cs="Times New Roman"/>
          <w:sz w:val="24"/>
          <w:lang w:eastAsia="en-AU"/>
        </w:rPr>
        <w:t xml:space="preserve">For example, the Board could </w:t>
      </w:r>
      <w:r w:rsidR="0059379F">
        <w:rPr>
          <w:rFonts w:ascii="Times New Roman" w:eastAsia="Times New Roman" w:hAnsi="Times New Roman" w:cs="Times New Roman"/>
          <w:sz w:val="24"/>
          <w:lang w:eastAsia="en-AU"/>
        </w:rPr>
        <w:t xml:space="preserve">request </w:t>
      </w:r>
      <w:r w:rsidR="00492C95">
        <w:rPr>
          <w:rFonts w:ascii="Times New Roman" w:eastAsia="Times New Roman" w:hAnsi="Times New Roman" w:cs="Times New Roman"/>
          <w:sz w:val="24"/>
          <w:lang w:eastAsia="en-AU"/>
        </w:rPr>
        <w:t xml:space="preserve">the Agency </w:t>
      </w:r>
      <w:r w:rsidR="00492C95" w:rsidRPr="00492C95">
        <w:rPr>
          <w:rFonts w:ascii="Times New Roman" w:eastAsia="Times New Roman" w:hAnsi="Times New Roman" w:cs="Times New Roman"/>
          <w:sz w:val="24"/>
          <w:lang w:eastAsia="en-AU"/>
        </w:rPr>
        <w:t xml:space="preserve">to establish a risk management team to be led by a qualified and experienced person who has authority to raise concerns with the Board at any </w:t>
      </w:r>
      <w:r w:rsidR="00400883">
        <w:rPr>
          <w:rFonts w:ascii="Times New Roman" w:eastAsia="Times New Roman" w:hAnsi="Times New Roman" w:cs="Times New Roman"/>
          <w:sz w:val="24"/>
          <w:lang w:eastAsia="en-AU"/>
        </w:rPr>
        <w:t>t</w:t>
      </w:r>
      <w:r w:rsidR="00492C95" w:rsidRPr="00492C95">
        <w:rPr>
          <w:rFonts w:ascii="Times New Roman" w:eastAsia="Times New Roman" w:hAnsi="Times New Roman" w:cs="Times New Roman"/>
          <w:sz w:val="24"/>
          <w:lang w:eastAsia="en-AU"/>
        </w:rPr>
        <w:t xml:space="preserve">ime considered necessary by that person. </w:t>
      </w:r>
      <w:r w:rsidR="00492C95">
        <w:rPr>
          <w:rFonts w:ascii="Times New Roman" w:eastAsia="Times New Roman" w:hAnsi="Times New Roman" w:cs="Times New Roman"/>
          <w:sz w:val="24"/>
          <w:lang w:eastAsia="en-AU"/>
        </w:rPr>
        <w:t xml:space="preserve"> </w:t>
      </w:r>
      <w:proofErr w:type="gramStart"/>
      <w:r w:rsidR="00492C95" w:rsidRPr="00492C95">
        <w:rPr>
          <w:rFonts w:ascii="Times New Roman" w:eastAsia="Times New Roman" w:hAnsi="Times New Roman" w:cs="Times New Roman"/>
          <w:sz w:val="24"/>
          <w:lang w:eastAsia="en-AU"/>
        </w:rPr>
        <w:t>Staff who are</w:t>
      </w:r>
      <w:proofErr w:type="gramEnd"/>
      <w:r w:rsidR="00492C95" w:rsidRPr="00492C95">
        <w:rPr>
          <w:rFonts w:ascii="Times New Roman" w:eastAsia="Times New Roman" w:hAnsi="Times New Roman" w:cs="Times New Roman"/>
          <w:sz w:val="24"/>
          <w:lang w:eastAsia="en-AU"/>
        </w:rPr>
        <w:t xml:space="preserve"> Local Area Coordinators or approving care and support packages cannot be members of the team responsible for the risk management function.</w:t>
      </w:r>
    </w:p>
    <w:p w14:paraId="41AF89DC" w14:textId="77777777" w:rsidR="00073B32" w:rsidRDefault="00195656" w:rsidP="00CD4DCE">
      <w:pPr>
        <w:pStyle w:val="Bullet"/>
        <w:numPr>
          <w:ilvl w:val="0"/>
          <w:numId w:val="0"/>
        </w:numPr>
        <w:spacing w:after="120"/>
        <w:rPr>
          <w:b/>
        </w:rPr>
      </w:pPr>
      <w:r>
        <w:rPr>
          <w:b/>
        </w:rPr>
        <w:t>Part 5</w:t>
      </w:r>
      <w:r w:rsidR="00073B32">
        <w:rPr>
          <w:b/>
        </w:rPr>
        <w:t xml:space="preserve"> Risk management declaration</w:t>
      </w:r>
    </w:p>
    <w:p w14:paraId="06489DCF" w14:textId="77777777" w:rsidR="003837DA" w:rsidRDefault="00205990" w:rsidP="00CD4DCE">
      <w:pPr>
        <w:pStyle w:val="Bullet"/>
        <w:numPr>
          <w:ilvl w:val="0"/>
          <w:numId w:val="0"/>
        </w:numPr>
        <w:spacing w:after="120"/>
      </w:pPr>
      <w:r>
        <w:t>This Part</w:t>
      </w:r>
      <w:r w:rsidR="003837DA">
        <w:rPr>
          <w:b/>
        </w:rPr>
        <w:t xml:space="preserve"> </w:t>
      </w:r>
      <w:r w:rsidR="003837DA" w:rsidRPr="003837DA">
        <w:t>outlines the</w:t>
      </w:r>
      <w:r w:rsidR="00400883">
        <w:t xml:space="preserve"> process for the</w:t>
      </w:r>
      <w:r w:rsidR="003837DA" w:rsidRPr="003837DA">
        <w:t xml:space="preserve"> prepara</w:t>
      </w:r>
      <w:r w:rsidR="003837DA">
        <w:t>tion and content of the risk management declaration.</w:t>
      </w:r>
      <w:r w:rsidR="00C57ACA">
        <w:t xml:space="preserve">  </w:t>
      </w:r>
    </w:p>
    <w:p w14:paraId="2ADABC5B" w14:textId="77777777" w:rsidR="00943FFD" w:rsidRDefault="00F176C3" w:rsidP="00CD4DCE">
      <w:pPr>
        <w:pStyle w:val="Bullet"/>
        <w:numPr>
          <w:ilvl w:val="0"/>
          <w:numId w:val="0"/>
        </w:numPr>
        <w:spacing w:after="120"/>
      </w:pPr>
      <w:r>
        <w:t>Subsection 10(1)</w:t>
      </w:r>
      <w:r w:rsidR="003837DA" w:rsidRPr="00B429B5">
        <w:t xml:space="preserve"> </w:t>
      </w:r>
      <w:proofErr w:type="gramStart"/>
      <w:r w:rsidR="003837DA">
        <w:t>sets</w:t>
      </w:r>
      <w:proofErr w:type="gramEnd"/>
      <w:r w:rsidR="003837DA">
        <w:t xml:space="preserve"> out that the Board must provide the Ministerial Council</w:t>
      </w:r>
      <w:r w:rsidR="005F1652">
        <w:t>, as</w:t>
      </w:r>
      <w:r w:rsidR="00B429B5">
        <w:t xml:space="preserve"> defined in section 9 of the NDIS Act</w:t>
      </w:r>
      <w:r w:rsidR="005F1652">
        <w:t>,</w:t>
      </w:r>
      <w:r w:rsidR="00B429B5">
        <w:t xml:space="preserve"> </w:t>
      </w:r>
      <w:r w:rsidR="003837DA">
        <w:t>with a risk management declaration signed by two directors</w:t>
      </w:r>
      <w:r w:rsidR="003837DA" w:rsidRPr="003837DA">
        <w:t xml:space="preserve"> </w:t>
      </w:r>
      <w:r w:rsidR="003837DA">
        <w:t xml:space="preserve">at the end of </w:t>
      </w:r>
      <w:r w:rsidR="00400883">
        <w:t>each</w:t>
      </w:r>
      <w:r w:rsidR="0059379F">
        <w:t xml:space="preserve"> financial year.  The relevant Ministerial Council is the Standing Council on Disability Reform.</w:t>
      </w:r>
    </w:p>
    <w:p w14:paraId="2478C4B4" w14:textId="77777777" w:rsidR="003837DA" w:rsidRDefault="00F176C3" w:rsidP="00CD4DCE">
      <w:pPr>
        <w:pStyle w:val="Bullet"/>
        <w:numPr>
          <w:ilvl w:val="0"/>
          <w:numId w:val="0"/>
        </w:numPr>
        <w:spacing w:after="120"/>
      </w:pPr>
      <w:r>
        <w:t>Subsection 10(2)</w:t>
      </w:r>
      <w:r w:rsidR="003837DA" w:rsidRPr="003837DA">
        <w:t xml:space="preserve"> </w:t>
      </w:r>
      <w:r w:rsidR="003837DA">
        <w:t xml:space="preserve">explains that </w:t>
      </w:r>
      <w:r w:rsidR="000236A0">
        <w:t xml:space="preserve">the </w:t>
      </w:r>
      <w:r w:rsidR="003837DA">
        <w:t>declaration should state that, to the best of the Board’s knowledge, having made appropriate enquiries</w:t>
      </w:r>
      <w:r w:rsidR="000236A0">
        <w:t>:</w:t>
      </w:r>
    </w:p>
    <w:p w14:paraId="481EF878" w14:textId="77777777" w:rsidR="000236A0" w:rsidRDefault="000236A0" w:rsidP="000236A0">
      <w:pPr>
        <w:pStyle w:val="Bullet"/>
      </w:pPr>
      <w:r>
        <w:t xml:space="preserve">the Agency has systems in place for ensuring compliance with the </w:t>
      </w:r>
      <w:r w:rsidR="005F1652">
        <w:t>NDIS</w:t>
      </w:r>
      <w:r w:rsidR="00404BA7">
        <w:t xml:space="preserve"> </w:t>
      </w:r>
      <w:r>
        <w:t xml:space="preserve">Act and the </w:t>
      </w:r>
      <w:r w:rsidRPr="000236A0">
        <w:rPr>
          <w:i/>
        </w:rPr>
        <w:t>Commonwealth Authorities and Companies Act 1997</w:t>
      </w:r>
      <w:r>
        <w:t xml:space="preserve">; </w:t>
      </w:r>
    </w:p>
    <w:p w14:paraId="672EED95" w14:textId="77777777" w:rsidR="000236A0" w:rsidRDefault="000236A0" w:rsidP="000236A0">
      <w:pPr>
        <w:pStyle w:val="Bullet"/>
      </w:pPr>
      <w:r>
        <w:t xml:space="preserve">the Board and senior management are satisfied with the efficacy of the processes and systems surrounding the production of financial information at the Agency; </w:t>
      </w:r>
    </w:p>
    <w:p w14:paraId="0E5D4CBE" w14:textId="77777777" w:rsidR="000236A0" w:rsidRDefault="000236A0" w:rsidP="000236A0">
      <w:pPr>
        <w:pStyle w:val="Bullet"/>
      </w:pPr>
      <w:r>
        <w:t>the Board has in place a ris</w:t>
      </w:r>
      <w:r w:rsidR="00400883">
        <w:t>k management strategy that comp</w:t>
      </w:r>
      <w:r>
        <w:t>l</w:t>
      </w:r>
      <w:r w:rsidR="00400883">
        <w:t>i</w:t>
      </w:r>
      <w:r>
        <w:t xml:space="preserve">es with the requirements of these </w:t>
      </w:r>
      <w:r w:rsidR="00400883">
        <w:t>r</w:t>
      </w:r>
      <w:r>
        <w:t xml:space="preserve">ules; </w:t>
      </w:r>
    </w:p>
    <w:p w14:paraId="2C55BFCF" w14:textId="77777777" w:rsidR="000236A0" w:rsidRDefault="000236A0" w:rsidP="000236A0">
      <w:pPr>
        <w:pStyle w:val="Bullet"/>
      </w:pPr>
      <w:r>
        <w:t xml:space="preserve">the Agency (including the Board) has, throughout the relevant financial year, substantially complied with the risk management strategy; </w:t>
      </w:r>
    </w:p>
    <w:p w14:paraId="70AC372C" w14:textId="77777777" w:rsidR="000236A0" w:rsidRDefault="000236A0" w:rsidP="000236A0">
      <w:pPr>
        <w:pStyle w:val="Bullet"/>
      </w:pPr>
      <w:r>
        <w:t xml:space="preserve">the risk management strategy is operating effectively; and </w:t>
      </w:r>
    </w:p>
    <w:p w14:paraId="19CD7E0F" w14:textId="77777777" w:rsidR="00073B32" w:rsidRPr="003837DA" w:rsidRDefault="000236A0" w:rsidP="000236A0">
      <w:pPr>
        <w:pStyle w:val="Bullet"/>
      </w:pPr>
      <w:proofErr w:type="gramStart"/>
      <w:r>
        <w:lastRenderedPageBreak/>
        <w:t>the</w:t>
      </w:r>
      <w:proofErr w:type="gramEnd"/>
      <w:r>
        <w:t xml:space="preserve"> risk management strategy in its present form has been submitted to and appr</w:t>
      </w:r>
      <w:r w:rsidR="0059379F">
        <w:t>oved by the Ministerial Council.  The relevant Ministerial Council is the Standing Council on Disability Reform.</w:t>
      </w:r>
    </w:p>
    <w:p w14:paraId="7B69CEA7" w14:textId="77777777" w:rsidR="00CF4729" w:rsidRDefault="00F176C3" w:rsidP="00AE2EF8">
      <w:pPr>
        <w:pStyle w:val="Bullet"/>
        <w:numPr>
          <w:ilvl w:val="0"/>
          <w:numId w:val="0"/>
        </w:numPr>
        <w:spacing w:after="120"/>
      </w:pPr>
      <w:r>
        <w:t>Section</w:t>
      </w:r>
      <w:r w:rsidR="00073B32" w:rsidRPr="009F522D">
        <w:t xml:space="preserve"> 11</w:t>
      </w:r>
      <w:r w:rsidR="00427410">
        <w:rPr>
          <w:b/>
        </w:rPr>
        <w:t xml:space="preserve"> </w:t>
      </w:r>
      <w:r w:rsidR="005F1652">
        <w:t>provides</w:t>
      </w:r>
      <w:r w:rsidR="00AE2EF8">
        <w:t xml:space="preserve"> that </w:t>
      </w:r>
      <w:r w:rsidR="002F4308">
        <w:t>the</w:t>
      </w:r>
      <w:r w:rsidR="00AE2EF8">
        <w:t xml:space="preserve"> Board may qualify a risk management declaration</w:t>
      </w:r>
      <w:r w:rsidR="00205990">
        <w:t xml:space="preserve"> and that</w:t>
      </w:r>
      <w:r w:rsidR="00AE2EF8">
        <w:t xml:space="preserve"> the qualification must describe</w:t>
      </w:r>
      <w:r w:rsidR="00205990">
        <w:t xml:space="preserve"> the circumstances giving rise to the qualification, any contravention of the Board’s obligations under the NDIS Act or these </w:t>
      </w:r>
      <w:r w:rsidR="00400883">
        <w:t>r</w:t>
      </w:r>
      <w:r w:rsidR="00205990">
        <w:t>ules and the steps taken, or proposed to be taken, to remedy the circumstances giving rise to the qualification</w:t>
      </w:r>
      <w:r w:rsidR="00AE2EF8">
        <w:t>.</w:t>
      </w:r>
      <w:r w:rsidR="00911237" w:rsidRPr="00911237">
        <w:rPr>
          <w:b/>
        </w:rPr>
        <w:t xml:space="preserve"> </w:t>
      </w:r>
    </w:p>
    <w:p w14:paraId="2529C844" w14:textId="77777777" w:rsidR="00CF4729" w:rsidRDefault="00CF4729" w:rsidP="00CF4729">
      <w:pPr>
        <w:pStyle w:val="Bullet"/>
        <w:numPr>
          <w:ilvl w:val="0"/>
          <w:numId w:val="0"/>
        </w:numPr>
        <w:rPr>
          <w:b/>
        </w:rPr>
      </w:pPr>
      <w:r>
        <w:rPr>
          <w:b/>
        </w:rPr>
        <w:t>Regulation Impact Statement</w:t>
      </w:r>
    </w:p>
    <w:p w14:paraId="4EF4AC3F" w14:textId="77777777" w:rsidR="00CF4729" w:rsidRDefault="00CF4729" w:rsidP="00CF4729">
      <w:pPr>
        <w:pStyle w:val="Bullet"/>
        <w:numPr>
          <w:ilvl w:val="0"/>
          <w:numId w:val="0"/>
        </w:numPr>
        <w:ind w:left="-14" w:firstLine="14"/>
      </w:pPr>
      <w:r>
        <w:t>The Office of Best Practice Regulation has advised that a Regulation Impact Statement is not required</w:t>
      </w:r>
      <w:r w:rsidR="00205990">
        <w:t xml:space="preserve"> as the rules have a minor impact on business and the not-for-profit sector</w:t>
      </w:r>
      <w:r>
        <w:t>.</w:t>
      </w:r>
    </w:p>
    <w:p w14:paraId="1B80DB09" w14:textId="77777777" w:rsidR="00CF4729" w:rsidRDefault="00CF4729" w:rsidP="00CF4729">
      <w:pPr>
        <w:pStyle w:val="Bullet"/>
        <w:numPr>
          <w:ilvl w:val="0"/>
          <w:numId w:val="0"/>
        </w:numPr>
        <w:ind w:left="-11" w:firstLine="11"/>
      </w:pPr>
      <w:r>
        <w:rPr>
          <w:b/>
        </w:rPr>
        <w:t>Statement of Compatibility with Human Rights</w:t>
      </w:r>
    </w:p>
    <w:p w14:paraId="395F9C32" w14:textId="77777777" w:rsidR="00CF4729" w:rsidRPr="00D2731D" w:rsidRDefault="00CF4729" w:rsidP="00CF4729">
      <w:pPr>
        <w:spacing w:before="120" w:after="120" w:line="240" w:lineRule="auto"/>
        <w:rPr>
          <w:rFonts w:ascii="Times New Roman" w:eastAsia="Times New Roman" w:hAnsi="Times New Roman" w:cs="Times New Roman"/>
          <w:sz w:val="24"/>
          <w:szCs w:val="24"/>
          <w:lang w:eastAsia="en-AU"/>
        </w:rPr>
      </w:pPr>
      <w:r w:rsidRPr="00D2731D">
        <w:rPr>
          <w:rFonts w:ascii="Times New Roman" w:eastAsia="Times New Roman" w:hAnsi="Times New Roman" w:cs="Times New Roman"/>
          <w:i/>
          <w:iCs/>
          <w:sz w:val="24"/>
          <w:szCs w:val="24"/>
          <w:lang w:eastAsia="en-AU"/>
        </w:rPr>
        <w:t>Prepared in accordance with Part 3 of the Human Rights (Parliamentary Scrutiny) Act 2011</w:t>
      </w:r>
    </w:p>
    <w:p w14:paraId="23F7FF49" w14:textId="77777777" w:rsidR="00CF4729" w:rsidRDefault="00CF4729" w:rsidP="00CF4729">
      <w:pPr>
        <w:spacing w:before="120" w:after="120" w:line="240" w:lineRule="auto"/>
        <w:rPr>
          <w:rFonts w:ascii="Times New Roman" w:eastAsia="Times New Roman" w:hAnsi="Times New Roman" w:cs="Times New Roman"/>
          <w:sz w:val="24"/>
          <w:szCs w:val="24"/>
          <w:lang w:eastAsia="en-AU"/>
        </w:rPr>
      </w:pPr>
      <w:r w:rsidRPr="00D2731D">
        <w:rPr>
          <w:rFonts w:ascii="Times New Roman" w:eastAsia="Times New Roman" w:hAnsi="Times New Roman" w:cs="Times New Roman"/>
          <w:sz w:val="24"/>
          <w:szCs w:val="24"/>
          <w:lang w:eastAsia="en-AU"/>
        </w:rPr>
        <w:t>This Legislative Instrument does not engage any of the applicable rights or freedoms.</w:t>
      </w:r>
      <w:r>
        <w:rPr>
          <w:rFonts w:ascii="Times New Roman" w:eastAsia="Times New Roman" w:hAnsi="Times New Roman" w:cs="Times New Roman"/>
          <w:sz w:val="24"/>
          <w:szCs w:val="24"/>
          <w:lang w:eastAsia="en-AU"/>
        </w:rPr>
        <w:t xml:space="preserve">  </w:t>
      </w:r>
      <w:r w:rsidRPr="00D2731D">
        <w:rPr>
          <w:rFonts w:ascii="Times New Roman" w:eastAsia="Times New Roman" w:hAnsi="Times New Roman" w:cs="Times New Roman"/>
          <w:sz w:val="24"/>
          <w:szCs w:val="24"/>
          <w:lang w:eastAsia="en-AU"/>
        </w:rPr>
        <w:t>This Legislative Instrument is compatible with human rights as it does not raise any human rights issues.</w:t>
      </w:r>
    </w:p>
    <w:p w14:paraId="7C09542E" w14:textId="77777777" w:rsidR="002F74E1" w:rsidRPr="00CF4729" w:rsidRDefault="002F74E1" w:rsidP="00CF4729">
      <w:pPr>
        <w:rPr>
          <w:lang w:eastAsia="en-AU"/>
        </w:rPr>
      </w:pPr>
    </w:p>
    <w:sectPr w:rsidR="002F74E1" w:rsidRPr="00CF47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5F29D" w14:textId="77777777" w:rsidR="00404BA7" w:rsidRDefault="00404BA7" w:rsidP="00404BA7">
      <w:pPr>
        <w:spacing w:after="0" w:line="240" w:lineRule="auto"/>
      </w:pPr>
      <w:r>
        <w:separator/>
      </w:r>
    </w:p>
  </w:endnote>
  <w:endnote w:type="continuationSeparator" w:id="0">
    <w:p w14:paraId="54E293CA" w14:textId="77777777" w:rsidR="00404BA7" w:rsidRDefault="00404BA7" w:rsidP="0040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F5F8D" w14:textId="77777777" w:rsidR="00404BA7" w:rsidRDefault="00404BA7" w:rsidP="00404BA7">
      <w:pPr>
        <w:spacing w:after="0" w:line="240" w:lineRule="auto"/>
      </w:pPr>
      <w:r>
        <w:separator/>
      </w:r>
    </w:p>
  </w:footnote>
  <w:footnote w:type="continuationSeparator" w:id="0">
    <w:p w14:paraId="3E76FA45" w14:textId="77777777" w:rsidR="00404BA7" w:rsidRDefault="00404BA7" w:rsidP="00404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E0DAAAE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73"/>
    <w:rsid w:val="000236A0"/>
    <w:rsid w:val="00025625"/>
    <w:rsid w:val="00035C6C"/>
    <w:rsid w:val="00063160"/>
    <w:rsid w:val="00073B32"/>
    <w:rsid w:val="000C638B"/>
    <w:rsid w:val="000D2821"/>
    <w:rsid w:val="001125F7"/>
    <w:rsid w:val="00126F2F"/>
    <w:rsid w:val="00195656"/>
    <w:rsid w:val="001974F5"/>
    <w:rsid w:val="00205990"/>
    <w:rsid w:val="0022393C"/>
    <w:rsid w:val="00237519"/>
    <w:rsid w:val="0025174D"/>
    <w:rsid w:val="00284B8E"/>
    <w:rsid w:val="002F4308"/>
    <w:rsid w:val="002F74E1"/>
    <w:rsid w:val="00321C3C"/>
    <w:rsid w:val="00331E19"/>
    <w:rsid w:val="003837DA"/>
    <w:rsid w:val="00400883"/>
    <w:rsid w:val="00404BA7"/>
    <w:rsid w:val="00427410"/>
    <w:rsid w:val="00476EA9"/>
    <w:rsid w:val="00492C95"/>
    <w:rsid w:val="004B38C6"/>
    <w:rsid w:val="004E4D00"/>
    <w:rsid w:val="005304BB"/>
    <w:rsid w:val="00531639"/>
    <w:rsid w:val="00552AC7"/>
    <w:rsid w:val="00552EC1"/>
    <w:rsid w:val="00572108"/>
    <w:rsid w:val="00577D7D"/>
    <w:rsid w:val="0059379F"/>
    <w:rsid w:val="005F1652"/>
    <w:rsid w:val="00613768"/>
    <w:rsid w:val="00627A14"/>
    <w:rsid w:val="0065090D"/>
    <w:rsid w:val="00656599"/>
    <w:rsid w:val="006A3B7C"/>
    <w:rsid w:val="006B4AAE"/>
    <w:rsid w:val="006E3346"/>
    <w:rsid w:val="00737E39"/>
    <w:rsid w:val="0074052B"/>
    <w:rsid w:val="007407B1"/>
    <w:rsid w:val="00745B34"/>
    <w:rsid w:val="007626BB"/>
    <w:rsid w:val="007F4C46"/>
    <w:rsid w:val="00832619"/>
    <w:rsid w:val="00833249"/>
    <w:rsid w:val="008A4A9F"/>
    <w:rsid w:val="00911237"/>
    <w:rsid w:val="00930306"/>
    <w:rsid w:val="00943FFD"/>
    <w:rsid w:val="00963292"/>
    <w:rsid w:val="00990885"/>
    <w:rsid w:val="009F522D"/>
    <w:rsid w:val="00A431F5"/>
    <w:rsid w:val="00AE2EF8"/>
    <w:rsid w:val="00B16FA7"/>
    <w:rsid w:val="00B30D24"/>
    <w:rsid w:val="00B429B5"/>
    <w:rsid w:val="00B46CDA"/>
    <w:rsid w:val="00BD47A0"/>
    <w:rsid w:val="00BE62C6"/>
    <w:rsid w:val="00C43ABD"/>
    <w:rsid w:val="00C57ACA"/>
    <w:rsid w:val="00C631F4"/>
    <w:rsid w:val="00C82A49"/>
    <w:rsid w:val="00CA73F3"/>
    <w:rsid w:val="00CC6972"/>
    <w:rsid w:val="00CD4DCE"/>
    <w:rsid w:val="00CE2B37"/>
    <w:rsid w:val="00CF4729"/>
    <w:rsid w:val="00D07F95"/>
    <w:rsid w:val="00D12594"/>
    <w:rsid w:val="00D41801"/>
    <w:rsid w:val="00D42BC9"/>
    <w:rsid w:val="00D77266"/>
    <w:rsid w:val="00D84195"/>
    <w:rsid w:val="00E55078"/>
    <w:rsid w:val="00E6775F"/>
    <w:rsid w:val="00E7564A"/>
    <w:rsid w:val="00EA3ADF"/>
    <w:rsid w:val="00EB1F8C"/>
    <w:rsid w:val="00EF60DE"/>
    <w:rsid w:val="00F176C3"/>
    <w:rsid w:val="00F37373"/>
    <w:rsid w:val="00F8101B"/>
    <w:rsid w:val="00FB2167"/>
    <w:rsid w:val="00FB4005"/>
    <w:rsid w:val="00FB59BD"/>
    <w:rsid w:val="00FD770C"/>
    <w:rsid w:val="00FE3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73"/>
  </w:style>
  <w:style w:type="paragraph" w:styleId="Heading1">
    <w:name w:val="heading 1"/>
    <w:basedOn w:val="Normal"/>
    <w:link w:val="Heading1Char"/>
    <w:uiPriority w:val="9"/>
    <w:qFormat/>
    <w:rsid w:val="00C43ABD"/>
    <w:pPr>
      <w:spacing w:before="100" w:beforeAutospacing="1" w:after="120" w:line="240" w:lineRule="auto"/>
      <w:outlineLvl w:val="0"/>
    </w:pPr>
    <w:rPr>
      <w:rFonts w:ascii="Helvetica" w:eastAsia="Times New Roman" w:hAnsi="Helvetica" w:cs="Helvetica"/>
      <w:b/>
      <w:bCs/>
      <w:kern w:val="36"/>
      <w:sz w:val="48"/>
      <w:szCs w:val="48"/>
      <w:lang w:eastAsia="en-AU"/>
    </w:rPr>
  </w:style>
  <w:style w:type="paragraph" w:styleId="Heading2">
    <w:name w:val="heading 2"/>
    <w:basedOn w:val="Normal"/>
    <w:link w:val="Heading2Char"/>
    <w:uiPriority w:val="9"/>
    <w:qFormat/>
    <w:rsid w:val="00C43ABD"/>
    <w:pPr>
      <w:spacing w:before="100" w:beforeAutospacing="1" w:after="120" w:line="240" w:lineRule="auto"/>
      <w:outlineLvl w:val="1"/>
    </w:pPr>
    <w:rPr>
      <w:rFonts w:ascii="Helvetica" w:eastAsia="Times New Roman" w:hAnsi="Helvetica" w:cs="Helvetica"/>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F37373"/>
    <w:pPr>
      <w:numPr>
        <w:numId w:val="2"/>
      </w:numPr>
      <w:spacing w:after="240" w:line="240" w:lineRule="auto"/>
    </w:pPr>
    <w:rPr>
      <w:rFonts w:ascii="Times New Roman" w:eastAsia="Times New Roman" w:hAnsi="Times New Roman" w:cs="Times New Roman"/>
      <w:sz w:val="24"/>
      <w:szCs w:val="20"/>
      <w:lang w:eastAsia="en-AU"/>
    </w:rPr>
  </w:style>
  <w:style w:type="paragraph" w:customStyle="1" w:styleId="Dash">
    <w:name w:val="Dash"/>
    <w:basedOn w:val="Normal"/>
    <w:rsid w:val="00F37373"/>
    <w:pPr>
      <w:numPr>
        <w:ilvl w:val="1"/>
        <w:numId w:val="2"/>
      </w:numPr>
      <w:spacing w:after="240" w:line="240" w:lineRule="auto"/>
    </w:pPr>
    <w:rPr>
      <w:rFonts w:ascii="Times New Roman" w:eastAsia="Times New Roman" w:hAnsi="Times New Roman" w:cs="Times New Roman"/>
      <w:sz w:val="24"/>
      <w:szCs w:val="20"/>
      <w:lang w:eastAsia="en-AU"/>
    </w:rPr>
  </w:style>
  <w:style w:type="paragraph" w:customStyle="1" w:styleId="DoubleDot">
    <w:name w:val="Double Dot"/>
    <w:basedOn w:val="Normal"/>
    <w:rsid w:val="00F37373"/>
    <w:pPr>
      <w:numPr>
        <w:ilvl w:val="2"/>
        <w:numId w:val="2"/>
      </w:numPr>
      <w:spacing w:after="240" w:line="240" w:lineRule="auto"/>
    </w:pPr>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E7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64A"/>
    <w:rPr>
      <w:rFonts w:ascii="Tahoma" w:hAnsi="Tahoma" w:cs="Tahoma"/>
      <w:sz w:val="16"/>
      <w:szCs w:val="16"/>
    </w:rPr>
  </w:style>
  <w:style w:type="character" w:styleId="CommentReference">
    <w:name w:val="annotation reference"/>
    <w:basedOn w:val="DefaultParagraphFont"/>
    <w:uiPriority w:val="99"/>
    <w:semiHidden/>
    <w:unhideWhenUsed/>
    <w:rsid w:val="00E7564A"/>
    <w:rPr>
      <w:sz w:val="16"/>
      <w:szCs w:val="16"/>
    </w:rPr>
  </w:style>
  <w:style w:type="paragraph" w:styleId="CommentText">
    <w:name w:val="annotation text"/>
    <w:basedOn w:val="Normal"/>
    <w:link w:val="CommentTextChar"/>
    <w:uiPriority w:val="99"/>
    <w:unhideWhenUsed/>
    <w:rsid w:val="00E7564A"/>
    <w:pPr>
      <w:spacing w:line="240" w:lineRule="auto"/>
    </w:pPr>
    <w:rPr>
      <w:sz w:val="20"/>
      <w:szCs w:val="20"/>
    </w:rPr>
  </w:style>
  <w:style w:type="character" w:customStyle="1" w:styleId="CommentTextChar">
    <w:name w:val="Comment Text Char"/>
    <w:basedOn w:val="DefaultParagraphFont"/>
    <w:link w:val="CommentText"/>
    <w:uiPriority w:val="99"/>
    <w:rsid w:val="00E7564A"/>
    <w:rPr>
      <w:sz w:val="20"/>
      <w:szCs w:val="20"/>
    </w:rPr>
  </w:style>
  <w:style w:type="paragraph" w:styleId="CommentSubject">
    <w:name w:val="annotation subject"/>
    <w:basedOn w:val="CommentText"/>
    <w:next w:val="CommentText"/>
    <w:link w:val="CommentSubjectChar"/>
    <w:uiPriority w:val="99"/>
    <w:semiHidden/>
    <w:unhideWhenUsed/>
    <w:rsid w:val="00E7564A"/>
    <w:rPr>
      <w:b/>
      <w:bCs/>
    </w:rPr>
  </w:style>
  <w:style w:type="character" w:customStyle="1" w:styleId="CommentSubjectChar">
    <w:name w:val="Comment Subject Char"/>
    <w:basedOn w:val="CommentTextChar"/>
    <w:link w:val="CommentSubject"/>
    <w:uiPriority w:val="99"/>
    <w:semiHidden/>
    <w:rsid w:val="00E7564A"/>
    <w:rPr>
      <w:b/>
      <w:bCs/>
      <w:sz w:val="20"/>
      <w:szCs w:val="20"/>
    </w:rPr>
  </w:style>
  <w:style w:type="paragraph" w:styleId="PlainText">
    <w:name w:val="Plain Text"/>
    <w:basedOn w:val="Normal"/>
    <w:link w:val="PlainTextChar"/>
    <w:uiPriority w:val="99"/>
    <w:unhideWhenUsed/>
    <w:rsid w:val="00FD77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D770C"/>
    <w:rPr>
      <w:rFonts w:ascii="Calibri" w:hAnsi="Calibri"/>
      <w:szCs w:val="21"/>
    </w:rPr>
  </w:style>
  <w:style w:type="paragraph" w:styleId="Header">
    <w:name w:val="header"/>
    <w:basedOn w:val="Normal"/>
    <w:link w:val="HeaderChar"/>
    <w:uiPriority w:val="99"/>
    <w:unhideWhenUsed/>
    <w:rsid w:val="00404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BA7"/>
  </w:style>
  <w:style w:type="paragraph" w:styleId="Footer">
    <w:name w:val="footer"/>
    <w:basedOn w:val="Normal"/>
    <w:link w:val="FooterChar"/>
    <w:uiPriority w:val="99"/>
    <w:unhideWhenUsed/>
    <w:rsid w:val="00404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BA7"/>
  </w:style>
  <w:style w:type="character" w:customStyle="1" w:styleId="Heading1Char">
    <w:name w:val="Heading 1 Char"/>
    <w:basedOn w:val="DefaultParagraphFont"/>
    <w:link w:val="Heading1"/>
    <w:uiPriority w:val="9"/>
    <w:rsid w:val="00C43ABD"/>
    <w:rPr>
      <w:rFonts w:ascii="Helvetica" w:eastAsia="Times New Roman" w:hAnsi="Helvetica" w:cs="Helvetica"/>
      <w:b/>
      <w:bCs/>
      <w:kern w:val="36"/>
      <w:sz w:val="48"/>
      <w:szCs w:val="48"/>
      <w:lang w:eastAsia="en-AU"/>
    </w:rPr>
  </w:style>
  <w:style w:type="character" w:customStyle="1" w:styleId="Heading2Char">
    <w:name w:val="Heading 2 Char"/>
    <w:basedOn w:val="DefaultParagraphFont"/>
    <w:link w:val="Heading2"/>
    <w:uiPriority w:val="9"/>
    <w:rsid w:val="00C43ABD"/>
    <w:rPr>
      <w:rFonts w:ascii="Helvetica" w:eastAsia="Times New Roman" w:hAnsi="Helvetica" w:cs="Helvetica"/>
      <w:b/>
      <w:bCs/>
      <w:sz w:val="36"/>
      <w:szCs w:val="3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73"/>
  </w:style>
  <w:style w:type="paragraph" w:styleId="Heading1">
    <w:name w:val="heading 1"/>
    <w:basedOn w:val="Normal"/>
    <w:link w:val="Heading1Char"/>
    <w:uiPriority w:val="9"/>
    <w:qFormat/>
    <w:rsid w:val="00C43ABD"/>
    <w:pPr>
      <w:spacing w:before="100" w:beforeAutospacing="1" w:after="120" w:line="240" w:lineRule="auto"/>
      <w:outlineLvl w:val="0"/>
    </w:pPr>
    <w:rPr>
      <w:rFonts w:ascii="Helvetica" w:eastAsia="Times New Roman" w:hAnsi="Helvetica" w:cs="Helvetica"/>
      <w:b/>
      <w:bCs/>
      <w:kern w:val="36"/>
      <w:sz w:val="48"/>
      <w:szCs w:val="48"/>
      <w:lang w:eastAsia="en-AU"/>
    </w:rPr>
  </w:style>
  <w:style w:type="paragraph" w:styleId="Heading2">
    <w:name w:val="heading 2"/>
    <w:basedOn w:val="Normal"/>
    <w:link w:val="Heading2Char"/>
    <w:uiPriority w:val="9"/>
    <w:qFormat/>
    <w:rsid w:val="00C43ABD"/>
    <w:pPr>
      <w:spacing w:before="100" w:beforeAutospacing="1" w:after="120" w:line="240" w:lineRule="auto"/>
      <w:outlineLvl w:val="1"/>
    </w:pPr>
    <w:rPr>
      <w:rFonts w:ascii="Helvetica" w:eastAsia="Times New Roman" w:hAnsi="Helvetica" w:cs="Helvetica"/>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F37373"/>
    <w:pPr>
      <w:numPr>
        <w:numId w:val="2"/>
      </w:numPr>
      <w:spacing w:after="240" w:line="240" w:lineRule="auto"/>
    </w:pPr>
    <w:rPr>
      <w:rFonts w:ascii="Times New Roman" w:eastAsia="Times New Roman" w:hAnsi="Times New Roman" w:cs="Times New Roman"/>
      <w:sz w:val="24"/>
      <w:szCs w:val="20"/>
      <w:lang w:eastAsia="en-AU"/>
    </w:rPr>
  </w:style>
  <w:style w:type="paragraph" w:customStyle="1" w:styleId="Dash">
    <w:name w:val="Dash"/>
    <w:basedOn w:val="Normal"/>
    <w:rsid w:val="00F37373"/>
    <w:pPr>
      <w:numPr>
        <w:ilvl w:val="1"/>
        <w:numId w:val="2"/>
      </w:numPr>
      <w:spacing w:after="240" w:line="240" w:lineRule="auto"/>
    </w:pPr>
    <w:rPr>
      <w:rFonts w:ascii="Times New Roman" w:eastAsia="Times New Roman" w:hAnsi="Times New Roman" w:cs="Times New Roman"/>
      <w:sz w:val="24"/>
      <w:szCs w:val="20"/>
      <w:lang w:eastAsia="en-AU"/>
    </w:rPr>
  </w:style>
  <w:style w:type="paragraph" w:customStyle="1" w:styleId="DoubleDot">
    <w:name w:val="Double Dot"/>
    <w:basedOn w:val="Normal"/>
    <w:rsid w:val="00F37373"/>
    <w:pPr>
      <w:numPr>
        <w:ilvl w:val="2"/>
        <w:numId w:val="2"/>
      </w:numPr>
      <w:spacing w:after="240" w:line="240" w:lineRule="auto"/>
    </w:pPr>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E7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64A"/>
    <w:rPr>
      <w:rFonts w:ascii="Tahoma" w:hAnsi="Tahoma" w:cs="Tahoma"/>
      <w:sz w:val="16"/>
      <w:szCs w:val="16"/>
    </w:rPr>
  </w:style>
  <w:style w:type="character" w:styleId="CommentReference">
    <w:name w:val="annotation reference"/>
    <w:basedOn w:val="DefaultParagraphFont"/>
    <w:uiPriority w:val="99"/>
    <w:semiHidden/>
    <w:unhideWhenUsed/>
    <w:rsid w:val="00E7564A"/>
    <w:rPr>
      <w:sz w:val="16"/>
      <w:szCs w:val="16"/>
    </w:rPr>
  </w:style>
  <w:style w:type="paragraph" w:styleId="CommentText">
    <w:name w:val="annotation text"/>
    <w:basedOn w:val="Normal"/>
    <w:link w:val="CommentTextChar"/>
    <w:uiPriority w:val="99"/>
    <w:unhideWhenUsed/>
    <w:rsid w:val="00E7564A"/>
    <w:pPr>
      <w:spacing w:line="240" w:lineRule="auto"/>
    </w:pPr>
    <w:rPr>
      <w:sz w:val="20"/>
      <w:szCs w:val="20"/>
    </w:rPr>
  </w:style>
  <w:style w:type="character" w:customStyle="1" w:styleId="CommentTextChar">
    <w:name w:val="Comment Text Char"/>
    <w:basedOn w:val="DefaultParagraphFont"/>
    <w:link w:val="CommentText"/>
    <w:uiPriority w:val="99"/>
    <w:rsid w:val="00E7564A"/>
    <w:rPr>
      <w:sz w:val="20"/>
      <w:szCs w:val="20"/>
    </w:rPr>
  </w:style>
  <w:style w:type="paragraph" w:styleId="CommentSubject">
    <w:name w:val="annotation subject"/>
    <w:basedOn w:val="CommentText"/>
    <w:next w:val="CommentText"/>
    <w:link w:val="CommentSubjectChar"/>
    <w:uiPriority w:val="99"/>
    <w:semiHidden/>
    <w:unhideWhenUsed/>
    <w:rsid w:val="00E7564A"/>
    <w:rPr>
      <w:b/>
      <w:bCs/>
    </w:rPr>
  </w:style>
  <w:style w:type="character" w:customStyle="1" w:styleId="CommentSubjectChar">
    <w:name w:val="Comment Subject Char"/>
    <w:basedOn w:val="CommentTextChar"/>
    <w:link w:val="CommentSubject"/>
    <w:uiPriority w:val="99"/>
    <w:semiHidden/>
    <w:rsid w:val="00E7564A"/>
    <w:rPr>
      <w:b/>
      <w:bCs/>
      <w:sz w:val="20"/>
      <w:szCs w:val="20"/>
    </w:rPr>
  </w:style>
  <w:style w:type="paragraph" w:styleId="PlainText">
    <w:name w:val="Plain Text"/>
    <w:basedOn w:val="Normal"/>
    <w:link w:val="PlainTextChar"/>
    <w:uiPriority w:val="99"/>
    <w:unhideWhenUsed/>
    <w:rsid w:val="00FD77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D770C"/>
    <w:rPr>
      <w:rFonts w:ascii="Calibri" w:hAnsi="Calibri"/>
      <w:szCs w:val="21"/>
    </w:rPr>
  </w:style>
  <w:style w:type="paragraph" w:styleId="Header">
    <w:name w:val="header"/>
    <w:basedOn w:val="Normal"/>
    <w:link w:val="HeaderChar"/>
    <w:uiPriority w:val="99"/>
    <w:unhideWhenUsed/>
    <w:rsid w:val="00404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BA7"/>
  </w:style>
  <w:style w:type="paragraph" w:styleId="Footer">
    <w:name w:val="footer"/>
    <w:basedOn w:val="Normal"/>
    <w:link w:val="FooterChar"/>
    <w:uiPriority w:val="99"/>
    <w:unhideWhenUsed/>
    <w:rsid w:val="00404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BA7"/>
  </w:style>
  <w:style w:type="character" w:customStyle="1" w:styleId="Heading1Char">
    <w:name w:val="Heading 1 Char"/>
    <w:basedOn w:val="DefaultParagraphFont"/>
    <w:link w:val="Heading1"/>
    <w:uiPriority w:val="9"/>
    <w:rsid w:val="00C43ABD"/>
    <w:rPr>
      <w:rFonts w:ascii="Helvetica" w:eastAsia="Times New Roman" w:hAnsi="Helvetica" w:cs="Helvetica"/>
      <w:b/>
      <w:bCs/>
      <w:kern w:val="36"/>
      <w:sz w:val="48"/>
      <w:szCs w:val="48"/>
      <w:lang w:eastAsia="en-AU"/>
    </w:rPr>
  </w:style>
  <w:style w:type="character" w:customStyle="1" w:styleId="Heading2Char">
    <w:name w:val="Heading 2 Char"/>
    <w:basedOn w:val="DefaultParagraphFont"/>
    <w:link w:val="Heading2"/>
    <w:uiPriority w:val="9"/>
    <w:rsid w:val="00C43ABD"/>
    <w:rPr>
      <w:rFonts w:ascii="Helvetica" w:eastAsia="Times New Roman" w:hAnsi="Helvetica" w:cs="Helvetica"/>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71085">
      <w:bodyDiv w:val="1"/>
      <w:marLeft w:val="0"/>
      <w:marRight w:val="0"/>
      <w:marTop w:val="0"/>
      <w:marBottom w:val="0"/>
      <w:divBdr>
        <w:top w:val="none" w:sz="0" w:space="0" w:color="auto"/>
        <w:left w:val="none" w:sz="0" w:space="0" w:color="auto"/>
        <w:bottom w:val="none" w:sz="0" w:space="0" w:color="auto"/>
        <w:right w:val="none" w:sz="0" w:space="0" w:color="auto"/>
      </w:divBdr>
      <w:divsChild>
        <w:div w:id="1450126206">
          <w:marLeft w:val="0"/>
          <w:marRight w:val="0"/>
          <w:marTop w:val="0"/>
          <w:marBottom w:val="0"/>
          <w:divBdr>
            <w:top w:val="none" w:sz="0" w:space="0" w:color="auto"/>
            <w:left w:val="none" w:sz="0" w:space="0" w:color="auto"/>
            <w:bottom w:val="none" w:sz="0" w:space="0" w:color="auto"/>
            <w:right w:val="none" w:sz="0" w:space="0" w:color="auto"/>
          </w:divBdr>
          <w:divsChild>
            <w:div w:id="807014403">
              <w:marLeft w:val="0"/>
              <w:marRight w:val="0"/>
              <w:marTop w:val="0"/>
              <w:marBottom w:val="0"/>
              <w:divBdr>
                <w:top w:val="none" w:sz="0" w:space="0" w:color="auto"/>
                <w:left w:val="none" w:sz="0" w:space="0" w:color="auto"/>
                <w:bottom w:val="none" w:sz="0" w:space="0" w:color="auto"/>
                <w:right w:val="none" w:sz="0" w:space="0" w:color="auto"/>
              </w:divBdr>
              <w:divsChild>
                <w:div w:id="6608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23" ma:contentTypeDescription="If you are creating a Word, PowerPoint or Excel document use the options available in the drop down list; for all other documents leave the content type as General Content." ma:contentTypeScope="" ma:versionID="53dc7e552d959ada8d97302801dbabe7">
  <xsd:schema xmlns:xsd="http://www.w3.org/2001/XMLSchema" xmlns:xs="http://www.w3.org/2001/XMLSchema" xmlns:p="http://schemas.microsoft.com/office/2006/metadata/properties" xmlns:ns2="378b04f6-f261-4499-b462-41ddd755ff66" targetNamespace="http://schemas.microsoft.com/office/2006/metadata/properties" ma:root="true" ma:fieldsID="8b996ababbe5a57890161772b35c4b0b" ns2:_="">
    <xsd:import namespace="378b04f6-f261-4499-b462-41ddd755ff66"/>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 Audit Policy</p:Name>
  <p:Description/>
  <p:Statement/>
  <p:PolicyItems>
    <p:PolicyItem featureId="Microsoft.Office.RecordsManagement.PolicyFeatures.PolicyAudit" staticId="0x010100E726210826AA43828690450C811EB923|1757814118" UniqueId="cd6ee51b-74b3-452a-9d55-03bd9a48be8f">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6C02-0870-49F8-932A-727D9918E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B4E89-44D4-4CBF-91F4-4BC24660729B}">
  <ds:schemaRefs>
    <ds:schemaRef ds:uri="office.server.policy"/>
  </ds:schemaRefs>
</ds:datastoreItem>
</file>

<file path=customXml/itemProps3.xml><?xml version="1.0" encoding="utf-8"?>
<ds:datastoreItem xmlns:ds="http://schemas.openxmlformats.org/officeDocument/2006/customXml" ds:itemID="{F98AF3D8-E9C8-4D82-A79C-A3C02AD3E2CD}">
  <ds:schemaRefs>
    <ds:schemaRef ds:uri="http://schemas.microsoft.com/sharepoint/v3/contenttype/forms"/>
  </ds:schemaRefs>
</ds:datastoreItem>
</file>

<file path=customXml/itemProps4.xml><?xml version="1.0" encoding="utf-8"?>
<ds:datastoreItem xmlns:ds="http://schemas.openxmlformats.org/officeDocument/2006/customXml" ds:itemID="{0E341B9E-B84D-44D6-9403-104F30194E22}">
  <ds:schemaRefs>
    <ds:schemaRef ds:uri="http://schemas.microsoft.com/office/infopath/2007/PartnerControl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378b04f6-f261-4499-b462-41ddd755ff66"/>
    <ds:schemaRef ds:uri="http://purl.org/dc/terms/"/>
  </ds:schemaRefs>
</ds:datastoreItem>
</file>

<file path=customXml/itemProps5.xml><?xml version="1.0" encoding="utf-8"?>
<ds:datastoreItem xmlns:ds="http://schemas.openxmlformats.org/officeDocument/2006/customXml" ds:itemID="{674FF656-F0D2-4A37-8833-4367E4FF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1754</Words>
  <Characters>9999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Gartmann, Sigi</dc:creator>
  <cp:lastModifiedBy>Hogan, Kevin</cp:lastModifiedBy>
  <cp:revision>2</cp:revision>
  <cp:lastPrinted>2013-06-25T01:20:00Z</cp:lastPrinted>
  <dcterms:created xsi:type="dcterms:W3CDTF">2013-06-26T05:50:00Z</dcterms:created>
  <dcterms:modified xsi:type="dcterms:W3CDTF">2013-06-26T05:50:00Z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-237647672</vt:i4>
  </property>
  <property fmtid="{D5CDD505-2E9C-101B-9397-08002B2CF9AE}" pid="3" name="_NewReviewCycle">
    <vt:lpwstr/>
  </property>
  <property fmtid="{D5CDD505-2E9C-101B-9397-08002B2CF9AE}" pid="4" name="_EmailSubject">
    <vt:lpwstr>For information - EM - DisabilityCare Australia - Rules for risk management and scheme actuary [DLM=For-Official-Use-Only]</vt:lpwstr>
  </property>
  <property fmtid="{D5CDD505-2E9C-101B-9397-08002B2CF9AE}" pid="5" name="_AuthorEmail">
    <vt:lpwstr>Julie.Chan@treasury.gov.au</vt:lpwstr>
  </property>
  <property fmtid="{D5CDD505-2E9C-101B-9397-08002B2CF9AE}" pid="6" name="_AuthorEmailDisplayName">
    <vt:lpwstr>Chan, Julie</vt:lpwstr>
  </property>
  <property fmtid="{D5CDD505-2E9C-101B-9397-08002B2CF9AE}" pid="7" name="_PreviousAdHocReviewCycleID">
    <vt:i4>1201456857</vt:i4>
  </property>
  <property fmtid="{D5CDD505-2E9C-101B-9397-08002B2CF9AE}" pid="8" name="_ReviewingToolsShownOnce">
    <vt:lpwstr/>
  </property>
  <property fmtid="{D5CDD505-2E9C-101B-9397-08002B2CF9AE}" pid="9" name="ContentTypeId">
    <vt:lpwstr>0x010100E726210826AA43828690450C811EB923009CA11FFD1E014DF4B1FA162D0F61129800080350834F0B46469CE5D2ECAC346F75</vt:lpwstr>
  </property>
</Properties>
</file>