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CA" w:rsidRDefault="000D33CA" w:rsidP="000D33CA">
      <w:pPr>
        <w:pStyle w:val="Title"/>
      </w:pPr>
      <w:r>
        <w:t>EXPLANATORY STATEMENT</w:t>
      </w:r>
    </w:p>
    <w:p w:rsidR="000D33CA" w:rsidRDefault="000D33CA" w:rsidP="000D33CA">
      <w:pPr>
        <w:tabs>
          <w:tab w:val="left" w:pos="720"/>
        </w:tabs>
        <w:jc w:val="center"/>
        <w:rPr>
          <w:b/>
          <w:lang w:val="en-AU"/>
        </w:rPr>
      </w:pPr>
    </w:p>
    <w:p w:rsidR="00BA3154" w:rsidRDefault="00BA3154" w:rsidP="00BA3154">
      <w:pPr>
        <w:jc w:val="center"/>
        <w:rPr>
          <w:b/>
          <w:bCs/>
        </w:rPr>
      </w:pPr>
      <w:r>
        <w:rPr>
          <w:b/>
          <w:bCs/>
        </w:rPr>
        <w:t xml:space="preserve">Issued by the authority of the Minister for </w:t>
      </w:r>
      <w:r w:rsidR="006F527E">
        <w:rPr>
          <w:b/>
          <w:bCs/>
        </w:rPr>
        <w:t xml:space="preserve">Mental Health and </w:t>
      </w:r>
      <w:r>
        <w:rPr>
          <w:b/>
          <w:bCs/>
        </w:rPr>
        <w:t>Ageing</w:t>
      </w:r>
    </w:p>
    <w:p w:rsidR="00BA3154" w:rsidRPr="00FB7C25" w:rsidRDefault="00BA3154" w:rsidP="00BA3154">
      <w:pPr>
        <w:jc w:val="center"/>
        <w:rPr>
          <w:b/>
          <w:bCs/>
        </w:rPr>
      </w:pPr>
    </w:p>
    <w:p w:rsidR="00BA3154" w:rsidRDefault="00BA3154" w:rsidP="00BA3154">
      <w:pPr>
        <w:jc w:val="center"/>
        <w:rPr>
          <w:b/>
          <w:bCs/>
          <w:i/>
          <w:iCs/>
        </w:rPr>
      </w:pPr>
      <w:r w:rsidRPr="003163A7">
        <w:rPr>
          <w:b/>
          <w:bCs/>
          <w:i/>
          <w:iCs/>
        </w:rPr>
        <w:t xml:space="preserve">Aged Care </w:t>
      </w:r>
      <w:r>
        <w:rPr>
          <w:b/>
          <w:bCs/>
          <w:i/>
          <w:iCs/>
        </w:rPr>
        <w:t>Act 1997</w:t>
      </w:r>
    </w:p>
    <w:p w:rsidR="0007116E" w:rsidRDefault="0007116E" w:rsidP="000D33CA">
      <w:pPr>
        <w:tabs>
          <w:tab w:val="left" w:pos="720"/>
        </w:tabs>
        <w:jc w:val="center"/>
        <w:rPr>
          <w:b/>
          <w:i/>
          <w:lang w:val="en-AU"/>
        </w:rPr>
      </w:pPr>
    </w:p>
    <w:p w:rsidR="0007116E" w:rsidRDefault="0007116E" w:rsidP="0007116E">
      <w:pPr>
        <w:tabs>
          <w:tab w:val="left" w:pos="720"/>
        </w:tabs>
        <w:jc w:val="center"/>
        <w:rPr>
          <w:b/>
          <w:i/>
          <w:lang w:val="en-AU"/>
        </w:rPr>
      </w:pPr>
      <w:r>
        <w:rPr>
          <w:b/>
          <w:i/>
          <w:lang w:val="en-AU"/>
        </w:rPr>
        <w:t xml:space="preserve">Aged Care (Residential Care Subsidy </w:t>
      </w:r>
      <w:r w:rsidR="000F5B34">
        <w:rPr>
          <w:b/>
          <w:i/>
          <w:lang w:val="en-AU"/>
        </w:rPr>
        <w:t>–</w:t>
      </w:r>
      <w:r>
        <w:rPr>
          <w:b/>
          <w:i/>
          <w:lang w:val="en-AU"/>
        </w:rPr>
        <w:t xml:space="preserve"> </w:t>
      </w:r>
      <w:r w:rsidR="00131CAF">
        <w:rPr>
          <w:b/>
          <w:i/>
          <w:lang w:val="en-AU"/>
        </w:rPr>
        <w:t>Amount of Oxygen Supplement</w:t>
      </w:r>
      <w:r>
        <w:rPr>
          <w:b/>
          <w:i/>
          <w:lang w:val="en-AU"/>
        </w:rPr>
        <w:t>) Determination</w:t>
      </w:r>
      <w:r w:rsidR="006D79DC">
        <w:rPr>
          <w:b/>
          <w:i/>
          <w:lang w:val="en-AU"/>
        </w:rPr>
        <w:t> </w:t>
      </w:r>
      <w:r>
        <w:rPr>
          <w:b/>
          <w:i/>
          <w:lang w:val="en-AU"/>
        </w:rPr>
        <w:t>20</w:t>
      </w:r>
      <w:r w:rsidR="00EE2FAF">
        <w:rPr>
          <w:b/>
          <w:i/>
          <w:lang w:val="en-AU"/>
        </w:rPr>
        <w:t>1</w:t>
      </w:r>
      <w:r w:rsidR="00B219F9">
        <w:rPr>
          <w:b/>
          <w:i/>
          <w:lang w:val="en-AU"/>
        </w:rPr>
        <w:t>3</w:t>
      </w:r>
      <w:r>
        <w:rPr>
          <w:b/>
          <w:i/>
          <w:lang w:val="en-AU"/>
        </w:rPr>
        <w:t xml:space="preserve"> (No.</w:t>
      </w:r>
      <w:r w:rsidR="00131CAF">
        <w:rPr>
          <w:b/>
          <w:i/>
          <w:lang w:val="en-AU"/>
        </w:rPr>
        <w:t xml:space="preserve"> </w:t>
      </w:r>
      <w:r>
        <w:rPr>
          <w:b/>
          <w:i/>
          <w:lang w:val="en-AU"/>
        </w:rPr>
        <w:t>1)</w:t>
      </w:r>
    </w:p>
    <w:p w:rsidR="000D33CA" w:rsidRDefault="000D33CA" w:rsidP="000D33CA">
      <w:pPr>
        <w:tabs>
          <w:tab w:val="left" w:pos="720"/>
        </w:tabs>
        <w:rPr>
          <w:lang w:val="en-AU"/>
        </w:rPr>
      </w:pPr>
    </w:p>
    <w:p w:rsidR="00BA3154" w:rsidRDefault="00BA3154" w:rsidP="000D33CA">
      <w:pPr>
        <w:tabs>
          <w:tab w:val="left" w:pos="720"/>
        </w:tabs>
      </w:pPr>
      <w:r>
        <w:t xml:space="preserve">The </w:t>
      </w:r>
      <w:r w:rsidRPr="00A70D11">
        <w:rPr>
          <w:i/>
          <w:iCs/>
        </w:rPr>
        <w:t>Aged Care Act 1997</w:t>
      </w:r>
      <w:r>
        <w:t xml:space="preserve"> (the Act) provides for the </w:t>
      </w:r>
      <w:r w:rsidR="006F527E">
        <w:t xml:space="preserve">regulation and </w:t>
      </w:r>
      <w:r>
        <w:t xml:space="preserve">funding of aged care services.  Persons who are approved under the Act to provide residential aged care services </w:t>
      </w:r>
      <w:r w:rsidR="00CF5042">
        <w:t xml:space="preserve">(approved providers) </w:t>
      </w:r>
      <w:r>
        <w:t xml:space="preserve">can be eligible to receive </w:t>
      </w:r>
      <w:r w:rsidR="00CF5042">
        <w:t xml:space="preserve">residential care </w:t>
      </w:r>
      <w:r>
        <w:t>subsidy payments in respect of the care they provide to approved care recipients.</w:t>
      </w:r>
    </w:p>
    <w:p w:rsidR="00BA3154" w:rsidRDefault="00BA3154" w:rsidP="000D33CA">
      <w:pPr>
        <w:tabs>
          <w:tab w:val="left" w:pos="720"/>
        </w:tabs>
        <w:rPr>
          <w:lang w:val="en-AU"/>
        </w:rPr>
      </w:pPr>
    </w:p>
    <w:p w:rsidR="000D33CA" w:rsidRDefault="000D33CA" w:rsidP="000D33CA">
      <w:r>
        <w:t xml:space="preserve">Paragraph 44-13(6)(a) of the </w:t>
      </w:r>
      <w:r w:rsidR="00131CAF">
        <w:t>Act</w:t>
      </w:r>
      <w:r>
        <w:t xml:space="preserve"> provides that the Minister may determine </w:t>
      </w:r>
      <w:r w:rsidR="00B50D93">
        <w:t>by legislative instrument</w:t>
      </w:r>
      <w:r>
        <w:t xml:space="preserve"> the amount of the oxygen supplement</w:t>
      </w:r>
      <w:r w:rsidR="00B50D93">
        <w:t xml:space="preserve"> for a particular day</w:t>
      </w:r>
      <w:r>
        <w:t xml:space="preserve">.  Paragraph 44-13(6)(b) of the Act provides that the Minister may determine </w:t>
      </w:r>
      <w:r w:rsidR="00B50D93">
        <w:t xml:space="preserve">by legislative instrument </w:t>
      </w:r>
      <w:r>
        <w:t>a method for working out the amount of oxygen supplement for a particular day.</w:t>
      </w:r>
    </w:p>
    <w:p w:rsidR="000D33CA" w:rsidRDefault="000D33CA" w:rsidP="000D33CA">
      <w:pPr>
        <w:tabs>
          <w:tab w:val="left" w:pos="720"/>
        </w:tabs>
        <w:rPr>
          <w:lang w:val="en-AU"/>
        </w:rPr>
      </w:pPr>
    </w:p>
    <w:p w:rsidR="000D33CA" w:rsidRDefault="000D33CA" w:rsidP="000D33CA">
      <w:pPr>
        <w:tabs>
          <w:tab w:val="left" w:pos="720"/>
        </w:tabs>
        <w:rPr>
          <w:lang w:val="en-AU"/>
        </w:rPr>
      </w:pPr>
      <w:r>
        <w:rPr>
          <w:lang w:val="en-AU"/>
        </w:rPr>
        <w:t xml:space="preserve">An oxygen supplement will be provided where a care recipient needs to use oxygen on a regular and continuing basis.  It does not include the provision of oxygen on a short-term, episodic or emergency basis.  It is a daily supplement for eligible recipients. </w:t>
      </w:r>
    </w:p>
    <w:p w:rsidR="000D33CA" w:rsidRDefault="000D33CA" w:rsidP="000D33CA">
      <w:pPr>
        <w:tabs>
          <w:tab w:val="left" w:pos="720"/>
        </w:tabs>
        <w:rPr>
          <w:lang w:val="en-AU"/>
        </w:rPr>
      </w:pPr>
    </w:p>
    <w:p w:rsidR="001065D0" w:rsidRDefault="00CF5042" w:rsidP="00CC680A">
      <w:pPr>
        <w:tabs>
          <w:tab w:val="left" w:pos="720"/>
        </w:tabs>
        <w:rPr>
          <w:lang w:val="en-AU"/>
        </w:rPr>
      </w:pPr>
      <w:r>
        <w:rPr>
          <w:lang w:val="en-AU"/>
        </w:rPr>
        <w:t xml:space="preserve">The purpose of the </w:t>
      </w:r>
      <w:r w:rsidRPr="00CF5042">
        <w:rPr>
          <w:i/>
          <w:lang w:val="en-AU"/>
        </w:rPr>
        <w:t>Aged Care (Residential Care Subsidy – Amount of Oxygen Supplement) Determination 201</w:t>
      </w:r>
      <w:r w:rsidR="00B219F9">
        <w:rPr>
          <w:i/>
          <w:lang w:val="en-AU"/>
        </w:rPr>
        <w:t>3</w:t>
      </w:r>
      <w:r w:rsidRPr="00CF5042">
        <w:rPr>
          <w:i/>
          <w:lang w:val="en-AU"/>
        </w:rPr>
        <w:t xml:space="preserve"> (No. 1)</w:t>
      </w:r>
      <w:r>
        <w:rPr>
          <w:lang w:val="en-AU"/>
        </w:rPr>
        <w:t xml:space="preserve"> (the Determination) is to set</w:t>
      </w:r>
      <w:r w:rsidR="000D33CA">
        <w:rPr>
          <w:lang w:val="en-AU"/>
        </w:rPr>
        <w:t xml:space="preserve"> the oxygen supplement rate with effect from 1 July </w:t>
      </w:r>
      <w:r w:rsidR="00BA3154">
        <w:rPr>
          <w:lang w:val="en-AU"/>
        </w:rPr>
        <w:t>20</w:t>
      </w:r>
      <w:r>
        <w:rPr>
          <w:lang w:val="en-AU"/>
        </w:rPr>
        <w:t>1</w:t>
      </w:r>
      <w:r w:rsidR="00B219F9">
        <w:rPr>
          <w:lang w:val="en-AU"/>
        </w:rPr>
        <w:t>3</w:t>
      </w:r>
      <w:r>
        <w:rPr>
          <w:lang w:val="en-AU"/>
        </w:rPr>
        <w:t>.</w:t>
      </w:r>
      <w:r w:rsidR="00C9407A">
        <w:rPr>
          <w:lang w:val="en-AU"/>
        </w:rPr>
        <w:t xml:space="preserve"> </w:t>
      </w:r>
      <w:r>
        <w:rPr>
          <w:lang w:val="en-AU"/>
        </w:rPr>
        <w:t xml:space="preserve"> </w:t>
      </w:r>
      <w:r w:rsidR="000D33CA">
        <w:t xml:space="preserve">The </w:t>
      </w:r>
      <w:r>
        <w:t>D</w:t>
      </w:r>
      <w:r w:rsidR="000D33CA">
        <w:t>etermination also outlines a method for calculating the amount of oxygen supplement to be paid where the actual cost to the approved provider of administering oxygen to the care recipient is equal to, or more than, 125</w:t>
      </w:r>
      <w:r w:rsidR="00DB0728">
        <w:t xml:space="preserve"> per cent</w:t>
      </w:r>
      <w:r w:rsidR="000D33CA">
        <w:t xml:space="preserve"> of the daily rate.</w:t>
      </w:r>
      <w:r w:rsidR="00CC680A" w:rsidRPr="00CC680A">
        <w:rPr>
          <w:lang w:val="en-AU"/>
        </w:rPr>
        <w:t xml:space="preserve"> </w:t>
      </w:r>
    </w:p>
    <w:p w:rsidR="001065D0" w:rsidRDefault="001065D0" w:rsidP="00CC680A">
      <w:pPr>
        <w:tabs>
          <w:tab w:val="left" w:pos="720"/>
        </w:tabs>
        <w:rPr>
          <w:lang w:val="en-AU"/>
        </w:rPr>
      </w:pPr>
    </w:p>
    <w:p w:rsidR="001F5D6E" w:rsidRPr="007B25F8" w:rsidRDefault="00DE4103" w:rsidP="001F5D6E">
      <w:pPr>
        <w:widowControl/>
        <w:autoSpaceDE w:val="0"/>
        <w:autoSpaceDN w:val="0"/>
        <w:adjustRightInd w:val="0"/>
        <w:rPr>
          <w:iCs/>
          <w:snapToGrid/>
          <w:color w:val="000000"/>
          <w:szCs w:val="24"/>
        </w:rPr>
      </w:pPr>
      <w:r>
        <w:rPr>
          <w:lang w:val="en-AU"/>
        </w:rPr>
        <w:t xml:space="preserve">This Determination also revokes </w:t>
      </w:r>
      <w:r w:rsidRPr="00CF5042">
        <w:rPr>
          <w:i/>
          <w:lang w:val="en-AU"/>
        </w:rPr>
        <w:t>Aged Care (Residential Care Subsidy – Amount of Oxygen Supplement) Determination 20</w:t>
      </w:r>
      <w:r w:rsidR="006F527E">
        <w:rPr>
          <w:i/>
          <w:lang w:val="en-AU"/>
        </w:rPr>
        <w:t>1</w:t>
      </w:r>
      <w:r w:rsidR="00B219F9">
        <w:rPr>
          <w:i/>
          <w:lang w:val="en-AU"/>
        </w:rPr>
        <w:t>2</w:t>
      </w:r>
      <w:r w:rsidRPr="00CF5042">
        <w:rPr>
          <w:i/>
          <w:lang w:val="en-AU"/>
        </w:rPr>
        <w:t xml:space="preserve"> (No. 1</w:t>
      </w:r>
      <w:r>
        <w:rPr>
          <w:i/>
          <w:lang w:val="en-AU"/>
        </w:rPr>
        <w:t>)</w:t>
      </w:r>
      <w:r w:rsidRPr="000F5B34">
        <w:rPr>
          <w:lang w:val="en-AU"/>
        </w:rPr>
        <w:t>.</w:t>
      </w:r>
      <w:r w:rsidRPr="000F5B34">
        <w:t xml:space="preserve">  </w:t>
      </w:r>
      <w:r w:rsidR="001F5D6E" w:rsidRPr="001F5D6E">
        <w:rPr>
          <w:iCs/>
          <w:snapToGrid/>
          <w:color w:val="000000"/>
          <w:szCs w:val="24"/>
        </w:rPr>
        <w:t>The difference between the Determinations is that th</w:t>
      </w:r>
      <w:r w:rsidR="009A55DA">
        <w:rPr>
          <w:iCs/>
          <w:snapToGrid/>
          <w:color w:val="000000"/>
          <w:szCs w:val="24"/>
        </w:rPr>
        <w:t>e daily amount of oxygen supplement</w:t>
      </w:r>
      <w:r w:rsidR="001F5D6E" w:rsidRPr="001F5D6E">
        <w:rPr>
          <w:iCs/>
          <w:snapToGrid/>
          <w:color w:val="000000"/>
          <w:szCs w:val="24"/>
        </w:rPr>
        <w:t xml:space="preserve"> has been increased in ac</w:t>
      </w:r>
      <w:r w:rsidR="00B219F9">
        <w:rPr>
          <w:iCs/>
          <w:snapToGrid/>
          <w:color w:val="000000"/>
          <w:szCs w:val="24"/>
        </w:rPr>
        <w:t xml:space="preserve">cordance with movements in the </w:t>
      </w:r>
      <w:r w:rsidR="00B219F9" w:rsidRPr="00730DA4">
        <w:rPr>
          <w:iCs/>
          <w:snapToGrid/>
          <w:color w:val="000000"/>
          <w:szCs w:val="24"/>
        </w:rPr>
        <w:t>consumer price i</w:t>
      </w:r>
      <w:r w:rsidR="001F5D6E" w:rsidRPr="00730DA4">
        <w:rPr>
          <w:iCs/>
          <w:snapToGrid/>
          <w:color w:val="000000"/>
          <w:szCs w:val="24"/>
        </w:rPr>
        <w:t>ndex</w:t>
      </w:r>
      <w:r w:rsidR="00B219F9" w:rsidRPr="00730DA4">
        <w:rPr>
          <w:iCs/>
          <w:snapToGrid/>
          <w:color w:val="000000"/>
          <w:szCs w:val="24"/>
        </w:rPr>
        <w:t xml:space="preserve"> (CPI)</w:t>
      </w:r>
      <w:r w:rsidR="007B25F8" w:rsidRPr="00730DA4">
        <w:rPr>
          <w:iCs/>
          <w:snapToGrid/>
          <w:color w:val="000000"/>
          <w:szCs w:val="24"/>
        </w:rPr>
        <w:t xml:space="preserve"> as</w:t>
      </w:r>
      <w:r w:rsidR="007B25F8">
        <w:rPr>
          <w:iCs/>
          <w:snapToGrid/>
          <w:color w:val="000000"/>
          <w:szCs w:val="24"/>
        </w:rPr>
        <w:t xml:space="preserve"> a </w:t>
      </w:r>
      <w:r w:rsidR="007B25F8" w:rsidRPr="007B25F8">
        <w:rPr>
          <w:iCs/>
          <w:snapToGrid/>
          <w:color w:val="000000"/>
          <w:szCs w:val="24"/>
        </w:rPr>
        <w:t xml:space="preserve">measure of the movements in the non-labour costs of </w:t>
      </w:r>
      <w:r w:rsidR="007B25F8">
        <w:rPr>
          <w:iCs/>
          <w:snapToGrid/>
          <w:color w:val="000000"/>
          <w:szCs w:val="24"/>
        </w:rPr>
        <w:t xml:space="preserve">approved </w:t>
      </w:r>
      <w:r w:rsidR="007B25F8" w:rsidRPr="007B25F8">
        <w:rPr>
          <w:iCs/>
          <w:snapToGrid/>
          <w:color w:val="000000"/>
          <w:szCs w:val="24"/>
        </w:rPr>
        <w:t>providers</w:t>
      </w:r>
      <w:r w:rsidR="001F5D6E" w:rsidRPr="001F5D6E">
        <w:rPr>
          <w:iCs/>
          <w:snapToGrid/>
          <w:color w:val="000000"/>
          <w:szCs w:val="24"/>
        </w:rPr>
        <w:t>.</w:t>
      </w:r>
    </w:p>
    <w:p w:rsidR="00CC680A" w:rsidRDefault="00CC680A" w:rsidP="00CC680A">
      <w:pPr>
        <w:tabs>
          <w:tab w:val="left" w:pos="720"/>
        </w:tabs>
      </w:pPr>
    </w:p>
    <w:p w:rsidR="000D33CA" w:rsidRPr="00E04764" w:rsidRDefault="000D33CA" w:rsidP="000D33CA">
      <w:pPr>
        <w:tabs>
          <w:tab w:val="left" w:pos="720"/>
        </w:tabs>
        <w:rPr>
          <w:b/>
          <w:lang w:val="en-AU"/>
        </w:rPr>
      </w:pPr>
      <w:r w:rsidRPr="00E04764">
        <w:rPr>
          <w:b/>
          <w:lang w:val="en-AU"/>
        </w:rPr>
        <w:t>Consultation</w:t>
      </w:r>
    </w:p>
    <w:p w:rsidR="009B5AEF" w:rsidRDefault="002564FF" w:rsidP="009B5AEF">
      <w:r>
        <w:t xml:space="preserve">Indexation of the </w:t>
      </w:r>
      <w:r w:rsidR="009B5AEF">
        <w:t>supplement is in accordance</w:t>
      </w:r>
      <w:r>
        <w:t xml:space="preserve"> </w:t>
      </w:r>
      <w:r w:rsidR="009B5AEF">
        <w:t xml:space="preserve">with </w:t>
      </w:r>
      <w:r w:rsidR="002A532B">
        <w:t xml:space="preserve">the general </w:t>
      </w:r>
      <w:r w:rsidR="009B5AEF">
        <w:t xml:space="preserve">policy </w:t>
      </w:r>
      <w:r w:rsidR="002A532B">
        <w:t xml:space="preserve">for indexation of aged care payments </w:t>
      </w:r>
      <w:r w:rsidR="009B5AEF">
        <w:t>upon which extensive consultation was undertaken</w:t>
      </w:r>
      <w:r w:rsidR="002A532B">
        <w:t>.  N</w:t>
      </w:r>
      <w:r w:rsidR="009B5AEF">
        <w:t>o specific consultation was undertaken with respect to this instrument.</w:t>
      </w:r>
    </w:p>
    <w:p w:rsidR="009B5AEF" w:rsidRDefault="009B5AEF" w:rsidP="009B5AEF"/>
    <w:p w:rsidR="009B5AEF" w:rsidRDefault="009B5AEF" w:rsidP="009B5AEF">
      <w:r>
        <w:t xml:space="preserve">Information about the increase in the amount of the supplement will be </w:t>
      </w:r>
      <w:r w:rsidR="00B50D93">
        <w:t>disseminated via electronic media to approved providers</w:t>
      </w:r>
      <w:r>
        <w:t>.</w:t>
      </w:r>
    </w:p>
    <w:p w:rsidR="006D596A" w:rsidRDefault="006D596A"/>
    <w:p w:rsidR="006F527E" w:rsidRDefault="006F527E" w:rsidP="006F527E">
      <w:pPr>
        <w:widowControl/>
        <w:autoSpaceDE w:val="0"/>
        <w:autoSpaceDN w:val="0"/>
        <w:adjustRightInd w:val="0"/>
        <w:rPr>
          <w:snapToGrid/>
          <w:color w:val="000000"/>
          <w:szCs w:val="24"/>
          <w:lang w:val="en-AU" w:eastAsia="en-AU"/>
        </w:rPr>
      </w:pPr>
      <w:r>
        <w:rPr>
          <w:snapToGrid/>
          <w:color w:val="000000"/>
          <w:szCs w:val="24"/>
          <w:lang w:val="en-AU" w:eastAsia="en-AU"/>
        </w:rPr>
        <w:t>This Determination commences on 1 July 201</w:t>
      </w:r>
      <w:r w:rsidR="00B219F9">
        <w:rPr>
          <w:snapToGrid/>
          <w:color w:val="000000"/>
          <w:szCs w:val="24"/>
          <w:lang w:val="en-AU" w:eastAsia="en-AU"/>
        </w:rPr>
        <w:t>3</w:t>
      </w:r>
      <w:r>
        <w:rPr>
          <w:snapToGrid/>
          <w:color w:val="000000"/>
          <w:szCs w:val="24"/>
          <w:lang w:val="en-AU" w:eastAsia="en-AU"/>
        </w:rPr>
        <w:t>.</w:t>
      </w:r>
    </w:p>
    <w:p w:rsidR="006F527E" w:rsidRDefault="006F527E" w:rsidP="006F527E">
      <w:pPr>
        <w:widowControl/>
        <w:autoSpaceDE w:val="0"/>
        <w:autoSpaceDN w:val="0"/>
        <w:adjustRightInd w:val="0"/>
        <w:rPr>
          <w:snapToGrid/>
          <w:color w:val="000000"/>
          <w:szCs w:val="24"/>
          <w:lang w:val="en-AU" w:eastAsia="en-AU"/>
        </w:rPr>
      </w:pPr>
    </w:p>
    <w:p w:rsidR="0004408E" w:rsidRDefault="006F527E" w:rsidP="006F527E">
      <w:pPr>
        <w:widowControl/>
        <w:autoSpaceDE w:val="0"/>
        <w:autoSpaceDN w:val="0"/>
        <w:adjustRightInd w:val="0"/>
        <w:rPr>
          <w:i/>
          <w:snapToGrid/>
          <w:color w:val="000000"/>
          <w:szCs w:val="24"/>
          <w:lang w:val="en-AU" w:eastAsia="en-AU"/>
        </w:rPr>
      </w:pPr>
      <w:r>
        <w:rPr>
          <w:snapToGrid/>
          <w:color w:val="000000"/>
          <w:szCs w:val="24"/>
          <w:lang w:val="en-AU" w:eastAsia="en-AU"/>
        </w:rPr>
        <w:t xml:space="preserve">The Determination is a legislative instrument for the purposes of the </w:t>
      </w:r>
      <w:r w:rsidRPr="001660C7">
        <w:rPr>
          <w:i/>
          <w:snapToGrid/>
          <w:color w:val="000000"/>
          <w:szCs w:val="24"/>
          <w:lang w:val="en-AU" w:eastAsia="en-AU"/>
        </w:rPr>
        <w:t>Legislative Instruments Act 2003.</w:t>
      </w:r>
    </w:p>
    <w:p w:rsidR="0004408E" w:rsidRPr="00E4135E" w:rsidRDefault="0004408E" w:rsidP="0004408E">
      <w:pPr>
        <w:spacing w:before="360" w:after="120"/>
        <w:jc w:val="center"/>
        <w:rPr>
          <w:b/>
          <w:sz w:val="28"/>
          <w:szCs w:val="28"/>
        </w:rPr>
      </w:pPr>
      <w:r>
        <w:rPr>
          <w:i/>
          <w:snapToGrid/>
          <w:color w:val="000000"/>
          <w:szCs w:val="24"/>
          <w:lang w:val="en-AU" w:eastAsia="en-AU"/>
        </w:rPr>
        <w:br w:type="page"/>
      </w:r>
      <w:r w:rsidRPr="00E4135E">
        <w:rPr>
          <w:b/>
          <w:sz w:val="28"/>
          <w:szCs w:val="28"/>
        </w:rPr>
        <w:lastRenderedPageBreak/>
        <w:t>Statement of Compatibility with Human Rights</w:t>
      </w:r>
    </w:p>
    <w:p w:rsidR="0004408E" w:rsidRPr="00E4135E" w:rsidRDefault="0004408E" w:rsidP="0004408E">
      <w:pPr>
        <w:spacing w:before="120" w:after="120"/>
        <w:jc w:val="center"/>
        <w:rPr>
          <w:szCs w:val="24"/>
        </w:rPr>
      </w:pPr>
      <w:r w:rsidRPr="00E4135E">
        <w:rPr>
          <w:i/>
          <w:szCs w:val="24"/>
        </w:rPr>
        <w:t>Prepared in accordance with Part 3 of the Human Rights (Parliamentary Scrutiny) Act 2011</w:t>
      </w:r>
    </w:p>
    <w:p w:rsidR="00DE4B0C" w:rsidRDefault="00DE4B0C" w:rsidP="0004408E">
      <w:pPr>
        <w:tabs>
          <w:tab w:val="left" w:pos="720"/>
        </w:tabs>
        <w:jc w:val="center"/>
        <w:rPr>
          <w:b/>
          <w:lang w:val="en-AU"/>
        </w:rPr>
      </w:pPr>
    </w:p>
    <w:p w:rsidR="0004408E" w:rsidRPr="00B219F9" w:rsidRDefault="0004408E" w:rsidP="0004408E">
      <w:pPr>
        <w:tabs>
          <w:tab w:val="left" w:pos="720"/>
        </w:tabs>
        <w:jc w:val="center"/>
        <w:rPr>
          <w:b/>
          <w:lang w:val="en-AU"/>
        </w:rPr>
      </w:pPr>
      <w:r w:rsidRPr="00B219F9">
        <w:rPr>
          <w:b/>
          <w:lang w:val="en-AU"/>
        </w:rPr>
        <w:t>Aged Care (Residential Care Subsidy – Amount of Oxyge</w:t>
      </w:r>
      <w:r w:rsidR="00B219F9">
        <w:rPr>
          <w:b/>
          <w:lang w:val="en-AU"/>
        </w:rPr>
        <w:t>n Supplement) Determination 2013</w:t>
      </w:r>
      <w:r w:rsidRPr="00B219F9">
        <w:rPr>
          <w:b/>
          <w:lang w:val="en-AU"/>
        </w:rPr>
        <w:t xml:space="preserve"> (No. 1)</w:t>
      </w:r>
    </w:p>
    <w:p w:rsidR="0004408E" w:rsidRPr="00E4135E" w:rsidRDefault="0004408E" w:rsidP="0004408E">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04408E" w:rsidRPr="00E4135E" w:rsidRDefault="0004408E" w:rsidP="0004408E">
      <w:pPr>
        <w:spacing w:before="120" w:after="120"/>
        <w:jc w:val="both"/>
        <w:rPr>
          <w:b/>
          <w:szCs w:val="24"/>
        </w:rPr>
      </w:pPr>
      <w:r>
        <w:rPr>
          <w:b/>
          <w:szCs w:val="24"/>
        </w:rPr>
        <w:t xml:space="preserve">Overview of </w:t>
      </w:r>
      <w:r w:rsidRPr="00E4135E">
        <w:rPr>
          <w:b/>
          <w:szCs w:val="24"/>
        </w:rPr>
        <w:t>Legislative Instrument</w:t>
      </w:r>
    </w:p>
    <w:p w:rsidR="0004408E" w:rsidRPr="00AA4E26" w:rsidRDefault="0004408E" w:rsidP="0004408E">
      <w:pPr>
        <w:tabs>
          <w:tab w:val="left" w:pos="720"/>
        </w:tabs>
        <w:rPr>
          <w:szCs w:val="24"/>
          <w:lang w:val="en-AU"/>
        </w:rPr>
      </w:pPr>
      <w:r w:rsidRPr="00AA4E26">
        <w:rPr>
          <w:szCs w:val="24"/>
          <w:lang w:val="en-AU"/>
        </w:rPr>
        <w:t xml:space="preserve">The purpose of the </w:t>
      </w:r>
      <w:r w:rsidRPr="00AA4E26">
        <w:rPr>
          <w:i/>
          <w:szCs w:val="24"/>
          <w:lang w:val="en-AU"/>
        </w:rPr>
        <w:t>Aged Care (Residential Care Subsidy – Amount of Oxyge</w:t>
      </w:r>
      <w:r w:rsidR="00B219F9">
        <w:rPr>
          <w:i/>
          <w:szCs w:val="24"/>
          <w:lang w:val="en-AU"/>
        </w:rPr>
        <w:t>n Supplement) Determination 2013</w:t>
      </w:r>
      <w:r w:rsidRPr="00AA4E26">
        <w:rPr>
          <w:i/>
          <w:szCs w:val="24"/>
          <w:lang w:val="en-AU"/>
        </w:rPr>
        <w:t xml:space="preserve"> (No. 1)</w:t>
      </w:r>
      <w:r w:rsidRPr="00AA4E26">
        <w:rPr>
          <w:szCs w:val="24"/>
          <w:lang w:val="en-AU"/>
        </w:rPr>
        <w:t xml:space="preserve"> (the Determination) is to set the oxygen supplement rate with effect from 1 July 20</w:t>
      </w:r>
      <w:r w:rsidR="00B219F9">
        <w:rPr>
          <w:szCs w:val="24"/>
          <w:lang w:val="en-AU"/>
        </w:rPr>
        <w:t>13</w:t>
      </w:r>
      <w:r w:rsidRPr="00AA4E26">
        <w:rPr>
          <w:szCs w:val="24"/>
          <w:lang w:val="en-AU"/>
        </w:rPr>
        <w:t xml:space="preserve">.  </w:t>
      </w:r>
      <w:r w:rsidRPr="00AA4E26">
        <w:rPr>
          <w:szCs w:val="24"/>
        </w:rPr>
        <w:t>The Determination also outlines a method for calculating the amount of oxygen supplement to be paid where the actual cost to the approved provider of administering oxygen to the care recipient is equal to, or more than, 125 per cent of the daily rate.</w:t>
      </w:r>
      <w:r w:rsidR="00B219F9">
        <w:rPr>
          <w:szCs w:val="24"/>
        </w:rPr>
        <w:t xml:space="preserve">  </w:t>
      </w:r>
      <w:r w:rsidR="00B219F9">
        <w:rPr>
          <w:lang w:val="en-AU"/>
        </w:rPr>
        <w:t xml:space="preserve">This Determination also revokes </w:t>
      </w:r>
      <w:r w:rsidR="00B219F9" w:rsidRPr="00CF5042">
        <w:rPr>
          <w:i/>
          <w:lang w:val="en-AU"/>
        </w:rPr>
        <w:t>Aged Care (Residential Care Subsidy – Amount of Oxygen Supplement) Determination 20</w:t>
      </w:r>
      <w:r w:rsidR="00B219F9">
        <w:rPr>
          <w:i/>
          <w:lang w:val="en-AU"/>
        </w:rPr>
        <w:t>12</w:t>
      </w:r>
      <w:r w:rsidR="00B219F9" w:rsidRPr="00CF5042">
        <w:rPr>
          <w:i/>
          <w:lang w:val="en-AU"/>
        </w:rPr>
        <w:t xml:space="preserve"> (No. 1</w:t>
      </w:r>
      <w:r w:rsidR="00B219F9">
        <w:rPr>
          <w:i/>
          <w:lang w:val="en-AU"/>
        </w:rPr>
        <w:t>)</w:t>
      </w:r>
      <w:r w:rsidR="00B219F9" w:rsidRPr="000F5B34">
        <w:rPr>
          <w:lang w:val="en-AU"/>
        </w:rPr>
        <w:t>.</w:t>
      </w:r>
      <w:r w:rsidRPr="00AA4E26">
        <w:rPr>
          <w:szCs w:val="24"/>
          <w:lang w:val="en-AU"/>
        </w:rPr>
        <w:t xml:space="preserve"> </w:t>
      </w:r>
    </w:p>
    <w:p w:rsidR="0004408E" w:rsidRDefault="00B219F9" w:rsidP="0004408E">
      <w:pPr>
        <w:spacing w:before="120" w:after="120"/>
        <w:rPr>
          <w:b/>
          <w:szCs w:val="24"/>
        </w:rPr>
      </w:pPr>
      <w:r>
        <w:rPr>
          <w:b/>
          <w:szCs w:val="24"/>
        </w:rPr>
        <w:t>Human Rights I</w:t>
      </w:r>
      <w:r w:rsidR="0004408E" w:rsidRPr="00E4135E">
        <w:rPr>
          <w:b/>
          <w:szCs w:val="24"/>
        </w:rPr>
        <w:t>mplications</w:t>
      </w:r>
    </w:p>
    <w:p w:rsidR="00730DA4" w:rsidRPr="007B25F8" w:rsidRDefault="00B219F9" w:rsidP="00730DA4">
      <w:pPr>
        <w:widowControl/>
        <w:autoSpaceDE w:val="0"/>
        <w:autoSpaceDN w:val="0"/>
        <w:adjustRightInd w:val="0"/>
        <w:rPr>
          <w:iCs/>
          <w:snapToGrid/>
          <w:color w:val="000000"/>
          <w:szCs w:val="24"/>
        </w:rPr>
      </w:pPr>
      <w:r w:rsidRPr="009E08BE">
        <w:rPr>
          <w:szCs w:val="24"/>
        </w:rPr>
        <w:t xml:space="preserve">This Legislative Instrument promotes the human right to health contained in article 12 of the International Covenant on Economic Social and Cultural Rights. </w:t>
      </w:r>
      <w:r>
        <w:rPr>
          <w:szCs w:val="24"/>
        </w:rPr>
        <w:t xml:space="preserve"> </w:t>
      </w:r>
      <w:r w:rsidRPr="009E08BE">
        <w:rPr>
          <w:szCs w:val="24"/>
        </w:rPr>
        <w:t xml:space="preserve">The legislative instrument engages the right of everyone to the enjoyment of the highest attainable standard of physical and mental health by ensuring that </w:t>
      </w:r>
      <w:r w:rsidR="006B4526">
        <w:rPr>
          <w:szCs w:val="24"/>
        </w:rPr>
        <w:t>the amount of oxygen supplement</w:t>
      </w:r>
      <w:r>
        <w:rPr>
          <w:szCs w:val="24"/>
        </w:rPr>
        <w:t xml:space="preserve"> </w:t>
      </w:r>
      <w:r w:rsidRPr="009E08BE">
        <w:rPr>
          <w:szCs w:val="24"/>
        </w:rPr>
        <w:t xml:space="preserve">payable to approved providers of residential aged care services is increased in line with </w:t>
      </w:r>
      <w:r w:rsidR="00730DA4">
        <w:rPr>
          <w:iCs/>
          <w:snapToGrid/>
          <w:color w:val="000000"/>
          <w:szCs w:val="24"/>
        </w:rPr>
        <w:t xml:space="preserve">movements in the </w:t>
      </w:r>
      <w:r w:rsidR="00730DA4" w:rsidRPr="00730DA4">
        <w:rPr>
          <w:iCs/>
          <w:snapToGrid/>
          <w:color w:val="000000"/>
          <w:szCs w:val="24"/>
        </w:rPr>
        <w:t>consumer price index (CPI) as</w:t>
      </w:r>
      <w:r w:rsidR="00730DA4">
        <w:rPr>
          <w:iCs/>
          <w:snapToGrid/>
          <w:color w:val="000000"/>
          <w:szCs w:val="24"/>
        </w:rPr>
        <w:t xml:space="preserve"> a </w:t>
      </w:r>
      <w:r w:rsidR="00730DA4" w:rsidRPr="007B25F8">
        <w:rPr>
          <w:iCs/>
          <w:snapToGrid/>
          <w:color w:val="000000"/>
          <w:szCs w:val="24"/>
        </w:rPr>
        <w:t xml:space="preserve">measure of the movements in the non-labour costs of </w:t>
      </w:r>
      <w:r w:rsidR="00730DA4">
        <w:rPr>
          <w:iCs/>
          <w:snapToGrid/>
          <w:color w:val="000000"/>
          <w:szCs w:val="24"/>
        </w:rPr>
        <w:t xml:space="preserve">approved </w:t>
      </w:r>
      <w:r w:rsidR="00730DA4" w:rsidRPr="007B25F8">
        <w:rPr>
          <w:iCs/>
          <w:snapToGrid/>
          <w:color w:val="000000"/>
          <w:szCs w:val="24"/>
        </w:rPr>
        <w:t>providers</w:t>
      </w:r>
      <w:r w:rsidR="00730DA4" w:rsidRPr="001F5D6E">
        <w:rPr>
          <w:iCs/>
          <w:snapToGrid/>
          <w:color w:val="000000"/>
          <w:szCs w:val="24"/>
        </w:rPr>
        <w:t>.</w:t>
      </w:r>
    </w:p>
    <w:p w:rsidR="00B219F9" w:rsidRPr="009E08BE" w:rsidRDefault="00B219F9" w:rsidP="00B219F9">
      <w:pPr>
        <w:spacing w:before="120" w:after="120"/>
        <w:rPr>
          <w:szCs w:val="24"/>
        </w:rPr>
      </w:pPr>
      <w:bookmarkStart w:id="0" w:name="_GoBack"/>
      <w:bookmarkEnd w:id="0"/>
      <w:r w:rsidRPr="009E08BE">
        <w:rPr>
          <w:szCs w:val="24"/>
        </w:rPr>
        <w:t xml:space="preserve">This helps to ensure that the standard of care and services provided to recipients of residential aged care services is maintained.  </w:t>
      </w:r>
    </w:p>
    <w:p w:rsidR="0004408E" w:rsidRPr="00E4135E" w:rsidRDefault="0004408E" w:rsidP="0004408E">
      <w:pPr>
        <w:spacing w:before="120" w:after="120"/>
        <w:rPr>
          <w:b/>
          <w:szCs w:val="24"/>
        </w:rPr>
      </w:pPr>
      <w:r w:rsidRPr="00E4135E">
        <w:rPr>
          <w:b/>
          <w:szCs w:val="24"/>
        </w:rPr>
        <w:t>Conclusion</w:t>
      </w:r>
    </w:p>
    <w:p w:rsidR="0004408E" w:rsidRPr="00E4135E" w:rsidRDefault="0004408E" w:rsidP="0004408E">
      <w:pPr>
        <w:spacing w:before="120" w:after="120"/>
        <w:rPr>
          <w:szCs w:val="24"/>
        </w:rPr>
      </w:pPr>
      <w:r w:rsidRPr="00E4135E">
        <w:rPr>
          <w:szCs w:val="24"/>
        </w:rPr>
        <w:t>This Legislative Instrument is compatible with human rights</w:t>
      </w:r>
      <w:r w:rsidR="003E4579">
        <w:rPr>
          <w:szCs w:val="24"/>
        </w:rPr>
        <w:t xml:space="preserve"> because it enhances the protection of human rights. </w:t>
      </w:r>
    </w:p>
    <w:p w:rsidR="00B219F9" w:rsidRDefault="00B219F9">
      <w:pPr>
        <w:widowControl/>
        <w:autoSpaceDE w:val="0"/>
        <w:autoSpaceDN w:val="0"/>
        <w:adjustRightInd w:val="0"/>
      </w:pPr>
    </w:p>
    <w:p w:rsidR="006B4526" w:rsidRDefault="006B4526">
      <w:pPr>
        <w:widowControl/>
        <w:autoSpaceDE w:val="0"/>
        <w:autoSpaceDN w:val="0"/>
        <w:adjustRightInd w:val="0"/>
      </w:pPr>
      <w:r>
        <w:rPr>
          <w:b/>
        </w:rPr>
        <w:t xml:space="preserve">               </w:t>
      </w:r>
      <w:r w:rsidRPr="009E08BE">
        <w:rPr>
          <w:b/>
        </w:rPr>
        <w:t>The Hon. Mark Butler MP, Minister for Mental Health and Ageing</w:t>
      </w:r>
    </w:p>
    <w:sectPr w:rsidR="006B4526" w:rsidSect="007018F2">
      <w:footerReference w:type="default" r:id="rId7"/>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F9" w:rsidRDefault="00B219F9">
      <w:r>
        <w:separator/>
      </w:r>
    </w:p>
  </w:endnote>
  <w:endnote w:type="continuationSeparator" w:id="0">
    <w:p w:rsidR="00B219F9" w:rsidRDefault="00B2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F9" w:rsidRPr="00CC680A" w:rsidRDefault="00B219F9" w:rsidP="00EE2FAF">
    <w:pPr>
      <w:pStyle w:val="Footer"/>
      <w:jc w:val="center"/>
      <w:rPr>
        <w:szCs w:val="24"/>
      </w:rPr>
    </w:pPr>
    <w:r w:rsidRPr="00CC680A">
      <w:rPr>
        <w:rStyle w:val="PageNumber"/>
        <w:szCs w:val="24"/>
      </w:rPr>
      <w:fldChar w:fldCharType="begin"/>
    </w:r>
    <w:r w:rsidRPr="00CC680A">
      <w:rPr>
        <w:rStyle w:val="PageNumber"/>
        <w:szCs w:val="24"/>
      </w:rPr>
      <w:instrText xml:space="preserve"> PAGE </w:instrText>
    </w:r>
    <w:r w:rsidRPr="00CC680A">
      <w:rPr>
        <w:rStyle w:val="PageNumber"/>
        <w:szCs w:val="24"/>
      </w:rPr>
      <w:fldChar w:fldCharType="separate"/>
    </w:r>
    <w:r w:rsidR="00730DA4">
      <w:rPr>
        <w:rStyle w:val="PageNumber"/>
        <w:noProof/>
        <w:szCs w:val="24"/>
      </w:rPr>
      <w:t>1</w:t>
    </w:r>
    <w:r w:rsidRPr="00CC680A">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F9" w:rsidRDefault="00B219F9">
      <w:r>
        <w:separator/>
      </w:r>
    </w:p>
  </w:footnote>
  <w:footnote w:type="continuationSeparator" w:id="0">
    <w:p w:rsidR="00B219F9" w:rsidRDefault="00B21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CA"/>
    <w:rsid w:val="0000291D"/>
    <w:rsid w:val="000076EE"/>
    <w:rsid w:val="00034B3C"/>
    <w:rsid w:val="0004408E"/>
    <w:rsid w:val="00061B85"/>
    <w:rsid w:val="0006428C"/>
    <w:rsid w:val="0007116E"/>
    <w:rsid w:val="0007726D"/>
    <w:rsid w:val="00091B59"/>
    <w:rsid w:val="0009292A"/>
    <w:rsid w:val="000A2B91"/>
    <w:rsid w:val="000A598B"/>
    <w:rsid w:val="000A7192"/>
    <w:rsid w:val="000C4984"/>
    <w:rsid w:val="000C52B0"/>
    <w:rsid w:val="000D33CA"/>
    <w:rsid w:val="000D3750"/>
    <w:rsid w:val="000E77AE"/>
    <w:rsid w:val="000F5B34"/>
    <w:rsid w:val="00103518"/>
    <w:rsid w:val="001055A9"/>
    <w:rsid w:val="001065D0"/>
    <w:rsid w:val="001175FD"/>
    <w:rsid w:val="00117A2D"/>
    <w:rsid w:val="001213EF"/>
    <w:rsid w:val="00131CAF"/>
    <w:rsid w:val="001340D6"/>
    <w:rsid w:val="00143F8F"/>
    <w:rsid w:val="001475A1"/>
    <w:rsid w:val="00147D7E"/>
    <w:rsid w:val="0016524E"/>
    <w:rsid w:val="001712F3"/>
    <w:rsid w:val="00171E89"/>
    <w:rsid w:val="00177C72"/>
    <w:rsid w:val="0018639D"/>
    <w:rsid w:val="0018656C"/>
    <w:rsid w:val="0019015C"/>
    <w:rsid w:val="00190E37"/>
    <w:rsid w:val="00193B75"/>
    <w:rsid w:val="001C1916"/>
    <w:rsid w:val="001C5E73"/>
    <w:rsid w:val="001E2368"/>
    <w:rsid w:val="001E38FD"/>
    <w:rsid w:val="001F2AC0"/>
    <w:rsid w:val="001F5D6E"/>
    <w:rsid w:val="001F7D09"/>
    <w:rsid w:val="00202047"/>
    <w:rsid w:val="002073EB"/>
    <w:rsid w:val="00212685"/>
    <w:rsid w:val="00215DE0"/>
    <w:rsid w:val="00231E40"/>
    <w:rsid w:val="00254BE9"/>
    <w:rsid w:val="002564FF"/>
    <w:rsid w:val="00260379"/>
    <w:rsid w:val="00263449"/>
    <w:rsid w:val="00284621"/>
    <w:rsid w:val="002A4D9A"/>
    <w:rsid w:val="002A532B"/>
    <w:rsid w:val="002A5BF2"/>
    <w:rsid w:val="002B2915"/>
    <w:rsid w:val="002C439B"/>
    <w:rsid w:val="002C4953"/>
    <w:rsid w:val="002C56F4"/>
    <w:rsid w:val="002C5AC5"/>
    <w:rsid w:val="002D72C5"/>
    <w:rsid w:val="002F5AD5"/>
    <w:rsid w:val="00317D0E"/>
    <w:rsid w:val="00317E61"/>
    <w:rsid w:val="00323C78"/>
    <w:rsid w:val="003240EE"/>
    <w:rsid w:val="00326A5F"/>
    <w:rsid w:val="00326F5A"/>
    <w:rsid w:val="0033175F"/>
    <w:rsid w:val="00334882"/>
    <w:rsid w:val="00360424"/>
    <w:rsid w:val="00361D4E"/>
    <w:rsid w:val="00363EBC"/>
    <w:rsid w:val="0037666E"/>
    <w:rsid w:val="003924C2"/>
    <w:rsid w:val="003B1F82"/>
    <w:rsid w:val="003B208B"/>
    <w:rsid w:val="003B4B04"/>
    <w:rsid w:val="003B4FF5"/>
    <w:rsid w:val="003D2D5B"/>
    <w:rsid w:val="003D6787"/>
    <w:rsid w:val="003D7938"/>
    <w:rsid w:val="003E2B1F"/>
    <w:rsid w:val="003E4579"/>
    <w:rsid w:val="003E5CEB"/>
    <w:rsid w:val="003E74BC"/>
    <w:rsid w:val="00406976"/>
    <w:rsid w:val="00430766"/>
    <w:rsid w:val="00433335"/>
    <w:rsid w:val="00436882"/>
    <w:rsid w:val="004410E3"/>
    <w:rsid w:val="0045039C"/>
    <w:rsid w:val="00455ADB"/>
    <w:rsid w:val="004665A2"/>
    <w:rsid w:val="0046676E"/>
    <w:rsid w:val="00467F43"/>
    <w:rsid w:val="00470ECE"/>
    <w:rsid w:val="0047116E"/>
    <w:rsid w:val="00476451"/>
    <w:rsid w:val="00482FCB"/>
    <w:rsid w:val="00493C0B"/>
    <w:rsid w:val="004A09C6"/>
    <w:rsid w:val="004A1221"/>
    <w:rsid w:val="004A2E40"/>
    <w:rsid w:val="004A772F"/>
    <w:rsid w:val="004D3D5A"/>
    <w:rsid w:val="004F6F6C"/>
    <w:rsid w:val="00500C08"/>
    <w:rsid w:val="00502428"/>
    <w:rsid w:val="0050466E"/>
    <w:rsid w:val="005050AF"/>
    <w:rsid w:val="0051150B"/>
    <w:rsid w:val="00517841"/>
    <w:rsid w:val="005360D8"/>
    <w:rsid w:val="0055108F"/>
    <w:rsid w:val="0055118D"/>
    <w:rsid w:val="00560E56"/>
    <w:rsid w:val="0057389A"/>
    <w:rsid w:val="00575582"/>
    <w:rsid w:val="00577DEA"/>
    <w:rsid w:val="00580346"/>
    <w:rsid w:val="00583A00"/>
    <w:rsid w:val="005865A8"/>
    <w:rsid w:val="00587B79"/>
    <w:rsid w:val="0059204F"/>
    <w:rsid w:val="005A04D5"/>
    <w:rsid w:val="005A1883"/>
    <w:rsid w:val="005A6494"/>
    <w:rsid w:val="005A6C55"/>
    <w:rsid w:val="005B65ED"/>
    <w:rsid w:val="005C4E6D"/>
    <w:rsid w:val="005C7DB2"/>
    <w:rsid w:val="005D41AC"/>
    <w:rsid w:val="005D6946"/>
    <w:rsid w:val="005D7D36"/>
    <w:rsid w:val="005F1591"/>
    <w:rsid w:val="005F3F55"/>
    <w:rsid w:val="00600493"/>
    <w:rsid w:val="006104C6"/>
    <w:rsid w:val="00614D39"/>
    <w:rsid w:val="00624839"/>
    <w:rsid w:val="00625EDF"/>
    <w:rsid w:val="0065110A"/>
    <w:rsid w:val="00655A18"/>
    <w:rsid w:val="00663BAF"/>
    <w:rsid w:val="00686FE0"/>
    <w:rsid w:val="006966E6"/>
    <w:rsid w:val="00696C68"/>
    <w:rsid w:val="006A6F67"/>
    <w:rsid w:val="006B4526"/>
    <w:rsid w:val="006C0612"/>
    <w:rsid w:val="006D0A45"/>
    <w:rsid w:val="006D596A"/>
    <w:rsid w:val="006D79DC"/>
    <w:rsid w:val="006E1971"/>
    <w:rsid w:val="006E30B0"/>
    <w:rsid w:val="006F527E"/>
    <w:rsid w:val="007018F2"/>
    <w:rsid w:val="0070520B"/>
    <w:rsid w:val="00724BFA"/>
    <w:rsid w:val="00730DA4"/>
    <w:rsid w:val="00732280"/>
    <w:rsid w:val="00735264"/>
    <w:rsid w:val="00740F1B"/>
    <w:rsid w:val="007503F6"/>
    <w:rsid w:val="007522F9"/>
    <w:rsid w:val="0077073C"/>
    <w:rsid w:val="007775EE"/>
    <w:rsid w:val="00791317"/>
    <w:rsid w:val="0079507F"/>
    <w:rsid w:val="007B25F8"/>
    <w:rsid w:val="007B6665"/>
    <w:rsid w:val="007D21A1"/>
    <w:rsid w:val="007E046E"/>
    <w:rsid w:val="007F02C5"/>
    <w:rsid w:val="007F1D42"/>
    <w:rsid w:val="008013CB"/>
    <w:rsid w:val="008111F4"/>
    <w:rsid w:val="00817CE6"/>
    <w:rsid w:val="00822B92"/>
    <w:rsid w:val="008509F5"/>
    <w:rsid w:val="00851184"/>
    <w:rsid w:val="00851687"/>
    <w:rsid w:val="00851D4D"/>
    <w:rsid w:val="008540BD"/>
    <w:rsid w:val="00860D97"/>
    <w:rsid w:val="00861121"/>
    <w:rsid w:val="00867D72"/>
    <w:rsid w:val="00881C53"/>
    <w:rsid w:val="00883CD5"/>
    <w:rsid w:val="00884B05"/>
    <w:rsid w:val="00890CDD"/>
    <w:rsid w:val="008925DA"/>
    <w:rsid w:val="008960F9"/>
    <w:rsid w:val="00897334"/>
    <w:rsid w:val="008A15D4"/>
    <w:rsid w:val="008A1A3E"/>
    <w:rsid w:val="008A22AD"/>
    <w:rsid w:val="008A3E6D"/>
    <w:rsid w:val="008B2CB5"/>
    <w:rsid w:val="008C53F5"/>
    <w:rsid w:val="008C75C3"/>
    <w:rsid w:val="008D20C6"/>
    <w:rsid w:val="008D4282"/>
    <w:rsid w:val="008E0098"/>
    <w:rsid w:val="008E2E50"/>
    <w:rsid w:val="008F2F36"/>
    <w:rsid w:val="00923338"/>
    <w:rsid w:val="0096526B"/>
    <w:rsid w:val="00976698"/>
    <w:rsid w:val="00997829"/>
    <w:rsid w:val="009A55DA"/>
    <w:rsid w:val="009B099F"/>
    <w:rsid w:val="009B1648"/>
    <w:rsid w:val="009B1C3A"/>
    <w:rsid w:val="009B428D"/>
    <w:rsid w:val="009B5AEF"/>
    <w:rsid w:val="009B683B"/>
    <w:rsid w:val="009B7E8A"/>
    <w:rsid w:val="009C7CFF"/>
    <w:rsid w:val="009D0408"/>
    <w:rsid w:val="009D09F3"/>
    <w:rsid w:val="009D0AE1"/>
    <w:rsid w:val="009E348C"/>
    <w:rsid w:val="009E4D17"/>
    <w:rsid w:val="00A17DF1"/>
    <w:rsid w:val="00A23360"/>
    <w:rsid w:val="00A2432E"/>
    <w:rsid w:val="00A30552"/>
    <w:rsid w:val="00A63E49"/>
    <w:rsid w:val="00A764AE"/>
    <w:rsid w:val="00A86E44"/>
    <w:rsid w:val="00A879C6"/>
    <w:rsid w:val="00AA30A8"/>
    <w:rsid w:val="00AB6B2A"/>
    <w:rsid w:val="00AC59EC"/>
    <w:rsid w:val="00AE42C2"/>
    <w:rsid w:val="00AF0078"/>
    <w:rsid w:val="00AF3808"/>
    <w:rsid w:val="00B14483"/>
    <w:rsid w:val="00B15F75"/>
    <w:rsid w:val="00B2009C"/>
    <w:rsid w:val="00B219F9"/>
    <w:rsid w:val="00B4420A"/>
    <w:rsid w:val="00B50D93"/>
    <w:rsid w:val="00B52FE9"/>
    <w:rsid w:val="00B631F0"/>
    <w:rsid w:val="00B63E1F"/>
    <w:rsid w:val="00B7783C"/>
    <w:rsid w:val="00B85872"/>
    <w:rsid w:val="00B85FD1"/>
    <w:rsid w:val="00B87A9B"/>
    <w:rsid w:val="00BA1AE4"/>
    <w:rsid w:val="00BA3154"/>
    <w:rsid w:val="00BB6BF1"/>
    <w:rsid w:val="00BC2973"/>
    <w:rsid w:val="00BC5924"/>
    <w:rsid w:val="00BD6EC5"/>
    <w:rsid w:val="00BE7ED4"/>
    <w:rsid w:val="00BF6398"/>
    <w:rsid w:val="00C01B1C"/>
    <w:rsid w:val="00C11F69"/>
    <w:rsid w:val="00C12FE1"/>
    <w:rsid w:val="00C201AE"/>
    <w:rsid w:val="00C20344"/>
    <w:rsid w:val="00C21CF8"/>
    <w:rsid w:val="00C41346"/>
    <w:rsid w:val="00C431C5"/>
    <w:rsid w:val="00C51F91"/>
    <w:rsid w:val="00C6362F"/>
    <w:rsid w:val="00C83FA9"/>
    <w:rsid w:val="00C86FA8"/>
    <w:rsid w:val="00C9407A"/>
    <w:rsid w:val="00CA2445"/>
    <w:rsid w:val="00CA66DC"/>
    <w:rsid w:val="00CA6D09"/>
    <w:rsid w:val="00CA7095"/>
    <w:rsid w:val="00CC680A"/>
    <w:rsid w:val="00CC7803"/>
    <w:rsid w:val="00CD5685"/>
    <w:rsid w:val="00CE119D"/>
    <w:rsid w:val="00CF5042"/>
    <w:rsid w:val="00CF65F5"/>
    <w:rsid w:val="00D003A5"/>
    <w:rsid w:val="00D2643A"/>
    <w:rsid w:val="00D30D88"/>
    <w:rsid w:val="00D34AB4"/>
    <w:rsid w:val="00D36031"/>
    <w:rsid w:val="00D378EF"/>
    <w:rsid w:val="00D37E55"/>
    <w:rsid w:val="00D4627E"/>
    <w:rsid w:val="00D47CB3"/>
    <w:rsid w:val="00D51318"/>
    <w:rsid w:val="00D61524"/>
    <w:rsid w:val="00D6502D"/>
    <w:rsid w:val="00D765BB"/>
    <w:rsid w:val="00D813D4"/>
    <w:rsid w:val="00D92AD4"/>
    <w:rsid w:val="00D93403"/>
    <w:rsid w:val="00D93C29"/>
    <w:rsid w:val="00DA50A4"/>
    <w:rsid w:val="00DB0728"/>
    <w:rsid w:val="00DB140F"/>
    <w:rsid w:val="00DB6645"/>
    <w:rsid w:val="00DC2EE5"/>
    <w:rsid w:val="00DD2CE0"/>
    <w:rsid w:val="00DD53BF"/>
    <w:rsid w:val="00DE0010"/>
    <w:rsid w:val="00DE4103"/>
    <w:rsid w:val="00DE4B0C"/>
    <w:rsid w:val="00DE5644"/>
    <w:rsid w:val="00DF3A46"/>
    <w:rsid w:val="00E00157"/>
    <w:rsid w:val="00E00AF8"/>
    <w:rsid w:val="00E025B4"/>
    <w:rsid w:val="00E040A6"/>
    <w:rsid w:val="00E17D29"/>
    <w:rsid w:val="00E2038B"/>
    <w:rsid w:val="00E23E32"/>
    <w:rsid w:val="00E26E0A"/>
    <w:rsid w:val="00E336B5"/>
    <w:rsid w:val="00E50257"/>
    <w:rsid w:val="00E5044D"/>
    <w:rsid w:val="00E57139"/>
    <w:rsid w:val="00E64986"/>
    <w:rsid w:val="00E725F6"/>
    <w:rsid w:val="00E82287"/>
    <w:rsid w:val="00E86EA2"/>
    <w:rsid w:val="00E922F6"/>
    <w:rsid w:val="00EA05EF"/>
    <w:rsid w:val="00EA1133"/>
    <w:rsid w:val="00EA289B"/>
    <w:rsid w:val="00EB08CC"/>
    <w:rsid w:val="00EB1530"/>
    <w:rsid w:val="00EC0AD3"/>
    <w:rsid w:val="00EC0FA6"/>
    <w:rsid w:val="00EC16BC"/>
    <w:rsid w:val="00EC3BEA"/>
    <w:rsid w:val="00EC50C7"/>
    <w:rsid w:val="00EC6858"/>
    <w:rsid w:val="00EE01B3"/>
    <w:rsid w:val="00EE2FAF"/>
    <w:rsid w:val="00EE6575"/>
    <w:rsid w:val="00EF15D1"/>
    <w:rsid w:val="00F02496"/>
    <w:rsid w:val="00F316C4"/>
    <w:rsid w:val="00F5279A"/>
    <w:rsid w:val="00F5551B"/>
    <w:rsid w:val="00F559BA"/>
    <w:rsid w:val="00F62B19"/>
    <w:rsid w:val="00F66026"/>
    <w:rsid w:val="00F7654F"/>
    <w:rsid w:val="00F77178"/>
    <w:rsid w:val="00F80B72"/>
    <w:rsid w:val="00F82591"/>
    <w:rsid w:val="00F82F1F"/>
    <w:rsid w:val="00F91B37"/>
    <w:rsid w:val="00FB7E6D"/>
    <w:rsid w:val="00FC78A0"/>
    <w:rsid w:val="00FD11BF"/>
    <w:rsid w:val="00FD4C3C"/>
    <w:rsid w:val="00FF4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3CA"/>
    <w:pPr>
      <w:widowControl w:val="0"/>
    </w:pPr>
    <w:rPr>
      <w:snapToGrid w:val="0"/>
      <w:sz w:val="24"/>
      <w:lang w:val="en-US" w:eastAsia="en-US"/>
    </w:rPr>
  </w:style>
  <w:style w:type="paragraph" w:styleId="Heading1">
    <w:name w:val="heading 1"/>
    <w:basedOn w:val="Normal"/>
    <w:next w:val="Normal"/>
    <w:qFormat/>
    <w:rsid w:val="000D33CA"/>
    <w:pPr>
      <w:keepNext/>
      <w:tabs>
        <w:tab w:val="left" w:pos="720"/>
      </w:tabs>
      <w:jc w:val="center"/>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33CA"/>
    <w:pPr>
      <w:tabs>
        <w:tab w:val="left" w:pos="720"/>
      </w:tabs>
      <w:jc w:val="center"/>
    </w:pPr>
    <w:rPr>
      <w:b/>
      <w:lang w:val="en-AU"/>
    </w:rPr>
  </w:style>
  <w:style w:type="paragraph" w:styleId="BalloonText">
    <w:name w:val="Balloon Text"/>
    <w:basedOn w:val="Normal"/>
    <w:semiHidden/>
    <w:rsid w:val="00E26E0A"/>
    <w:rPr>
      <w:rFonts w:ascii="Tahoma" w:hAnsi="Tahoma" w:cs="Tahoma"/>
      <w:sz w:val="16"/>
      <w:szCs w:val="16"/>
    </w:rPr>
  </w:style>
  <w:style w:type="paragraph" w:customStyle="1" w:styleId="Char">
    <w:name w:val="Char"/>
    <w:basedOn w:val="Normal"/>
    <w:rsid w:val="00BA3154"/>
    <w:pPr>
      <w:widowControl/>
      <w:spacing w:after="160" w:line="240" w:lineRule="exact"/>
    </w:pPr>
    <w:rPr>
      <w:rFonts w:ascii="Verdana" w:hAnsi="Verdana" w:cs="Verdana"/>
      <w:snapToGrid/>
      <w:sz w:val="20"/>
    </w:rPr>
  </w:style>
  <w:style w:type="paragraph" w:customStyle="1" w:styleId="CharCharChar">
    <w:name w:val="Char Char Char"/>
    <w:basedOn w:val="Normal"/>
    <w:rsid w:val="00BA3154"/>
    <w:pPr>
      <w:widowControl/>
    </w:pPr>
    <w:rPr>
      <w:rFonts w:ascii="Arial" w:hAnsi="Arial" w:cs="Arial"/>
      <w:snapToGrid/>
      <w:sz w:val="22"/>
      <w:szCs w:val="22"/>
      <w:lang w:val="en-AU"/>
    </w:rPr>
  </w:style>
  <w:style w:type="paragraph" w:customStyle="1" w:styleId="CharCharCharCharCharCharCharCharCharCharCharCharCharCharCharChar1">
    <w:name w:val="Char Char Char Char Char Char Char Char Char Char Char Char Char Char Char Char1"/>
    <w:basedOn w:val="Normal"/>
    <w:rsid w:val="009B5AEF"/>
    <w:pPr>
      <w:widowControl/>
      <w:spacing w:after="160" w:line="240" w:lineRule="exact"/>
    </w:pPr>
    <w:rPr>
      <w:rFonts w:ascii="Verdana" w:hAnsi="Verdana" w:cs="Verdana"/>
      <w:snapToGrid/>
      <w:sz w:val="20"/>
    </w:rPr>
  </w:style>
  <w:style w:type="paragraph" w:styleId="Header">
    <w:name w:val="header"/>
    <w:basedOn w:val="Normal"/>
    <w:link w:val="HeaderChar"/>
    <w:rsid w:val="00EE2FAF"/>
    <w:pPr>
      <w:tabs>
        <w:tab w:val="center" w:pos="4320"/>
        <w:tab w:val="right" w:pos="8640"/>
      </w:tabs>
    </w:pPr>
  </w:style>
  <w:style w:type="paragraph" w:styleId="Footer">
    <w:name w:val="footer"/>
    <w:basedOn w:val="Normal"/>
    <w:rsid w:val="00EE2FAF"/>
    <w:pPr>
      <w:tabs>
        <w:tab w:val="center" w:pos="4320"/>
        <w:tab w:val="right" w:pos="8640"/>
      </w:tabs>
    </w:pPr>
  </w:style>
  <w:style w:type="character" w:styleId="PageNumber">
    <w:name w:val="page number"/>
    <w:basedOn w:val="DefaultParagraphFont"/>
    <w:rsid w:val="00EE2FAF"/>
  </w:style>
  <w:style w:type="character" w:styleId="CommentReference">
    <w:name w:val="annotation reference"/>
    <w:basedOn w:val="DefaultParagraphFont"/>
    <w:semiHidden/>
    <w:rsid w:val="00CF5042"/>
    <w:rPr>
      <w:sz w:val="16"/>
      <w:szCs w:val="16"/>
    </w:rPr>
  </w:style>
  <w:style w:type="paragraph" w:styleId="CommentText">
    <w:name w:val="annotation text"/>
    <w:basedOn w:val="Normal"/>
    <w:semiHidden/>
    <w:rsid w:val="00CF5042"/>
    <w:rPr>
      <w:sz w:val="20"/>
    </w:rPr>
  </w:style>
  <w:style w:type="paragraph" w:styleId="CommentSubject">
    <w:name w:val="annotation subject"/>
    <w:basedOn w:val="CommentText"/>
    <w:next w:val="CommentText"/>
    <w:semiHidden/>
    <w:rsid w:val="00CF5042"/>
    <w:rPr>
      <w:b/>
      <w:bCs/>
    </w:rPr>
  </w:style>
  <w:style w:type="character" w:customStyle="1" w:styleId="HeaderChar">
    <w:name w:val="Header Char"/>
    <w:basedOn w:val="DefaultParagraphFont"/>
    <w:link w:val="Header"/>
    <w:rsid w:val="0004408E"/>
    <w:rPr>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3CA"/>
    <w:pPr>
      <w:widowControl w:val="0"/>
    </w:pPr>
    <w:rPr>
      <w:snapToGrid w:val="0"/>
      <w:sz w:val="24"/>
      <w:lang w:val="en-US" w:eastAsia="en-US"/>
    </w:rPr>
  </w:style>
  <w:style w:type="paragraph" w:styleId="Heading1">
    <w:name w:val="heading 1"/>
    <w:basedOn w:val="Normal"/>
    <w:next w:val="Normal"/>
    <w:qFormat/>
    <w:rsid w:val="000D33CA"/>
    <w:pPr>
      <w:keepNext/>
      <w:tabs>
        <w:tab w:val="left" w:pos="720"/>
      </w:tabs>
      <w:jc w:val="center"/>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33CA"/>
    <w:pPr>
      <w:tabs>
        <w:tab w:val="left" w:pos="720"/>
      </w:tabs>
      <w:jc w:val="center"/>
    </w:pPr>
    <w:rPr>
      <w:b/>
      <w:lang w:val="en-AU"/>
    </w:rPr>
  </w:style>
  <w:style w:type="paragraph" w:styleId="BalloonText">
    <w:name w:val="Balloon Text"/>
    <w:basedOn w:val="Normal"/>
    <w:semiHidden/>
    <w:rsid w:val="00E26E0A"/>
    <w:rPr>
      <w:rFonts w:ascii="Tahoma" w:hAnsi="Tahoma" w:cs="Tahoma"/>
      <w:sz w:val="16"/>
      <w:szCs w:val="16"/>
    </w:rPr>
  </w:style>
  <w:style w:type="paragraph" w:customStyle="1" w:styleId="Char">
    <w:name w:val="Char"/>
    <w:basedOn w:val="Normal"/>
    <w:rsid w:val="00BA3154"/>
    <w:pPr>
      <w:widowControl/>
      <w:spacing w:after="160" w:line="240" w:lineRule="exact"/>
    </w:pPr>
    <w:rPr>
      <w:rFonts w:ascii="Verdana" w:hAnsi="Verdana" w:cs="Verdana"/>
      <w:snapToGrid/>
      <w:sz w:val="20"/>
    </w:rPr>
  </w:style>
  <w:style w:type="paragraph" w:customStyle="1" w:styleId="CharCharChar">
    <w:name w:val="Char Char Char"/>
    <w:basedOn w:val="Normal"/>
    <w:rsid w:val="00BA3154"/>
    <w:pPr>
      <w:widowControl/>
    </w:pPr>
    <w:rPr>
      <w:rFonts w:ascii="Arial" w:hAnsi="Arial" w:cs="Arial"/>
      <w:snapToGrid/>
      <w:sz w:val="22"/>
      <w:szCs w:val="22"/>
      <w:lang w:val="en-AU"/>
    </w:rPr>
  </w:style>
  <w:style w:type="paragraph" w:customStyle="1" w:styleId="CharCharCharCharCharCharCharCharCharCharCharCharCharCharCharChar1">
    <w:name w:val="Char Char Char Char Char Char Char Char Char Char Char Char Char Char Char Char1"/>
    <w:basedOn w:val="Normal"/>
    <w:rsid w:val="009B5AEF"/>
    <w:pPr>
      <w:widowControl/>
      <w:spacing w:after="160" w:line="240" w:lineRule="exact"/>
    </w:pPr>
    <w:rPr>
      <w:rFonts w:ascii="Verdana" w:hAnsi="Verdana" w:cs="Verdana"/>
      <w:snapToGrid/>
      <w:sz w:val="20"/>
    </w:rPr>
  </w:style>
  <w:style w:type="paragraph" w:styleId="Header">
    <w:name w:val="header"/>
    <w:basedOn w:val="Normal"/>
    <w:link w:val="HeaderChar"/>
    <w:rsid w:val="00EE2FAF"/>
    <w:pPr>
      <w:tabs>
        <w:tab w:val="center" w:pos="4320"/>
        <w:tab w:val="right" w:pos="8640"/>
      </w:tabs>
    </w:pPr>
  </w:style>
  <w:style w:type="paragraph" w:styleId="Footer">
    <w:name w:val="footer"/>
    <w:basedOn w:val="Normal"/>
    <w:rsid w:val="00EE2FAF"/>
    <w:pPr>
      <w:tabs>
        <w:tab w:val="center" w:pos="4320"/>
        <w:tab w:val="right" w:pos="8640"/>
      </w:tabs>
    </w:pPr>
  </w:style>
  <w:style w:type="character" w:styleId="PageNumber">
    <w:name w:val="page number"/>
    <w:basedOn w:val="DefaultParagraphFont"/>
    <w:rsid w:val="00EE2FAF"/>
  </w:style>
  <w:style w:type="character" w:styleId="CommentReference">
    <w:name w:val="annotation reference"/>
    <w:basedOn w:val="DefaultParagraphFont"/>
    <w:semiHidden/>
    <w:rsid w:val="00CF5042"/>
    <w:rPr>
      <w:sz w:val="16"/>
      <w:szCs w:val="16"/>
    </w:rPr>
  </w:style>
  <w:style w:type="paragraph" w:styleId="CommentText">
    <w:name w:val="annotation text"/>
    <w:basedOn w:val="Normal"/>
    <w:semiHidden/>
    <w:rsid w:val="00CF5042"/>
    <w:rPr>
      <w:sz w:val="20"/>
    </w:rPr>
  </w:style>
  <w:style w:type="paragraph" w:styleId="CommentSubject">
    <w:name w:val="annotation subject"/>
    <w:basedOn w:val="CommentText"/>
    <w:next w:val="CommentText"/>
    <w:semiHidden/>
    <w:rsid w:val="00CF5042"/>
    <w:rPr>
      <w:b/>
      <w:bCs/>
    </w:rPr>
  </w:style>
  <w:style w:type="character" w:customStyle="1" w:styleId="HeaderChar">
    <w:name w:val="Header Char"/>
    <w:basedOn w:val="DefaultParagraphFont"/>
    <w:link w:val="Header"/>
    <w:rsid w:val="0004408E"/>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2012-06-03T23:08:00Z</cp:lastPrinted>
  <dcterms:created xsi:type="dcterms:W3CDTF">2013-06-20T22:50:00Z</dcterms:created>
  <dcterms:modified xsi:type="dcterms:W3CDTF">2013-06-20T22:50:00Z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