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251" w:rsidRPr="00414613" w:rsidRDefault="00C56251" w:rsidP="00C56251">
      <w:pPr>
        <w:pStyle w:val="Heading1"/>
        <w:ind w:left="284"/>
        <w:rPr>
          <w:szCs w:val="24"/>
        </w:rPr>
      </w:pPr>
      <w:r w:rsidRPr="00414613">
        <w:rPr>
          <w:szCs w:val="24"/>
        </w:rPr>
        <w:t xml:space="preserve">EXPLANATORY </w:t>
      </w:r>
      <w:r w:rsidR="000D5D4A">
        <w:rPr>
          <w:szCs w:val="24"/>
        </w:rPr>
        <w:t>STATEMENT</w:t>
      </w:r>
    </w:p>
    <w:p w:rsidR="00C56251" w:rsidRPr="00414613" w:rsidRDefault="00C56251" w:rsidP="00C56251">
      <w:pPr>
        <w:ind w:left="284"/>
        <w:rPr>
          <w:szCs w:val="24"/>
        </w:rPr>
      </w:pPr>
    </w:p>
    <w:p w:rsidR="00C56251" w:rsidRPr="00414613" w:rsidRDefault="00C56251" w:rsidP="00C56251">
      <w:pPr>
        <w:ind w:left="284"/>
        <w:rPr>
          <w:szCs w:val="24"/>
          <w:u w:val="single"/>
        </w:rPr>
      </w:pPr>
    </w:p>
    <w:p w:rsidR="00C56251" w:rsidRPr="00664F39" w:rsidRDefault="000D5D4A" w:rsidP="000D5D4A">
      <w:pPr>
        <w:jc w:val="center"/>
        <w:rPr>
          <w:b/>
          <w:szCs w:val="24"/>
          <w:u w:val="single"/>
        </w:rPr>
      </w:pPr>
      <w:r w:rsidRPr="00664F39">
        <w:rPr>
          <w:b/>
          <w:szCs w:val="24"/>
          <w:u w:val="single"/>
        </w:rPr>
        <w:t>Select Legislative Instrument 2013 No.</w:t>
      </w:r>
      <w:r w:rsidR="00C1098E">
        <w:rPr>
          <w:b/>
          <w:szCs w:val="24"/>
          <w:u w:val="single"/>
        </w:rPr>
        <w:t xml:space="preserve"> 143</w:t>
      </w:r>
    </w:p>
    <w:p w:rsidR="00C56251" w:rsidRPr="00414613" w:rsidRDefault="00C56251" w:rsidP="000D5D4A">
      <w:pPr>
        <w:jc w:val="center"/>
        <w:rPr>
          <w:szCs w:val="24"/>
        </w:rPr>
      </w:pPr>
    </w:p>
    <w:p w:rsidR="00C56251" w:rsidRPr="00414613" w:rsidRDefault="00C56251" w:rsidP="000D5D4A">
      <w:pPr>
        <w:widowControl w:val="0"/>
        <w:tabs>
          <w:tab w:val="left" w:pos="1418"/>
        </w:tabs>
        <w:jc w:val="center"/>
        <w:rPr>
          <w:i/>
          <w:szCs w:val="24"/>
        </w:rPr>
      </w:pPr>
      <w:r w:rsidRPr="00414613">
        <w:rPr>
          <w:i/>
          <w:szCs w:val="24"/>
        </w:rPr>
        <w:t>Health Insurance Act 1973</w:t>
      </w:r>
    </w:p>
    <w:p w:rsidR="00C56251" w:rsidRPr="00414613" w:rsidRDefault="00C56251" w:rsidP="000D5D4A">
      <w:pPr>
        <w:tabs>
          <w:tab w:val="left" w:pos="1418"/>
        </w:tabs>
        <w:ind w:left="851"/>
        <w:jc w:val="center"/>
        <w:rPr>
          <w:i/>
          <w:szCs w:val="24"/>
        </w:rPr>
      </w:pPr>
    </w:p>
    <w:p w:rsidR="00C56251" w:rsidRPr="00414613" w:rsidRDefault="00C56251" w:rsidP="000D5D4A">
      <w:pPr>
        <w:tabs>
          <w:tab w:val="left" w:pos="1418"/>
        </w:tabs>
        <w:jc w:val="center"/>
        <w:rPr>
          <w:i/>
          <w:szCs w:val="24"/>
        </w:rPr>
      </w:pPr>
      <w:r w:rsidRPr="00414613">
        <w:rPr>
          <w:i/>
          <w:szCs w:val="24"/>
        </w:rPr>
        <w:t xml:space="preserve">Health Insurance (General Medical Services Table) </w:t>
      </w:r>
      <w:r w:rsidR="007B08D1" w:rsidRPr="00414613">
        <w:rPr>
          <w:i/>
          <w:szCs w:val="24"/>
        </w:rPr>
        <w:t xml:space="preserve">Amendment </w:t>
      </w:r>
      <w:r w:rsidR="00E15342">
        <w:rPr>
          <w:i/>
          <w:szCs w:val="24"/>
        </w:rPr>
        <w:t>(Bariatric and Other M</w:t>
      </w:r>
      <w:r w:rsidR="00203952">
        <w:rPr>
          <w:i/>
          <w:szCs w:val="24"/>
        </w:rPr>
        <w:t xml:space="preserve">easures) </w:t>
      </w:r>
      <w:r w:rsidRPr="00414613">
        <w:rPr>
          <w:i/>
          <w:szCs w:val="24"/>
        </w:rPr>
        <w:t>Regulation 201</w:t>
      </w:r>
      <w:r w:rsidR="007B08D1" w:rsidRPr="00414613">
        <w:rPr>
          <w:i/>
          <w:szCs w:val="24"/>
        </w:rPr>
        <w:t>3</w:t>
      </w:r>
    </w:p>
    <w:p w:rsidR="00C56251" w:rsidRPr="00414613" w:rsidRDefault="00C56251" w:rsidP="00C56251">
      <w:pPr>
        <w:ind w:left="284"/>
        <w:jc w:val="center"/>
        <w:rPr>
          <w:szCs w:val="24"/>
          <w:u w:val="single"/>
        </w:rPr>
      </w:pPr>
    </w:p>
    <w:p w:rsidR="00C56251" w:rsidRPr="00414613" w:rsidRDefault="00C56251" w:rsidP="00C56251">
      <w:pPr>
        <w:rPr>
          <w:szCs w:val="24"/>
        </w:rPr>
      </w:pPr>
      <w:r w:rsidRPr="00414613">
        <w:rPr>
          <w:szCs w:val="24"/>
        </w:rPr>
        <w:t xml:space="preserve">Subsection 133(1) of the </w:t>
      </w:r>
      <w:r w:rsidRPr="00414613">
        <w:rPr>
          <w:i/>
          <w:szCs w:val="24"/>
        </w:rPr>
        <w:t xml:space="preserve">Health Insurance Act 1973 </w:t>
      </w:r>
      <w:r w:rsidRPr="00414613">
        <w:rPr>
          <w:szCs w:val="24"/>
        </w:rPr>
        <w:t xml:space="preserve">(the Act) provides that the </w:t>
      </w:r>
    </w:p>
    <w:p w:rsidR="00C56251" w:rsidRPr="00414613" w:rsidRDefault="00C56251" w:rsidP="00C56251">
      <w:pPr>
        <w:rPr>
          <w:szCs w:val="24"/>
        </w:rPr>
      </w:pPr>
      <w:r w:rsidRPr="00414613">
        <w:rPr>
          <w:szCs w:val="24"/>
        </w:rPr>
        <w:t xml:space="preserve">Governor-General may make regulations, not inconsistent with the Act, prescribing all matters required or permitted by the Act to be prescribed, or necessary or convenient to be prescribed for carrying out or giving effect to the Act.  </w:t>
      </w:r>
    </w:p>
    <w:p w:rsidR="00C56251" w:rsidRPr="00414613" w:rsidRDefault="00C56251" w:rsidP="00C56251">
      <w:pPr>
        <w:rPr>
          <w:szCs w:val="24"/>
        </w:rPr>
      </w:pPr>
    </w:p>
    <w:p w:rsidR="00C56251" w:rsidRPr="00414613" w:rsidRDefault="00C56251" w:rsidP="00C56251">
      <w:pPr>
        <w:rPr>
          <w:szCs w:val="24"/>
        </w:rPr>
      </w:pPr>
      <w:r w:rsidRPr="00414613">
        <w:rPr>
          <w:szCs w:val="24"/>
        </w:rPr>
        <w:t xml:space="preserve">Part II of the Act provides for the payment of Medicare benefits for professional services rendered to eligible persons.  Section 9 of the Act provides that Medicare benefits shall be calculated by reference to the fees for medical services set out in the </w:t>
      </w:r>
      <w:r w:rsidR="00EA5A32" w:rsidRPr="00414613">
        <w:rPr>
          <w:szCs w:val="24"/>
        </w:rPr>
        <w:t xml:space="preserve">general medical, pathology and diagnostic imaging </w:t>
      </w:r>
      <w:r w:rsidRPr="00414613">
        <w:rPr>
          <w:szCs w:val="24"/>
        </w:rPr>
        <w:t>tables.</w:t>
      </w:r>
    </w:p>
    <w:p w:rsidR="00C56251" w:rsidRPr="00414613" w:rsidRDefault="00C56251" w:rsidP="00C56251">
      <w:pPr>
        <w:rPr>
          <w:szCs w:val="24"/>
        </w:rPr>
      </w:pPr>
    </w:p>
    <w:p w:rsidR="00C56251" w:rsidRPr="00414613" w:rsidRDefault="00C56251" w:rsidP="00C56251">
      <w:pPr>
        <w:rPr>
          <w:szCs w:val="24"/>
        </w:rPr>
      </w:pPr>
      <w:r w:rsidRPr="00414613">
        <w:rPr>
          <w:szCs w:val="24"/>
        </w:rPr>
        <w:t xml:space="preserve">Subsection 4(1) of the Act provides that the regulations may prescribe a table of medical services (other than diagnostic imaging services and pathology services) which sets out items of medical services, the fees applicable for each item, and rules for interpreting the table.  The </w:t>
      </w:r>
      <w:r w:rsidRPr="00414613">
        <w:rPr>
          <w:i/>
          <w:szCs w:val="24"/>
        </w:rPr>
        <w:t>Health Insurance (General Medical Services Table) Regulation 2012</w:t>
      </w:r>
      <w:r w:rsidRPr="00414613">
        <w:rPr>
          <w:szCs w:val="24"/>
        </w:rPr>
        <w:t xml:space="preserve"> (the Principal Regulation) currently prescribes such a table.</w:t>
      </w:r>
    </w:p>
    <w:p w:rsidR="00C56251" w:rsidRPr="00414613" w:rsidRDefault="00C56251" w:rsidP="00C56251">
      <w:pPr>
        <w:rPr>
          <w:szCs w:val="24"/>
        </w:rPr>
      </w:pPr>
    </w:p>
    <w:p w:rsidR="00BB1CDA" w:rsidRPr="00414613" w:rsidRDefault="00C56251" w:rsidP="007B08D1">
      <w:pPr>
        <w:autoSpaceDE w:val="0"/>
        <w:autoSpaceDN w:val="0"/>
        <w:adjustRightInd w:val="0"/>
        <w:rPr>
          <w:szCs w:val="24"/>
        </w:rPr>
      </w:pPr>
      <w:r w:rsidRPr="00414613">
        <w:rPr>
          <w:szCs w:val="24"/>
        </w:rPr>
        <w:t>The regulation amend</w:t>
      </w:r>
      <w:r w:rsidR="000D5D4A">
        <w:rPr>
          <w:szCs w:val="24"/>
        </w:rPr>
        <w:t>s</w:t>
      </w:r>
      <w:r w:rsidRPr="00414613">
        <w:rPr>
          <w:szCs w:val="24"/>
        </w:rPr>
        <w:t xml:space="preserve"> the Principal Regulation to ensure that the medical services funded through the Medicare Benefits Schedule</w:t>
      </w:r>
      <w:r w:rsidR="00C5100A" w:rsidRPr="00414613">
        <w:rPr>
          <w:szCs w:val="24"/>
        </w:rPr>
        <w:t xml:space="preserve"> (</w:t>
      </w:r>
      <w:proofErr w:type="spellStart"/>
      <w:r w:rsidR="00C5100A" w:rsidRPr="00414613">
        <w:rPr>
          <w:szCs w:val="24"/>
        </w:rPr>
        <w:t>MBS</w:t>
      </w:r>
      <w:proofErr w:type="spellEnd"/>
      <w:r w:rsidR="00C5100A" w:rsidRPr="00414613">
        <w:rPr>
          <w:szCs w:val="24"/>
        </w:rPr>
        <w:t>)</w:t>
      </w:r>
      <w:r w:rsidRPr="00414613">
        <w:rPr>
          <w:szCs w:val="24"/>
        </w:rPr>
        <w:t xml:space="preserve"> continue to be up-to-date and representative of best medical practice. </w:t>
      </w:r>
    </w:p>
    <w:p w:rsidR="00833FCC" w:rsidRPr="00414613" w:rsidRDefault="00833FCC" w:rsidP="007B08D1">
      <w:pPr>
        <w:autoSpaceDE w:val="0"/>
        <w:autoSpaceDN w:val="0"/>
        <w:adjustRightInd w:val="0"/>
        <w:rPr>
          <w:szCs w:val="24"/>
        </w:rPr>
      </w:pPr>
    </w:p>
    <w:p w:rsidR="00141E8C" w:rsidRPr="00414613" w:rsidRDefault="00FB35C6" w:rsidP="00A045CA">
      <w:pPr>
        <w:rPr>
          <w:szCs w:val="24"/>
        </w:rPr>
      </w:pPr>
      <w:r w:rsidRPr="00414613">
        <w:rPr>
          <w:szCs w:val="24"/>
        </w:rPr>
        <w:t>Schedule 1 to the regulation include</w:t>
      </w:r>
      <w:r w:rsidR="000D5D4A">
        <w:rPr>
          <w:szCs w:val="24"/>
        </w:rPr>
        <w:t>s</w:t>
      </w:r>
      <w:r w:rsidRPr="00414613">
        <w:rPr>
          <w:szCs w:val="24"/>
        </w:rPr>
        <w:t xml:space="preserve"> a number of minor changes to implement Government policies in relation to Medicare. </w:t>
      </w:r>
    </w:p>
    <w:p w:rsidR="00141E8C" w:rsidRPr="00414613" w:rsidRDefault="00141E8C" w:rsidP="00A045CA">
      <w:pPr>
        <w:rPr>
          <w:szCs w:val="24"/>
        </w:rPr>
      </w:pPr>
    </w:p>
    <w:p w:rsidR="00F32A56" w:rsidRPr="00414613" w:rsidRDefault="000F249E" w:rsidP="00A045CA">
      <w:pPr>
        <w:rPr>
          <w:szCs w:val="24"/>
        </w:rPr>
      </w:pPr>
      <w:r>
        <w:rPr>
          <w:szCs w:val="24"/>
        </w:rPr>
        <w:t>Amendments</w:t>
      </w:r>
      <w:r w:rsidR="00F32A56" w:rsidRPr="00414613">
        <w:rPr>
          <w:szCs w:val="24"/>
        </w:rPr>
        <w:t xml:space="preserve"> to 15</w:t>
      </w:r>
      <w:r w:rsidR="004C68D1" w:rsidRPr="00414613">
        <w:rPr>
          <w:szCs w:val="24"/>
        </w:rPr>
        <w:t xml:space="preserve"> </w:t>
      </w:r>
      <w:proofErr w:type="spellStart"/>
      <w:r w:rsidR="004C68D1" w:rsidRPr="00414613">
        <w:rPr>
          <w:szCs w:val="24"/>
        </w:rPr>
        <w:t>MBS</w:t>
      </w:r>
      <w:proofErr w:type="spellEnd"/>
      <w:r w:rsidR="004C68D1" w:rsidRPr="00414613">
        <w:rPr>
          <w:szCs w:val="24"/>
        </w:rPr>
        <w:t xml:space="preserve"> items </w:t>
      </w:r>
      <w:r>
        <w:rPr>
          <w:szCs w:val="24"/>
        </w:rPr>
        <w:t xml:space="preserve">are </w:t>
      </w:r>
      <w:r w:rsidR="004C68D1" w:rsidRPr="00414613">
        <w:rPr>
          <w:szCs w:val="24"/>
        </w:rPr>
        <w:t xml:space="preserve">to substitute gender specific words </w:t>
      </w:r>
      <w:r w:rsidR="005B0EA3" w:rsidRPr="00414613">
        <w:rPr>
          <w:szCs w:val="24"/>
        </w:rPr>
        <w:t xml:space="preserve">for gender neutral terminology where this </w:t>
      </w:r>
      <w:r w:rsidR="000D5D4A">
        <w:rPr>
          <w:szCs w:val="24"/>
        </w:rPr>
        <w:t>will</w:t>
      </w:r>
      <w:r w:rsidR="005B0EA3" w:rsidRPr="00414613">
        <w:rPr>
          <w:szCs w:val="24"/>
        </w:rPr>
        <w:t xml:space="preserve"> not change the clinical or eligibility intent of the item.</w:t>
      </w:r>
      <w:r w:rsidR="004C68D1" w:rsidRPr="00414613">
        <w:rPr>
          <w:szCs w:val="24"/>
        </w:rPr>
        <w:t xml:space="preserve">  These amendments are being made in order to comply with the </w:t>
      </w:r>
      <w:r w:rsidR="004C68D1" w:rsidRPr="00414613">
        <w:rPr>
          <w:i/>
          <w:szCs w:val="24"/>
        </w:rPr>
        <w:t xml:space="preserve">Australian Government Guidelines on the Recognition of Gender </w:t>
      </w:r>
      <w:r w:rsidR="00F32A56" w:rsidRPr="00414613">
        <w:rPr>
          <w:szCs w:val="24"/>
        </w:rPr>
        <w:t xml:space="preserve">which were developed </w:t>
      </w:r>
      <w:r w:rsidR="00F12E98">
        <w:rPr>
          <w:szCs w:val="24"/>
        </w:rPr>
        <w:t>in 2012 by the Attorney-General</w:t>
      </w:r>
      <w:r w:rsidR="00913B67">
        <w:rPr>
          <w:szCs w:val="24"/>
        </w:rPr>
        <w:t>’</w:t>
      </w:r>
      <w:r w:rsidR="00F32A56" w:rsidRPr="00414613">
        <w:rPr>
          <w:szCs w:val="24"/>
        </w:rPr>
        <w:t>s Department.  Currently, where an item refers to a patient’s biologic</w:t>
      </w:r>
      <w:r w:rsidR="001E7C25" w:rsidRPr="00414613">
        <w:rPr>
          <w:szCs w:val="24"/>
        </w:rPr>
        <w:t xml:space="preserve">al sex – </w:t>
      </w:r>
      <w:r w:rsidR="00F32A56" w:rsidRPr="00414613">
        <w:rPr>
          <w:szCs w:val="24"/>
        </w:rPr>
        <w:t>such as an item for a ‘</w:t>
      </w:r>
      <w:r w:rsidR="005B0EA3" w:rsidRPr="00414613">
        <w:rPr>
          <w:szCs w:val="24"/>
        </w:rPr>
        <w:t>cervical smear from a woman</w:t>
      </w:r>
      <w:r w:rsidR="00F32A56" w:rsidRPr="00414613">
        <w:rPr>
          <w:szCs w:val="24"/>
        </w:rPr>
        <w:t>’</w:t>
      </w:r>
      <w:r w:rsidR="001E7C25" w:rsidRPr="00414613">
        <w:rPr>
          <w:szCs w:val="24"/>
        </w:rPr>
        <w:t xml:space="preserve"> – </w:t>
      </w:r>
      <w:r w:rsidR="00F32A56" w:rsidRPr="00414613">
        <w:rPr>
          <w:szCs w:val="24"/>
        </w:rPr>
        <w:t xml:space="preserve">the item can only be claimed by a patient who is recorded as a female on the </w:t>
      </w:r>
      <w:proofErr w:type="spellStart"/>
      <w:r w:rsidR="00F32A56" w:rsidRPr="00414613">
        <w:rPr>
          <w:szCs w:val="24"/>
        </w:rPr>
        <w:t>DHS</w:t>
      </w:r>
      <w:proofErr w:type="spellEnd"/>
      <w:r w:rsidR="00F32A56" w:rsidRPr="00414613">
        <w:rPr>
          <w:szCs w:val="24"/>
        </w:rPr>
        <w:t xml:space="preserve"> data</w:t>
      </w:r>
      <w:r w:rsidR="005B0EA3" w:rsidRPr="00414613">
        <w:rPr>
          <w:szCs w:val="24"/>
        </w:rPr>
        <w:t xml:space="preserve">base.  This may disadvantage patients who do not identify with their biological sex or who identify with a gender </w:t>
      </w:r>
      <w:r w:rsidR="001E7C25" w:rsidRPr="00414613">
        <w:rPr>
          <w:szCs w:val="24"/>
        </w:rPr>
        <w:t xml:space="preserve">other than that which they were assigned at birth.  The changes allow for the items to be provided to all patients who have the anatomical characteristics but who do not identify with the gender specific language (woman/man, female/male).     </w:t>
      </w:r>
      <w:r w:rsidR="005B0EA3" w:rsidRPr="00414613">
        <w:rPr>
          <w:szCs w:val="24"/>
        </w:rPr>
        <w:t xml:space="preserve">  </w:t>
      </w:r>
    </w:p>
    <w:p w:rsidR="00B03273" w:rsidRPr="00414613" w:rsidRDefault="00B03273" w:rsidP="00A045CA">
      <w:pPr>
        <w:rPr>
          <w:bCs/>
          <w:szCs w:val="24"/>
        </w:rPr>
      </w:pPr>
    </w:p>
    <w:p w:rsidR="00B03273" w:rsidRPr="00414613" w:rsidRDefault="001E7C25" w:rsidP="00B03273">
      <w:pPr>
        <w:rPr>
          <w:szCs w:val="24"/>
        </w:rPr>
      </w:pPr>
      <w:r w:rsidRPr="00414613">
        <w:rPr>
          <w:bCs/>
          <w:szCs w:val="24"/>
        </w:rPr>
        <w:t xml:space="preserve">The regulation also includes amendments </w:t>
      </w:r>
      <w:r w:rsidR="00B03273" w:rsidRPr="00414613">
        <w:rPr>
          <w:szCs w:val="24"/>
        </w:rPr>
        <w:t>to improve and better define the target groups appropriate for different bariatric procedures</w:t>
      </w:r>
      <w:r w:rsidR="00BF6341">
        <w:rPr>
          <w:szCs w:val="24"/>
        </w:rPr>
        <w:t xml:space="preserve"> for the treatment of obesity</w:t>
      </w:r>
      <w:r w:rsidR="00F12E98">
        <w:rPr>
          <w:szCs w:val="24"/>
        </w:rPr>
        <w:t xml:space="preserve"> as a result of advice from</w:t>
      </w:r>
      <w:r w:rsidR="00221C4B" w:rsidRPr="00414613">
        <w:rPr>
          <w:szCs w:val="24"/>
        </w:rPr>
        <w:t xml:space="preserve"> the Medical Services Advisory Committee</w:t>
      </w:r>
      <w:r w:rsidR="00635031">
        <w:rPr>
          <w:szCs w:val="24"/>
        </w:rPr>
        <w:t xml:space="preserve"> (the </w:t>
      </w:r>
      <w:proofErr w:type="spellStart"/>
      <w:r w:rsidR="00635031">
        <w:rPr>
          <w:szCs w:val="24"/>
        </w:rPr>
        <w:t>MSAC</w:t>
      </w:r>
      <w:proofErr w:type="spellEnd"/>
      <w:r w:rsidR="00635031">
        <w:rPr>
          <w:szCs w:val="24"/>
        </w:rPr>
        <w:t>)</w:t>
      </w:r>
      <w:r w:rsidR="00221C4B" w:rsidRPr="00414613">
        <w:rPr>
          <w:szCs w:val="24"/>
        </w:rPr>
        <w:t>.</w:t>
      </w:r>
      <w:r w:rsidR="00BF6341">
        <w:rPr>
          <w:szCs w:val="24"/>
        </w:rPr>
        <w:t xml:space="preserve">  </w:t>
      </w:r>
      <w:r w:rsidR="00F12E98">
        <w:rPr>
          <w:szCs w:val="24"/>
        </w:rPr>
        <w:t xml:space="preserve">The </w:t>
      </w:r>
      <w:proofErr w:type="spellStart"/>
      <w:r w:rsidR="00F12E98">
        <w:rPr>
          <w:szCs w:val="24"/>
        </w:rPr>
        <w:t>MSAC</w:t>
      </w:r>
      <w:proofErr w:type="spellEnd"/>
      <w:r w:rsidR="00F12E98">
        <w:rPr>
          <w:szCs w:val="24"/>
        </w:rPr>
        <w:t xml:space="preserve"> provides advice to the Minister for Health and Ageing on evidence relating to the safety, effectiveness and cost-effectiveness of new medical technologies and procedures.  This advice informs Government </w:t>
      </w:r>
      <w:r w:rsidR="00F12E98">
        <w:rPr>
          <w:szCs w:val="24"/>
        </w:rPr>
        <w:lastRenderedPageBreak/>
        <w:t xml:space="preserve">decisions about new, and in some cases existing, medical procedures.  </w:t>
      </w:r>
      <w:r w:rsidR="005140F2" w:rsidRPr="00414613">
        <w:rPr>
          <w:szCs w:val="24"/>
        </w:rPr>
        <w:t>Th</w:t>
      </w:r>
      <w:r w:rsidR="00221C4B" w:rsidRPr="00414613">
        <w:rPr>
          <w:szCs w:val="24"/>
        </w:rPr>
        <w:t>e</w:t>
      </w:r>
      <w:r w:rsidR="00F12E98">
        <w:rPr>
          <w:szCs w:val="24"/>
        </w:rPr>
        <w:t xml:space="preserve"> advice</w:t>
      </w:r>
      <w:r w:rsidR="00B03273" w:rsidRPr="00414613">
        <w:rPr>
          <w:szCs w:val="24"/>
        </w:rPr>
        <w:t xml:space="preserve"> has resulted in</w:t>
      </w:r>
      <w:r w:rsidR="00F12E98">
        <w:rPr>
          <w:szCs w:val="24"/>
        </w:rPr>
        <w:t xml:space="preserve"> the introduction of</w:t>
      </w:r>
      <w:r w:rsidR="00B03273" w:rsidRPr="00414613">
        <w:rPr>
          <w:szCs w:val="24"/>
        </w:rPr>
        <w:t xml:space="preserve"> </w:t>
      </w:r>
      <w:r w:rsidR="00064BA4">
        <w:rPr>
          <w:szCs w:val="24"/>
        </w:rPr>
        <w:t>eight</w:t>
      </w:r>
      <w:r w:rsidR="00B03273" w:rsidRPr="00414613">
        <w:rPr>
          <w:szCs w:val="24"/>
        </w:rPr>
        <w:t xml:space="preserve"> new </w:t>
      </w:r>
      <w:proofErr w:type="spellStart"/>
      <w:r w:rsidR="00B03273" w:rsidRPr="00414613">
        <w:rPr>
          <w:szCs w:val="24"/>
        </w:rPr>
        <w:t>MBS</w:t>
      </w:r>
      <w:proofErr w:type="spellEnd"/>
      <w:r w:rsidR="00B03273" w:rsidRPr="00414613">
        <w:rPr>
          <w:szCs w:val="24"/>
        </w:rPr>
        <w:t xml:space="preserve"> items</w:t>
      </w:r>
      <w:r w:rsidR="00883C9D">
        <w:rPr>
          <w:szCs w:val="24"/>
        </w:rPr>
        <w:t xml:space="preserve"> (31569 to 31590</w:t>
      </w:r>
      <w:r w:rsidR="00B03273" w:rsidRPr="00414613">
        <w:rPr>
          <w:szCs w:val="24"/>
        </w:rPr>
        <w:t>)</w:t>
      </w:r>
      <w:r w:rsidR="00BF6341">
        <w:rPr>
          <w:szCs w:val="24"/>
        </w:rPr>
        <w:t xml:space="preserve">.  These new items provide Medicare rebates for the following surgical interventions for the treatment of obesity: adjustable gastric banding; sleeve </w:t>
      </w:r>
      <w:proofErr w:type="spellStart"/>
      <w:r w:rsidR="00BF6341">
        <w:rPr>
          <w:szCs w:val="24"/>
        </w:rPr>
        <w:t>gastrectomy</w:t>
      </w:r>
      <w:proofErr w:type="spellEnd"/>
      <w:r w:rsidR="00BF6341">
        <w:rPr>
          <w:szCs w:val="24"/>
        </w:rPr>
        <w:t xml:space="preserve">; </w:t>
      </w:r>
      <w:proofErr w:type="spellStart"/>
      <w:r w:rsidR="00BF6341">
        <w:rPr>
          <w:szCs w:val="24"/>
        </w:rPr>
        <w:t>gastroplasy</w:t>
      </w:r>
      <w:proofErr w:type="spellEnd"/>
      <w:r w:rsidR="00BF6341">
        <w:rPr>
          <w:szCs w:val="24"/>
        </w:rPr>
        <w:t>;</w:t>
      </w:r>
      <w:r w:rsidR="00E55649">
        <w:rPr>
          <w:szCs w:val="24"/>
        </w:rPr>
        <w:t xml:space="preserve"> Roux-en-Y gastric bypass; and</w:t>
      </w:r>
      <w:r w:rsidR="00BF6341">
        <w:rPr>
          <w:szCs w:val="24"/>
        </w:rPr>
        <w:t xml:space="preserve"> </w:t>
      </w:r>
      <w:proofErr w:type="spellStart"/>
      <w:r w:rsidR="00BF6341">
        <w:rPr>
          <w:szCs w:val="24"/>
        </w:rPr>
        <w:t>biliopancreatic</w:t>
      </w:r>
      <w:proofErr w:type="spellEnd"/>
      <w:r w:rsidR="00BF6341">
        <w:rPr>
          <w:szCs w:val="24"/>
        </w:rPr>
        <w:t xml:space="preserve"> diversion with or without duodenal switch.  The advice has also resulted in an</w:t>
      </w:r>
      <w:r w:rsidR="00B03273" w:rsidRPr="00414613">
        <w:rPr>
          <w:szCs w:val="24"/>
        </w:rPr>
        <w:t xml:space="preserve"> amendment </w:t>
      </w:r>
      <w:r w:rsidR="00BF6341">
        <w:rPr>
          <w:szCs w:val="24"/>
        </w:rPr>
        <w:t>to</w:t>
      </w:r>
      <w:r w:rsidR="00B03273" w:rsidRPr="00414613">
        <w:rPr>
          <w:szCs w:val="24"/>
        </w:rPr>
        <w:t xml:space="preserve"> </w:t>
      </w:r>
      <w:r w:rsidR="00635031">
        <w:rPr>
          <w:szCs w:val="24"/>
        </w:rPr>
        <w:t>four</w:t>
      </w:r>
      <w:r w:rsidR="00B03273" w:rsidRPr="00414613">
        <w:rPr>
          <w:szCs w:val="24"/>
        </w:rPr>
        <w:t xml:space="preserve"> existing bariatric surgery items (</w:t>
      </w:r>
      <w:r w:rsidR="007C2C95" w:rsidRPr="00414613">
        <w:rPr>
          <w:szCs w:val="24"/>
        </w:rPr>
        <w:t>20791, 30515, 30518</w:t>
      </w:r>
      <w:r w:rsidR="00B03273" w:rsidRPr="00414613">
        <w:rPr>
          <w:szCs w:val="24"/>
        </w:rPr>
        <w:t xml:space="preserve"> and 30601) and the subsequent deletion of</w:t>
      </w:r>
      <w:r w:rsidR="007C2C95" w:rsidRPr="00414613">
        <w:rPr>
          <w:szCs w:val="24"/>
        </w:rPr>
        <w:t xml:space="preserve"> </w:t>
      </w:r>
      <w:r w:rsidR="00635031">
        <w:rPr>
          <w:szCs w:val="24"/>
        </w:rPr>
        <w:t>five</w:t>
      </w:r>
      <w:r w:rsidR="007C2C95" w:rsidRPr="00414613">
        <w:rPr>
          <w:szCs w:val="24"/>
        </w:rPr>
        <w:t xml:space="preserve"> bariatric surgery items (</w:t>
      </w:r>
      <w:r w:rsidR="00B03273" w:rsidRPr="00414613">
        <w:rPr>
          <w:szCs w:val="24"/>
        </w:rPr>
        <w:t xml:space="preserve">14215, </w:t>
      </w:r>
      <w:r w:rsidR="007C2C95" w:rsidRPr="00414613">
        <w:rPr>
          <w:szCs w:val="24"/>
        </w:rPr>
        <w:t>30511, 30512, 30514 and 31441)</w:t>
      </w:r>
      <w:r w:rsidR="00B03273" w:rsidRPr="00414613">
        <w:rPr>
          <w:szCs w:val="24"/>
        </w:rPr>
        <w:t xml:space="preserve">.  </w:t>
      </w:r>
    </w:p>
    <w:p w:rsidR="00B03273" w:rsidRPr="00414613" w:rsidRDefault="00B03273" w:rsidP="00A045CA">
      <w:pPr>
        <w:rPr>
          <w:bCs/>
          <w:szCs w:val="24"/>
        </w:rPr>
      </w:pPr>
    </w:p>
    <w:p w:rsidR="00C56251" w:rsidRPr="00414613" w:rsidRDefault="00C56251" w:rsidP="00C56251">
      <w:pPr>
        <w:rPr>
          <w:szCs w:val="24"/>
          <w:u w:val="single"/>
        </w:rPr>
      </w:pPr>
      <w:r w:rsidRPr="00414613">
        <w:rPr>
          <w:szCs w:val="24"/>
        </w:rPr>
        <w:t>Details of the regulation</w:t>
      </w:r>
      <w:r w:rsidRPr="00414613">
        <w:rPr>
          <w:i/>
          <w:szCs w:val="24"/>
        </w:rPr>
        <w:t xml:space="preserve"> </w:t>
      </w:r>
      <w:r w:rsidRPr="00414613">
        <w:rPr>
          <w:szCs w:val="24"/>
        </w:rPr>
        <w:t xml:space="preserve">are set out in the </w:t>
      </w:r>
      <w:r w:rsidRPr="00414613">
        <w:rPr>
          <w:szCs w:val="24"/>
          <w:u w:val="single"/>
        </w:rPr>
        <w:t>Attachment.</w:t>
      </w:r>
    </w:p>
    <w:p w:rsidR="00C56251" w:rsidRPr="00414613" w:rsidRDefault="00C56251" w:rsidP="00C56251">
      <w:pPr>
        <w:rPr>
          <w:szCs w:val="24"/>
        </w:rPr>
      </w:pPr>
    </w:p>
    <w:p w:rsidR="008F1AA9" w:rsidRPr="00414613" w:rsidRDefault="00C56251" w:rsidP="00C56251">
      <w:pPr>
        <w:rPr>
          <w:szCs w:val="24"/>
        </w:rPr>
      </w:pPr>
      <w:r w:rsidRPr="00414613">
        <w:rPr>
          <w:szCs w:val="24"/>
        </w:rPr>
        <w:t xml:space="preserve">The Act specifies no conditions which need to be met before the power to make the  regulation may be exercised.  </w:t>
      </w:r>
    </w:p>
    <w:p w:rsidR="0031124D" w:rsidRPr="00414613" w:rsidRDefault="0031124D" w:rsidP="00C56251">
      <w:pPr>
        <w:rPr>
          <w:szCs w:val="24"/>
        </w:rPr>
      </w:pPr>
    </w:p>
    <w:p w:rsidR="00B96F16" w:rsidRDefault="00C56251" w:rsidP="00C56251">
      <w:pPr>
        <w:rPr>
          <w:szCs w:val="24"/>
        </w:rPr>
      </w:pPr>
      <w:r w:rsidRPr="00414613">
        <w:rPr>
          <w:szCs w:val="24"/>
        </w:rPr>
        <w:t xml:space="preserve">The regulation </w:t>
      </w:r>
      <w:r w:rsidR="000D5D4A">
        <w:rPr>
          <w:szCs w:val="24"/>
        </w:rPr>
        <w:t>is</w:t>
      </w:r>
      <w:r w:rsidRPr="00414613">
        <w:rPr>
          <w:szCs w:val="24"/>
        </w:rPr>
        <w:t xml:space="preserve"> a legislative instrument for the purposes of the </w:t>
      </w:r>
      <w:r w:rsidRPr="00414613">
        <w:rPr>
          <w:i/>
          <w:szCs w:val="24"/>
        </w:rPr>
        <w:t>Legislative Instruments Act 2003</w:t>
      </w:r>
      <w:r w:rsidRPr="00414613">
        <w:rPr>
          <w:szCs w:val="24"/>
        </w:rPr>
        <w:t>.</w:t>
      </w:r>
    </w:p>
    <w:p w:rsidR="0031124D" w:rsidRPr="00414613" w:rsidRDefault="00C56251" w:rsidP="00C56251">
      <w:pPr>
        <w:rPr>
          <w:szCs w:val="24"/>
        </w:rPr>
      </w:pPr>
      <w:r w:rsidRPr="00414613">
        <w:rPr>
          <w:szCs w:val="24"/>
        </w:rPr>
        <w:t xml:space="preserve"> </w:t>
      </w:r>
    </w:p>
    <w:p w:rsidR="00C56251" w:rsidRPr="00414613" w:rsidRDefault="00C56251" w:rsidP="00492DBE">
      <w:pPr>
        <w:rPr>
          <w:szCs w:val="24"/>
        </w:rPr>
      </w:pPr>
      <w:r w:rsidRPr="00414613">
        <w:rPr>
          <w:szCs w:val="24"/>
        </w:rPr>
        <w:t xml:space="preserve">The regulation </w:t>
      </w:r>
      <w:r w:rsidR="007B08D1" w:rsidRPr="00414613">
        <w:rPr>
          <w:szCs w:val="24"/>
        </w:rPr>
        <w:t>commence</w:t>
      </w:r>
      <w:r w:rsidR="000D5D4A">
        <w:rPr>
          <w:szCs w:val="24"/>
        </w:rPr>
        <w:t>s</w:t>
      </w:r>
      <w:r w:rsidR="007B08D1" w:rsidRPr="00414613">
        <w:rPr>
          <w:szCs w:val="24"/>
        </w:rPr>
        <w:t xml:space="preserve"> </w:t>
      </w:r>
      <w:r w:rsidR="00B03273" w:rsidRPr="00414613">
        <w:rPr>
          <w:szCs w:val="24"/>
        </w:rPr>
        <w:t>on 1 July</w:t>
      </w:r>
      <w:r w:rsidR="00A045CA" w:rsidRPr="00414613">
        <w:rPr>
          <w:szCs w:val="24"/>
        </w:rPr>
        <w:t xml:space="preserve"> 2013.</w:t>
      </w:r>
    </w:p>
    <w:p w:rsidR="00C56251" w:rsidRPr="00414613" w:rsidRDefault="00C56251" w:rsidP="00C56251">
      <w:pPr>
        <w:rPr>
          <w:szCs w:val="24"/>
        </w:rPr>
      </w:pPr>
    </w:p>
    <w:p w:rsidR="009D17EC" w:rsidRDefault="009D17EC" w:rsidP="009D17EC">
      <w:pPr>
        <w:rPr>
          <w:bCs/>
          <w:szCs w:val="24"/>
          <w:u w:val="single"/>
        </w:rPr>
      </w:pPr>
      <w:r w:rsidRPr="00875964">
        <w:rPr>
          <w:bCs/>
          <w:szCs w:val="24"/>
          <w:u w:val="single"/>
        </w:rPr>
        <w:t>Consultation</w:t>
      </w:r>
    </w:p>
    <w:p w:rsidR="002915F5" w:rsidRDefault="002915F5" w:rsidP="009D17EC">
      <w:pPr>
        <w:rPr>
          <w:bCs/>
          <w:szCs w:val="24"/>
        </w:rPr>
      </w:pPr>
    </w:p>
    <w:p w:rsidR="009D17EC" w:rsidRDefault="009D17EC" w:rsidP="009D17EC">
      <w:pPr>
        <w:rPr>
          <w:szCs w:val="24"/>
        </w:rPr>
      </w:pPr>
      <w:r>
        <w:rPr>
          <w:bCs/>
          <w:szCs w:val="24"/>
        </w:rPr>
        <w:t xml:space="preserve">Consultation for the amendments to remove gender specific language from the </w:t>
      </w:r>
      <w:proofErr w:type="spellStart"/>
      <w:r>
        <w:rPr>
          <w:bCs/>
          <w:szCs w:val="24"/>
        </w:rPr>
        <w:t>MBS</w:t>
      </w:r>
      <w:proofErr w:type="spellEnd"/>
      <w:r>
        <w:rPr>
          <w:bCs/>
          <w:szCs w:val="24"/>
        </w:rPr>
        <w:t xml:space="preserve"> occurred with </w:t>
      </w:r>
      <w:r w:rsidRPr="00BD05F7">
        <w:rPr>
          <w:szCs w:val="24"/>
        </w:rPr>
        <w:t>the Organisat</w:t>
      </w:r>
      <w:r>
        <w:rPr>
          <w:szCs w:val="24"/>
        </w:rPr>
        <w:t>ion Intersex International</w:t>
      </w:r>
      <w:r w:rsidRPr="00BD05F7">
        <w:rPr>
          <w:szCs w:val="24"/>
        </w:rPr>
        <w:t>, the Na</w:t>
      </w:r>
      <w:r>
        <w:rPr>
          <w:szCs w:val="24"/>
        </w:rPr>
        <w:t xml:space="preserve">tional </w:t>
      </w:r>
      <w:proofErr w:type="spellStart"/>
      <w:r>
        <w:rPr>
          <w:szCs w:val="24"/>
        </w:rPr>
        <w:t>LGBTI</w:t>
      </w:r>
      <w:proofErr w:type="spellEnd"/>
      <w:r>
        <w:rPr>
          <w:szCs w:val="24"/>
        </w:rPr>
        <w:t xml:space="preserve"> Health Alliance,</w:t>
      </w:r>
      <w:r w:rsidRPr="00BD05F7">
        <w:rPr>
          <w:szCs w:val="24"/>
        </w:rPr>
        <w:t xml:space="preserve"> the </w:t>
      </w:r>
      <w:r>
        <w:rPr>
          <w:szCs w:val="24"/>
        </w:rPr>
        <w:t>Australian Medical Association and the Royal Australian College of Surgeons</w:t>
      </w:r>
      <w:r w:rsidR="002915F5">
        <w:rPr>
          <w:szCs w:val="24"/>
        </w:rPr>
        <w:t>.</w:t>
      </w:r>
    </w:p>
    <w:p w:rsidR="009D17EC" w:rsidRDefault="009D17EC" w:rsidP="009D17EC">
      <w:pPr>
        <w:rPr>
          <w:szCs w:val="24"/>
        </w:rPr>
      </w:pPr>
    </w:p>
    <w:p w:rsidR="009D17EC" w:rsidRPr="002E14E6" w:rsidRDefault="009D17EC" w:rsidP="009D17EC">
      <w:pPr>
        <w:rPr>
          <w:szCs w:val="24"/>
        </w:rPr>
      </w:pPr>
      <w:r>
        <w:rPr>
          <w:szCs w:val="24"/>
        </w:rPr>
        <w:t xml:space="preserve">Consultation regarding the changes to the bariatric surgery items occurred with the Obesity Surgery Society of Australia and New Zealand. </w:t>
      </w:r>
    </w:p>
    <w:p w:rsidR="00C56251" w:rsidRPr="00414613" w:rsidRDefault="00C56251" w:rsidP="00C56251">
      <w:pPr>
        <w:pStyle w:val="Subtitle"/>
        <w:rPr>
          <w:szCs w:val="24"/>
          <w:u w:val="none"/>
        </w:rPr>
      </w:pPr>
    </w:p>
    <w:p w:rsidR="00C56251" w:rsidRPr="00414613" w:rsidRDefault="00C56251" w:rsidP="00C56251">
      <w:pPr>
        <w:tabs>
          <w:tab w:val="left" w:pos="4536"/>
          <w:tab w:val="left" w:pos="5670"/>
        </w:tabs>
        <w:ind w:left="284"/>
        <w:jc w:val="center"/>
        <w:rPr>
          <w:szCs w:val="24"/>
        </w:rPr>
      </w:pPr>
      <w:r w:rsidRPr="00414613">
        <w:rPr>
          <w:szCs w:val="24"/>
        </w:rPr>
        <w:tab/>
      </w:r>
      <w:r w:rsidRPr="00414613">
        <w:rPr>
          <w:szCs w:val="24"/>
          <w:u w:val="single"/>
        </w:rPr>
        <w:t>Authority</w:t>
      </w:r>
      <w:r w:rsidRPr="00414613">
        <w:rPr>
          <w:szCs w:val="24"/>
        </w:rPr>
        <w:t xml:space="preserve">:     Subsection 133(1) of the </w:t>
      </w:r>
    </w:p>
    <w:p w:rsidR="00C56251" w:rsidRPr="00414613" w:rsidRDefault="00C56251" w:rsidP="00C56251">
      <w:pPr>
        <w:tabs>
          <w:tab w:val="left" w:pos="4536"/>
        </w:tabs>
        <w:ind w:left="284"/>
        <w:jc w:val="center"/>
        <w:rPr>
          <w:szCs w:val="24"/>
        </w:rPr>
      </w:pPr>
      <w:r w:rsidRPr="00414613">
        <w:rPr>
          <w:i/>
          <w:szCs w:val="24"/>
        </w:rPr>
        <w:t xml:space="preserve">                                                                                                Health Insurance Act 1973</w:t>
      </w:r>
      <w:r w:rsidRPr="00414613">
        <w:rPr>
          <w:szCs w:val="24"/>
        </w:rPr>
        <w:t xml:space="preserve">  </w:t>
      </w:r>
    </w:p>
    <w:p w:rsidR="00C56251" w:rsidRPr="00414613" w:rsidRDefault="00C56251" w:rsidP="00C56251">
      <w:pPr>
        <w:pStyle w:val="Subtitle"/>
        <w:ind w:left="284"/>
        <w:rPr>
          <w:szCs w:val="24"/>
        </w:rPr>
      </w:pPr>
      <w:r w:rsidRPr="00414613">
        <w:rPr>
          <w:szCs w:val="24"/>
          <w:u w:val="none"/>
        </w:rPr>
        <w:br w:type="page"/>
      </w:r>
      <w:r w:rsidRPr="00414613">
        <w:rPr>
          <w:szCs w:val="24"/>
        </w:rPr>
        <w:lastRenderedPageBreak/>
        <w:t xml:space="preserve"> </w:t>
      </w:r>
    </w:p>
    <w:p w:rsidR="00C56251" w:rsidRPr="00414613" w:rsidRDefault="00635031" w:rsidP="00C56251">
      <w:pPr>
        <w:ind w:left="284"/>
        <w:jc w:val="right"/>
        <w:rPr>
          <w:b/>
          <w:szCs w:val="24"/>
          <w:u w:val="single"/>
        </w:rPr>
      </w:pPr>
      <w:r>
        <w:rPr>
          <w:b/>
          <w:szCs w:val="24"/>
          <w:u w:val="single"/>
        </w:rPr>
        <w:t>ATTACHMENT</w:t>
      </w:r>
    </w:p>
    <w:p w:rsidR="00C56251" w:rsidRPr="00414613" w:rsidRDefault="00C56251" w:rsidP="00C56251">
      <w:pPr>
        <w:ind w:left="284"/>
        <w:jc w:val="right"/>
        <w:rPr>
          <w:b/>
          <w:szCs w:val="24"/>
        </w:rPr>
      </w:pPr>
    </w:p>
    <w:p w:rsidR="00C56251" w:rsidRPr="00414613" w:rsidRDefault="00C56251" w:rsidP="00C56251">
      <w:pPr>
        <w:pStyle w:val="BodyText"/>
        <w:rPr>
          <w:szCs w:val="24"/>
          <w:u w:val="single"/>
        </w:rPr>
      </w:pPr>
      <w:r w:rsidRPr="00414613">
        <w:rPr>
          <w:szCs w:val="24"/>
          <w:u w:val="single"/>
        </w:rPr>
        <w:t xml:space="preserve">Details of the </w:t>
      </w:r>
      <w:r w:rsidRPr="00414613">
        <w:rPr>
          <w:i/>
          <w:szCs w:val="24"/>
          <w:u w:val="single"/>
        </w:rPr>
        <w:t xml:space="preserve">Health Insurance (General Medical </w:t>
      </w:r>
      <w:r w:rsidR="008F7C5B" w:rsidRPr="00414613">
        <w:rPr>
          <w:i/>
          <w:szCs w:val="24"/>
          <w:u w:val="single"/>
        </w:rPr>
        <w:t xml:space="preserve">Services Table) </w:t>
      </w:r>
      <w:r w:rsidR="003E1249" w:rsidRPr="00414613">
        <w:rPr>
          <w:i/>
          <w:szCs w:val="24"/>
          <w:u w:val="single"/>
        </w:rPr>
        <w:t xml:space="preserve">Amendment </w:t>
      </w:r>
      <w:r w:rsidR="00E15342">
        <w:rPr>
          <w:i/>
          <w:szCs w:val="24"/>
          <w:u w:val="single"/>
        </w:rPr>
        <w:t>(Bariatric and Other M</w:t>
      </w:r>
      <w:r w:rsidR="00203952">
        <w:rPr>
          <w:i/>
          <w:szCs w:val="24"/>
          <w:u w:val="single"/>
        </w:rPr>
        <w:t xml:space="preserve">easures) </w:t>
      </w:r>
      <w:r w:rsidR="008F7C5B" w:rsidRPr="00414613">
        <w:rPr>
          <w:i/>
          <w:szCs w:val="24"/>
          <w:u w:val="single"/>
        </w:rPr>
        <w:t xml:space="preserve">Regulation </w:t>
      </w:r>
      <w:r w:rsidR="0015521F" w:rsidRPr="00414613">
        <w:rPr>
          <w:i/>
          <w:szCs w:val="24"/>
          <w:u w:val="single"/>
        </w:rPr>
        <w:t>2013</w:t>
      </w:r>
      <w:r w:rsidR="00203952">
        <w:rPr>
          <w:i/>
          <w:szCs w:val="24"/>
          <w:u w:val="single"/>
        </w:rPr>
        <w:t xml:space="preserve"> </w:t>
      </w:r>
    </w:p>
    <w:p w:rsidR="00C56251" w:rsidRPr="00414613" w:rsidRDefault="00C56251" w:rsidP="00C56251">
      <w:pPr>
        <w:pStyle w:val="BodyText"/>
        <w:rPr>
          <w:b w:val="0"/>
          <w:szCs w:val="24"/>
        </w:rPr>
      </w:pPr>
    </w:p>
    <w:p w:rsidR="00C56251" w:rsidRPr="00414613" w:rsidRDefault="00C56251" w:rsidP="00C56251">
      <w:pPr>
        <w:pStyle w:val="Heading1"/>
        <w:tabs>
          <w:tab w:val="left" w:pos="284"/>
        </w:tabs>
        <w:jc w:val="left"/>
        <w:rPr>
          <w:b w:val="0"/>
          <w:szCs w:val="24"/>
        </w:rPr>
      </w:pPr>
      <w:r w:rsidRPr="00414613">
        <w:rPr>
          <w:b w:val="0"/>
          <w:szCs w:val="24"/>
        </w:rPr>
        <w:t>Section 1 – Name of regulation</w:t>
      </w:r>
    </w:p>
    <w:p w:rsidR="00C56251" w:rsidRPr="00414613" w:rsidRDefault="00C56251" w:rsidP="00C56251">
      <w:pPr>
        <w:pStyle w:val="Heading1"/>
        <w:jc w:val="left"/>
        <w:rPr>
          <w:b w:val="0"/>
          <w:szCs w:val="24"/>
          <w:u w:val="none"/>
        </w:rPr>
      </w:pPr>
    </w:p>
    <w:p w:rsidR="00C56251" w:rsidRPr="00414613" w:rsidRDefault="00C56251" w:rsidP="00C56251">
      <w:pPr>
        <w:pStyle w:val="Heading1"/>
        <w:jc w:val="left"/>
        <w:rPr>
          <w:b w:val="0"/>
          <w:szCs w:val="24"/>
          <w:u w:val="none"/>
        </w:rPr>
      </w:pPr>
      <w:r w:rsidRPr="00414613">
        <w:rPr>
          <w:b w:val="0"/>
          <w:szCs w:val="24"/>
          <w:u w:val="none"/>
        </w:rPr>
        <w:t>This section provide</w:t>
      </w:r>
      <w:r w:rsidR="009D17EC">
        <w:rPr>
          <w:b w:val="0"/>
          <w:szCs w:val="24"/>
          <w:u w:val="none"/>
        </w:rPr>
        <w:t>s</w:t>
      </w:r>
      <w:r w:rsidRPr="00414613">
        <w:rPr>
          <w:b w:val="0"/>
          <w:szCs w:val="24"/>
          <w:u w:val="none"/>
        </w:rPr>
        <w:t xml:space="preserve"> for the regulation to be referred to as the</w:t>
      </w:r>
      <w:r w:rsidRPr="00414613">
        <w:rPr>
          <w:b w:val="0"/>
          <w:i/>
          <w:szCs w:val="24"/>
          <w:u w:val="none"/>
        </w:rPr>
        <w:t xml:space="preserve"> Health Insurance (General Medical Services Table) Amendment </w:t>
      </w:r>
      <w:r w:rsidR="00E15342">
        <w:rPr>
          <w:b w:val="0"/>
          <w:i/>
          <w:szCs w:val="24"/>
          <w:u w:val="none"/>
        </w:rPr>
        <w:t>(Bariatric and Other M</w:t>
      </w:r>
      <w:r w:rsidR="00203952">
        <w:rPr>
          <w:b w:val="0"/>
          <w:i/>
          <w:szCs w:val="24"/>
          <w:u w:val="none"/>
        </w:rPr>
        <w:t xml:space="preserve">easures) </w:t>
      </w:r>
      <w:r w:rsidRPr="00414613">
        <w:rPr>
          <w:b w:val="0"/>
          <w:i/>
          <w:szCs w:val="24"/>
          <w:u w:val="none"/>
        </w:rPr>
        <w:t>Regulation 201</w:t>
      </w:r>
      <w:r w:rsidR="0015521F" w:rsidRPr="00414613">
        <w:rPr>
          <w:b w:val="0"/>
          <w:i/>
          <w:szCs w:val="24"/>
          <w:u w:val="none"/>
        </w:rPr>
        <w:t>3</w:t>
      </w:r>
      <w:r w:rsidRPr="00414613">
        <w:rPr>
          <w:b w:val="0"/>
          <w:szCs w:val="24"/>
          <w:u w:val="none"/>
        </w:rPr>
        <w:t>.</w:t>
      </w:r>
    </w:p>
    <w:p w:rsidR="00C56251" w:rsidRPr="00414613" w:rsidRDefault="00C56251" w:rsidP="00C56251">
      <w:pPr>
        <w:pStyle w:val="BodyText"/>
        <w:rPr>
          <w:b w:val="0"/>
          <w:szCs w:val="24"/>
        </w:rPr>
      </w:pPr>
    </w:p>
    <w:p w:rsidR="00C56251" w:rsidRPr="00414613" w:rsidRDefault="00C56251" w:rsidP="00C56251">
      <w:pPr>
        <w:pStyle w:val="BodyText"/>
        <w:rPr>
          <w:b w:val="0"/>
          <w:szCs w:val="24"/>
          <w:u w:val="single"/>
        </w:rPr>
      </w:pPr>
      <w:r w:rsidRPr="00414613">
        <w:rPr>
          <w:b w:val="0"/>
          <w:szCs w:val="24"/>
          <w:u w:val="single"/>
        </w:rPr>
        <w:t xml:space="preserve">Section 2 – Commencement </w:t>
      </w:r>
    </w:p>
    <w:p w:rsidR="00C56251" w:rsidRPr="00414613" w:rsidRDefault="00C56251" w:rsidP="00C56251">
      <w:pPr>
        <w:pStyle w:val="BodyText"/>
        <w:rPr>
          <w:b w:val="0"/>
          <w:szCs w:val="24"/>
        </w:rPr>
      </w:pPr>
    </w:p>
    <w:p w:rsidR="00A9123D" w:rsidRPr="00414613" w:rsidRDefault="00A9123D" w:rsidP="003E1249">
      <w:pPr>
        <w:pStyle w:val="BodyText"/>
        <w:rPr>
          <w:b w:val="0"/>
          <w:szCs w:val="24"/>
        </w:rPr>
      </w:pPr>
      <w:r w:rsidRPr="00414613">
        <w:rPr>
          <w:b w:val="0"/>
          <w:szCs w:val="24"/>
        </w:rPr>
        <w:t xml:space="preserve">This section </w:t>
      </w:r>
      <w:r w:rsidR="003E1249" w:rsidRPr="00414613">
        <w:rPr>
          <w:b w:val="0"/>
          <w:szCs w:val="24"/>
        </w:rPr>
        <w:t>provide</w:t>
      </w:r>
      <w:r w:rsidR="009D17EC">
        <w:rPr>
          <w:b w:val="0"/>
          <w:szCs w:val="24"/>
        </w:rPr>
        <w:t>s</w:t>
      </w:r>
      <w:r w:rsidR="003E1249" w:rsidRPr="00414613">
        <w:rPr>
          <w:b w:val="0"/>
          <w:szCs w:val="24"/>
        </w:rPr>
        <w:t xml:space="preserve"> for the regulation </w:t>
      </w:r>
      <w:r w:rsidR="007134A2" w:rsidRPr="00414613">
        <w:rPr>
          <w:b w:val="0"/>
          <w:szCs w:val="24"/>
        </w:rPr>
        <w:t>to commence on 1 July</w:t>
      </w:r>
      <w:r w:rsidR="003E1249" w:rsidRPr="00414613">
        <w:rPr>
          <w:b w:val="0"/>
          <w:szCs w:val="24"/>
        </w:rPr>
        <w:t xml:space="preserve"> 2013. </w:t>
      </w:r>
    </w:p>
    <w:p w:rsidR="00C56251" w:rsidRPr="00414613" w:rsidRDefault="00C56251" w:rsidP="00C56251">
      <w:pPr>
        <w:pStyle w:val="BodyText"/>
        <w:rPr>
          <w:b w:val="0"/>
          <w:szCs w:val="24"/>
        </w:rPr>
      </w:pPr>
    </w:p>
    <w:p w:rsidR="00C56251" w:rsidRPr="00414613" w:rsidRDefault="00C56251" w:rsidP="00C56251">
      <w:pPr>
        <w:pStyle w:val="BodyText"/>
        <w:rPr>
          <w:b w:val="0"/>
          <w:szCs w:val="24"/>
          <w:u w:val="single"/>
        </w:rPr>
      </w:pPr>
      <w:r w:rsidRPr="00414613">
        <w:rPr>
          <w:b w:val="0"/>
          <w:szCs w:val="24"/>
          <w:u w:val="single"/>
        </w:rPr>
        <w:t xml:space="preserve">Section 3 – </w:t>
      </w:r>
      <w:r w:rsidR="000C6797" w:rsidRPr="00414613">
        <w:rPr>
          <w:b w:val="0"/>
          <w:szCs w:val="24"/>
          <w:u w:val="single"/>
        </w:rPr>
        <w:t>Authority</w:t>
      </w:r>
      <w:r w:rsidRPr="00414613">
        <w:rPr>
          <w:b w:val="0"/>
          <w:szCs w:val="24"/>
          <w:u w:val="single"/>
        </w:rPr>
        <w:t xml:space="preserve"> </w:t>
      </w:r>
    </w:p>
    <w:p w:rsidR="00C56251" w:rsidRPr="00414613" w:rsidRDefault="00C56251" w:rsidP="00C56251">
      <w:pPr>
        <w:pStyle w:val="BodyText"/>
        <w:rPr>
          <w:b w:val="0"/>
          <w:szCs w:val="24"/>
        </w:rPr>
      </w:pPr>
    </w:p>
    <w:p w:rsidR="00C56251" w:rsidRDefault="00C56251" w:rsidP="00C56251">
      <w:pPr>
        <w:pStyle w:val="BodyText"/>
        <w:rPr>
          <w:b w:val="0"/>
          <w:i/>
          <w:szCs w:val="24"/>
        </w:rPr>
      </w:pPr>
      <w:r w:rsidRPr="00414613">
        <w:rPr>
          <w:b w:val="0"/>
          <w:szCs w:val="24"/>
        </w:rPr>
        <w:t xml:space="preserve">This </w:t>
      </w:r>
      <w:r w:rsidR="000C6797" w:rsidRPr="00414613">
        <w:rPr>
          <w:b w:val="0"/>
          <w:szCs w:val="24"/>
        </w:rPr>
        <w:t xml:space="preserve">regulation is made under the </w:t>
      </w:r>
      <w:r w:rsidR="000C6797" w:rsidRPr="00414613">
        <w:rPr>
          <w:b w:val="0"/>
          <w:i/>
          <w:szCs w:val="24"/>
        </w:rPr>
        <w:t>Health Insurance Act 1973.</w:t>
      </w:r>
    </w:p>
    <w:p w:rsidR="00635031" w:rsidRDefault="00635031" w:rsidP="00C56251">
      <w:pPr>
        <w:pStyle w:val="BodyText"/>
        <w:rPr>
          <w:b w:val="0"/>
          <w:i/>
          <w:szCs w:val="24"/>
        </w:rPr>
      </w:pPr>
    </w:p>
    <w:p w:rsidR="00635031" w:rsidRDefault="00635031" w:rsidP="00C56251">
      <w:pPr>
        <w:pStyle w:val="BodyText"/>
        <w:rPr>
          <w:b w:val="0"/>
          <w:szCs w:val="24"/>
          <w:u w:val="single"/>
        </w:rPr>
      </w:pPr>
      <w:r w:rsidRPr="00635031">
        <w:rPr>
          <w:b w:val="0"/>
          <w:szCs w:val="24"/>
          <w:u w:val="single"/>
        </w:rPr>
        <w:t>Section 4</w:t>
      </w:r>
      <w:r w:rsidR="00E55649">
        <w:rPr>
          <w:b w:val="0"/>
          <w:szCs w:val="24"/>
          <w:u w:val="single"/>
        </w:rPr>
        <w:t xml:space="preserve"> – Schedule(s)</w:t>
      </w:r>
    </w:p>
    <w:p w:rsidR="00635031" w:rsidRDefault="00635031" w:rsidP="00C56251">
      <w:pPr>
        <w:pStyle w:val="BodyText"/>
        <w:rPr>
          <w:b w:val="0"/>
          <w:szCs w:val="24"/>
          <w:u w:val="single"/>
        </w:rPr>
      </w:pPr>
    </w:p>
    <w:p w:rsidR="00635031" w:rsidRPr="00635031" w:rsidRDefault="00635031" w:rsidP="00C56251">
      <w:pPr>
        <w:pStyle w:val="BodyText"/>
        <w:rPr>
          <w:b w:val="0"/>
          <w:szCs w:val="24"/>
        </w:rPr>
      </w:pPr>
      <w:r w:rsidRPr="00635031">
        <w:rPr>
          <w:b w:val="0"/>
          <w:szCs w:val="24"/>
        </w:rPr>
        <w:t xml:space="preserve">Each instrument that is specified in a Schedule to this </w:t>
      </w:r>
      <w:r>
        <w:rPr>
          <w:b w:val="0"/>
          <w:szCs w:val="24"/>
        </w:rPr>
        <w:t>instrument is amended or repealed as set out in the applicable items in the Schedule concerned, and any other item in a Schedule to this instrument has effect according to its terms.</w:t>
      </w:r>
    </w:p>
    <w:p w:rsidR="00C56251" w:rsidRPr="00414613" w:rsidRDefault="00C56251" w:rsidP="00C56251">
      <w:pPr>
        <w:tabs>
          <w:tab w:val="num" w:pos="2289"/>
        </w:tabs>
        <w:rPr>
          <w:szCs w:val="24"/>
        </w:rPr>
      </w:pPr>
    </w:p>
    <w:p w:rsidR="00AC681D" w:rsidRPr="00414613" w:rsidRDefault="00C56251" w:rsidP="00AC681D">
      <w:pPr>
        <w:tabs>
          <w:tab w:val="num" w:pos="2289"/>
        </w:tabs>
        <w:rPr>
          <w:szCs w:val="24"/>
          <w:u w:val="single"/>
          <w:lang w:val="en-US" w:eastAsia="en-US"/>
        </w:rPr>
      </w:pPr>
      <w:r w:rsidRPr="00414613">
        <w:rPr>
          <w:szCs w:val="24"/>
          <w:u w:val="single"/>
          <w:lang w:val="en-US" w:eastAsia="en-US"/>
        </w:rPr>
        <w:t xml:space="preserve">Schedule 1 – </w:t>
      </w:r>
      <w:r w:rsidR="00AC681D" w:rsidRPr="00414613">
        <w:rPr>
          <w:szCs w:val="24"/>
          <w:u w:val="single"/>
          <w:lang w:val="en-US" w:eastAsia="en-US"/>
        </w:rPr>
        <w:t>Amendments</w:t>
      </w:r>
    </w:p>
    <w:p w:rsidR="00E56A50" w:rsidRPr="00414613" w:rsidRDefault="00E56A50" w:rsidP="00AC681D">
      <w:pPr>
        <w:tabs>
          <w:tab w:val="num" w:pos="2289"/>
        </w:tabs>
        <w:rPr>
          <w:szCs w:val="24"/>
          <w:u w:val="single"/>
          <w:lang w:val="en-US" w:eastAsia="en-US"/>
        </w:rPr>
      </w:pPr>
    </w:p>
    <w:p w:rsidR="007A5B55" w:rsidRPr="00414613" w:rsidRDefault="00BF23A6" w:rsidP="007A5B55">
      <w:pPr>
        <w:rPr>
          <w:b/>
          <w:bCs/>
          <w:szCs w:val="24"/>
        </w:rPr>
      </w:pPr>
      <w:r>
        <w:rPr>
          <w:b/>
          <w:szCs w:val="24"/>
        </w:rPr>
        <w:t>Items [1], [3</w:t>
      </w:r>
      <w:r w:rsidR="00913B67">
        <w:rPr>
          <w:b/>
          <w:szCs w:val="24"/>
        </w:rPr>
        <w:t xml:space="preserve">], </w:t>
      </w:r>
      <w:r>
        <w:rPr>
          <w:b/>
          <w:bCs/>
          <w:szCs w:val="24"/>
        </w:rPr>
        <w:t>[4</w:t>
      </w:r>
      <w:r w:rsidR="007A5B55" w:rsidRPr="00414613">
        <w:rPr>
          <w:b/>
          <w:bCs/>
          <w:szCs w:val="24"/>
        </w:rPr>
        <w:t xml:space="preserve">], </w:t>
      </w:r>
      <w:r>
        <w:rPr>
          <w:b/>
          <w:szCs w:val="24"/>
        </w:rPr>
        <w:t>[6</w:t>
      </w:r>
      <w:r w:rsidR="007A5B55" w:rsidRPr="00414613">
        <w:rPr>
          <w:b/>
          <w:szCs w:val="24"/>
        </w:rPr>
        <w:t xml:space="preserve">], </w:t>
      </w:r>
      <w:r w:rsidR="00913B67">
        <w:rPr>
          <w:b/>
          <w:bCs/>
          <w:szCs w:val="24"/>
        </w:rPr>
        <w:t>[7]</w:t>
      </w:r>
      <w:r w:rsidR="00883C9D">
        <w:rPr>
          <w:b/>
          <w:bCs/>
          <w:szCs w:val="24"/>
        </w:rPr>
        <w:t xml:space="preserve"> -</w:t>
      </w:r>
      <w:r w:rsidR="00635031">
        <w:rPr>
          <w:b/>
          <w:bCs/>
          <w:szCs w:val="24"/>
        </w:rPr>
        <w:t xml:space="preserve"> </w:t>
      </w:r>
      <w:r>
        <w:rPr>
          <w:b/>
          <w:bCs/>
          <w:szCs w:val="24"/>
        </w:rPr>
        <w:t>[9</w:t>
      </w:r>
      <w:r w:rsidR="007A5B55" w:rsidRPr="00414613">
        <w:rPr>
          <w:b/>
          <w:bCs/>
          <w:szCs w:val="24"/>
        </w:rPr>
        <w:t>]</w:t>
      </w:r>
      <w:r w:rsidR="00913B67">
        <w:rPr>
          <w:b/>
          <w:szCs w:val="24"/>
        </w:rPr>
        <w:t>, [11]</w:t>
      </w:r>
      <w:r w:rsidR="00635031">
        <w:rPr>
          <w:b/>
          <w:szCs w:val="24"/>
        </w:rPr>
        <w:t xml:space="preserve"> </w:t>
      </w:r>
      <w:r w:rsidR="00883C9D">
        <w:rPr>
          <w:b/>
          <w:szCs w:val="24"/>
        </w:rPr>
        <w:t>and [12</w:t>
      </w:r>
      <w:r w:rsidR="00913B67">
        <w:rPr>
          <w:b/>
          <w:szCs w:val="24"/>
        </w:rPr>
        <w:t xml:space="preserve">] </w:t>
      </w:r>
      <w:r w:rsidR="00492DBE" w:rsidRPr="00414613">
        <w:rPr>
          <w:b/>
          <w:szCs w:val="24"/>
        </w:rPr>
        <w:t>– Amendments to bariatric surgery items</w:t>
      </w:r>
    </w:p>
    <w:p w:rsidR="007A5B55" w:rsidRPr="00414613" w:rsidRDefault="007304D5" w:rsidP="007A5B55">
      <w:pPr>
        <w:rPr>
          <w:bCs/>
          <w:szCs w:val="24"/>
        </w:rPr>
      </w:pPr>
      <w:r w:rsidRPr="00414613">
        <w:rPr>
          <w:bCs/>
          <w:szCs w:val="24"/>
        </w:rPr>
        <w:t xml:space="preserve">These items </w:t>
      </w:r>
      <w:r w:rsidR="001770D9">
        <w:rPr>
          <w:bCs/>
          <w:szCs w:val="24"/>
        </w:rPr>
        <w:t>make</w:t>
      </w:r>
      <w:r w:rsidR="00492DBE" w:rsidRPr="00414613">
        <w:rPr>
          <w:bCs/>
          <w:szCs w:val="24"/>
        </w:rPr>
        <w:t xml:space="preserve"> a number of</w:t>
      </w:r>
      <w:r w:rsidR="007A5B55" w:rsidRPr="00414613">
        <w:rPr>
          <w:bCs/>
          <w:szCs w:val="24"/>
        </w:rPr>
        <w:t xml:space="preserve"> changes to </w:t>
      </w:r>
      <w:r w:rsidR="001770D9">
        <w:rPr>
          <w:bCs/>
          <w:szCs w:val="24"/>
        </w:rPr>
        <w:t xml:space="preserve">the </w:t>
      </w:r>
      <w:proofErr w:type="spellStart"/>
      <w:r w:rsidR="00E81B2F" w:rsidRPr="00414613">
        <w:rPr>
          <w:bCs/>
          <w:szCs w:val="24"/>
        </w:rPr>
        <w:t>MBS</w:t>
      </w:r>
      <w:proofErr w:type="spellEnd"/>
      <w:r w:rsidR="00E81B2F" w:rsidRPr="00414613">
        <w:rPr>
          <w:bCs/>
          <w:szCs w:val="24"/>
        </w:rPr>
        <w:t xml:space="preserve"> </w:t>
      </w:r>
      <w:r w:rsidR="001770D9">
        <w:rPr>
          <w:bCs/>
          <w:szCs w:val="24"/>
        </w:rPr>
        <w:t>for procedures related to</w:t>
      </w:r>
      <w:r w:rsidR="00E81B2F" w:rsidRPr="00414613">
        <w:rPr>
          <w:bCs/>
          <w:szCs w:val="24"/>
        </w:rPr>
        <w:t xml:space="preserve"> </w:t>
      </w:r>
      <w:r w:rsidR="00AE0F81" w:rsidRPr="00414613">
        <w:rPr>
          <w:bCs/>
          <w:szCs w:val="24"/>
        </w:rPr>
        <w:t>b</w:t>
      </w:r>
      <w:r w:rsidR="007A5B55" w:rsidRPr="00414613">
        <w:rPr>
          <w:bCs/>
          <w:szCs w:val="24"/>
        </w:rPr>
        <w:t xml:space="preserve">ariatric </w:t>
      </w:r>
      <w:r w:rsidR="00AE0F81" w:rsidRPr="00414613">
        <w:rPr>
          <w:bCs/>
          <w:szCs w:val="24"/>
        </w:rPr>
        <w:t>s</w:t>
      </w:r>
      <w:r w:rsidR="007A5B55" w:rsidRPr="00414613">
        <w:rPr>
          <w:bCs/>
          <w:szCs w:val="24"/>
        </w:rPr>
        <w:t>urgery</w:t>
      </w:r>
      <w:r w:rsidR="00492DBE" w:rsidRPr="00414613">
        <w:rPr>
          <w:bCs/>
          <w:szCs w:val="24"/>
        </w:rPr>
        <w:t>.  These changes</w:t>
      </w:r>
      <w:r w:rsidR="007A5B55" w:rsidRPr="00414613">
        <w:rPr>
          <w:bCs/>
          <w:szCs w:val="24"/>
        </w:rPr>
        <w:t xml:space="preserve"> are part of an </w:t>
      </w:r>
      <w:r w:rsidR="007A5B55" w:rsidRPr="00414613">
        <w:rPr>
          <w:szCs w:val="24"/>
        </w:rPr>
        <w:t>initiative to improve and better define the target groups appropriate for different bariatric surgery procedures</w:t>
      </w:r>
      <w:r w:rsidR="007A5B55" w:rsidRPr="00414613">
        <w:rPr>
          <w:bCs/>
          <w:szCs w:val="24"/>
        </w:rPr>
        <w:t xml:space="preserve">.  </w:t>
      </w:r>
      <w:r w:rsidR="00913B67">
        <w:rPr>
          <w:bCs/>
          <w:szCs w:val="24"/>
        </w:rPr>
        <w:t>These changes include the introduction o</w:t>
      </w:r>
      <w:r w:rsidR="00635031">
        <w:rPr>
          <w:bCs/>
          <w:szCs w:val="24"/>
        </w:rPr>
        <w:t>f eight new items, an amendment to four</w:t>
      </w:r>
      <w:r w:rsidR="00913B67">
        <w:rPr>
          <w:bCs/>
          <w:szCs w:val="24"/>
        </w:rPr>
        <w:t xml:space="preserve"> existing</w:t>
      </w:r>
      <w:r w:rsidR="00635031">
        <w:rPr>
          <w:bCs/>
          <w:szCs w:val="24"/>
        </w:rPr>
        <w:t xml:space="preserve"> items and the deletion of five</w:t>
      </w:r>
      <w:r w:rsidR="00883C9D">
        <w:rPr>
          <w:bCs/>
          <w:szCs w:val="24"/>
        </w:rPr>
        <w:t xml:space="preserve"> items.  </w:t>
      </w:r>
      <w:r w:rsidR="007A5B55" w:rsidRPr="00414613">
        <w:rPr>
          <w:bCs/>
          <w:szCs w:val="24"/>
        </w:rPr>
        <w:t>The</w:t>
      </w:r>
      <w:r w:rsidR="00B96F16">
        <w:rPr>
          <w:bCs/>
          <w:szCs w:val="24"/>
        </w:rPr>
        <w:t>se changes are a</w:t>
      </w:r>
      <w:r w:rsidR="00F12E98">
        <w:rPr>
          <w:bCs/>
          <w:szCs w:val="24"/>
        </w:rPr>
        <w:t xml:space="preserve"> result of advice provided by</w:t>
      </w:r>
      <w:r w:rsidR="007A5B55" w:rsidRPr="00414613">
        <w:rPr>
          <w:bCs/>
          <w:szCs w:val="24"/>
        </w:rPr>
        <w:t xml:space="preserve"> the Medical Services Advisory Committee. </w:t>
      </w:r>
    </w:p>
    <w:p w:rsidR="00C33771" w:rsidRPr="00414613" w:rsidRDefault="00C33771" w:rsidP="00C33771">
      <w:pPr>
        <w:rPr>
          <w:szCs w:val="24"/>
        </w:rPr>
      </w:pPr>
    </w:p>
    <w:p w:rsidR="00C33771" w:rsidRPr="00414613" w:rsidRDefault="00BF23A6" w:rsidP="00C33771">
      <w:pPr>
        <w:rPr>
          <w:b/>
          <w:bCs/>
          <w:szCs w:val="24"/>
        </w:rPr>
      </w:pPr>
      <w:r>
        <w:rPr>
          <w:b/>
          <w:bCs/>
          <w:szCs w:val="24"/>
        </w:rPr>
        <w:t>Item</w:t>
      </w:r>
      <w:r w:rsidR="001770D9">
        <w:rPr>
          <w:b/>
          <w:bCs/>
          <w:szCs w:val="24"/>
        </w:rPr>
        <w:t>s</w:t>
      </w:r>
      <w:r>
        <w:rPr>
          <w:b/>
          <w:bCs/>
          <w:szCs w:val="24"/>
        </w:rPr>
        <w:t xml:space="preserve"> [2</w:t>
      </w:r>
      <w:r w:rsidR="00C33771" w:rsidRPr="00414613">
        <w:rPr>
          <w:b/>
          <w:bCs/>
          <w:szCs w:val="24"/>
        </w:rPr>
        <w:t>]</w:t>
      </w:r>
      <w:r>
        <w:rPr>
          <w:b/>
          <w:bCs/>
          <w:szCs w:val="24"/>
        </w:rPr>
        <w:t>, [5</w:t>
      </w:r>
      <w:r w:rsidR="00AC046B" w:rsidRPr="00414613">
        <w:rPr>
          <w:b/>
          <w:bCs/>
          <w:szCs w:val="24"/>
        </w:rPr>
        <w:t>]</w:t>
      </w:r>
      <w:r w:rsidR="009414C5" w:rsidRPr="00414613">
        <w:rPr>
          <w:b/>
          <w:bCs/>
          <w:szCs w:val="24"/>
        </w:rPr>
        <w:t xml:space="preserve">, </w:t>
      </w:r>
      <w:r>
        <w:rPr>
          <w:b/>
          <w:bCs/>
          <w:szCs w:val="24"/>
        </w:rPr>
        <w:t>[10</w:t>
      </w:r>
      <w:r w:rsidR="00AC046B" w:rsidRPr="00414613">
        <w:rPr>
          <w:b/>
          <w:bCs/>
          <w:szCs w:val="24"/>
        </w:rPr>
        <w:t>]</w:t>
      </w:r>
      <w:r w:rsidR="007A5B55" w:rsidRPr="00414613">
        <w:rPr>
          <w:b/>
          <w:bCs/>
          <w:szCs w:val="24"/>
        </w:rPr>
        <w:t xml:space="preserve"> </w:t>
      </w:r>
      <w:r w:rsidR="007A5B55" w:rsidRPr="00414613">
        <w:rPr>
          <w:b/>
          <w:szCs w:val="24"/>
        </w:rPr>
        <w:t>a</w:t>
      </w:r>
      <w:r w:rsidR="00405890" w:rsidRPr="00414613">
        <w:rPr>
          <w:b/>
          <w:bCs/>
          <w:szCs w:val="24"/>
        </w:rPr>
        <w:t>nd</w:t>
      </w:r>
      <w:r w:rsidR="00883C9D">
        <w:rPr>
          <w:b/>
          <w:szCs w:val="24"/>
        </w:rPr>
        <w:t xml:space="preserve"> [13</w:t>
      </w:r>
      <w:r w:rsidR="009414C5" w:rsidRPr="00414613">
        <w:rPr>
          <w:b/>
          <w:szCs w:val="24"/>
        </w:rPr>
        <w:t xml:space="preserve">] </w:t>
      </w:r>
      <w:r w:rsidR="00913B67">
        <w:rPr>
          <w:b/>
          <w:bCs/>
          <w:szCs w:val="24"/>
        </w:rPr>
        <w:t>– Amendments to gender specific language</w:t>
      </w:r>
      <w:r w:rsidR="001770D9">
        <w:rPr>
          <w:b/>
          <w:bCs/>
          <w:szCs w:val="24"/>
        </w:rPr>
        <w:t xml:space="preserve"> in </w:t>
      </w:r>
      <w:proofErr w:type="spellStart"/>
      <w:r w:rsidR="001770D9">
        <w:rPr>
          <w:b/>
          <w:bCs/>
          <w:szCs w:val="24"/>
        </w:rPr>
        <w:t>MBS</w:t>
      </w:r>
      <w:proofErr w:type="spellEnd"/>
      <w:r w:rsidR="001770D9">
        <w:rPr>
          <w:b/>
          <w:bCs/>
          <w:szCs w:val="24"/>
        </w:rPr>
        <w:t xml:space="preserve"> items</w:t>
      </w:r>
    </w:p>
    <w:p w:rsidR="00C33771" w:rsidRPr="00414613" w:rsidRDefault="00C33771" w:rsidP="00C33771">
      <w:pPr>
        <w:rPr>
          <w:szCs w:val="24"/>
        </w:rPr>
      </w:pPr>
      <w:r w:rsidRPr="00414613">
        <w:rPr>
          <w:szCs w:val="24"/>
        </w:rPr>
        <w:t>These items allow for the substitution of gender specific words for gender neutral terminolog</w:t>
      </w:r>
      <w:r w:rsidR="00405890" w:rsidRPr="00414613">
        <w:rPr>
          <w:szCs w:val="24"/>
        </w:rPr>
        <w:t>y which are</w:t>
      </w:r>
      <w:r w:rsidR="00B96F16">
        <w:rPr>
          <w:bCs/>
          <w:szCs w:val="24"/>
        </w:rPr>
        <w:t xml:space="preserve"> a result of a</w:t>
      </w:r>
      <w:r w:rsidR="00405890" w:rsidRPr="00414613">
        <w:rPr>
          <w:bCs/>
          <w:szCs w:val="24"/>
        </w:rPr>
        <w:t xml:space="preserve"> g</w:t>
      </w:r>
      <w:r w:rsidR="00414613" w:rsidRPr="00414613">
        <w:rPr>
          <w:bCs/>
          <w:szCs w:val="24"/>
        </w:rPr>
        <w:t>ender review</w:t>
      </w:r>
      <w:r w:rsidR="00B96F16">
        <w:rPr>
          <w:bCs/>
          <w:szCs w:val="24"/>
        </w:rPr>
        <w:t xml:space="preserve"> undertaken by the Department</w:t>
      </w:r>
      <w:r w:rsidR="00883C9D">
        <w:rPr>
          <w:bCs/>
          <w:szCs w:val="24"/>
        </w:rPr>
        <w:t xml:space="preserve"> of H</w:t>
      </w:r>
      <w:r w:rsidR="000F249E">
        <w:rPr>
          <w:bCs/>
          <w:szCs w:val="24"/>
        </w:rPr>
        <w:t>ealth and Ageing</w:t>
      </w:r>
      <w:r w:rsidR="00414613" w:rsidRPr="00414613">
        <w:rPr>
          <w:bCs/>
          <w:szCs w:val="24"/>
        </w:rPr>
        <w:t xml:space="preserve">.  The review was </w:t>
      </w:r>
      <w:r w:rsidR="00B96F16">
        <w:rPr>
          <w:bCs/>
          <w:szCs w:val="24"/>
        </w:rPr>
        <w:t xml:space="preserve">conducted </w:t>
      </w:r>
      <w:r w:rsidR="007A5B55" w:rsidRPr="00414613">
        <w:rPr>
          <w:bCs/>
          <w:szCs w:val="24"/>
        </w:rPr>
        <w:t xml:space="preserve">in response to the </w:t>
      </w:r>
      <w:r w:rsidR="00B96F16" w:rsidRPr="00B96F16">
        <w:rPr>
          <w:bCs/>
          <w:i/>
          <w:szCs w:val="24"/>
        </w:rPr>
        <w:t>Australian Government’s D</w:t>
      </w:r>
      <w:r w:rsidR="007A5B55" w:rsidRPr="00B96F16">
        <w:rPr>
          <w:bCs/>
          <w:i/>
          <w:szCs w:val="24"/>
        </w:rPr>
        <w:t>raft Guidelines on the Recognition of Gender</w:t>
      </w:r>
      <w:r w:rsidR="00B96F16">
        <w:rPr>
          <w:bCs/>
          <w:szCs w:val="24"/>
        </w:rPr>
        <w:t xml:space="preserve">, which were developed in 2012 by the </w:t>
      </w:r>
      <w:r w:rsidR="000F249E">
        <w:rPr>
          <w:bCs/>
          <w:szCs w:val="24"/>
        </w:rPr>
        <w:t xml:space="preserve">       </w:t>
      </w:r>
      <w:r w:rsidR="00B96F16" w:rsidRPr="00414613">
        <w:rPr>
          <w:bCs/>
          <w:szCs w:val="24"/>
        </w:rPr>
        <w:t>Attorney-G</w:t>
      </w:r>
      <w:r w:rsidR="00913B67">
        <w:rPr>
          <w:bCs/>
          <w:szCs w:val="24"/>
        </w:rPr>
        <w:t>eneral’s</w:t>
      </w:r>
      <w:r w:rsidR="00B96F16">
        <w:rPr>
          <w:bCs/>
          <w:szCs w:val="24"/>
        </w:rPr>
        <w:t xml:space="preserve"> Department</w:t>
      </w:r>
      <w:r w:rsidR="007A5B55" w:rsidRPr="00414613">
        <w:rPr>
          <w:bCs/>
          <w:szCs w:val="24"/>
        </w:rPr>
        <w:t>.  The overarching intent of these guidelines is</w:t>
      </w:r>
      <w:r w:rsidR="00405890" w:rsidRPr="00414613">
        <w:rPr>
          <w:bCs/>
          <w:szCs w:val="24"/>
        </w:rPr>
        <w:t xml:space="preserve"> to ensure that no individual is denied access to appropriate medical treatment based on their sex or gender</w:t>
      </w:r>
      <w:r w:rsidR="007A5B55" w:rsidRPr="00414613">
        <w:rPr>
          <w:bCs/>
          <w:szCs w:val="24"/>
        </w:rPr>
        <w:t>.</w:t>
      </w:r>
      <w:r w:rsidR="00405890" w:rsidRPr="00414613" w:rsidDel="00405890">
        <w:rPr>
          <w:szCs w:val="24"/>
        </w:rPr>
        <w:t xml:space="preserve"> </w:t>
      </w:r>
    </w:p>
    <w:p w:rsidR="00C33771" w:rsidRPr="00414613" w:rsidRDefault="00C33771" w:rsidP="00C33771">
      <w:pPr>
        <w:rPr>
          <w:bCs/>
          <w:szCs w:val="24"/>
        </w:rPr>
      </w:pPr>
      <w:r w:rsidRPr="00414613">
        <w:rPr>
          <w:bCs/>
          <w:szCs w:val="24"/>
        </w:rPr>
        <w:t xml:space="preserve">  </w:t>
      </w:r>
    </w:p>
    <w:p w:rsidR="000D5D4A" w:rsidRDefault="000D5D4A">
      <w:pPr>
        <w:spacing w:after="200" w:line="276" w:lineRule="auto"/>
        <w:rPr>
          <w:b/>
          <w:bCs/>
          <w:szCs w:val="24"/>
        </w:rPr>
      </w:pPr>
      <w:r>
        <w:rPr>
          <w:b/>
          <w:bCs/>
          <w:szCs w:val="24"/>
        </w:rPr>
        <w:br w:type="page"/>
      </w:r>
    </w:p>
    <w:p w:rsidR="000D5D4A" w:rsidRPr="00E4135E" w:rsidRDefault="000D5D4A" w:rsidP="000D5D4A">
      <w:pPr>
        <w:spacing w:before="360" w:after="120"/>
        <w:jc w:val="center"/>
        <w:rPr>
          <w:b/>
          <w:sz w:val="28"/>
          <w:szCs w:val="28"/>
        </w:rPr>
      </w:pPr>
      <w:r w:rsidRPr="00E4135E">
        <w:rPr>
          <w:b/>
          <w:sz w:val="28"/>
          <w:szCs w:val="28"/>
        </w:rPr>
        <w:lastRenderedPageBreak/>
        <w:t>Statement of Compatibility with Human Rights</w:t>
      </w:r>
    </w:p>
    <w:p w:rsidR="000D5D4A" w:rsidRPr="00E4135E" w:rsidRDefault="000D5D4A" w:rsidP="000D5D4A">
      <w:pPr>
        <w:spacing w:before="120" w:after="120"/>
        <w:jc w:val="center"/>
      </w:pPr>
      <w:r w:rsidRPr="00E4135E">
        <w:rPr>
          <w:i/>
        </w:rPr>
        <w:t>Prepared in accordance with Part 3 of the Human Rights (Parliamentary Scrutiny) Act 2011</w:t>
      </w:r>
    </w:p>
    <w:p w:rsidR="000D5D4A" w:rsidRPr="00E4135E" w:rsidRDefault="000D5D4A" w:rsidP="000D5D4A">
      <w:pPr>
        <w:spacing w:before="120" w:after="120"/>
        <w:jc w:val="center"/>
      </w:pPr>
    </w:p>
    <w:p w:rsidR="000D5D4A" w:rsidRPr="0037491A" w:rsidRDefault="000D5D4A" w:rsidP="000D5D4A">
      <w:pPr>
        <w:tabs>
          <w:tab w:val="left" w:pos="1418"/>
        </w:tabs>
        <w:ind w:left="851"/>
        <w:rPr>
          <w:b/>
          <w:i/>
          <w:szCs w:val="24"/>
        </w:rPr>
      </w:pPr>
      <w:r w:rsidRPr="0037491A">
        <w:rPr>
          <w:b/>
          <w:i/>
          <w:szCs w:val="24"/>
        </w:rPr>
        <w:t>Health Insurance (General Medical Services T</w:t>
      </w:r>
      <w:r w:rsidR="00E15342">
        <w:rPr>
          <w:b/>
          <w:i/>
          <w:szCs w:val="24"/>
        </w:rPr>
        <w:t>able) Amendment (Bariatric and Other M</w:t>
      </w:r>
      <w:bookmarkStart w:id="0" w:name="_GoBack"/>
      <w:bookmarkEnd w:id="0"/>
      <w:r w:rsidRPr="0037491A">
        <w:rPr>
          <w:b/>
          <w:i/>
          <w:szCs w:val="24"/>
        </w:rPr>
        <w:t xml:space="preserve">easures) Regulation 2013 </w:t>
      </w:r>
    </w:p>
    <w:p w:rsidR="000D5D4A" w:rsidRPr="00E4135E" w:rsidRDefault="000D5D4A" w:rsidP="000D5D4A">
      <w:pPr>
        <w:spacing w:before="120" w:after="120"/>
        <w:jc w:val="center"/>
      </w:pPr>
    </w:p>
    <w:p w:rsidR="000D5D4A" w:rsidRPr="00E4135E" w:rsidRDefault="000D5D4A" w:rsidP="000D5D4A">
      <w:pPr>
        <w:spacing w:before="120" w:after="120"/>
        <w:jc w:val="center"/>
      </w:pPr>
      <w:r w:rsidRPr="00E4135E">
        <w:t xml:space="preserve">This 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rsidR="000D5D4A" w:rsidRPr="00E4135E" w:rsidRDefault="000D5D4A" w:rsidP="000D5D4A">
      <w:pPr>
        <w:spacing w:before="120" w:after="120"/>
        <w:jc w:val="center"/>
      </w:pPr>
    </w:p>
    <w:p w:rsidR="000D5D4A" w:rsidRDefault="000D5D4A" w:rsidP="000D5D4A">
      <w:pPr>
        <w:spacing w:before="120" w:after="120"/>
        <w:jc w:val="both"/>
        <w:rPr>
          <w:b/>
        </w:rPr>
      </w:pPr>
      <w:r w:rsidRPr="00E4135E">
        <w:rPr>
          <w:b/>
        </w:rPr>
        <w:t>Overvie</w:t>
      </w:r>
      <w:r>
        <w:rPr>
          <w:b/>
        </w:rPr>
        <w:t>w of the Legislative Instrument</w:t>
      </w:r>
    </w:p>
    <w:p w:rsidR="000D5D4A" w:rsidRPr="00206409" w:rsidRDefault="000D5D4A" w:rsidP="000D5D4A">
      <w:pPr>
        <w:spacing w:before="120" w:after="120"/>
        <w:jc w:val="both"/>
        <w:rPr>
          <w:b/>
        </w:rPr>
      </w:pPr>
      <w:r>
        <w:t xml:space="preserve">The instrument amends the </w:t>
      </w:r>
      <w:r>
        <w:rPr>
          <w:i/>
        </w:rPr>
        <w:t>Health Insurance (General Medical Services Table) Regulation 2012</w:t>
      </w:r>
      <w:r>
        <w:t xml:space="preserve"> (the Principal Regulation) to ensure that the medical services funded through the Medicare Benefits Schedule continue to be up-to-date and representative of best medical practice.</w:t>
      </w:r>
    </w:p>
    <w:p w:rsidR="000D5D4A" w:rsidRDefault="000D5D4A" w:rsidP="000D5D4A">
      <w:pPr>
        <w:spacing w:before="120" w:after="120"/>
      </w:pPr>
      <w:r>
        <w:t xml:space="preserve">In accordance with s 4 of the </w:t>
      </w:r>
      <w:r>
        <w:rPr>
          <w:i/>
        </w:rPr>
        <w:t>Health Insurance Act 1973</w:t>
      </w:r>
      <w:r>
        <w:t xml:space="preserve">, the Principal Regulation prescribes a table of medical services containing: items of medical services; the amount of fees applicable for each item; and rules for the interpretation of the table.   </w:t>
      </w:r>
    </w:p>
    <w:p w:rsidR="000D5D4A" w:rsidRPr="004B5B1E" w:rsidRDefault="000D5D4A" w:rsidP="000D5D4A">
      <w:r>
        <w:t xml:space="preserve">The </w:t>
      </w:r>
      <w:r w:rsidRPr="00414613">
        <w:rPr>
          <w:i/>
          <w:szCs w:val="24"/>
        </w:rPr>
        <w:t xml:space="preserve">Health Insurance (General Medical Services Table) Amendment </w:t>
      </w:r>
      <w:r>
        <w:rPr>
          <w:i/>
          <w:szCs w:val="24"/>
        </w:rPr>
        <w:t xml:space="preserve">(Bariatric and other measures) </w:t>
      </w:r>
      <w:r w:rsidRPr="00414613">
        <w:rPr>
          <w:i/>
          <w:szCs w:val="24"/>
        </w:rPr>
        <w:t xml:space="preserve">Regulation 2013 </w:t>
      </w:r>
      <w:r>
        <w:t xml:space="preserve">(the regulation) </w:t>
      </w:r>
      <w:r w:rsidRPr="00A96CFE">
        <w:t>include</w:t>
      </w:r>
      <w:r>
        <w:t>s</w:t>
      </w:r>
      <w:r w:rsidRPr="00A96CFE">
        <w:t xml:space="preserve"> </w:t>
      </w:r>
      <w:r>
        <w:t>a number of minor changes to implement Government policies in relation to Medicare.  The primary changes included in the Amendment Regulation are as follows:</w:t>
      </w:r>
    </w:p>
    <w:p w:rsidR="000D5D4A" w:rsidRPr="00DB17BB" w:rsidRDefault="000D5D4A" w:rsidP="000D5D4A">
      <w:pPr>
        <w:pStyle w:val="ListParagraph"/>
        <w:numPr>
          <w:ilvl w:val="0"/>
          <w:numId w:val="6"/>
        </w:numPr>
        <w:rPr>
          <w:szCs w:val="24"/>
        </w:rPr>
      </w:pPr>
      <w:r w:rsidRPr="00DB17BB">
        <w:rPr>
          <w:szCs w:val="24"/>
        </w:rPr>
        <w:t>amendment</w:t>
      </w:r>
      <w:r>
        <w:rPr>
          <w:szCs w:val="24"/>
        </w:rPr>
        <w:t>s</w:t>
      </w:r>
      <w:r w:rsidRPr="00DB17BB">
        <w:rPr>
          <w:szCs w:val="24"/>
        </w:rPr>
        <w:t xml:space="preserve"> to 15 </w:t>
      </w:r>
      <w:proofErr w:type="spellStart"/>
      <w:r w:rsidRPr="00DB17BB">
        <w:rPr>
          <w:szCs w:val="24"/>
        </w:rPr>
        <w:t>MBS</w:t>
      </w:r>
      <w:proofErr w:type="spellEnd"/>
      <w:r w:rsidRPr="00DB17BB">
        <w:rPr>
          <w:szCs w:val="24"/>
        </w:rPr>
        <w:t xml:space="preserve"> items to substitute gender specific words for gender neutral terminology </w:t>
      </w:r>
      <w:r>
        <w:rPr>
          <w:szCs w:val="24"/>
        </w:rPr>
        <w:t xml:space="preserve">will be made </w:t>
      </w:r>
      <w:r w:rsidRPr="00DB17BB">
        <w:rPr>
          <w:szCs w:val="24"/>
        </w:rPr>
        <w:t xml:space="preserve">where this would not change the clinical or eligibility intent of the item.  These amendments are being made in order to comply with the </w:t>
      </w:r>
      <w:r w:rsidRPr="00DB17BB">
        <w:rPr>
          <w:i/>
          <w:szCs w:val="24"/>
        </w:rPr>
        <w:t xml:space="preserve">Australian Government Guidelines on the Recognition of Gender </w:t>
      </w:r>
      <w:r w:rsidRPr="00DB17BB">
        <w:rPr>
          <w:szCs w:val="24"/>
        </w:rPr>
        <w:t xml:space="preserve">which were developed in 2012 by the Attorney-General’s Department.  Currently, where an item refers to a patient’s biological sex – such as an item for a ‘cervical smear from a woman’ – the item can only be claimed by a patient who is recorded as a female on the </w:t>
      </w:r>
      <w:proofErr w:type="spellStart"/>
      <w:r w:rsidRPr="00DB17BB">
        <w:rPr>
          <w:szCs w:val="24"/>
        </w:rPr>
        <w:t>DHS</w:t>
      </w:r>
      <w:proofErr w:type="spellEnd"/>
      <w:r w:rsidRPr="00DB17BB">
        <w:rPr>
          <w:szCs w:val="24"/>
        </w:rPr>
        <w:t xml:space="preserve"> database.  This may disadvantage patients who do not identify with their biological sex or who identify with a gender other than that which they were assigned at birth.  The changes will remove the legislative restriction and allow for the items to be provided to all patients who have the anatomical characteristics but who do not identify with the gender specific language (woman/man, female/male).       </w:t>
      </w:r>
    </w:p>
    <w:p w:rsidR="000D5D4A" w:rsidRDefault="000D5D4A" w:rsidP="000D5D4A">
      <w:pPr>
        <w:pStyle w:val="ListParagraph"/>
        <w:numPr>
          <w:ilvl w:val="0"/>
          <w:numId w:val="6"/>
        </w:numPr>
      </w:pPr>
      <w:r w:rsidRPr="00206409">
        <w:rPr>
          <w:szCs w:val="24"/>
        </w:rPr>
        <w:t xml:space="preserve">the introduction of 8 new </w:t>
      </w:r>
      <w:proofErr w:type="spellStart"/>
      <w:r w:rsidRPr="00206409">
        <w:rPr>
          <w:szCs w:val="24"/>
        </w:rPr>
        <w:t>MBS</w:t>
      </w:r>
      <w:proofErr w:type="spellEnd"/>
      <w:r w:rsidRPr="00206409">
        <w:rPr>
          <w:szCs w:val="24"/>
        </w:rPr>
        <w:t xml:space="preserve"> items (32222 to 32229), the amendment of 4 existing bariatric surgery items (20791, 30515, 30518 and 30601) and the subsequent deletion of 5 bariatric surgery items (14215, </w:t>
      </w:r>
      <w:r>
        <w:rPr>
          <w:szCs w:val="24"/>
        </w:rPr>
        <w:t xml:space="preserve">30511, 30512, 30514 and 31441) </w:t>
      </w:r>
      <w:r w:rsidRPr="00206409">
        <w:rPr>
          <w:bCs/>
          <w:szCs w:val="24"/>
        </w:rPr>
        <w:t>will also be made</w:t>
      </w:r>
      <w:r>
        <w:rPr>
          <w:bCs/>
          <w:szCs w:val="24"/>
        </w:rPr>
        <w:t>,</w:t>
      </w:r>
      <w:r w:rsidRPr="00206409">
        <w:rPr>
          <w:bCs/>
          <w:szCs w:val="24"/>
        </w:rPr>
        <w:t xml:space="preserve"> </w:t>
      </w:r>
      <w:r w:rsidRPr="00206409">
        <w:rPr>
          <w:szCs w:val="24"/>
        </w:rPr>
        <w:t xml:space="preserve">to improve and better define the target groups appropriate for different </w:t>
      </w:r>
      <w:r>
        <w:rPr>
          <w:szCs w:val="24"/>
        </w:rPr>
        <w:t>bariatric procedures for the surgical treatment of obesity which is</w:t>
      </w:r>
      <w:r w:rsidRPr="00206409">
        <w:rPr>
          <w:szCs w:val="24"/>
        </w:rPr>
        <w:t xml:space="preserve"> the result of advice from the </w:t>
      </w:r>
      <w:r>
        <w:rPr>
          <w:szCs w:val="24"/>
        </w:rPr>
        <w:t>Medical Services Advisory Committee (</w:t>
      </w:r>
      <w:proofErr w:type="spellStart"/>
      <w:r>
        <w:rPr>
          <w:szCs w:val="24"/>
        </w:rPr>
        <w:t>MSAC</w:t>
      </w:r>
      <w:proofErr w:type="spellEnd"/>
      <w:r>
        <w:rPr>
          <w:szCs w:val="24"/>
        </w:rPr>
        <w:t>)</w:t>
      </w:r>
      <w:r w:rsidRPr="00206409">
        <w:rPr>
          <w:szCs w:val="24"/>
        </w:rPr>
        <w:t xml:space="preserve">.  The </w:t>
      </w:r>
      <w:proofErr w:type="spellStart"/>
      <w:r w:rsidRPr="00206409">
        <w:rPr>
          <w:szCs w:val="24"/>
        </w:rPr>
        <w:t>MSAC</w:t>
      </w:r>
      <w:proofErr w:type="spellEnd"/>
      <w:r w:rsidRPr="00206409">
        <w:rPr>
          <w:szCs w:val="24"/>
        </w:rPr>
        <w:t xml:space="preserve"> provides advice to the Minister for Health and Ageing on evidence relating to the safety, effectiveness and cost-effectiveness of new medical technologies and procedures.  This advice informs Government decisions about new, and in some cases existing, medical procedures.</w:t>
      </w:r>
      <w:r>
        <w:rPr>
          <w:szCs w:val="24"/>
        </w:rPr>
        <w:t xml:space="preserve">  </w:t>
      </w:r>
      <w:r>
        <w:rPr>
          <w:bCs/>
          <w:szCs w:val="24"/>
        </w:rPr>
        <w:t xml:space="preserve">The changes also allow for </w:t>
      </w:r>
      <w:r w:rsidRPr="00414613">
        <w:rPr>
          <w:bCs/>
          <w:szCs w:val="24"/>
        </w:rPr>
        <w:t>the re</w:t>
      </w:r>
      <w:r>
        <w:rPr>
          <w:bCs/>
          <w:szCs w:val="24"/>
        </w:rPr>
        <w:t>-</w:t>
      </w:r>
      <w:r w:rsidRPr="00414613">
        <w:rPr>
          <w:bCs/>
          <w:szCs w:val="24"/>
        </w:rPr>
        <w:t>numbering of subgroups and the substitution of headings within Group T8</w:t>
      </w:r>
      <w:r>
        <w:rPr>
          <w:bCs/>
          <w:szCs w:val="24"/>
        </w:rPr>
        <w:t xml:space="preserve"> to accommodate the new bariatric items.</w:t>
      </w:r>
      <w:r w:rsidRPr="00206409">
        <w:rPr>
          <w:szCs w:val="24"/>
        </w:rPr>
        <w:t xml:space="preserve">  </w:t>
      </w:r>
    </w:p>
    <w:p w:rsidR="000D5D4A" w:rsidRDefault="000D5D4A" w:rsidP="000D5D4A">
      <w:pPr>
        <w:ind w:left="360"/>
      </w:pPr>
    </w:p>
    <w:p w:rsidR="000D5D4A" w:rsidRPr="007F52C0" w:rsidRDefault="000D5D4A" w:rsidP="000D5D4A">
      <w:pPr>
        <w:rPr>
          <w:b/>
        </w:rPr>
      </w:pPr>
      <w:r w:rsidRPr="007F52C0">
        <w:rPr>
          <w:b/>
        </w:rPr>
        <w:t>Human Rights Implications</w:t>
      </w:r>
    </w:p>
    <w:p w:rsidR="000D5D4A" w:rsidRPr="00640FD0" w:rsidRDefault="000D5D4A" w:rsidP="000D5D4A">
      <w:pPr>
        <w:spacing w:before="120" w:after="120"/>
        <w:rPr>
          <w:rFonts w:eastAsia="Calibri"/>
        </w:rPr>
      </w:pPr>
      <w:r w:rsidRPr="00640FD0">
        <w:rPr>
          <w:rFonts w:eastAsia="Calibri"/>
        </w:rPr>
        <w:t>Th</w:t>
      </w:r>
      <w:r>
        <w:rPr>
          <w:rFonts w:eastAsia="Calibri"/>
        </w:rPr>
        <w:t xml:space="preserve">e regulation </w:t>
      </w:r>
      <w:r w:rsidRPr="00640FD0">
        <w:rPr>
          <w:rFonts w:eastAsia="Calibri"/>
        </w:rPr>
        <w:t>engages Articles 2, 9 and 12 and of the International Covenant on Economic, Social and Cultural Rights (</w:t>
      </w:r>
      <w:proofErr w:type="spellStart"/>
      <w:r w:rsidRPr="00640FD0">
        <w:rPr>
          <w:rFonts w:eastAsia="Calibri"/>
        </w:rPr>
        <w:t>ICESCR</w:t>
      </w:r>
      <w:proofErr w:type="spellEnd"/>
      <w:r w:rsidRPr="00640FD0">
        <w:rPr>
          <w:rFonts w:eastAsia="Calibri"/>
        </w:rPr>
        <w:t xml:space="preserve">), specifically the rights to health and social security.  </w:t>
      </w:r>
    </w:p>
    <w:p w:rsidR="000D5D4A" w:rsidRDefault="000D5D4A" w:rsidP="000D5D4A">
      <w:pPr>
        <w:autoSpaceDE w:val="0"/>
        <w:autoSpaceDN w:val="0"/>
        <w:adjustRightInd w:val="0"/>
        <w:spacing w:after="120"/>
        <w:rPr>
          <w:color w:val="000000"/>
          <w:lang w:val="en-US"/>
        </w:rPr>
      </w:pPr>
      <w:r w:rsidRPr="00640FD0">
        <w:rPr>
          <w:color w:val="000000"/>
          <w:lang w:val="en-US"/>
        </w:rPr>
        <w:t xml:space="preserve">The right to health – the right to the enjoyment of the highest attainable standard of physical and mental health – is contained in article 12(1) of the </w:t>
      </w:r>
      <w:proofErr w:type="spellStart"/>
      <w:r w:rsidRPr="00640FD0">
        <w:rPr>
          <w:color w:val="000000"/>
          <w:lang w:val="en-US"/>
        </w:rPr>
        <w:t>ICESCR</w:t>
      </w:r>
      <w:proofErr w:type="spellEnd"/>
      <w:r w:rsidRPr="00640FD0">
        <w:rPr>
          <w:color w:val="000000"/>
          <w:lang w:val="en-US"/>
        </w:rPr>
        <w:t>.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w:t>
      </w:r>
      <w:r>
        <w:rPr>
          <w:color w:val="000000"/>
          <w:lang w:val="en-US"/>
        </w:rPr>
        <w:t xml:space="preserve">  </w:t>
      </w:r>
    </w:p>
    <w:p w:rsidR="000D5D4A" w:rsidRPr="00696FB6" w:rsidRDefault="000D5D4A" w:rsidP="000D5D4A">
      <w:pPr>
        <w:autoSpaceDE w:val="0"/>
        <w:autoSpaceDN w:val="0"/>
        <w:adjustRightInd w:val="0"/>
        <w:spacing w:before="120" w:after="120"/>
        <w:rPr>
          <w:rFonts w:eastAsia="Calibri"/>
        </w:rPr>
      </w:pPr>
      <w:r w:rsidRPr="00696FB6">
        <w:rPr>
          <w:color w:val="000000"/>
          <w:lang w:val="en-US"/>
        </w:rPr>
        <w:t>The Committee has also stated that the ‘highest attainable standard of health’ takes into account the country’s available resources.  The right may be understood as a right of access to a variety of public health and health care facilities, goods, services, programs and condition</w:t>
      </w:r>
      <w:r>
        <w:rPr>
          <w:color w:val="000000"/>
          <w:lang w:val="en-US"/>
        </w:rPr>
        <w:t xml:space="preserve">s necessary for the </w:t>
      </w:r>
      <w:proofErr w:type="spellStart"/>
      <w:r>
        <w:rPr>
          <w:color w:val="000000"/>
          <w:lang w:val="en-US"/>
        </w:rPr>
        <w:t>realisation</w:t>
      </w:r>
      <w:proofErr w:type="spellEnd"/>
      <w:r>
        <w:rPr>
          <w:color w:val="000000"/>
          <w:lang w:val="en-US"/>
        </w:rPr>
        <w:t xml:space="preserve"> </w:t>
      </w:r>
      <w:r w:rsidRPr="00696FB6">
        <w:rPr>
          <w:color w:val="000000"/>
          <w:lang w:val="en-US"/>
        </w:rPr>
        <w:t>of the highest attainable standard of health.</w:t>
      </w:r>
    </w:p>
    <w:p w:rsidR="000D5D4A" w:rsidRPr="00696FB6" w:rsidRDefault="000D5D4A" w:rsidP="000D5D4A">
      <w:pPr>
        <w:spacing w:before="120" w:after="120"/>
        <w:rPr>
          <w:rFonts w:eastAsia="Calibri"/>
          <w:color w:val="262626"/>
        </w:rPr>
      </w:pPr>
      <w:r w:rsidRPr="00696FB6">
        <w:rPr>
          <w:rFonts w:eastAsia="Calibri"/>
          <w:color w:val="262626"/>
        </w:rPr>
        <w:t xml:space="preserve">The right to social security is contained in article 9 of the </w:t>
      </w:r>
      <w:proofErr w:type="spellStart"/>
      <w:r w:rsidRPr="00696FB6">
        <w:rPr>
          <w:rFonts w:eastAsia="Calibri"/>
          <w:color w:val="262626"/>
        </w:rPr>
        <w:t>ICESCR</w:t>
      </w:r>
      <w:proofErr w:type="spellEnd"/>
      <w:r w:rsidRPr="00696FB6">
        <w:rPr>
          <w:rFonts w:eastAsia="Calibri"/>
          <w:color w:val="262626"/>
        </w:rPr>
        <w:t xml:space="preserve">.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  </w:t>
      </w:r>
    </w:p>
    <w:p w:rsidR="000D5D4A" w:rsidRPr="00640FD0" w:rsidRDefault="000D5D4A" w:rsidP="000D5D4A">
      <w:pPr>
        <w:autoSpaceDE w:val="0"/>
        <w:autoSpaceDN w:val="0"/>
        <w:adjustRightInd w:val="0"/>
        <w:spacing w:after="120"/>
        <w:rPr>
          <w:color w:val="000000"/>
          <w:lang w:val="en-US"/>
        </w:rPr>
      </w:pPr>
      <w:r w:rsidRPr="00696FB6">
        <w:rPr>
          <w:rFonts w:eastAsia="Calibri"/>
          <w:color w:val="262626"/>
        </w:rPr>
        <w:t xml:space="preserve">The Committee has stated that there is a strong presumption that retrogressive measures taken in relation to the right to social security are prohibited under </w:t>
      </w:r>
      <w:proofErr w:type="spellStart"/>
      <w:r w:rsidRPr="00696FB6">
        <w:rPr>
          <w:rFonts w:eastAsia="Calibri"/>
          <w:color w:val="262626"/>
        </w:rPr>
        <w:t>ICESCR</w:t>
      </w:r>
      <w:proofErr w:type="spellEnd"/>
      <w:r w:rsidRPr="00696FB6">
        <w:rPr>
          <w:rFonts w:eastAsia="Calibri"/>
          <w:color w:val="262626"/>
        </w:rPr>
        <w:t xml:space="preserve">.  In this context, a retrogressive measure would be one taken without adequate justification that had the effect of reducing existing levels of social security benefits, or of denying benefits to persons or groups previously entitled to them.  </w:t>
      </w:r>
    </w:p>
    <w:p w:rsidR="000D5D4A" w:rsidRDefault="000D5D4A" w:rsidP="000D5D4A">
      <w:pPr>
        <w:autoSpaceDE w:val="0"/>
        <w:autoSpaceDN w:val="0"/>
        <w:adjustRightInd w:val="0"/>
        <w:spacing w:before="120" w:after="120"/>
        <w:rPr>
          <w:rFonts w:eastAsia="Calibri"/>
        </w:rPr>
      </w:pPr>
      <w:r w:rsidRPr="00696FB6">
        <w:rPr>
          <w:rFonts w:eastAsia="Calibri"/>
        </w:rPr>
        <w:t xml:space="preserve">However, it is legitimate for a Government to re-direct its limited resources in ways that it considers to be more effective at meeting the general health needs of all society, particularly the needs of the more disadvantaged members of society.  </w:t>
      </w:r>
    </w:p>
    <w:p w:rsidR="009D17EC" w:rsidRDefault="009D17EC" w:rsidP="000D5D4A">
      <w:pPr>
        <w:rPr>
          <w:u w:val="single"/>
        </w:rPr>
      </w:pPr>
    </w:p>
    <w:p w:rsidR="000D5D4A" w:rsidRPr="00020B8C" w:rsidRDefault="000D5D4A" w:rsidP="000D5D4A">
      <w:pPr>
        <w:rPr>
          <w:u w:val="single"/>
        </w:rPr>
      </w:pPr>
      <w:r>
        <w:rPr>
          <w:u w:val="single"/>
        </w:rPr>
        <w:t xml:space="preserve">Analysis </w:t>
      </w:r>
    </w:p>
    <w:p w:rsidR="000D5D4A" w:rsidRDefault="000D5D4A" w:rsidP="000D5D4A">
      <w:pPr>
        <w:rPr>
          <w:bCs/>
          <w:szCs w:val="24"/>
        </w:rPr>
      </w:pPr>
      <w:r w:rsidRPr="00875964">
        <w:rPr>
          <w:szCs w:val="24"/>
        </w:rPr>
        <w:t>The a</w:t>
      </w:r>
      <w:r>
        <w:rPr>
          <w:szCs w:val="24"/>
        </w:rPr>
        <w:t>mendments</w:t>
      </w:r>
      <w:r w:rsidRPr="00875964">
        <w:rPr>
          <w:szCs w:val="24"/>
        </w:rPr>
        <w:t xml:space="preserve"> made by items 1, 3, </w:t>
      </w:r>
      <w:r w:rsidRPr="00875964">
        <w:rPr>
          <w:bCs/>
          <w:szCs w:val="24"/>
        </w:rPr>
        <w:t>4</w:t>
      </w:r>
      <w:r>
        <w:rPr>
          <w:bCs/>
          <w:szCs w:val="24"/>
        </w:rPr>
        <w:t>,</w:t>
      </w:r>
      <w:r w:rsidRPr="00875964">
        <w:rPr>
          <w:bCs/>
          <w:szCs w:val="24"/>
        </w:rPr>
        <w:t xml:space="preserve"> </w:t>
      </w:r>
      <w:r w:rsidRPr="00875964">
        <w:rPr>
          <w:szCs w:val="24"/>
        </w:rPr>
        <w:t>6</w:t>
      </w:r>
      <w:r w:rsidRPr="00875964">
        <w:rPr>
          <w:bCs/>
          <w:szCs w:val="24"/>
        </w:rPr>
        <w:t xml:space="preserve"> to 9</w:t>
      </w:r>
      <w:r>
        <w:rPr>
          <w:szCs w:val="24"/>
        </w:rPr>
        <w:t xml:space="preserve"> and</w:t>
      </w:r>
      <w:r w:rsidRPr="00875964">
        <w:rPr>
          <w:szCs w:val="24"/>
        </w:rPr>
        <w:t xml:space="preserve"> 11 to 16</w:t>
      </w:r>
      <w:r w:rsidRPr="00414613">
        <w:rPr>
          <w:b/>
          <w:szCs w:val="24"/>
        </w:rPr>
        <w:t xml:space="preserve"> </w:t>
      </w:r>
      <w:r>
        <w:rPr>
          <w:bCs/>
          <w:szCs w:val="24"/>
        </w:rPr>
        <w:t>will implement</w:t>
      </w:r>
      <w:r w:rsidRPr="00414613">
        <w:rPr>
          <w:bCs/>
          <w:szCs w:val="24"/>
        </w:rPr>
        <w:t xml:space="preserve"> a number of changes to </w:t>
      </w:r>
      <w:r>
        <w:rPr>
          <w:bCs/>
          <w:szCs w:val="24"/>
        </w:rPr>
        <w:t xml:space="preserve">the </w:t>
      </w:r>
      <w:proofErr w:type="spellStart"/>
      <w:r w:rsidRPr="00414613">
        <w:rPr>
          <w:bCs/>
          <w:szCs w:val="24"/>
        </w:rPr>
        <w:t>MBS</w:t>
      </w:r>
      <w:proofErr w:type="spellEnd"/>
      <w:r w:rsidRPr="00414613">
        <w:rPr>
          <w:bCs/>
          <w:szCs w:val="24"/>
        </w:rPr>
        <w:t xml:space="preserve"> </w:t>
      </w:r>
      <w:r>
        <w:rPr>
          <w:bCs/>
          <w:szCs w:val="24"/>
        </w:rPr>
        <w:t>for procedures related to</w:t>
      </w:r>
      <w:r w:rsidRPr="00414613">
        <w:rPr>
          <w:bCs/>
          <w:szCs w:val="24"/>
        </w:rPr>
        <w:t xml:space="preserve"> bariatric surgery.  These changes are part of an </w:t>
      </w:r>
      <w:r w:rsidRPr="00414613">
        <w:rPr>
          <w:szCs w:val="24"/>
        </w:rPr>
        <w:t>initiative to improve and better define the target groups appropriate for different bariatric surgery procedures</w:t>
      </w:r>
      <w:r w:rsidRPr="00414613">
        <w:rPr>
          <w:bCs/>
          <w:szCs w:val="24"/>
        </w:rPr>
        <w:t xml:space="preserve">.  </w:t>
      </w:r>
      <w:r>
        <w:rPr>
          <w:bCs/>
          <w:szCs w:val="24"/>
        </w:rPr>
        <w:t xml:space="preserve">These changes include the introduction of 8 new items, an amendment to 4 existing items and the deletion of 5 items.  </w:t>
      </w:r>
      <w:r w:rsidRPr="00414613">
        <w:rPr>
          <w:bCs/>
          <w:szCs w:val="24"/>
        </w:rPr>
        <w:t>The</w:t>
      </w:r>
      <w:r>
        <w:rPr>
          <w:bCs/>
          <w:szCs w:val="24"/>
        </w:rPr>
        <w:t>se changes are a result of advice provided by</w:t>
      </w:r>
      <w:r w:rsidRPr="00414613">
        <w:rPr>
          <w:bCs/>
          <w:szCs w:val="24"/>
        </w:rPr>
        <w:t xml:space="preserve"> the </w:t>
      </w:r>
      <w:proofErr w:type="spellStart"/>
      <w:r w:rsidRPr="00414613">
        <w:rPr>
          <w:bCs/>
          <w:szCs w:val="24"/>
        </w:rPr>
        <w:t>M</w:t>
      </w:r>
      <w:r>
        <w:rPr>
          <w:bCs/>
          <w:szCs w:val="24"/>
        </w:rPr>
        <w:t>SAC</w:t>
      </w:r>
      <w:proofErr w:type="spellEnd"/>
      <w:r>
        <w:rPr>
          <w:bCs/>
          <w:szCs w:val="24"/>
        </w:rPr>
        <w:t xml:space="preserve">.  The </w:t>
      </w:r>
      <w:proofErr w:type="spellStart"/>
      <w:r>
        <w:rPr>
          <w:bCs/>
          <w:szCs w:val="24"/>
        </w:rPr>
        <w:t>MSAC</w:t>
      </w:r>
      <w:proofErr w:type="spellEnd"/>
      <w:r>
        <w:rPr>
          <w:bCs/>
          <w:szCs w:val="24"/>
        </w:rPr>
        <w:t xml:space="preserve"> found that the clinical outcomes from bariatric surgery are better and more cost effective than non-surgical interventions.  The amendments will improve access to surgical procedures for the treatment of obesity and therefore increase patient rights to health and social security.</w:t>
      </w:r>
    </w:p>
    <w:p w:rsidR="000D5D4A" w:rsidRDefault="000D5D4A" w:rsidP="000D5D4A">
      <w:pPr>
        <w:rPr>
          <w:bCs/>
          <w:szCs w:val="24"/>
        </w:rPr>
      </w:pPr>
    </w:p>
    <w:p w:rsidR="000D5D4A" w:rsidRDefault="000D5D4A" w:rsidP="000D5D4A">
      <w:pPr>
        <w:rPr>
          <w:bCs/>
          <w:szCs w:val="24"/>
        </w:rPr>
      </w:pPr>
      <w:r w:rsidRPr="00875964">
        <w:rPr>
          <w:szCs w:val="24"/>
        </w:rPr>
        <w:t>The a</w:t>
      </w:r>
      <w:r>
        <w:rPr>
          <w:szCs w:val="24"/>
        </w:rPr>
        <w:t>mendments</w:t>
      </w:r>
      <w:r w:rsidRPr="00875964">
        <w:rPr>
          <w:szCs w:val="24"/>
        </w:rPr>
        <w:t xml:space="preserve"> made by items </w:t>
      </w:r>
      <w:r w:rsidRPr="00875964">
        <w:rPr>
          <w:bCs/>
          <w:szCs w:val="24"/>
        </w:rPr>
        <w:t xml:space="preserve">2, 5, 10 </w:t>
      </w:r>
      <w:r w:rsidRPr="00875964">
        <w:rPr>
          <w:szCs w:val="24"/>
        </w:rPr>
        <w:t>a</w:t>
      </w:r>
      <w:r w:rsidRPr="00875964">
        <w:rPr>
          <w:bCs/>
          <w:szCs w:val="24"/>
        </w:rPr>
        <w:t>nd</w:t>
      </w:r>
      <w:r w:rsidRPr="00875964">
        <w:rPr>
          <w:szCs w:val="24"/>
        </w:rPr>
        <w:t xml:space="preserve"> 17</w:t>
      </w:r>
      <w:r>
        <w:rPr>
          <w:szCs w:val="24"/>
        </w:rPr>
        <w:t xml:space="preserve"> </w:t>
      </w:r>
      <w:r w:rsidRPr="00414613">
        <w:rPr>
          <w:szCs w:val="24"/>
        </w:rPr>
        <w:t>allow for the substitution of gender specific words for gender neutral terminology which are</w:t>
      </w:r>
      <w:r>
        <w:rPr>
          <w:bCs/>
          <w:szCs w:val="24"/>
        </w:rPr>
        <w:t xml:space="preserve"> a result of a</w:t>
      </w:r>
      <w:r w:rsidRPr="00414613">
        <w:rPr>
          <w:bCs/>
          <w:szCs w:val="24"/>
        </w:rPr>
        <w:t xml:space="preserve"> gender review</w:t>
      </w:r>
      <w:r>
        <w:rPr>
          <w:bCs/>
          <w:szCs w:val="24"/>
        </w:rPr>
        <w:t xml:space="preserve"> undertaken by the Department</w:t>
      </w:r>
      <w:r w:rsidRPr="00414613">
        <w:rPr>
          <w:bCs/>
          <w:szCs w:val="24"/>
        </w:rPr>
        <w:t xml:space="preserve">.  The review was </w:t>
      </w:r>
      <w:r>
        <w:rPr>
          <w:bCs/>
          <w:szCs w:val="24"/>
        </w:rPr>
        <w:t xml:space="preserve">conducted </w:t>
      </w:r>
      <w:r w:rsidRPr="00414613">
        <w:rPr>
          <w:bCs/>
          <w:szCs w:val="24"/>
        </w:rPr>
        <w:t xml:space="preserve">in response to the </w:t>
      </w:r>
      <w:r w:rsidRPr="00B96F16">
        <w:rPr>
          <w:bCs/>
          <w:i/>
          <w:szCs w:val="24"/>
        </w:rPr>
        <w:t>Australian Government’s Draft Guidelines on the Recognition of Gender</w:t>
      </w:r>
      <w:r>
        <w:rPr>
          <w:bCs/>
          <w:szCs w:val="24"/>
        </w:rPr>
        <w:t xml:space="preserve">, which were developed in 2012 by the </w:t>
      </w:r>
      <w:r w:rsidRPr="00414613">
        <w:rPr>
          <w:bCs/>
          <w:szCs w:val="24"/>
        </w:rPr>
        <w:t>Attorney-G</w:t>
      </w:r>
      <w:r>
        <w:rPr>
          <w:bCs/>
          <w:szCs w:val="24"/>
        </w:rPr>
        <w:t>eneral’s Department</w:t>
      </w:r>
      <w:r w:rsidRPr="00414613">
        <w:rPr>
          <w:bCs/>
          <w:szCs w:val="24"/>
        </w:rPr>
        <w:t>.  The overarching intent of these guidelines is to ensure that no individual is denied access to appropriate medical treatme</w:t>
      </w:r>
      <w:r>
        <w:rPr>
          <w:bCs/>
          <w:szCs w:val="24"/>
        </w:rPr>
        <w:t>nt based on their sex or gender and therefore the amendments will increase patient rights to health and social security.</w:t>
      </w:r>
    </w:p>
    <w:p w:rsidR="000D5D4A" w:rsidRDefault="000D5D4A" w:rsidP="000D5D4A">
      <w:r>
        <w:lastRenderedPageBreak/>
        <w:t xml:space="preserve">The amendments made by items </w:t>
      </w:r>
      <w:r w:rsidRPr="006C7A9F">
        <w:rPr>
          <w:szCs w:val="24"/>
        </w:rPr>
        <w:t>18 to 26</w:t>
      </w:r>
      <w:r>
        <w:t xml:space="preserve"> to the regulation do not engage any of the relevant rights.  They are technical amendments that do not alter current arrangements for the payment of Medicare benefits.  </w:t>
      </w:r>
      <w:r>
        <w:rPr>
          <w:bCs/>
          <w:szCs w:val="24"/>
        </w:rPr>
        <w:t xml:space="preserve">The changes allow for </w:t>
      </w:r>
      <w:r w:rsidRPr="00414613">
        <w:rPr>
          <w:bCs/>
          <w:szCs w:val="24"/>
        </w:rPr>
        <w:t>the re</w:t>
      </w:r>
      <w:r>
        <w:rPr>
          <w:bCs/>
          <w:szCs w:val="24"/>
        </w:rPr>
        <w:t>-</w:t>
      </w:r>
      <w:r w:rsidRPr="00414613">
        <w:rPr>
          <w:bCs/>
          <w:szCs w:val="24"/>
        </w:rPr>
        <w:t>numbering of subgroups and the substitution of headings within Group T8</w:t>
      </w:r>
      <w:r>
        <w:rPr>
          <w:bCs/>
          <w:szCs w:val="24"/>
        </w:rPr>
        <w:t xml:space="preserve"> to accommodate the new bariatric items.</w:t>
      </w:r>
    </w:p>
    <w:p w:rsidR="000D5D4A" w:rsidRDefault="000D5D4A" w:rsidP="000D5D4A">
      <w:pPr>
        <w:spacing w:before="120" w:after="120"/>
      </w:pPr>
    </w:p>
    <w:p w:rsidR="000D5D4A" w:rsidRDefault="0018720A" w:rsidP="000D5D4A">
      <w:pPr>
        <w:spacing w:before="120" w:after="120"/>
        <w:jc w:val="center"/>
        <w:rPr>
          <w:b/>
        </w:rPr>
      </w:pPr>
      <w:r>
        <w:rPr>
          <w:b/>
        </w:rPr>
        <w:t xml:space="preserve">The Hon </w:t>
      </w:r>
      <w:r w:rsidR="000D5D4A">
        <w:rPr>
          <w:b/>
        </w:rPr>
        <w:t>Tanya Plibersek</w:t>
      </w:r>
      <w:r>
        <w:rPr>
          <w:b/>
        </w:rPr>
        <w:t xml:space="preserve"> MP</w:t>
      </w:r>
    </w:p>
    <w:p w:rsidR="000D5D4A" w:rsidRPr="00ED7B37" w:rsidRDefault="000D5D4A" w:rsidP="000D5D4A">
      <w:pPr>
        <w:spacing w:before="120" w:after="120"/>
        <w:jc w:val="center"/>
        <w:rPr>
          <w:b/>
        </w:rPr>
      </w:pPr>
      <w:r>
        <w:rPr>
          <w:b/>
        </w:rPr>
        <w:t>Minister for Health</w:t>
      </w:r>
    </w:p>
    <w:p w:rsidR="0018451D" w:rsidRPr="00414613" w:rsidRDefault="0018451D">
      <w:pPr>
        <w:rPr>
          <w:szCs w:val="24"/>
        </w:rPr>
      </w:pPr>
    </w:p>
    <w:sectPr w:rsidR="0018451D" w:rsidRPr="00414613" w:rsidSect="008F1AA9">
      <w:headerReference w:type="even" r:id="rId9"/>
      <w:headerReference w:type="default" r:id="rId10"/>
      <w:pgSz w:w="11906" w:h="16838"/>
      <w:pgMar w:top="1440" w:right="1440" w:bottom="1440" w:left="1440"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5F5" w:rsidRDefault="002915F5">
      <w:r>
        <w:separator/>
      </w:r>
    </w:p>
  </w:endnote>
  <w:endnote w:type="continuationSeparator" w:id="0">
    <w:p w:rsidR="002915F5" w:rsidRDefault="00291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5F5" w:rsidRDefault="002915F5">
      <w:r>
        <w:separator/>
      </w:r>
    </w:p>
  </w:footnote>
  <w:footnote w:type="continuationSeparator" w:id="0">
    <w:p w:rsidR="002915F5" w:rsidRDefault="00291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5F5" w:rsidRDefault="002915F5"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915F5" w:rsidRDefault="002915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5F5" w:rsidRDefault="002915F5"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5342">
      <w:rPr>
        <w:rStyle w:val="PageNumber"/>
        <w:noProof/>
      </w:rPr>
      <w:t>2</w:t>
    </w:r>
    <w:r>
      <w:rPr>
        <w:rStyle w:val="PageNumber"/>
      </w:rPr>
      <w:fldChar w:fldCharType="end"/>
    </w:r>
  </w:p>
  <w:p w:rsidR="002915F5" w:rsidRDefault="002915F5" w:rsidP="009D3773">
    <w:pPr>
      <w:pStyle w:val="Header"/>
      <w:framePr w:wrap="around" w:vAnchor="text" w:hAnchor="page" w:x="6022" w:y="1"/>
      <w:rPr>
        <w:rStyle w:val="PageNumber"/>
      </w:rPr>
    </w:pPr>
  </w:p>
  <w:p w:rsidR="002915F5" w:rsidRDefault="002915F5" w:rsidP="009D377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72181"/>
    <w:multiLevelType w:val="hybridMultilevel"/>
    <w:tmpl w:val="17C40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9B0324C"/>
    <w:multiLevelType w:val="hybridMultilevel"/>
    <w:tmpl w:val="CB701AE6"/>
    <w:lvl w:ilvl="0" w:tplc="FA54F4F4">
      <w:start w:val="1"/>
      <w:numFmt w:val="bullet"/>
      <w:lvlText w:val="-"/>
      <w:lvlJc w:val="left"/>
      <w:pPr>
        <w:ind w:left="720" w:hanging="360"/>
      </w:pPr>
      <w:rPr>
        <w:rFonts w:ascii="Times New Roman" w:eastAsia="Times New Roman" w:hAnsi="Times New Roman" w:cs="Times New Roman" w:hint="default"/>
        <w:b/>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EEA4F50"/>
    <w:multiLevelType w:val="hybridMultilevel"/>
    <w:tmpl w:val="6CBCEC82"/>
    <w:lvl w:ilvl="0" w:tplc="B958F7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6801C3D"/>
    <w:multiLevelType w:val="hybridMultilevel"/>
    <w:tmpl w:val="80E67CC2"/>
    <w:lvl w:ilvl="0" w:tplc="BFC0C860">
      <w:start w:val="6"/>
      <w:numFmt w:val="bullet"/>
      <w:lvlText w:val="-"/>
      <w:lvlJc w:val="left"/>
      <w:pPr>
        <w:ind w:left="420" w:hanging="360"/>
      </w:pPr>
      <w:rPr>
        <w:rFonts w:ascii="Times New Roman" w:eastAsia="Times New Roman" w:hAnsi="Times New Roman" w:cs="Times New Roman" w:hint="default"/>
        <w:b w:val="0"/>
        <w:sz w:val="23"/>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4">
    <w:nsid w:val="6B6721AB"/>
    <w:multiLevelType w:val="hybridMultilevel"/>
    <w:tmpl w:val="E8743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316731C"/>
    <w:multiLevelType w:val="hybridMultilevel"/>
    <w:tmpl w:val="BF582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51"/>
    <w:rsid w:val="00000DEE"/>
    <w:rsid w:val="00014B38"/>
    <w:rsid w:val="000509BA"/>
    <w:rsid w:val="0005224B"/>
    <w:rsid w:val="0005533C"/>
    <w:rsid w:val="00064BA4"/>
    <w:rsid w:val="000710DD"/>
    <w:rsid w:val="000A31F2"/>
    <w:rsid w:val="000C6797"/>
    <w:rsid w:val="000D5D4A"/>
    <w:rsid w:val="000D7803"/>
    <w:rsid w:val="000F249E"/>
    <w:rsid w:val="000F5E76"/>
    <w:rsid w:val="00141E8C"/>
    <w:rsid w:val="00154FC4"/>
    <w:rsid w:val="0015521F"/>
    <w:rsid w:val="001641C0"/>
    <w:rsid w:val="001770D9"/>
    <w:rsid w:val="0018451D"/>
    <w:rsid w:val="0018720A"/>
    <w:rsid w:val="00195A6A"/>
    <w:rsid w:val="001978CE"/>
    <w:rsid w:val="001D778A"/>
    <w:rsid w:val="001E7C25"/>
    <w:rsid w:val="00203952"/>
    <w:rsid w:val="00217EBF"/>
    <w:rsid w:val="00221C4B"/>
    <w:rsid w:val="00250642"/>
    <w:rsid w:val="002643FC"/>
    <w:rsid w:val="0027610D"/>
    <w:rsid w:val="00287B08"/>
    <w:rsid w:val="002915F5"/>
    <w:rsid w:val="002C5DCD"/>
    <w:rsid w:val="002F0434"/>
    <w:rsid w:val="002F449C"/>
    <w:rsid w:val="0031124D"/>
    <w:rsid w:val="0035214B"/>
    <w:rsid w:val="0036495A"/>
    <w:rsid w:val="003876E6"/>
    <w:rsid w:val="00391AFA"/>
    <w:rsid w:val="003B59A9"/>
    <w:rsid w:val="003E1249"/>
    <w:rsid w:val="003E3544"/>
    <w:rsid w:val="003E35A8"/>
    <w:rsid w:val="003E77CB"/>
    <w:rsid w:val="003F73BA"/>
    <w:rsid w:val="00405890"/>
    <w:rsid w:val="00414613"/>
    <w:rsid w:val="0041767B"/>
    <w:rsid w:val="00466A5B"/>
    <w:rsid w:val="004828A9"/>
    <w:rsid w:val="00484E4F"/>
    <w:rsid w:val="00492DBE"/>
    <w:rsid w:val="004C27EB"/>
    <w:rsid w:val="004C405B"/>
    <w:rsid w:val="004C68D1"/>
    <w:rsid w:val="00502277"/>
    <w:rsid w:val="005140F2"/>
    <w:rsid w:val="00532CD3"/>
    <w:rsid w:val="005345A9"/>
    <w:rsid w:val="0054004F"/>
    <w:rsid w:val="005642D9"/>
    <w:rsid w:val="0057258C"/>
    <w:rsid w:val="00573651"/>
    <w:rsid w:val="00581904"/>
    <w:rsid w:val="00585309"/>
    <w:rsid w:val="005A3D73"/>
    <w:rsid w:val="005B0EA3"/>
    <w:rsid w:val="005C6118"/>
    <w:rsid w:val="005D538F"/>
    <w:rsid w:val="005E293A"/>
    <w:rsid w:val="00601165"/>
    <w:rsid w:val="00611A4E"/>
    <w:rsid w:val="00623004"/>
    <w:rsid w:val="00635031"/>
    <w:rsid w:val="006407FA"/>
    <w:rsid w:val="00642BEB"/>
    <w:rsid w:val="006526F5"/>
    <w:rsid w:val="00664F39"/>
    <w:rsid w:val="00670998"/>
    <w:rsid w:val="00694C76"/>
    <w:rsid w:val="006D54FB"/>
    <w:rsid w:val="006E1A62"/>
    <w:rsid w:val="006E3D84"/>
    <w:rsid w:val="006E5C6B"/>
    <w:rsid w:val="006E6377"/>
    <w:rsid w:val="0070058D"/>
    <w:rsid w:val="00705924"/>
    <w:rsid w:val="007134A2"/>
    <w:rsid w:val="00717B45"/>
    <w:rsid w:val="007304D5"/>
    <w:rsid w:val="00730965"/>
    <w:rsid w:val="007859F8"/>
    <w:rsid w:val="007A5B55"/>
    <w:rsid w:val="007B08D1"/>
    <w:rsid w:val="007B4EAA"/>
    <w:rsid w:val="007C20FA"/>
    <w:rsid w:val="007C2C95"/>
    <w:rsid w:val="007C79FB"/>
    <w:rsid w:val="007D4A14"/>
    <w:rsid w:val="007F0907"/>
    <w:rsid w:val="00804A98"/>
    <w:rsid w:val="00826C1C"/>
    <w:rsid w:val="00833FCC"/>
    <w:rsid w:val="00845708"/>
    <w:rsid w:val="008478EE"/>
    <w:rsid w:val="00855C39"/>
    <w:rsid w:val="008609B1"/>
    <w:rsid w:val="00875104"/>
    <w:rsid w:val="00883C9D"/>
    <w:rsid w:val="0089513F"/>
    <w:rsid w:val="008B444F"/>
    <w:rsid w:val="008C20F7"/>
    <w:rsid w:val="008D2A83"/>
    <w:rsid w:val="008D44EB"/>
    <w:rsid w:val="008F1AA9"/>
    <w:rsid w:val="008F7C5B"/>
    <w:rsid w:val="009049C0"/>
    <w:rsid w:val="00913B67"/>
    <w:rsid w:val="009225FE"/>
    <w:rsid w:val="009414C5"/>
    <w:rsid w:val="009427F2"/>
    <w:rsid w:val="00944F64"/>
    <w:rsid w:val="00953383"/>
    <w:rsid w:val="00971B7B"/>
    <w:rsid w:val="00971D3B"/>
    <w:rsid w:val="00977A95"/>
    <w:rsid w:val="00995A06"/>
    <w:rsid w:val="009A222A"/>
    <w:rsid w:val="009C444B"/>
    <w:rsid w:val="009D17EC"/>
    <w:rsid w:val="009D3773"/>
    <w:rsid w:val="009D499D"/>
    <w:rsid w:val="009E2AEA"/>
    <w:rsid w:val="009E3183"/>
    <w:rsid w:val="009E3EA3"/>
    <w:rsid w:val="00A045CA"/>
    <w:rsid w:val="00A05DAD"/>
    <w:rsid w:val="00A17694"/>
    <w:rsid w:val="00A73CF1"/>
    <w:rsid w:val="00A9123D"/>
    <w:rsid w:val="00A92534"/>
    <w:rsid w:val="00AA4399"/>
    <w:rsid w:val="00AB419D"/>
    <w:rsid w:val="00AC046B"/>
    <w:rsid w:val="00AC54F8"/>
    <w:rsid w:val="00AC681D"/>
    <w:rsid w:val="00AD0F67"/>
    <w:rsid w:val="00AE0F81"/>
    <w:rsid w:val="00AF3563"/>
    <w:rsid w:val="00B019A9"/>
    <w:rsid w:val="00B03273"/>
    <w:rsid w:val="00B174E3"/>
    <w:rsid w:val="00B34EF9"/>
    <w:rsid w:val="00B56E4F"/>
    <w:rsid w:val="00B748AE"/>
    <w:rsid w:val="00B7681E"/>
    <w:rsid w:val="00B96F16"/>
    <w:rsid w:val="00BA58AC"/>
    <w:rsid w:val="00BB1CDA"/>
    <w:rsid w:val="00BB2CD8"/>
    <w:rsid w:val="00BC459E"/>
    <w:rsid w:val="00BF23A6"/>
    <w:rsid w:val="00BF5A87"/>
    <w:rsid w:val="00BF6341"/>
    <w:rsid w:val="00C0045E"/>
    <w:rsid w:val="00C00FD8"/>
    <w:rsid w:val="00C073E4"/>
    <w:rsid w:val="00C07C34"/>
    <w:rsid w:val="00C1098E"/>
    <w:rsid w:val="00C154E6"/>
    <w:rsid w:val="00C33771"/>
    <w:rsid w:val="00C473F7"/>
    <w:rsid w:val="00C5100A"/>
    <w:rsid w:val="00C56251"/>
    <w:rsid w:val="00C77A1F"/>
    <w:rsid w:val="00CA73CB"/>
    <w:rsid w:val="00CF6B2F"/>
    <w:rsid w:val="00D114E6"/>
    <w:rsid w:val="00D44316"/>
    <w:rsid w:val="00D565F8"/>
    <w:rsid w:val="00D56ABB"/>
    <w:rsid w:val="00D571B1"/>
    <w:rsid w:val="00D85008"/>
    <w:rsid w:val="00DA7439"/>
    <w:rsid w:val="00DB0DA9"/>
    <w:rsid w:val="00DD3239"/>
    <w:rsid w:val="00DE0877"/>
    <w:rsid w:val="00E15342"/>
    <w:rsid w:val="00E55649"/>
    <w:rsid w:val="00E56A50"/>
    <w:rsid w:val="00E72855"/>
    <w:rsid w:val="00E74C1D"/>
    <w:rsid w:val="00E81B2F"/>
    <w:rsid w:val="00E85B0A"/>
    <w:rsid w:val="00E935A1"/>
    <w:rsid w:val="00EA5A32"/>
    <w:rsid w:val="00EC0273"/>
    <w:rsid w:val="00EC25BA"/>
    <w:rsid w:val="00ED0AD5"/>
    <w:rsid w:val="00EF0AFA"/>
    <w:rsid w:val="00F12E98"/>
    <w:rsid w:val="00F207AB"/>
    <w:rsid w:val="00F21724"/>
    <w:rsid w:val="00F32A56"/>
    <w:rsid w:val="00F413D8"/>
    <w:rsid w:val="00F42100"/>
    <w:rsid w:val="00F6591A"/>
    <w:rsid w:val="00F7546C"/>
    <w:rsid w:val="00FB35C6"/>
    <w:rsid w:val="00FB5BFA"/>
    <w:rsid w:val="00FD6A7D"/>
    <w:rsid w:val="00FD6F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rsid w:val="00C56251"/>
    <w:pPr>
      <w:tabs>
        <w:tab w:val="center" w:pos="4153"/>
        <w:tab w:val="right" w:pos="8306"/>
      </w:tabs>
    </w:pPr>
  </w:style>
  <w:style w:type="character" w:customStyle="1" w:styleId="HeaderChar">
    <w:name w:val="Header Char"/>
    <w:basedOn w:val="DefaultParagraphFont"/>
    <w:link w:val="Header"/>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3E35A8"/>
    <w:rPr>
      <w:sz w:val="16"/>
      <w:szCs w:val="16"/>
    </w:rPr>
  </w:style>
  <w:style w:type="paragraph" w:styleId="CommentText">
    <w:name w:val="annotation text"/>
    <w:basedOn w:val="Normal"/>
    <w:link w:val="CommentTextChar"/>
    <w:uiPriority w:val="99"/>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rsid w:val="00C56251"/>
    <w:pPr>
      <w:tabs>
        <w:tab w:val="center" w:pos="4153"/>
        <w:tab w:val="right" w:pos="8306"/>
      </w:tabs>
    </w:pPr>
  </w:style>
  <w:style w:type="character" w:customStyle="1" w:styleId="HeaderChar">
    <w:name w:val="Header Char"/>
    <w:basedOn w:val="DefaultParagraphFont"/>
    <w:link w:val="Header"/>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3E35A8"/>
    <w:rPr>
      <w:sz w:val="16"/>
      <w:szCs w:val="16"/>
    </w:rPr>
  </w:style>
  <w:style w:type="paragraph" w:styleId="CommentText">
    <w:name w:val="annotation text"/>
    <w:basedOn w:val="Normal"/>
    <w:link w:val="CommentTextChar"/>
    <w:uiPriority w:val="99"/>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A2A42-F75F-43CD-8E96-58F0FF27D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2044</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Hilhorst, Matt</cp:lastModifiedBy>
  <cp:revision>4</cp:revision>
  <cp:lastPrinted>2013-04-19T06:24:00Z</cp:lastPrinted>
  <dcterms:created xsi:type="dcterms:W3CDTF">2013-06-25T22:51:00Z</dcterms:created>
  <dcterms:modified xsi:type="dcterms:W3CDTF">2013-06-28T08:10:00Z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