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052AE3" w:rsidRDefault="00193461" w:rsidP="0048364F">
      <w:pPr>
        <w:rPr>
          <w:sz w:val="28"/>
        </w:rPr>
      </w:pPr>
      <w:r w:rsidRPr="00052AE3">
        <w:rPr>
          <w:noProof/>
          <w:lang w:eastAsia="en-AU"/>
        </w:rPr>
        <w:drawing>
          <wp:inline distT="0" distB="0" distL="0" distR="0" wp14:anchorId="19942E98" wp14:editId="64CC430D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052AE3" w:rsidRDefault="0048364F" w:rsidP="0048364F">
      <w:pPr>
        <w:rPr>
          <w:sz w:val="19"/>
        </w:rPr>
      </w:pPr>
    </w:p>
    <w:p w:rsidR="0048364F" w:rsidRPr="00052AE3" w:rsidRDefault="0048364F" w:rsidP="0048364F">
      <w:pPr>
        <w:rPr>
          <w:sz w:val="19"/>
        </w:rPr>
      </w:pPr>
      <w:bookmarkStart w:id="0" w:name="ConfidenceBlock"/>
      <w:bookmarkEnd w:id="0"/>
    </w:p>
    <w:p w:rsidR="0048364F" w:rsidRPr="00052AE3" w:rsidRDefault="007427DE" w:rsidP="0048364F">
      <w:pPr>
        <w:pStyle w:val="ShortT"/>
      </w:pPr>
      <w:r w:rsidRPr="00052AE3">
        <w:t>Health Insurance (General Medical S</w:t>
      </w:r>
      <w:r w:rsidR="00CB7A5B" w:rsidRPr="00052AE3">
        <w:t>ervices Table</w:t>
      </w:r>
      <w:r w:rsidR="000D7A34" w:rsidRPr="00052AE3">
        <w:t xml:space="preserve">) </w:t>
      </w:r>
      <w:r w:rsidR="00CB7A5B" w:rsidRPr="00052AE3">
        <w:t xml:space="preserve">Amendment </w:t>
      </w:r>
      <w:r w:rsidR="000D7A34" w:rsidRPr="00052AE3">
        <w:t xml:space="preserve">(Bariatric and </w:t>
      </w:r>
      <w:r w:rsidR="004547CC" w:rsidRPr="00052AE3">
        <w:t>O</w:t>
      </w:r>
      <w:r w:rsidR="000D7A34" w:rsidRPr="00052AE3">
        <w:t xml:space="preserve">ther </w:t>
      </w:r>
      <w:r w:rsidR="004547CC" w:rsidRPr="00052AE3">
        <w:t>M</w:t>
      </w:r>
      <w:r w:rsidR="000D7A34" w:rsidRPr="00052AE3">
        <w:t xml:space="preserve">easures) </w:t>
      </w:r>
      <w:r w:rsidR="00CB7A5B" w:rsidRPr="00052AE3">
        <w:t>Regula</w:t>
      </w:r>
      <w:r w:rsidRPr="00052AE3">
        <w:t>t</w:t>
      </w:r>
      <w:r w:rsidR="00CB7A5B" w:rsidRPr="00052AE3">
        <w:t>i</w:t>
      </w:r>
      <w:r w:rsidRPr="00052AE3">
        <w:t>on</w:t>
      </w:r>
      <w:r w:rsidR="00052AE3" w:rsidRPr="00052AE3">
        <w:t> </w:t>
      </w:r>
      <w:r w:rsidR="000D7A34" w:rsidRPr="00052AE3">
        <w:t>2013</w:t>
      </w:r>
    </w:p>
    <w:p w:rsidR="0048364F" w:rsidRPr="00052AE3" w:rsidRDefault="0048364F" w:rsidP="0048364F"/>
    <w:p w:rsidR="0048364F" w:rsidRPr="00052AE3" w:rsidRDefault="00A4361F" w:rsidP="00680F17">
      <w:pPr>
        <w:pStyle w:val="InstNo"/>
      </w:pPr>
      <w:r w:rsidRPr="00052AE3">
        <w:t>Select Legislative Instrument</w:t>
      </w:r>
      <w:r w:rsidR="00154EAC" w:rsidRPr="00052AE3">
        <w:t xml:space="preserve"> </w:t>
      </w:r>
      <w:bookmarkStart w:id="1" w:name="BKCheck15B_1"/>
      <w:bookmarkEnd w:id="1"/>
      <w:r w:rsidR="00D63068">
        <w:t>No. 143</w:t>
      </w:r>
      <w:bookmarkStart w:id="2" w:name="_GoBack"/>
      <w:bookmarkEnd w:id="2"/>
      <w:r w:rsidR="008F1F3A">
        <w:t>, 2013</w:t>
      </w:r>
    </w:p>
    <w:p w:rsidR="002F5822" w:rsidRPr="00052AE3" w:rsidRDefault="002F5822" w:rsidP="001A0BEE">
      <w:pPr>
        <w:pStyle w:val="SignCoverPageStart"/>
        <w:spacing w:before="240"/>
      </w:pPr>
      <w:r w:rsidRPr="00052AE3">
        <w:t>I, Quentin Bryce AC CVO, Governor</w:t>
      </w:r>
      <w:r w:rsidR="00052AE3">
        <w:noBreakHyphen/>
      </w:r>
      <w:r w:rsidRPr="00052AE3">
        <w:t xml:space="preserve">General of the Commonwealth of Australia, acting with the advice of the Federal Executive Council, make the following regulation under the </w:t>
      </w:r>
      <w:r w:rsidRPr="00052AE3">
        <w:rPr>
          <w:i/>
        </w:rPr>
        <w:t>Health Insurance Act 1973</w:t>
      </w:r>
      <w:r w:rsidRPr="00052AE3">
        <w:t>.</w:t>
      </w:r>
    </w:p>
    <w:p w:rsidR="002F5822" w:rsidRPr="00052AE3" w:rsidRDefault="002F5822" w:rsidP="001A0BEE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 w:rsidRPr="00052AE3">
        <w:rPr>
          <w:sz w:val="24"/>
          <w:szCs w:val="24"/>
        </w:rPr>
        <w:t xml:space="preserve">Dated </w:t>
      </w:r>
      <w:r w:rsidRPr="00052AE3">
        <w:rPr>
          <w:sz w:val="24"/>
          <w:szCs w:val="24"/>
        </w:rPr>
        <w:fldChar w:fldCharType="begin"/>
      </w:r>
      <w:r w:rsidRPr="00052AE3">
        <w:rPr>
          <w:sz w:val="24"/>
          <w:szCs w:val="24"/>
        </w:rPr>
        <w:instrText xml:space="preserve"> DOCPROPERTY  DateMade </w:instrText>
      </w:r>
      <w:r w:rsidRPr="00052AE3">
        <w:rPr>
          <w:sz w:val="24"/>
          <w:szCs w:val="24"/>
        </w:rPr>
        <w:fldChar w:fldCharType="separate"/>
      </w:r>
      <w:r w:rsidR="008F1F3A">
        <w:rPr>
          <w:sz w:val="24"/>
          <w:szCs w:val="24"/>
        </w:rPr>
        <w:t>28 June 2013</w:t>
      </w:r>
      <w:r w:rsidRPr="00052AE3">
        <w:rPr>
          <w:sz w:val="24"/>
          <w:szCs w:val="24"/>
        </w:rPr>
        <w:fldChar w:fldCharType="end"/>
      </w:r>
    </w:p>
    <w:p w:rsidR="002F5822" w:rsidRPr="00052AE3" w:rsidRDefault="002F5822" w:rsidP="001A0BEE">
      <w:pPr>
        <w:keepNext/>
        <w:tabs>
          <w:tab w:val="left" w:pos="3402"/>
        </w:tabs>
        <w:spacing w:before="960" w:line="300" w:lineRule="atLeast"/>
        <w:ind w:left="397" w:right="397"/>
        <w:jc w:val="right"/>
        <w:rPr>
          <w:sz w:val="24"/>
          <w:szCs w:val="24"/>
        </w:rPr>
      </w:pPr>
      <w:r w:rsidRPr="00052AE3">
        <w:t>Quentin Bryce</w:t>
      </w:r>
    </w:p>
    <w:p w:rsidR="002F5822" w:rsidRPr="00052AE3" w:rsidRDefault="002F5822" w:rsidP="001A0BE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 w:val="24"/>
          <w:szCs w:val="24"/>
        </w:rPr>
      </w:pPr>
      <w:r w:rsidRPr="00052AE3">
        <w:rPr>
          <w:sz w:val="24"/>
          <w:szCs w:val="24"/>
        </w:rPr>
        <w:t>Governor</w:t>
      </w:r>
      <w:r w:rsidR="00052AE3">
        <w:rPr>
          <w:sz w:val="24"/>
          <w:szCs w:val="24"/>
        </w:rPr>
        <w:noBreakHyphen/>
      </w:r>
      <w:r w:rsidRPr="00052AE3">
        <w:rPr>
          <w:sz w:val="24"/>
          <w:szCs w:val="24"/>
        </w:rPr>
        <w:t>General</w:t>
      </w:r>
    </w:p>
    <w:p w:rsidR="002F5822" w:rsidRPr="00052AE3" w:rsidRDefault="002F5822" w:rsidP="001A0BEE">
      <w:pPr>
        <w:keepNext/>
        <w:tabs>
          <w:tab w:val="left" w:pos="3402"/>
        </w:tabs>
        <w:spacing w:after="800" w:line="300" w:lineRule="atLeast"/>
        <w:ind w:right="397"/>
        <w:rPr>
          <w:sz w:val="24"/>
          <w:szCs w:val="24"/>
        </w:rPr>
      </w:pPr>
      <w:r w:rsidRPr="00052AE3">
        <w:rPr>
          <w:sz w:val="24"/>
          <w:szCs w:val="24"/>
        </w:rPr>
        <w:t>By Her Excellency’s Command</w:t>
      </w:r>
    </w:p>
    <w:p w:rsidR="002F5822" w:rsidRPr="00052AE3" w:rsidRDefault="002F5822" w:rsidP="001A0BEE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052AE3">
        <w:rPr>
          <w:szCs w:val="22"/>
        </w:rPr>
        <w:t>Tanya Plibersek</w:t>
      </w:r>
    </w:p>
    <w:p w:rsidR="002F5822" w:rsidRPr="00052AE3" w:rsidRDefault="002F5822" w:rsidP="001A0BEE">
      <w:pPr>
        <w:pStyle w:val="SignCoverPageEnd"/>
      </w:pPr>
      <w:r w:rsidRPr="00052AE3">
        <w:t>Minister for Health</w:t>
      </w:r>
    </w:p>
    <w:p w:rsidR="0048364F" w:rsidRPr="00052AE3" w:rsidRDefault="0048364F" w:rsidP="0048364F">
      <w:pPr>
        <w:pStyle w:val="Header"/>
        <w:tabs>
          <w:tab w:val="clear" w:pos="4150"/>
          <w:tab w:val="clear" w:pos="8307"/>
        </w:tabs>
      </w:pPr>
      <w:r w:rsidRPr="00052AE3">
        <w:rPr>
          <w:rStyle w:val="CharAmSchNo"/>
        </w:rPr>
        <w:t xml:space="preserve"> </w:t>
      </w:r>
      <w:r w:rsidRPr="00052AE3">
        <w:rPr>
          <w:rStyle w:val="CharAmSchText"/>
        </w:rPr>
        <w:t xml:space="preserve"> </w:t>
      </w:r>
    </w:p>
    <w:p w:rsidR="0048364F" w:rsidRPr="00052AE3" w:rsidRDefault="0048364F" w:rsidP="0048364F">
      <w:pPr>
        <w:pStyle w:val="Header"/>
        <w:tabs>
          <w:tab w:val="clear" w:pos="4150"/>
          <w:tab w:val="clear" w:pos="8307"/>
        </w:tabs>
      </w:pPr>
      <w:r w:rsidRPr="00052AE3">
        <w:rPr>
          <w:rStyle w:val="CharAmPartNo"/>
        </w:rPr>
        <w:t xml:space="preserve"> </w:t>
      </w:r>
      <w:r w:rsidRPr="00052AE3">
        <w:rPr>
          <w:rStyle w:val="CharAmPartText"/>
        </w:rPr>
        <w:t xml:space="preserve"> </w:t>
      </w:r>
    </w:p>
    <w:p w:rsidR="0048364F" w:rsidRPr="00052AE3" w:rsidRDefault="0048364F" w:rsidP="0048364F">
      <w:pPr>
        <w:sectPr w:rsidR="0048364F" w:rsidRPr="00052AE3" w:rsidSect="00087ED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052AE3" w:rsidRDefault="0048364F" w:rsidP="00CB7A5B">
      <w:pPr>
        <w:rPr>
          <w:sz w:val="36"/>
        </w:rPr>
      </w:pPr>
      <w:r w:rsidRPr="00052AE3">
        <w:rPr>
          <w:sz w:val="36"/>
        </w:rPr>
        <w:lastRenderedPageBreak/>
        <w:t>Contents</w:t>
      </w:r>
    </w:p>
    <w:bookmarkStart w:id="3" w:name="BKCheck15B_2"/>
    <w:bookmarkEnd w:id="3"/>
    <w:p w:rsidR="00AF596F" w:rsidRPr="00052AE3" w:rsidRDefault="00AF596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52AE3">
        <w:fldChar w:fldCharType="begin"/>
      </w:r>
      <w:r w:rsidRPr="00052AE3">
        <w:instrText xml:space="preserve"> TOC \o "1-9" </w:instrText>
      </w:r>
      <w:r w:rsidRPr="00052AE3">
        <w:fldChar w:fldCharType="separate"/>
      </w:r>
      <w:r w:rsidRPr="00052AE3">
        <w:rPr>
          <w:noProof/>
        </w:rPr>
        <w:t>1</w:t>
      </w:r>
      <w:r w:rsidRPr="00052AE3">
        <w:rPr>
          <w:noProof/>
        </w:rPr>
        <w:tab/>
        <w:t>Name of regulation</w:t>
      </w:r>
      <w:r w:rsidRPr="00052AE3">
        <w:rPr>
          <w:noProof/>
        </w:rPr>
        <w:tab/>
      </w:r>
      <w:r w:rsidRPr="00052AE3">
        <w:rPr>
          <w:noProof/>
        </w:rPr>
        <w:fldChar w:fldCharType="begin"/>
      </w:r>
      <w:r w:rsidRPr="00052AE3">
        <w:rPr>
          <w:noProof/>
        </w:rPr>
        <w:instrText xml:space="preserve"> PAGEREF _Toc358194097 \h </w:instrText>
      </w:r>
      <w:r w:rsidRPr="00052AE3">
        <w:rPr>
          <w:noProof/>
        </w:rPr>
      </w:r>
      <w:r w:rsidRPr="00052AE3">
        <w:rPr>
          <w:noProof/>
        </w:rPr>
        <w:fldChar w:fldCharType="separate"/>
      </w:r>
      <w:r w:rsidR="008F1F3A">
        <w:rPr>
          <w:noProof/>
        </w:rPr>
        <w:t>1</w:t>
      </w:r>
      <w:r w:rsidRPr="00052AE3">
        <w:rPr>
          <w:noProof/>
        </w:rPr>
        <w:fldChar w:fldCharType="end"/>
      </w:r>
    </w:p>
    <w:p w:rsidR="00AF596F" w:rsidRPr="00052AE3" w:rsidRDefault="00AF596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52AE3">
        <w:rPr>
          <w:noProof/>
        </w:rPr>
        <w:t>2</w:t>
      </w:r>
      <w:r w:rsidRPr="00052AE3">
        <w:rPr>
          <w:noProof/>
        </w:rPr>
        <w:tab/>
        <w:t>Commencement</w:t>
      </w:r>
      <w:r w:rsidRPr="00052AE3">
        <w:rPr>
          <w:noProof/>
        </w:rPr>
        <w:tab/>
      </w:r>
      <w:r w:rsidRPr="00052AE3">
        <w:rPr>
          <w:noProof/>
        </w:rPr>
        <w:fldChar w:fldCharType="begin"/>
      </w:r>
      <w:r w:rsidRPr="00052AE3">
        <w:rPr>
          <w:noProof/>
        </w:rPr>
        <w:instrText xml:space="preserve"> PAGEREF _Toc358194098 \h </w:instrText>
      </w:r>
      <w:r w:rsidRPr="00052AE3">
        <w:rPr>
          <w:noProof/>
        </w:rPr>
      </w:r>
      <w:r w:rsidRPr="00052AE3">
        <w:rPr>
          <w:noProof/>
        </w:rPr>
        <w:fldChar w:fldCharType="separate"/>
      </w:r>
      <w:r w:rsidR="008F1F3A">
        <w:rPr>
          <w:noProof/>
        </w:rPr>
        <w:t>1</w:t>
      </w:r>
      <w:r w:rsidRPr="00052AE3">
        <w:rPr>
          <w:noProof/>
        </w:rPr>
        <w:fldChar w:fldCharType="end"/>
      </w:r>
    </w:p>
    <w:p w:rsidR="00AF596F" w:rsidRPr="00052AE3" w:rsidRDefault="00AF596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52AE3">
        <w:rPr>
          <w:noProof/>
        </w:rPr>
        <w:t>3</w:t>
      </w:r>
      <w:r w:rsidRPr="00052AE3">
        <w:rPr>
          <w:noProof/>
        </w:rPr>
        <w:tab/>
        <w:t>Authority</w:t>
      </w:r>
      <w:r w:rsidRPr="00052AE3">
        <w:rPr>
          <w:noProof/>
        </w:rPr>
        <w:tab/>
      </w:r>
      <w:r w:rsidRPr="00052AE3">
        <w:rPr>
          <w:noProof/>
        </w:rPr>
        <w:fldChar w:fldCharType="begin"/>
      </w:r>
      <w:r w:rsidRPr="00052AE3">
        <w:rPr>
          <w:noProof/>
        </w:rPr>
        <w:instrText xml:space="preserve"> PAGEREF _Toc358194099 \h </w:instrText>
      </w:r>
      <w:r w:rsidRPr="00052AE3">
        <w:rPr>
          <w:noProof/>
        </w:rPr>
      </w:r>
      <w:r w:rsidRPr="00052AE3">
        <w:rPr>
          <w:noProof/>
        </w:rPr>
        <w:fldChar w:fldCharType="separate"/>
      </w:r>
      <w:r w:rsidR="008F1F3A">
        <w:rPr>
          <w:noProof/>
        </w:rPr>
        <w:t>1</w:t>
      </w:r>
      <w:r w:rsidRPr="00052AE3">
        <w:rPr>
          <w:noProof/>
        </w:rPr>
        <w:fldChar w:fldCharType="end"/>
      </w:r>
    </w:p>
    <w:p w:rsidR="00AF596F" w:rsidRPr="00052AE3" w:rsidRDefault="00AF596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52AE3">
        <w:rPr>
          <w:noProof/>
        </w:rPr>
        <w:t>4</w:t>
      </w:r>
      <w:r w:rsidRPr="00052AE3">
        <w:rPr>
          <w:noProof/>
        </w:rPr>
        <w:tab/>
        <w:t>Schedule(s)</w:t>
      </w:r>
      <w:r w:rsidRPr="00052AE3">
        <w:rPr>
          <w:noProof/>
        </w:rPr>
        <w:tab/>
      </w:r>
      <w:r w:rsidRPr="00052AE3">
        <w:rPr>
          <w:noProof/>
        </w:rPr>
        <w:fldChar w:fldCharType="begin"/>
      </w:r>
      <w:r w:rsidRPr="00052AE3">
        <w:rPr>
          <w:noProof/>
        </w:rPr>
        <w:instrText xml:space="preserve"> PAGEREF _Toc358194100 \h </w:instrText>
      </w:r>
      <w:r w:rsidRPr="00052AE3">
        <w:rPr>
          <w:noProof/>
        </w:rPr>
      </w:r>
      <w:r w:rsidRPr="00052AE3">
        <w:rPr>
          <w:noProof/>
        </w:rPr>
        <w:fldChar w:fldCharType="separate"/>
      </w:r>
      <w:r w:rsidR="008F1F3A">
        <w:rPr>
          <w:noProof/>
        </w:rPr>
        <w:t>1</w:t>
      </w:r>
      <w:r w:rsidRPr="00052AE3">
        <w:rPr>
          <w:noProof/>
        </w:rPr>
        <w:fldChar w:fldCharType="end"/>
      </w:r>
    </w:p>
    <w:p w:rsidR="00AF596F" w:rsidRPr="00052AE3" w:rsidRDefault="00AF596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52AE3">
        <w:rPr>
          <w:noProof/>
        </w:rPr>
        <w:t>Schedule</w:t>
      </w:r>
      <w:r w:rsidR="00052AE3" w:rsidRPr="00052AE3">
        <w:rPr>
          <w:noProof/>
        </w:rPr>
        <w:t> </w:t>
      </w:r>
      <w:r w:rsidRPr="00052AE3">
        <w:rPr>
          <w:noProof/>
        </w:rPr>
        <w:t>1—Amendments</w:t>
      </w:r>
      <w:r w:rsidRPr="00052AE3">
        <w:rPr>
          <w:b w:val="0"/>
          <w:noProof/>
          <w:sz w:val="18"/>
        </w:rPr>
        <w:tab/>
      </w:r>
      <w:r w:rsidRPr="00052AE3">
        <w:rPr>
          <w:b w:val="0"/>
          <w:noProof/>
          <w:sz w:val="18"/>
        </w:rPr>
        <w:fldChar w:fldCharType="begin"/>
      </w:r>
      <w:r w:rsidRPr="00052AE3">
        <w:rPr>
          <w:b w:val="0"/>
          <w:noProof/>
          <w:sz w:val="18"/>
        </w:rPr>
        <w:instrText xml:space="preserve"> PAGEREF _Toc358194101 \h </w:instrText>
      </w:r>
      <w:r w:rsidRPr="00052AE3">
        <w:rPr>
          <w:b w:val="0"/>
          <w:noProof/>
          <w:sz w:val="18"/>
        </w:rPr>
      </w:r>
      <w:r w:rsidRPr="00052AE3">
        <w:rPr>
          <w:b w:val="0"/>
          <w:noProof/>
          <w:sz w:val="18"/>
        </w:rPr>
        <w:fldChar w:fldCharType="separate"/>
      </w:r>
      <w:r w:rsidR="008F1F3A">
        <w:rPr>
          <w:b w:val="0"/>
          <w:noProof/>
          <w:sz w:val="18"/>
        </w:rPr>
        <w:t>2</w:t>
      </w:r>
      <w:r w:rsidRPr="00052AE3">
        <w:rPr>
          <w:b w:val="0"/>
          <w:noProof/>
          <w:sz w:val="18"/>
        </w:rPr>
        <w:fldChar w:fldCharType="end"/>
      </w:r>
    </w:p>
    <w:p w:rsidR="00AF596F" w:rsidRPr="00052AE3" w:rsidRDefault="00AF596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52AE3">
        <w:rPr>
          <w:noProof/>
        </w:rPr>
        <w:t>Health Insurance (General Medical Services Table) Regulation</w:t>
      </w:r>
      <w:r w:rsidR="00052AE3" w:rsidRPr="00052AE3">
        <w:rPr>
          <w:noProof/>
        </w:rPr>
        <w:t> </w:t>
      </w:r>
      <w:r w:rsidRPr="00052AE3">
        <w:rPr>
          <w:noProof/>
        </w:rPr>
        <w:t>2012</w:t>
      </w:r>
      <w:r w:rsidRPr="00052AE3">
        <w:rPr>
          <w:i w:val="0"/>
          <w:noProof/>
          <w:sz w:val="18"/>
        </w:rPr>
        <w:tab/>
      </w:r>
      <w:r w:rsidRPr="00052AE3">
        <w:rPr>
          <w:i w:val="0"/>
          <w:noProof/>
          <w:sz w:val="18"/>
        </w:rPr>
        <w:fldChar w:fldCharType="begin"/>
      </w:r>
      <w:r w:rsidRPr="00052AE3">
        <w:rPr>
          <w:i w:val="0"/>
          <w:noProof/>
          <w:sz w:val="18"/>
        </w:rPr>
        <w:instrText xml:space="preserve"> PAGEREF _Toc358194102 \h </w:instrText>
      </w:r>
      <w:r w:rsidRPr="00052AE3">
        <w:rPr>
          <w:i w:val="0"/>
          <w:noProof/>
          <w:sz w:val="18"/>
        </w:rPr>
      </w:r>
      <w:r w:rsidRPr="00052AE3">
        <w:rPr>
          <w:i w:val="0"/>
          <w:noProof/>
          <w:sz w:val="18"/>
        </w:rPr>
        <w:fldChar w:fldCharType="separate"/>
      </w:r>
      <w:r w:rsidR="008F1F3A">
        <w:rPr>
          <w:i w:val="0"/>
          <w:noProof/>
          <w:sz w:val="18"/>
        </w:rPr>
        <w:t>2</w:t>
      </w:r>
      <w:r w:rsidRPr="00052AE3">
        <w:rPr>
          <w:i w:val="0"/>
          <w:noProof/>
          <w:sz w:val="18"/>
        </w:rPr>
        <w:fldChar w:fldCharType="end"/>
      </w:r>
    </w:p>
    <w:p w:rsidR="00A87AB9" w:rsidRPr="00052AE3" w:rsidRDefault="00AF596F" w:rsidP="0048364F">
      <w:r w:rsidRPr="00052AE3">
        <w:fldChar w:fldCharType="end"/>
      </w:r>
    </w:p>
    <w:p w:rsidR="00722023" w:rsidRPr="00052AE3" w:rsidRDefault="00722023" w:rsidP="0048364F">
      <w:pPr>
        <w:sectPr w:rsidR="00722023" w:rsidRPr="00052AE3" w:rsidSect="00087ED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052AE3" w:rsidRDefault="0048364F" w:rsidP="0048364F">
      <w:pPr>
        <w:pStyle w:val="ActHead5"/>
      </w:pPr>
      <w:bookmarkStart w:id="4" w:name="_Toc358194097"/>
      <w:r w:rsidRPr="00052AE3">
        <w:rPr>
          <w:rStyle w:val="CharSectno"/>
        </w:rPr>
        <w:lastRenderedPageBreak/>
        <w:t>1</w:t>
      </w:r>
      <w:r w:rsidRPr="00052AE3">
        <w:t xml:space="preserve">  </w:t>
      </w:r>
      <w:r w:rsidR="004F676E" w:rsidRPr="00052AE3">
        <w:t xml:space="preserve">Name of </w:t>
      </w:r>
      <w:r w:rsidR="007427DE" w:rsidRPr="00052AE3">
        <w:t>regulation</w:t>
      </w:r>
      <w:bookmarkEnd w:id="4"/>
    </w:p>
    <w:p w:rsidR="0048364F" w:rsidRPr="00052AE3" w:rsidRDefault="0048364F" w:rsidP="0048364F">
      <w:pPr>
        <w:pStyle w:val="subsection"/>
      </w:pPr>
      <w:r w:rsidRPr="00052AE3">
        <w:tab/>
      </w:r>
      <w:r w:rsidRPr="00052AE3">
        <w:tab/>
        <w:t>Th</w:t>
      </w:r>
      <w:r w:rsidR="00F24C35" w:rsidRPr="00052AE3">
        <w:t>is</w:t>
      </w:r>
      <w:r w:rsidRPr="00052AE3">
        <w:t xml:space="preserve"> </w:t>
      </w:r>
      <w:r w:rsidR="007427DE" w:rsidRPr="00052AE3">
        <w:t>regulation</w:t>
      </w:r>
      <w:r w:rsidRPr="00052AE3">
        <w:t xml:space="preserve"> </w:t>
      </w:r>
      <w:r w:rsidR="00F24C35" w:rsidRPr="00052AE3">
        <w:t>is</w:t>
      </w:r>
      <w:r w:rsidR="003801D0" w:rsidRPr="00052AE3">
        <w:t xml:space="preserve"> the</w:t>
      </w:r>
      <w:r w:rsidRPr="00052AE3">
        <w:t xml:space="preserve"> </w:t>
      </w:r>
      <w:bookmarkStart w:id="5" w:name="BKCheck15B_3"/>
      <w:bookmarkEnd w:id="5"/>
      <w:r w:rsidR="00CB0180" w:rsidRPr="00052AE3">
        <w:rPr>
          <w:i/>
        </w:rPr>
        <w:fldChar w:fldCharType="begin"/>
      </w:r>
      <w:r w:rsidR="00CB0180" w:rsidRPr="00052AE3">
        <w:rPr>
          <w:i/>
        </w:rPr>
        <w:instrText xml:space="preserve"> STYLEREF  ShortT </w:instrText>
      </w:r>
      <w:r w:rsidR="00CB0180" w:rsidRPr="00052AE3">
        <w:rPr>
          <w:i/>
        </w:rPr>
        <w:fldChar w:fldCharType="separate"/>
      </w:r>
      <w:r w:rsidR="008F1F3A">
        <w:rPr>
          <w:i/>
          <w:noProof/>
        </w:rPr>
        <w:t>Health Insurance (General Medical Services Table) Amendment (Bariatric and Other Measures) Regulation 2013</w:t>
      </w:r>
      <w:r w:rsidR="00CB0180" w:rsidRPr="00052AE3">
        <w:rPr>
          <w:i/>
        </w:rPr>
        <w:fldChar w:fldCharType="end"/>
      </w:r>
      <w:r w:rsidRPr="00052AE3">
        <w:t>.</w:t>
      </w:r>
    </w:p>
    <w:p w:rsidR="0048364F" w:rsidRPr="00052AE3" w:rsidRDefault="0048364F" w:rsidP="0048364F">
      <w:pPr>
        <w:pStyle w:val="ActHead5"/>
      </w:pPr>
      <w:bookmarkStart w:id="6" w:name="_Toc358194098"/>
      <w:r w:rsidRPr="00052AE3">
        <w:rPr>
          <w:rStyle w:val="CharSectno"/>
        </w:rPr>
        <w:t>2</w:t>
      </w:r>
      <w:r w:rsidRPr="00052AE3">
        <w:t xml:space="preserve">  Commencement</w:t>
      </w:r>
      <w:bookmarkEnd w:id="6"/>
    </w:p>
    <w:p w:rsidR="004F676E" w:rsidRPr="00052AE3" w:rsidRDefault="004F676E" w:rsidP="004F676E">
      <w:pPr>
        <w:pStyle w:val="subsection"/>
      </w:pPr>
      <w:r w:rsidRPr="00052AE3">
        <w:tab/>
      </w:r>
      <w:r w:rsidRPr="00052AE3">
        <w:tab/>
        <w:t>Th</w:t>
      </w:r>
      <w:r w:rsidR="00F24C35" w:rsidRPr="00052AE3">
        <w:t>is</w:t>
      </w:r>
      <w:r w:rsidRPr="00052AE3">
        <w:t xml:space="preserve"> </w:t>
      </w:r>
      <w:r w:rsidR="007427DE" w:rsidRPr="00052AE3">
        <w:t>regulation</w:t>
      </w:r>
      <w:r w:rsidRPr="00052AE3">
        <w:t xml:space="preserve"> commence</w:t>
      </w:r>
      <w:r w:rsidR="00D17B17" w:rsidRPr="00052AE3">
        <w:t>s</w:t>
      </w:r>
      <w:r w:rsidRPr="00052AE3">
        <w:t xml:space="preserve"> on </w:t>
      </w:r>
      <w:r w:rsidR="0081021C" w:rsidRPr="00052AE3">
        <w:t>1</w:t>
      </w:r>
      <w:r w:rsidR="00052AE3" w:rsidRPr="00052AE3">
        <w:t> </w:t>
      </w:r>
      <w:r w:rsidR="0081021C" w:rsidRPr="00052AE3">
        <w:t>July 2013</w:t>
      </w:r>
      <w:r w:rsidRPr="00052AE3">
        <w:t>.</w:t>
      </w:r>
    </w:p>
    <w:p w:rsidR="007769D4" w:rsidRPr="00052AE3" w:rsidRDefault="007769D4" w:rsidP="007769D4">
      <w:pPr>
        <w:pStyle w:val="ActHead5"/>
      </w:pPr>
      <w:bookmarkStart w:id="7" w:name="_Toc358194099"/>
      <w:r w:rsidRPr="00052AE3">
        <w:rPr>
          <w:rStyle w:val="CharSectno"/>
        </w:rPr>
        <w:t>3</w:t>
      </w:r>
      <w:r w:rsidRPr="00052AE3">
        <w:t xml:space="preserve">  Authority</w:t>
      </w:r>
      <w:bookmarkEnd w:id="7"/>
    </w:p>
    <w:p w:rsidR="007769D4" w:rsidRPr="00052AE3" w:rsidRDefault="007769D4" w:rsidP="007769D4">
      <w:pPr>
        <w:pStyle w:val="subsection"/>
      </w:pPr>
      <w:r w:rsidRPr="00052AE3">
        <w:tab/>
      </w:r>
      <w:r w:rsidRPr="00052AE3">
        <w:tab/>
      </w:r>
      <w:r w:rsidR="00AF0336" w:rsidRPr="00052AE3">
        <w:t xml:space="preserve">This </w:t>
      </w:r>
      <w:r w:rsidR="007427DE" w:rsidRPr="00052AE3">
        <w:t>regulation</w:t>
      </w:r>
      <w:r w:rsidR="00AF0336" w:rsidRPr="00052AE3">
        <w:t xml:space="preserve"> is made under the </w:t>
      </w:r>
      <w:r w:rsidR="007427DE" w:rsidRPr="00052AE3">
        <w:rPr>
          <w:i/>
        </w:rPr>
        <w:t>Health Insurance Act 1973</w:t>
      </w:r>
      <w:r w:rsidR="0029483C" w:rsidRPr="00052AE3">
        <w:t>.</w:t>
      </w:r>
    </w:p>
    <w:p w:rsidR="00557C7A" w:rsidRPr="00052AE3" w:rsidRDefault="007769D4" w:rsidP="00557C7A">
      <w:pPr>
        <w:pStyle w:val="ActHead5"/>
      </w:pPr>
      <w:bookmarkStart w:id="8" w:name="_Toc358194100"/>
      <w:r w:rsidRPr="00052AE3">
        <w:rPr>
          <w:rStyle w:val="CharSectno"/>
        </w:rPr>
        <w:t>4</w:t>
      </w:r>
      <w:r w:rsidR="00557C7A" w:rsidRPr="00052AE3">
        <w:t xml:space="preserve">  </w:t>
      </w:r>
      <w:r w:rsidR="00B332B8" w:rsidRPr="00052AE3">
        <w:t>Schedule(s)</w:t>
      </w:r>
      <w:bookmarkEnd w:id="8"/>
    </w:p>
    <w:p w:rsidR="00557C7A" w:rsidRPr="00052AE3" w:rsidRDefault="00557C7A" w:rsidP="00557C7A">
      <w:pPr>
        <w:pStyle w:val="subsection"/>
      </w:pPr>
      <w:r w:rsidRPr="00052AE3">
        <w:tab/>
      </w:r>
      <w:r w:rsidRPr="00052AE3">
        <w:tab/>
      </w:r>
      <w:r w:rsidR="00CD7ECB" w:rsidRPr="00052AE3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052AE3" w:rsidRDefault="0048364F" w:rsidP="00FF3089">
      <w:pPr>
        <w:pStyle w:val="ActHead6"/>
        <w:pageBreakBefore/>
      </w:pPr>
      <w:bookmarkStart w:id="9" w:name="_Toc358194101"/>
      <w:bookmarkStart w:id="10" w:name="opcAmSched"/>
      <w:bookmarkStart w:id="11" w:name="opcCurrentFind"/>
      <w:r w:rsidRPr="00052AE3">
        <w:rPr>
          <w:rStyle w:val="CharAmSchNo"/>
        </w:rPr>
        <w:lastRenderedPageBreak/>
        <w:t>Schedule</w:t>
      </w:r>
      <w:r w:rsidR="00052AE3" w:rsidRPr="00052AE3">
        <w:rPr>
          <w:rStyle w:val="CharAmSchNo"/>
        </w:rPr>
        <w:t> </w:t>
      </w:r>
      <w:r w:rsidRPr="00052AE3">
        <w:rPr>
          <w:rStyle w:val="CharAmSchNo"/>
        </w:rPr>
        <w:t>1</w:t>
      </w:r>
      <w:r w:rsidRPr="00052AE3">
        <w:t>—</w:t>
      </w:r>
      <w:r w:rsidR="00460499" w:rsidRPr="00052AE3">
        <w:rPr>
          <w:rStyle w:val="CharAmSchText"/>
        </w:rPr>
        <w:t>Amendments</w:t>
      </w:r>
      <w:bookmarkEnd w:id="9"/>
    </w:p>
    <w:bookmarkEnd w:id="10"/>
    <w:bookmarkEnd w:id="11"/>
    <w:p w:rsidR="0004044E" w:rsidRPr="00052AE3" w:rsidRDefault="0004044E" w:rsidP="0004044E">
      <w:pPr>
        <w:pStyle w:val="Header"/>
      </w:pPr>
      <w:r w:rsidRPr="00052AE3">
        <w:rPr>
          <w:rStyle w:val="CharAmPartNo"/>
        </w:rPr>
        <w:t xml:space="preserve"> </w:t>
      </w:r>
      <w:r w:rsidRPr="00052AE3">
        <w:rPr>
          <w:rStyle w:val="CharAmPartText"/>
        </w:rPr>
        <w:t xml:space="preserve"> </w:t>
      </w:r>
    </w:p>
    <w:p w:rsidR="006856B8" w:rsidRPr="00052AE3" w:rsidRDefault="006856B8" w:rsidP="006856B8">
      <w:pPr>
        <w:pStyle w:val="ActHead9"/>
      </w:pPr>
      <w:bookmarkStart w:id="12" w:name="_Toc358194102"/>
      <w:r w:rsidRPr="00052AE3">
        <w:t>Health Insurance (General Medical Services Table) Regulation</w:t>
      </w:r>
      <w:r w:rsidR="00052AE3" w:rsidRPr="00052AE3">
        <w:t> </w:t>
      </w:r>
      <w:r w:rsidRPr="00052AE3">
        <w:t>2012</w:t>
      </w:r>
      <w:bookmarkEnd w:id="12"/>
    </w:p>
    <w:p w:rsidR="006856B8" w:rsidRPr="00052AE3" w:rsidRDefault="0003503F" w:rsidP="006856B8">
      <w:pPr>
        <w:pStyle w:val="ItemHead"/>
        <w:tabs>
          <w:tab w:val="left" w:pos="6663"/>
        </w:tabs>
      </w:pPr>
      <w:r w:rsidRPr="00052AE3">
        <w:t>1</w:t>
      </w:r>
      <w:r w:rsidR="006856B8" w:rsidRPr="00052AE3">
        <w:t xml:space="preserve">  Subclauses</w:t>
      </w:r>
      <w:r w:rsidR="00052AE3" w:rsidRPr="00052AE3">
        <w:t> </w:t>
      </w:r>
      <w:r w:rsidR="006856B8" w:rsidRPr="00052AE3">
        <w:t>1.2.4(1) and 1.2.5(1) of Schedule</w:t>
      </w:r>
      <w:r w:rsidR="00052AE3" w:rsidRPr="00052AE3">
        <w:t> </w:t>
      </w:r>
      <w:r w:rsidR="006856B8" w:rsidRPr="00052AE3">
        <w:t>1</w:t>
      </w:r>
    </w:p>
    <w:p w:rsidR="006856B8" w:rsidRPr="00052AE3" w:rsidRDefault="006856B8" w:rsidP="006856B8">
      <w:pPr>
        <w:pStyle w:val="Item"/>
      </w:pPr>
      <w:r w:rsidRPr="00052AE3">
        <w:t>Omit “14215”, substitute “14212”.</w:t>
      </w:r>
    </w:p>
    <w:p w:rsidR="00A628B6" w:rsidRPr="00052AE3" w:rsidRDefault="0003503F" w:rsidP="006856B8">
      <w:pPr>
        <w:pStyle w:val="ItemHead"/>
      </w:pPr>
      <w:r w:rsidRPr="00052AE3">
        <w:t>2</w:t>
      </w:r>
      <w:r w:rsidR="00A628B6" w:rsidRPr="00052AE3">
        <w:t xml:space="preserve">  </w:t>
      </w:r>
      <w:r w:rsidR="00335F55" w:rsidRPr="00052AE3">
        <w:t>I</w:t>
      </w:r>
      <w:r w:rsidR="00A628B6" w:rsidRPr="00052AE3">
        <w:t>tems</w:t>
      </w:r>
      <w:r w:rsidR="00052AE3" w:rsidRPr="00052AE3">
        <w:t> </w:t>
      </w:r>
      <w:r w:rsidR="00A628B6" w:rsidRPr="00052AE3">
        <w:t>2497, 2598, 2600, 2603, 2606, 2610, 2613 and 2616</w:t>
      </w:r>
      <w:r w:rsidR="00335F55" w:rsidRPr="00052AE3">
        <w:t xml:space="preserve"> of Schedule</w:t>
      </w:r>
      <w:r w:rsidR="00052AE3" w:rsidRPr="00052AE3">
        <w:t> </w:t>
      </w:r>
      <w:r w:rsidR="00335F55" w:rsidRPr="00052AE3">
        <w:t>1</w:t>
      </w:r>
    </w:p>
    <w:p w:rsidR="00A628B6" w:rsidRPr="00052AE3" w:rsidRDefault="00A628B6" w:rsidP="00A628B6">
      <w:pPr>
        <w:pStyle w:val="Item"/>
      </w:pPr>
      <w:r w:rsidRPr="00052AE3">
        <w:t xml:space="preserve">Omit “woman”, </w:t>
      </w:r>
      <w:r w:rsidR="00AD0B4A" w:rsidRPr="00052AE3">
        <w:t>substitu</w:t>
      </w:r>
      <w:r w:rsidRPr="00052AE3">
        <w:t>t</w:t>
      </w:r>
      <w:r w:rsidR="00AD0B4A" w:rsidRPr="00052AE3">
        <w:t>e</w:t>
      </w:r>
      <w:r w:rsidRPr="00052AE3">
        <w:t xml:space="preserve"> “person”.</w:t>
      </w:r>
    </w:p>
    <w:p w:rsidR="006856B8" w:rsidRPr="00052AE3" w:rsidRDefault="0003503F" w:rsidP="006856B8">
      <w:pPr>
        <w:pStyle w:val="ItemHead"/>
      </w:pPr>
      <w:r w:rsidRPr="00052AE3">
        <w:t>3</w:t>
      </w:r>
      <w:r w:rsidR="006856B8" w:rsidRPr="00052AE3">
        <w:t xml:space="preserve">  </w:t>
      </w:r>
      <w:r w:rsidR="00335F55" w:rsidRPr="00052AE3">
        <w:t>Item</w:t>
      </w:r>
      <w:r w:rsidR="00052AE3" w:rsidRPr="00052AE3">
        <w:t> </w:t>
      </w:r>
      <w:r w:rsidR="00335F55" w:rsidRPr="00052AE3">
        <w:t>14215</w:t>
      </w:r>
      <w:r w:rsidR="006856B8" w:rsidRPr="00052AE3">
        <w:t xml:space="preserve"> of Schedule</w:t>
      </w:r>
      <w:r w:rsidR="00052AE3" w:rsidRPr="00052AE3">
        <w:t> </w:t>
      </w:r>
      <w:r w:rsidR="006856B8" w:rsidRPr="00052AE3">
        <w:t>1</w:t>
      </w:r>
    </w:p>
    <w:p w:rsidR="006856B8" w:rsidRPr="00052AE3" w:rsidRDefault="006856B8" w:rsidP="006856B8">
      <w:pPr>
        <w:pStyle w:val="Item"/>
      </w:pPr>
      <w:r w:rsidRPr="00052AE3">
        <w:t>Repeal the item.</w:t>
      </w:r>
    </w:p>
    <w:p w:rsidR="006856B8" w:rsidRPr="00052AE3" w:rsidRDefault="0003503F" w:rsidP="006856B8">
      <w:pPr>
        <w:pStyle w:val="ItemHead"/>
      </w:pPr>
      <w:r w:rsidRPr="00052AE3">
        <w:t>4</w:t>
      </w:r>
      <w:r w:rsidR="006856B8" w:rsidRPr="00052AE3">
        <w:t xml:space="preserve">  </w:t>
      </w:r>
      <w:r w:rsidR="00335F55" w:rsidRPr="00052AE3">
        <w:t>Item</w:t>
      </w:r>
      <w:r w:rsidR="00052AE3" w:rsidRPr="00052AE3">
        <w:t> </w:t>
      </w:r>
      <w:r w:rsidR="00335F55" w:rsidRPr="00052AE3">
        <w:t>20791</w:t>
      </w:r>
      <w:r w:rsidR="006856B8" w:rsidRPr="00052AE3">
        <w:t xml:space="preserve"> of Schedule</w:t>
      </w:r>
      <w:r w:rsidR="00052AE3" w:rsidRPr="00052AE3">
        <w:t> </w:t>
      </w:r>
      <w:r w:rsidR="006856B8" w:rsidRPr="00052AE3">
        <w:t>1</w:t>
      </w:r>
    </w:p>
    <w:p w:rsidR="006856B8" w:rsidRPr="00052AE3" w:rsidRDefault="006856B8" w:rsidP="006856B8">
      <w:pPr>
        <w:pStyle w:val="Item"/>
        <w:rPr>
          <w:snapToGrid w:val="0"/>
        </w:rPr>
      </w:pPr>
      <w:r w:rsidRPr="00052AE3">
        <w:t xml:space="preserve">Omit “for </w:t>
      </w:r>
      <w:r w:rsidRPr="00052AE3">
        <w:rPr>
          <w:snapToGrid w:val="0"/>
        </w:rPr>
        <w:t xml:space="preserve">gastric reduction or </w:t>
      </w:r>
      <w:proofErr w:type="spellStart"/>
      <w:r w:rsidRPr="00052AE3">
        <w:rPr>
          <w:snapToGrid w:val="0"/>
        </w:rPr>
        <w:t>gastroplasty</w:t>
      </w:r>
      <w:proofErr w:type="spellEnd"/>
      <w:r w:rsidRPr="00052AE3">
        <w:rPr>
          <w:snapToGrid w:val="0"/>
        </w:rPr>
        <w:t xml:space="preserve"> for the treatment of morbid obesity”, substitute “for a patient with clinically severe obesity”.</w:t>
      </w:r>
    </w:p>
    <w:p w:rsidR="00AD0B4A" w:rsidRPr="00052AE3" w:rsidRDefault="0003503F" w:rsidP="006856B8">
      <w:pPr>
        <w:pStyle w:val="ItemHead"/>
      </w:pPr>
      <w:r w:rsidRPr="00052AE3">
        <w:t>5</w:t>
      </w:r>
      <w:r w:rsidR="00AD0B4A" w:rsidRPr="00052AE3">
        <w:t xml:space="preserve">  Item</w:t>
      </w:r>
      <w:r w:rsidR="00052AE3" w:rsidRPr="00052AE3">
        <w:t> </w:t>
      </w:r>
      <w:r w:rsidR="00AD0B4A" w:rsidRPr="00052AE3">
        <w:t>20920 of Schedule</w:t>
      </w:r>
      <w:r w:rsidR="00052AE3" w:rsidRPr="00052AE3">
        <w:t> </w:t>
      </w:r>
      <w:r w:rsidR="00AD0B4A" w:rsidRPr="00052AE3">
        <w:t>1</w:t>
      </w:r>
    </w:p>
    <w:p w:rsidR="00AD0B4A" w:rsidRPr="00052AE3" w:rsidRDefault="00AD0B4A" w:rsidP="00AD0B4A">
      <w:pPr>
        <w:pStyle w:val="Item"/>
      </w:pPr>
      <w:r w:rsidRPr="00052AE3">
        <w:t>Omit “male”.</w:t>
      </w:r>
    </w:p>
    <w:p w:rsidR="006856B8" w:rsidRPr="00052AE3" w:rsidRDefault="0003503F" w:rsidP="006856B8">
      <w:pPr>
        <w:pStyle w:val="ItemHead"/>
      </w:pPr>
      <w:r w:rsidRPr="00052AE3">
        <w:t>6</w:t>
      </w:r>
      <w:r w:rsidR="006856B8" w:rsidRPr="00052AE3">
        <w:t xml:space="preserve">  </w:t>
      </w:r>
      <w:r w:rsidR="00335F55" w:rsidRPr="00052AE3">
        <w:t>Item</w:t>
      </w:r>
      <w:r w:rsidR="00FD2AFB" w:rsidRPr="00052AE3">
        <w:t>s</w:t>
      </w:r>
      <w:r w:rsidR="00052AE3" w:rsidRPr="00052AE3">
        <w:t> </w:t>
      </w:r>
      <w:r w:rsidR="00FD2AFB" w:rsidRPr="00052AE3">
        <w:t xml:space="preserve">30511, 30512 and </w:t>
      </w:r>
      <w:r w:rsidR="00335F55" w:rsidRPr="00052AE3">
        <w:t>30514</w:t>
      </w:r>
      <w:r w:rsidR="006856B8" w:rsidRPr="00052AE3">
        <w:t xml:space="preserve"> of Schedule</w:t>
      </w:r>
      <w:r w:rsidR="00052AE3" w:rsidRPr="00052AE3">
        <w:t> </w:t>
      </w:r>
      <w:r w:rsidR="006856B8" w:rsidRPr="00052AE3">
        <w:t>1</w:t>
      </w:r>
    </w:p>
    <w:p w:rsidR="006856B8" w:rsidRPr="00052AE3" w:rsidRDefault="006856B8" w:rsidP="006856B8">
      <w:pPr>
        <w:pStyle w:val="Item"/>
      </w:pPr>
      <w:r w:rsidRPr="00052AE3">
        <w:t>Repeal the item</w:t>
      </w:r>
      <w:r w:rsidR="00FD2AFB" w:rsidRPr="00052AE3">
        <w:t>s</w:t>
      </w:r>
      <w:r w:rsidRPr="00052AE3">
        <w:t>.</w:t>
      </w:r>
    </w:p>
    <w:p w:rsidR="006856B8" w:rsidRPr="00052AE3" w:rsidRDefault="0003503F" w:rsidP="006856B8">
      <w:pPr>
        <w:pStyle w:val="ItemHead"/>
      </w:pPr>
      <w:r w:rsidRPr="00052AE3">
        <w:t>7</w:t>
      </w:r>
      <w:r w:rsidR="006856B8" w:rsidRPr="00052AE3">
        <w:t xml:space="preserve">  </w:t>
      </w:r>
      <w:r w:rsidR="00335F55" w:rsidRPr="00052AE3">
        <w:t>Item</w:t>
      </w:r>
      <w:r w:rsidR="00052AE3" w:rsidRPr="00052AE3">
        <w:t> </w:t>
      </w:r>
      <w:r w:rsidR="00335F55" w:rsidRPr="00052AE3">
        <w:t>30515</w:t>
      </w:r>
      <w:r w:rsidR="006856B8" w:rsidRPr="00052AE3">
        <w:t xml:space="preserve"> of Schedule</w:t>
      </w:r>
      <w:r w:rsidR="00052AE3" w:rsidRPr="00052AE3">
        <w:t> </w:t>
      </w:r>
      <w:r w:rsidR="006856B8" w:rsidRPr="00052AE3">
        <w:t>1</w:t>
      </w:r>
    </w:p>
    <w:p w:rsidR="006856B8" w:rsidRPr="00052AE3" w:rsidRDefault="006856B8" w:rsidP="006856B8">
      <w:pPr>
        <w:pStyle w:val="Item"/>
        <w:rPr>
          <w:snapToGrid w:val="0"/>
        </w:rPr>
      </w:pPr>
      <w:r w:rsidRPr="00052AE3">
        <w:t>After “</w:t>
      </w:r>
      <w:proofErr w:type="spellStart"/>
      <w:r w:rsidRPr="00052AE3">
        <w:rPr>
          <w:snapToGrid w:val="0"/>
        </w:rPr>
        <w:t>enteroenterostomy</w:t>
      </w:r>
      <w:proofErr w:type="spellEnd"/>
      <w:r w:rsidRPr="00052AE3">
        <w:rPr>
          <w:snapToGrid w:val="0"/>
        </w:rPr>
        <w:t>”, insert “, not being a service to which any of items</w:t>
      </w:r>
      <w:r w:rsidR="00052AE3" w:rsidRPr="00052AE3">
        <w:rPr>
          <w:snapToGrid w:val="0"/>
        </w:rPr>
        <w:t> </w:t>
      </w:r>
      <w:r w:rsidR="007A0A98" w:rsidRPr="00052AE3">
        <w:rPr>
          <w:snapToGrid w:val="0"/>
        </w:rPr>
        <w:t>31569</w:t>
      </w:r>
      <w:r w:rsidRPr="00052AE3">
        <w:rPr>
          <w:snapToGrid w:val="0"/>
        </w:rPr>
        <w:t xml:space="preserve"> to 3</w:t>
      </w:r>
      <w:r w:rsidR="007A0A98" w:rsidRPr="00052AE3">
        <w:rPr>
          <w:snapToGrid w:val="0"/>
        </w:rPr>
        <w:t>1581</w:t>
      </w:r>
      <w:r w:rsidRPr="00052AE3">
        <w:rPr>
          <w:snapToGrid w:val="0"/>
        </w:rPr>
        <w:t xml:space="preserve"> apply”.</w:t>
      </w:r>
    </w:p>
    <w:p w:rsidR="006856B8" w:rsidRPr="00052AE3" w:rsidRDefault="0003503F" w:rsidP="006856B8">
      <w:pPr>
        <w:pStyle w:val="ItemHead"/>
      </w:pPr>
      <w:r w:rsidRPr="00052AE3">
        <w:t>8</w:t>
      </w:r>
      <w:r w:rsidR="006856B8" w:rsidRPr="00052AE3">
        <w:t xml:space="preserve">  </w:t>
      </w:r>
      <w:r w:rsidR="00335F55" w:rsidRPr="00052AE3">
        <w:t>Item</w:t>
      </w:r>
      <w:r w:rsidR="00052AE3" w:rsidRPr="00052AE3">
        <w:t> </w:t>
      </w:r>
      <w:r w:rsidR="00335F55" w:rsidRPr="00052AE3">
        <w:t>30518</w:t>
      </w:r>
      <w:r w:rsidR="006856B8" w:rsidRPr="00052AE3">
        <w:t xml:space="preserve"> of Schedule</w:t>
      </w:r>
      <w:r w:rsidR="00052AE3" w:rsidRPr="00052AE3">
        <w:t> </w:t>
      </w:r>
      <w:r w:rsidR="006856B8" w:rsidRPr="00052AE3">
        <w:t>1</w:t>
      </w:r>
    </w:p>
    <w:p w:rsidR="006856B8" w:rsidRPr="00052AE3" w:rsidRDefault="006856B8" w:rsidP="006856B8">
      <w:pPr>
        <w:pStyle w:val="Item"/>
        <w:rPr>
          <w:snapToGrid w:val="0"/>
        </w:rPr>
      </w:pPr>
      <w:r w:rsidRPr="00052AE3">
        <w:t>After “</w:t>
      </w:r>
      <w:proofErr w:type="spellStart"/>
      <w:r w:rsidRPr="00052AE3">
        <w:rPr>
          <w:snapToGrid w:val="0"/>
        </w:rPr>
        <w:t>gastrectomy</w:t>
      </w:r>
      <w:proofErr w:type="spellEnd"/>
      <w:r w:rsidRPr="00052AE3">
        <w:rPr>
          <w:snapToGrid w:val="0"/>
        </w:rPr>
        <w:t>”, insert “, not being a service associated with a service to which any of items</w:t>
      </w:r>
      <w:r w:rsidR="00052AE3" w:rsidRPr="00052AE3">
        <w:rPr>
          <w:snapToGrid w:val="0"/>
        </w:rPr>
        <w:t> </w:t>
      </w:r>
      <w:r w:rsidRPr="00052AE3">
        <w:rPr>
          <w:snapToGrid w:val="0"/>
        </w:rPr>
        <w:t>3</w:t>
      </w:r>
      <w:r w:rsidR="007A0A98" w:rsidRPr="00052AE3">
        <w:rPr>
          <w:snapToGrid w:val="0"/>
        </w:rPr>
        <w:t>1569</w:t>
      </w:r>
      <w:r w:rsidRPr="00052AE3">
        <w:rPr>
          <w:snapToGrid w:val="0"/>
        </w:rPr>
        <w:t xml:space="preserve"> to 3</w:t>
      </w:r>
      <w:r w:rsidR="007A0A98" w:rsidRPr="00052AE3">
        <w:rPr>
          <w:snapToGrid w:val="0"/>
        </w:rPr>
        <w:t>1581</w:t>
      </w:r>
      <w:r w:rsidRPr="00052AE3">
        <w:rPr>
          <w:snapToGrid w:val="0"/>
        </w:rPr>
        <w:t xml:space="preserve"> apply”.</w:t>
      </w:r>
    </w:p>
    <w:p w:rsidR="006856B8" w:rsidRPr="00052AE3" w:rsidRDefault="0003503F" w:rsidP="006856B8">
      <w:pPr>
        <w:pStyle w:val="ItemHead"/>
      </w:pPr>
      <w:r w:rsidRPr="00052AE3">
        <w:t>9</w:t>
      </w:r>
      <w:r w:rsidR="006856B8" w:rsidRPr="00052AE3">
        <w:t xml:space="preserve">  </w:t>
      </w:r>
      <w:r w:rsidR="00335F55" w:rsidRPr="00052AE3">
        <w:t>Item</w:t>
      </w:r>
      <w:r w:rsidR="00052AE3" w:rsidRPr="00052AE3">
        <w:t> </w:t>
      </w:r>
      <w:r w:rsidR="00335F55" w:rsidRPr="00052AE3">
        <w:t>30601</w:t>
      </w:r>
      <w:r w:rsidR="006856B8" w:rsidRPr="00052AE3">
        <w:t xml:space="preserve"> of Schedule</w:t>
      </w:r>
      <w:r w:rsidR="00052AE3" w:rsidRPr="00052AE3">
        <w:t> </w:t>
      </w:r>
      <w:r w:rsidR="006856B8" w:rsidRPr="00052AE3">
        <w:t>1</w:t>
      </w:r>
    </w:p>
    <w:p w:rsidR="006856B8" w:rsidRPr="00052AE3" w:rsidRDefault="006856B8" w:rsidP="006856B8">
      <w:pPr>
        <w:pStyle w:val="Item"/>
        <w:rPr>
          <w:snapToGrid w:val="0"/>
        </w:rPr>
      </w:pPr>
      <w:r w:rsidRPr="00052AE3">
        <w:t>After “</w:t>
      </w:r>
      <w:r w:rsidRPr="00052AE3">
        <w:rPr>
          <w:snapToGrid w:val="0"/>
        </w:rPr>
        <w:t>approach”, insert “, not being a service to which any of items</w:t>
      </w:r>
      <w:r w:rsidR="00052AE3" w:rsidRPr="00052AE3">
        <w:rPr>
          <w:snapToGrid w:val="0"/>
        </w:rPr>
        <w:t> </w:t>
      </w:r>
      <w:r w:rsidRPr="00052AE3">
        <w:rPr>
          <w:snapToGrid w:val="0"/>
        </w:rPr>
        <w:t>3</w:t>
      </w:r>
      <w:r w:rsidR="007A0A98" w:rsidRPr="00052AE3">
        <w:rPr>
          <w:snapToGrid w:val="0"/>
        </w:rPr>
        <w:t>1569 to 31581</w:t>
      </w:r>
      <w:r w:rsidRPr="00052AE3">
        <w:rPr>
          <w:snapToGrid w:val="0"/>
        </w:rPr>
        <w:t xml:space="preserve"> apply”.</w:t>
      </w:r>
    </w:p>
    <w:p w:rsidR="00AD0B4A" w:rsidRPr="00052AE3" w:rsidRDefault="0003503F" w:rsidP="006856B8">
      <w:pPr>
        <w:pStyle w:val="ItemHead"/>
      </w:pPr>
      <w:r w:rsidRPr="00052AE3">
        <w:lastRenderedPageBreak/>
        <w:t>10</w:t>
      </w:r>
      <w:r w:rsidR="00AD0B4A" w:rsidRPr="00052AE3">
        <w:t xml:space="preserve">  Items</w:t>
      </w:r>
      <w:r w:rsidR="00052AE3" w:rsidRPr="00052AE3">
        <w:t> </w:t>
      </w:r>
      <w:r w:rsidR="00AD0B4A" w:rsidRPr="00052AE3">
        <w:t>30653, 30656, 30659 and 30660 of Schedule</w:t>
      </w:r>
      <w:r w:rsidR="00052AE3" w:rsidRPr="00052AE3">
        <w:t> </w:t>
      </w:r>
      <w:r w:rsidR="00AD0B4A" w:rsidRPr="00052AE3">
        <w:t>1</w:t>
      </w:r>
    </w:p>
    <w:p w:rsidR="00AD0B4A" w:rsidRPr="00052AE3" w:rsidRDefault="00AD0B4A" w:rsidP="00AD0B4A">
      <w:pPr>
        <w:pStyle w:val="Item"/>
      </w:pPr>
      <w:r w:rsidRPr="00052AE3">
        <w:t>Omit “a male”, substitute “the penis, on a person”.</w:t>
      </w:r>
    </w:p>
    <w:p w:rsidR="006856B8" w:rsidRPr="00052AE3" w:rsidRDefault="0003503F" w:rsidP="006856B8">
      <w:pPr>
        <w:pStyle w:val="ItemHead"/>
      </w:pPr>
      <w:r w:rsidRPr="00052AE3">
        <w:t>11</w:t>
      </w:r>
      <w:r w:rsidR="006856B8" w:rsidRPr="00052AE3">
        <w:t xml:space="preserve">  </w:t>
      </w:r>
      <w:r w:rsidR="00335F55" w:rsidRPr="00052AE3">
        <w:t>Item</w:t>
      </w:r>
      <w:r w:rsidR="00052AE3" w:rsidRPr="00052AE3">
        <w:t> </w:t>
      </w:r>
      <w:r w:rsidR="00335F55" w:rsidRPr="00052AE3">
        <w:t>31441</w:t>
      </w:r>
      <w:r w:rsidR="006856B8" w:rsidRPr="00052AE3">
        <w:t xml:space="preserve"> of Schedule</w:t>
      </w:r>
      <w:r w:rsidR="00052AE3" w:rsidRPr="00052AE3">
        <w:t> </w:t>
      </w:r>
      <w:r w:rsidR="006856B8" w:rsidRPr="00052AE3">
        <w:t>1</w:t>
      </w:r>
    </w:p>
    <w:p w:rsidR="006856B8" w:rsidRPr="00052AE3" w:rsidRDefault="006856B8" w:rsidP="006856B8">
      <w:pPr>
        <w:pStyle w:val="Item"/>
      </w:pPr>
      <w:r w:rsidRPr="00052AE3">
        <w:t>Repeal the item.</w:t>
      </w:r>
    </w:p>
    <w:p w:rsidR="006856B8" w:rsidRPr="00052AE3" w:rsidRDefault="0003503F" w:rsidP="006856B8">
      <w:pPr>
        <w:pStyle w:val="ItemHead"/>
      </w:pPr>
      <w:r w:rsidRPr="00052AE3">
        <w:t>12</w:t>
      </w:r>
      <w:r w:rsidR="006856B8" w:rsidRPr="00052AE3">
        <w:t xml:space="preserve">  </w:t>
      </w:r>
      <w:r w:rsidRPr="00052AE3">
        <w:t>At the end of S</w:t>
      </w:r>
      <w:r w:rsidR="00F743E5" w:rsidRPr="00052AE3">
        <w:t>ubdivision B of Division</w:t>
      </w:r>
      <w:r w:rsidR="00052AE3" w:rsidRPr="00052AE3">
        <w:t> </w:t>
      </w:r>
      <w:r w:rsidR="00F743E5" w:rsidRPr="00052AE3">
        <w:t>2.44</w:t>
      </w:r>
      <w:r w:rsidR="00396B77" w:rsidRPr="00052AE3">
        <w:t xml:space="preserve"> of Schedule</w:t>
      </w:r>
      <w:r w:rsidR="00052AE3" w:rsidRPr="00052AE3">
        <w:t> </w:t>
      </w:r>
      <w:r w:rsidR="00396B77" w:rsidRPr="00052AE3">
        <w:t>1</w:t>
      </w:r>
      <w:r w:rsidR="00DE077A" w:rsidRPr="00052AE3">
        <w:t xml:space="preserve"> (after item</w:t>
      </w:r>
      <w:r w:rsidR="00052AE3" w:rsidRPr="00052AE3">
        <w:t> </w:t>
      </w:r>
      <w:r w:rsidR="00DE077A" w:rsidRPr="00052AE3">
        <w:t>31566)</w:t>
      </w:r>
    </w:p>
    <w:p w:rsidR="006856B8" w:rsidRPr="00052AE3" w:rsidRDefault="0003503F" w:rsidP="006856B8">
      <w:pPr>
        <w:pStyle w:val="Item"/>
      </w:pPr>
      <w:r w:rsidRPr="00052AE3">
        <w:t>Add</w:t>
      </w:r>
      <w:r w:rsidR="006856B8" w:rsidRPr="00052AE3">
        <w:t>:</w:t>
      </w:r>
    </w:p>
    <w:tbl>
      <w:tblPr>
        <w:tblW w:w="7515" w:type="dxa"/>
        <w:tblInd w:w="-35" w:type="dxa"/>
        <w:shd w:val="clear" w:color="auto" w:fill="FFFFFF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785"/>
        <w:gridCol w:w="5736"/>
        <w:gridCol w:w="994"/>
      </w:tblGrid>
      <w:tr w:rsidR="006856B8" w:rsidRPr="00052AE3" w:rsidTr="00150132">
        <w:trPr>
          <w:cantSplit/>
        </w:trPr>
        <w:tc>
          <w:tcPr>
            <w:tcW w:w="785" w:type="dxa"/>
            <w:shd w:val="clear" w:color="auto" w:fill="FFFFFF"/>
            <w:hideMark/>
          </w:tcPr>
          <w:p w:rsidR="006856B8" w:rsidRPr="00052AE3" w:rsidRDefault="006856B8" w:rsidP="008D00C8">
            <w:pPr>
              <w:pStyle w:val="Tabletext"/>
            </w:pPr>
            <w:r w:rsidRPr="00052AE3">
              <w:t>3</w:t>
            </w:r>
            <w:r w:rsidR="0003503F" w:rsidRPr="00052AE3">
              <w:t>156</w:t>
            </w:r>
            <w:r w:rsidR="008D00C8" w:rsidRPr="00052AE3">
              <w:t>9</w:t>
            </w:r>
          </w:p>
        </w:tc>
        <w:tc>
          <w:tcPr>
            <w:tcW w:w="5736" w:type="dxa"/>
            <w:shd w:val="clear" w:color="auto" w:fill="FFFFFF"/>
            <w:hideMark/>
          </w:tcPr>
          <w:p w:rsidR="006856B8" w:rsidRPr="00052AE3" w:rsidRDefault="006856B8" w:rsidP="001A78FA">
            <w:pPr>
              <w:pStyle w:val="Tabletext"/>
            </w:pPr>
            <w:r w:rsidRPr="00052AE3">
              <w:t xml:space="preserve">Adjustable gastric band, placement of, with or without </w:t>
            </w:r>
            <w:proofErr w:type="spellStart"/>
            <w:r w:rsidRPr="00052AE3">
              <w:t>crural</w:t>
            </w:r>
            <w:proofErr w:type="spellEnd"/>
            <w:r w:rsidRPr="00052AE3">
              <w:t xml:space="preserve"> repair taking 45 minutes or less, for a patient with clinically severe obesity (</w:t>
            </w:r>
            <w:proofErr w:type="spellStart"/>
            <w:r w:rsidRPr="00052AE3">
              <w:t>Anaes</w:t>
            </w:r>
            <w:proofErr w:type="spellEnd"/>
            <w:r w:rsidRPr="00052AE3">
              <w:t>.) (Assist.) (H)</w:t>
            </w:r>
          </w:p>
        </w:tc>
        <w:tc>
          <w:tcPr>
            <w:tcW w:w="994" w:type="dxa"/>
            <w:shd w:val="clear" w:color="auto" w:fill="FFFFFF"/>
            <w:hideMark/>
          </w:tcPr>
          <w:p w:rsidR="006856B8" w:rsidRPr="00052AE3" w:rsidRDefault="006856B8" w:rsidP="00150132">
            <w:pPr>
              <w:pStyle w:val="Tabletext"/>
              <w:jc w:val="right"/>
            </w:pPr>
            <w:r w:rsidRPr="00052AE3">
              <w:t>849.55</w:t>
            </w:r>
          </w:p>
        </w:tc>
      </w:tr>
      <w:tr w:rsidR="006856B8" w:rsidRPr="00052AE3" w:rsidTr="00150132">
        <w:trPr>
          <w:cantSplit/>
        </w:trPr>
        <w:tc>
          <w:tcPr>
            <w:tcW w:w="785" w:type="dxa"/>
            <w:shd w:val="clear" w:color="auto" w:fill="FFFFFF"/>
            <w:hideMark/>
          </w:tcPr>
          <w:p w:rsidR="006856B8" w:rsidRPr="00052AE3" w:rsidRDefault="006856B8" w:rsidP="008D00C8">
            <w:pPr>
              <w:pStyle w:val="Tabletext"/>
            </w:pPr>
            <w:r w:rsidRPr="00052AE3">
              <w:t>3</w:t>
            </w:r>
            <w:r w:rsidR="0003503F" w:rsidRPr="00052AE3">
              <w:t>15</w:t>
            </w:r>
            <w:r w:rsidR="008D00C8" w:rsidRPr="00052AE3">
              <w:t>72</w:t>
            </w:r>
          </w:p>
        </w:tc>
        <w:tc>
          <w:tcPr>
            <w:tcW w:w="5736" w:type="dxa"/>
            <w:shd w:val="clear" w:color="auto" w:fill="FFFFFF"/>
            <w:hideMark/>
          </w:tcPr>
          <w:p w:rsidR="006856B8" w:rsidRPr="00052AE3" w:rsidRDefault="006856B8" w:rsidP="001A78FA">
            <w:pPr>
              <w:pStyle w:val="Tabletext"/>
            </w:pPr>
            <w:r w:rsidRPr="00052AE3">
              <w:t>Gastric bypass by Roux</w:t>
            </w:r>
            <w:r w:rsidR="00052AE3">
              <w:noBreakHyphen/>
            </w:r>
            <w:r w:rsidRPr="00052AE3">
              <w:t>en</w:t>
            </w:r>
            <w:r w:rsidR="00052AE3">
              <w:noBreakHyphen/>
            </w:r>
            <w:r w:rsidRPr="00052AE3">
              <w:t>Y including associated anastomoses</w:t>
            </w:r>
            <w:r w:rsidR="00150132" w:rsidRPr="00052AE3">
              <w:t xml:space="preserve">, with or without </w:t>
            </w:r>
            <w:proofErr w:type="spellStart"/>
            <w:r w:rsidR="00150132" w:rsidRPr="00052AE3">
              <w:t>crural</w:t>
            </w:r>
            <w:proofErr w:type="spellEnd"/>
            <w:r w:rsidR="00150132" w:rsidRPr="00052AE3">
              <w:t xml:space="preserve"> repair</w:t>
            </w:r>
            <w:r w:rsidRPr="00052AE3">
              <w:t xml:space="preserve"> taking 45 minutes or less, for a patient with clinically severe obesity not being associated with a service to which item</w:t>
            </w:r>
            <w:r w:rsidR="00052AE3" w:rsidRPr="00052AE3">
              <w:t> </w:t>
            </w:r>
            <w:r w:rsidRPr="00052AE3">
              <w:t>30515 applies (</w:t>
            </w:r>
            <w:proofErr w:type="spellStart"/>
            <w:r w:rsidRPr="00052AE3">
              <w:t>Anaes</w:t>
            </w:r>
            <w:proofErr w:type="spellEnd"/>
            <w:r w:rsidRPr="00052AE3">
              <w:t>.) (Assist.) (H)</w:t>
            </w:r>
          </w:p>
        </w:tc>
        <w:tc>
          <w:tcPr>
            <w:tcW w:w="994" w:type="dxa"/>
            <w:shd w:val="clear" w:color="auto" w:fill="FFFFFF"/>
            <w:hideMark/>
          </w:tcPr>
          <w:p w:rsidR="006856B8" w:rsidRPr="00052AE3" w:rsidRDefault="006856B8" w:rsidP="00150132">
            <w:pPr>
              <w:pStyle w:val="Tabletext"/>
              <w:jc w:val="right"/>
            </w:pPr>
            <w:r w:rsidRPr="00052AE3">
              <w:t>1,045.40</w:t>
            </w:r>
          </w:p>
        </w:tc>
      </w:tr>
      <w:tr w:rsidR="006856B8" w:rsidRPr="00052AE3" w:rsidTr="00150132">
        <w:trPr>
          <w:cantSplit/>
        </w:trPr>
        <w:tc>
          <w:tcPr>
            <w:tcW w:w="785" w:type="dxa"/>
            <w:shd w:val="clear" w:color="auto" w:fill="FFFFFF"/>
            <w:hideMark/>
          </w:tcPr>
          <w:p w:rsidR="006856B8" w:rsidRPr="00052AE3" w:rsidRDefault="006856B8" w:rsidP="008D00C8">
            <w:pPr>
              <w:pStyle w:val="Tabletext"/>
            </w:pPr>
            <w:r w:rsidRPr="00052AE3">
              <w:t>3</w:t>
            </w:r>
            <w:r w:rsidR="0003503F" w:rsidRPr="00052AE3">
              <w:t>15</w:t>
            </w:r>
            <w:r w:rsidR="008D00C8" w:rsidRPr="00052AE3">
              <w:t>75</w:t>
            </w:r>
          </w:p>
        </w:tc>
        <w:tc>
          <w:tcPr>
            <w:tcW w:w="5736" w:type="dxa"/>
            <w:shd w:val="clear" w:color="auto" w:fill="FFFFFF"/>
            <w:hideMark/>
          </w:tcPr>
          <w:p w:rsidR="006856B8" w:rsidRPr="00052AE3" w:rsidRDefault="006856B8" w:rsidP="001A78FA">
            <w:pPr>
              <w:pStyle w:val="Tabletext"/>
            </w:pPr>
            <w:r w:rsidRPr="00052AE3">
              <w:t xml:space="preserve">Sleeve </w:t>
            </w:r>
            <w:proofErr w:type="spellStart"/>
            <w:r w:rsidRPr="00052AE3">
              <w:t>gastrectomy</w:t>
            </w:r>
            <w:proofErr w:type="spellEnd"/>
            <w:r w:rsidR="00150132" w:rsidRPr="00052AE3">
              <w:t xml:space="preserve">, with or without </w:t>
            </w:r>
            <w:proofErr w:type="spellStart"/>
            <w:r w:rsidR="00150132" w:rsidRPr="00052AE3">
              <w:t>crural</w:t>
            </w:r>
            <w:proofErr w:type="spellEnd"/>
            <w:r w:rsidR="00150132" w:rsidRPr="00052AE3">
              <w:t xml:space="preserve"> repair</w:t>
            </w:r>
            <w:r w:rsidRPr="00052AE3">
              <w:t xml:space="preserve"> taking 45 minutes or less, for a patient with clinically severe obesity (</w:t>
            </w:r>
            <w:proofErr w:type="spellStart"/>
            <w:r w:rsidRPr="00052AE3">
              <w:t>Anaes</w:t>
            </w:r>
            <w:proofErr w:type="spellEnd"/>
            <w:r w:rsidRPr="00052AE3">
              <w:t>.) (Assist.) (H)</w:t>
            </w:r>
          </w:p>
        </w:tc>
        <w:tc>
          <w:tcPr>
            <w:tcW w:w="994" w:type="dxa"/>
            <w:shd w:val="clear" w:color="auto" w:fill="FFFFFF"/>
            <w:hideMark/>
          </w:tcPr>
          <w:p w:rsidR="006856B8" w:rsidRPr="00052AE3" w:rsidRDefault="006856B8" w:rsidP="00150132">
            <w:pPr>
              <w:pStyle w:val="Tabletext"/>
              <w:jc w:val="right"/>
            </w:pPr>
            <w:r w:rsidRPr="00052AE3">
              <w:t>849.55</w:t>
            </w:r>
          </w:p>
        </w:tc>
      </w:tr>
      <w:tr w:rsidR="006856B8" w:rsidRPr="00052AE3" w:rsidTr="00150132">
        <w:trPr>
          <w:cantSplit/>
        </w:trPr>
        <w:tc>
          <w:tcPr>
            <w:tcW w:w="785" w:type="dxa"/>
            <w:shd w:val="clear" w:color="auto" w:fill="FFFFFF"/>
            <w:hideMark/>
          </w:tcPr>
          <w:p w:rsidR="006856B8" w:rsidRPr="00052AE3" w:rsidRDefault="006856B8" w:rsidP="008D00C8">
            <w:pPr>
              <w:pStyle w:val="Tabletext"/>
            </w:pPr>
            <w:r w:rsidRPr="00052AE3">
              <w:t>3</w:t>
            </w:r>
            <w:r w:rsidR="0003503F" w:rsidRPr="00052AE3">
              <w:t>157</w:t>
            </w:r>
            <w:r w:rsidR="008D00C8" w:rsidRPr="00052AE3">
              <w:t>8</w:t>
            </w:r>
          </w:p>
        </w:tc>
        <w:tc>
          <w:tcPr>
            <w:tcW w:w="5736" w:type="dxa"/>
            <w:shd w:val="clear" w:color="auto" w:fill="FFFFFF"/>
            <w:hideMark/>
          </w:tcPr>
          <w:p w:rsidR="006856B8" w:rsidRPr="00052AE3" w:rsidRDefault="006856B8" w:rsidP="001A78FA">
            <w:pPr>
              <w:pStyle w:val="Tabletext"/>
            </w:pPr>
            <w:proofErr w:type="spellStart"/>
            <w:r w:rsidRPr="00052AE3">
              <w:t>Gastroplasty</w:t>
            </w:r>
            <w:proofErr w:type="spellEnd"/>
            <w:r w:rsidRPr="00052AE3">
              <w:t xml:space="preserve"> (excluding by gastric plication)</w:t>
            </w:r>
            <w:r w:rsidR="00150132" w:rsidRPr="00052AE3">
              <w:t xml:space="preserve">, with or without </w:t>
            </w:r>
            <w:proofErr w:type="spellStart"/>
            <w:r w:rsidR="00150132" w:rsidRPr="00052AE3">
              <w:t>crural</w:t>
            </w:r>
            <w:proofErr w:type="spellEnd"/>
            <w:r w:rsidR="00150132" w:rsidRPr="00052AE3">
              <w:t xml:space="preserve"> repair</w:t>
            </w:r>
            <w:r w:rsidRPr="00052AE3">
              <w:t xml:space="preserve"> taking 45 minutes or less, for a patient with clinically severe obesity (</w:t>
            </w:r>
            <w:proofErr w:type="spellStart"/>
            <w:r w:rsidRPr="00052AE3">
              <w:t>Anaes</w:t>
            </w:r>
            <w:proofErr w:type="spellEnd"/>
            <w:r w:rsidRPr="00052AE3">
              <w:t>.) (Assist.) (H)</w:t>
            </w:r>
          </w:p>
        </w:tc>
        <w:tc>
          <w:tcPr>
            <w:tcW w:w="994" w:type="dxa"/>
            <w:shd w:val="clear" w:color="auto" w:fill="FFFFFF"/>
            <w:hideMark/>
          </w:tcPr>
          <w:p w:rsidR="006856B8" w:rsidRPr="00052AE3" w:rsidRDefault="006856B8" w:rsidP="00150132">
            <w:pPr>
              <w:pStyle w:val="Tabletext"/>
              <w:jc w:val="right"/>
            </w:pPr>
            <w:r w:rsidRPr="00052AE3">
              <w:t>849.55</w:t>
            </w:r>
          </w:p>
        </w:tc>
      </w:tr>
      <w:tr w:rsidR="006856B8" w:rsidRPr="00052AE3" w:rsidTr="00150132">
        <w:trPr>
          <w:cantSplit/>
        </w:trPr>
        <w:tc>
          <w:tcPr>
            <w:tcW w:w="785" w:type="dxa"/>
            <w:shd w:val="clear" w:color="auto" w:fill="FFFFFF"/>
            <w:hideMark/>
          </w:tcPr>
          <w:p w:rsidR="006856B8" w:rsidRPr="00052AE3" w:rsidRDefault="006856B8" w:rsidP="008D00C8">
            <w:pPr>
              <w:pStyle w:val="Tabletext"/>
            </w:pPr>
            <w:r w:rsidRPr="00052AE3">
              <w:t>3</w:t>
            </w:r>
            <w:r w:rsidR="0003503F" w:rsidRPr="00052AE3">
              <w:t>15</w:t>
            </w:r>
            <w:r w:rsidR="008D00C8" w:rsidRPr="00052AE3">
              <w:t>8</w:t>
            </w:r>
            <w:r w:rsidR="0003503F" w:rsidRPr="00052AE3">
              <w:t>1</w:t>
            </w:r>
          </w:p>
        </w:tc>
        <w:tc>
          <w:tcPr>
            <w:tcW w:w="5736" w:type="dxa"/>
            <w:shd w:val="clear" w:color="auto" w:fill="FFFFFF"/>
            <w:hideMark/>
          </w:tcPr>
          <w:p w:rsidR="006856B8" w:rsidRPr="00052AE3" w:rsidRDefault="006856B8" w:rsidP="00150132">
            <w:pPr>
              <w:pStyle w:val="Tabletext"/>
            </w:pPr>
            <w:r w:rsidRPr="00052AE3">
              <w:t xml:space="preserve">Gastric bypass by </w:t>
            </w:r>
            <w:proofErr w:type="spellStart"/>
            <w:r w:rsidRPr="00052AE3">
              <w:t>biliopancreatic</w:t>
            </w:r>
            <w:proofErr w:type="spellEnd"/>
            <w:r w:rsidRPr="00052AE3">
              <w:t xml:space="preserve"> diversion with or without duodenal switch including gastric restriction and anastomoses, with or without </w:t>
            </w:r>
            <w:proofErr w:type="spellStart"/>
            <w:r w:rsidRPr="00052AE3">
              <w:t>crural</w:t>
            </w:r>
            <w:proofErr w:type="spellEnd"/>
            <w:r w:rsidRPr="00052AE3">
              <w:t xml:space="preserve"> repair</w:t>
            </w:r>
            <w:r w:rsidR="00150132" w:rsidRPr="00052AE3">
              <w:t xml:space="preserve"> </w:t>
            </w:r>
            <w:r w:rsidRPr="00052AE3">
              <w:t>taking 45 minutes or less, for a patient with clinically severe obesity (</w:t>
            </w:r>
            <w:proofErr w:type="spellStart"/>
            <w:r w:rsidRPr="00052AE3">
              <w:t>Anaes</w:t>
            </w:r>
            <w:proofErr w:type="spellEnd"/>
            <w:r w:rsidRPr="00052AE3">
              <w:t>.) (Assist.) (H)</w:t>
            </w:r>
          </w:p>
        </w:tc>
        <w:tc>
          <w:tcPr>
            <w:tcW w:w="994" w:type="dxa"/>
            <w:shd w:val="clear" w:color="auto" w:fill="FFFFFF"/>
            <w:hideMark/>
          </w:tcPr>
          <w:p w:rsidR="006856B8" w:rsidRPr="00052AE3" w:rsidRDefault="006856B8" w:rsidP="00150132">
            <w:pPr>
              <w:pStyle w:val="Tabletext"/>
              <w:jc w:val="right"/>
            </w:pPr>
            <w:r w:rsidRPr="00052AE3">
              <w:t>1,045.40</w:t>
            </w:r>
          </w:p>
        </w:tc>
      </w:tr>
      <w:tr w:rsidR="006856B8" w:rsidRPr="00052AE3" w:rsidTr="00150132">
        <w:trPr>
          <w:cantSplit/>
        </w:trPr>
        <w:tc>
          <w:tcPr>
            <w:tcW w:w="785" w:type="dxa"/>
            <w:shd w:val="clear" w:color="auto" w:fill="FFFFFF"/>
            <w:hideMark/>
          </w:tcPr>
          <w:p w:rsidR="006856B8" w:rsidRPr="00052AE3" w:rsidRDefault="006856B8" w:rsidP="008D00C8">
            <w:pPr>
              <w:pStyle w:val="Tabletext"/>
            </w:pPr>
            <w:r w:rsidRPr="00052AE3">
              <w:t>3</w:t>
            </w:r>
            <w:r w:rsidR="0003503F" w:rsidRPr="00052AE3">
              <w:t>15</w:t>
            </w:r>
            <w:r w:rsidR="008D00C8" w:rsidRPr="00052AE3">
              <w:t>84</w:t>
            </w:r>
          </w:p>
        </w:tc>
        <w:tc>
          <w:tcPr>
            <w:tcW w:w="5736" w:type="dxa"/>
            <w:shd w:val="clear" w:color="auto" w:fill="FFFFFF"/>
            <w:hideMark/>
          </w:tcPr>
          <w:p w:rsidR="006856B8" w:rsidRPr="00052AE3" w:rsidRDefault="006856B8" w:rsidP="007A0A98">
            <w:pPr>
              <w:pStyle w:val="Tabletext"/>
            </w:pPr>
            <w:r w:rsidRPr="00052AE3">
              <w:t xml:space="preserve">Surgical reversal of adjustable gastric banding (removal or replacement of gastric band), gastric bypass, </w:t>
            </w:r>
            <w:proofErr w:type="spellStart"/>
            <w:r w:rsidRPr="00052AE3">
              <w:t>gastroplasty</w:t>
            </w:r>
            <w:proofErr w:type="spellEnd"/>
            <w:r w:rsidRPr="00052AE3">
              <w:t xml:space="preserve"> (excluding by gastric plication) or </w:t>
            </w:r>
            <w:proofErr w:type="spellStart"/>
            <w:r w:rsidRPr="00052AE3">
              <w:t>biliopancreatic</w:t>
            </w:r>
            <w:proofErr w:type="spellEnd"/>
            <w:r w:rsidRPr="00052AE3">
              <w:t xml:space="preserve"> diversion being services to which items</w:t>
            </w:r>
            <w:r w:rsidR="00052AE3" w:rsidRPr="00052AE3">
              <w:t> </w:t>
            </w:r>
            <w:r w:rsidRPr="00052AE3">
              <w:t>3</w:t>
            </w:r>
            <w:r w:rsidR="007A0A98" w:rsidRPr="00052AE3">
              <w:t>1569 to 31581</w:t>
            </w:r>
            <w:r w:rsidRPr="00052AE3">
              <w:t xml:space="preserve"> apply (</w:t>
            </w:r>
            <w:proofErr w:type="spellStart"/>
            <w:r w:rsidRPr="00052AE3">
              <w:t>Anaes</w:t>
            </w:r>
            <w:proofErr w:type="spellEnd"/>
            <w:r w:rsidRPr="00052AE3">
              <w:t>.) (Assist</w:t>
            </w:r>
            <w:r w:rsidR="00962835" w:rsidRPr="00052AE3">
              <w:t>.</w:t>
            </w:r>
            <w:r w:rsidRPr="00052AE3">
              <w:t>) (H)</w:t>
            </w:r>
          </w:p>
        </w:tc>
        <w:tc>
          <w:tcPr>
            <w:tcW w:w="994" w:type="dxa"/>
            <w:shd w:val="clear" w:color="auto" w:fill="FFFFFF"/>
            <w:hideMark/>
          </w:tcPr>
          <w:p w:rsidR="006856B8" w:rsidRPr="00052AE3" w:rsidRDefault="006856B8" w:rsidP="00150132">
            <w:pPr>
              <w:pStyle w:val="Tabletext"/>
              <w:jc w:val="right"/>
            </w:pPr>
            <w:r w:rsidRPr="00052AE3">
              <w:t>1,539.10</w:t>
            </w:r>
          </w:p>
        </w:tc>
      </w:tr>
      <w:tr w:rsidR="006856B8" w:rsidRPr="00052AE3" w:rsidTr="00150132">
        <w:trPr>
          <w:cantSplit/>
        </w:trPr>
        <w:tc>
          <w:tcPr>
            <w:tcW w:w="785" w:type="dxa"/>
            <w:shd w:val="clear" w:color="auto" w:fill="FFFFFF"/>
            <w:hideMark/>
          </w:tcPr>
          <w:p w:rsidR="006856B8" w:rsidRPr="00052AE3" w:rsidRDefault="006856B8" w:rsidP="008D00C8">
            <w:pPr>
              <w:pStyle w:val="Tabletext"/>
            </w:pPr>
            <w:r w:rsidRPr="00052AE3">
              <w:t>3</w:t>
            </w:r>
            <w:r w:rsidR="0003503F" w:rsidRPr="00052AE3">
              <w:t>15</w:t>
            </w:r>
            <w:r w:rsidR="008D00C8" w:rsidRPr="00052AE3">
              <w:t>87</w:t>
            </w:r>
          </w:p>
        </w:tc>
        <w:tc>
          <w:tcPr>
            <w:tcW w:w="5736" w:type="dxa"/>
            <w:shd w:val="clear" w:color="auto" w:fill="FFFFFF"/>
            <w:hideMark/>
          </w:tcPr>
          <w:p w:rsidR="006856B8" w:rsidRPr="00052AE3" w:rsidRDefault="006856B8" w:rsidP="001A78FA">
            <w:pPr>
              <w:pStyle w:val="Tabletext"/>
            </w:pPr>
            <w:r w:rsidRPr="00052AE3">
              <w:t>Adjustment of gastric band as an independent procedure including any associated consultation</w:t>
            </w:r>
          </w:p>
        </w:tc>
        <w:tc>
          <w:tcPr>
            <w:tcW w:w="994" w:type="dxa"/>
            <w:shd w:val="clear" w:color="auto" w:fill="FFFFFF"/>
            <w:hideMark/>
          </w:tcPr>
          <w:p w:rsidR="006856B8" w:rsidRPr="00052AE3" w:rsidRDefault="006856B8" w:rsidP="00150132">
            <w:pPr>
              <w:pStyle w:val="Tabletext"/>
              <w:jc w:val="right"/>
            </w:pPr>
            <w:r w:rsidRPr="00052AE3">
              <w:t>97.95</w:t>
            </w:r>
          </w:p>
        </w:tc>
      </w:tr>
      <w:tr w:rsidR="006856B8" w:rsidRPr="00052AE3" w:rsidTr="00150132">
        <w:trPr>
          <w:cantSplit/>
        </w:trPr>
        <w:tc>
          <w:tcPr>
            <w:tcW w:w="785" w:type="dxa"/>
            <w:shd w:val="clear" w:color="auto" w:fill="FFFFFF"/>
            <w:hideMark/>
          </w:tcPr>
          <w:p w:rsidR="006856B8" w:rsidRPr="00052AE3" w:rsidRDefault="006856B8" w:rsidP="008D00C8">
            <w:pPr>
              <w:pStyle w:val="Tabletext"/>
            </w:pPr>
            <w:r w:rsidRPr="00052AE3">
              <w:t>3</w:t>
            </w:r>
            <w:r w:rsidR="0003503F" w:rsidRPr="00052AE3">
              <w:t>15</w:t>
            </w:r>
            <w:r w:rsidR="008D00C8" w:rsidRPr="00052AE3">
              <w:t>90</w:t>
            </w:r>
          </w:p>
        </w:tc>
        <w:tc>
          <w:tcPr>
            <w:tcW w:w="5736" w:type="dxa"/>
            <w:shd w:val="clear" w:color="auto" w:fill="FFFFFF"/>
            <w:hideMark/>
          </w:tcPr>
          <w:p w:rsidR="006856B8" w:rsidRPr="00052AE3" w:rsidRDefault="006856B8" w:rsidP="001A78FA">
            <w:pPr>
              <w:pStyle w:val="Tabletext"/>
            </w:pPr>
            <w:r w:rsidRPr="00052AE3">
              <w:t>Adjustment of gastric band reservoir, repair, revision or replacement of (</w:t>
            </w:r>
            <w:proofErr w:type="spellStart"/>
            <w:r w:rsidRPr="00052AE3">
              <w:t>Anaes</w:t>
            </w:r>
            <w:proofErr w:type="spellEnd"/>
            <w:r w:rsidRPr="00052AE3">
              <w:t>.) (Assist.)</w:t>
            </w:r>
          </w:p>
        </w:tc>
        <w:tc>
          <w:tcPr>
            <w:tcW w:w="994" w:type="dxa"/>
            <w:shd w:val="clear" w:color="auto" w:fill="FFFFFF"/>
            <w:hideMark/>
          </w:tcPr>
          <w:p w:rsidR="006856B8" w:rsidRPr="00052AE3" w:rsidRDefault="006856B8" w:rsidP="00150132">
            <w:pPr>
              <w:pStyle w:val="Tabletext"/>
              <w:jc w:val="right"/>
            </w:pPr>
            <w:r w:rsidRPr="00052AE3">
              <w:t>251.70</w:t>
            </w:r>
          </w:p>
        </w:tc>
      </w:tr>
    </w:tbl>
    <w:p w:rsidR="00AD0B4A" w:rsidRPr="00052AE3" w:rsidRDefault="0003503F" w:rsidP="006856B8">
      <w:pPr>
        <w:pStyle w:val="ItemHead"/>
      </w:pPr>
      <w:r w:rsidRPr="00052AE3">
        <w:t>13</w:t>
      </w:r>
      <w:r w:rsidR="00AD0B4A" w:rsidRPr="00052AE3">
        <w:t xml:space="preserve">  Items</w:t>
      </w:r>
      <w:r w:rsidR="00052AE3" w:rsidRPr="00052AE3">
        <w:t> </w:t>
      </w:r>
      <w:r w:rsidR="00AD0B4A" w:rsidRPr="00052AE3">
        <w:t>37605 and 37606 of Schedule</w:t>
      </w:r>
      <w:r w:rsidR="00052AE3" w:rsidRPr="00052AE3">
        <w:t> </w:t>
      </w:r>
      <w:r w:rsidR="00AD0B4A" w:rsidRPr="00052AE3">
        <w:t>1</w:t>
      </w:r>
    </w:p>
    <w:p w:rsidR="00AD0B4A" w:rsidRPr="00052AE3" w:rsidRDefault="00AD0B4A" w:rsidP="00AD0B4A">
      <w:pPr>
        <w:pStyle w:val="Item"/>
      </w:pPr>
      <w:r w:rsidRPr="00052AE3">
        <w:t>Omit “in a man with”, substitute “for”.</w:t>
      </w:r>
    </w:p>
    <w:sectPr w:rsidR="00AD0B4A" w:rsidRPr="00052AE3" w:rsidSect="00087ED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871" w:right="2410" w:bottom="4253" w:left="2410" w:header="720" w:footer="34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7DE" w:rsidRDefault="007427DE" w:rsidP="0048364F">
      <w:pPr>
        <w:spacing w:line="240" w:lineRule="auto"/>
      </w:pPr>
      <w:r>
        <w:separator/>
      </w:r>
    </w:p>
  </w:endnote>
  <w:endnote w:type="continuationSeparator" w:id="0">
    <w:p w:rsidR="007427DE" w:rsidRDefault="007427D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EDB" w:rsidRPr="00087EDB" w:rsidRDefault="00087EDB" w:rsidP="00087EDB">
    <w:pPr>
      <w:pStyle w:val="Footer"/>
      <w:rPr>
        <w:sz w:val="18"/>
      </w:rPr>
    </w:pPr>
    <w:r>
      <w:rPr>
        <w:sz w:val="18"/>
      </w:rPr>
      <w:t>OPC50398</w:t>
    </w:r>
    <w:r w:rsidRPr="00087EDB">
      <w:rPr>
        <w:sz w:val="18"/>
      </w:rPr>
      <w:t xml:space="preserve">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03"/>
    </w:tblGrid>
    <w:tr w:rsidR="006D3667" w:rsidTr="007946FE">
      <w:tc>
        <w:tcPr>
          <w:tcW w:w="7303" w:type="dxa"/>
        </w:tcPr>
        <w:p w:rsidR="006D3667" w:rsidRDefault="006D3667" w:rsidP="00AF596F">
          <w:pPr>
            <w:rPr>
              <w:sz w:val="18"/>
            </w:rPr>
          </w:pPr>
        </w:p>
      </w:tc>
    </w:tr>
  </w:tbl>
  <w:p w:rsidR="0048364F" w:rsidRPr="006D3667" w:rsidRDefault="00087EDB" w:rsidP="00087EDB">
    <w:pPr>
      <w:pStyle w:val="Footer"/>
    </w:pPr>
    <w:r>
      <w:t>OPC50398</w:t>
    </w:r>
    <w:r w:rsidRPr="00087EDB">
      <w:rPr>
        <w:sz w:val="18"/>
      </w:rPr>
      <w:t xml:space="preserve">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EDB" w:rsidRPr="00087EDB" w:rsidRDefault="00087EDB" w:rsidP="00087EDB">
    <w:pPr>
      <w:pStyle w:val="Footer"/>
      <w:rPr>
        <w:sz w:val="18"/>
      </w:rPr>
    </w:pPr>
    <w:r>
      <w:rPr>
        <w:sz w:val="18"/>
      </w:rPr>
      <w:t>OPC50398</w:t>
    </w:r>
    <w:r w:rsidRPr="00087EDB">
      <w:rPr>
        <w:sz w:val="18"/>
      </w:rPr>
      <w:t xml:space="preserve">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087EDB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087EDB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087EDB" w:rsidRDefault="006D3667" w:rsidP="00E33C1C">
          <w:pPr>
            <w:spacing w:line="0" w:lineRule="atLeast"/>
            <w:rPr>
              <w:rFonts w:cs="Times New Roman"/>
              <w:sz w:val="18"/>
            </w:rPr>
          </w:pPr>
          <w:r w:rsidRPr="00087EDB">
            <w:rPr>
              <w:rFonts w:cs="Times New Roman"/>
              <w:i/>
              <w:sz w:val="18"/>
            </w:rPr>
            <w:fldChar w:fldCharType="begin"/>
          </w:r>
          <w:r w:rsidRPr="00087EDB">
            <w:rPr>
              <w:rFonts w:cs="Times New Roman"/>
              <w:i/>
              <w:sz w:val="18"/>
            </w:rPr>
            <w:instrText xml:space="preserve"> PAGE </w:instrText>
          </w:r>
          <w:r w:rsidRPr="00087EDB">
            <w:rPr>
              <w:rFonts w:cs="Times New Roman"/>
              <w:i/>
              <w:sz w:val="18"/>
            </w:rPr>
            <w:fldChar w:fldCharType="separate"/>
          </w:r>
          <w:r w:rsidR="001708AA">
            <w:rPr>
              <w:rFonts w:cs="Times New Roman"/>
              <w:i/>
              <w:noProof/>
              <w:sz w:val="18"/>
            </w:rPr>
            <w:t>ii</w:t>
          </w:r>
          <w:r w:rsidRPr="00087ED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087EDB" w:rsidRDefault="00A2057D" w:rsidP="00E33C1C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087EDB">
            <w:rPr>
              <w:rFonts w:cs="Times New Roman"/>
              <w:i/>
              <w:sz w:val="18"/>
            </w:rPr>
            <w:fldChar w:fldCharType="begin"/>
          </w:r>
          <w:r w:rsidRPr="00087EDB">
            <w:rPr>
              <w:rFonts w:cs="Times New Roman"/>
              <w:i/>
              <w:sz w:val="18"/>
            </w:rPr>
            <w:instrText xml:space="preserve"> DOCPROPERTY ShortT </w:instrText>
          </w:r>
          <w:r w:rsidRPr="00087EDB">
            <w:rPr>
              <w:rFonts w:cs="Times New Roman"/>
              <w:i/>
              <w:sz w:val="18"/>
            </w:rPr>
            <w:fldChar w:fldCharType="separate"/>
          </w:r>
          <w:r w:rsidR="008F1F3A">
            <w:rPr>
              <w:rFonts w:cs="Times New Roman"/>
              <w:i/>
              <w:sz w:val="18"/>
            </w:rPr>
            <w:t>Health Insurance (General Medical Services Table) Amendment (Bariatric and Other Measures) Regulation 2013</w:t>
          </w:r>
          <w:r w:rsidRPr="00087ED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087EDB" w:rsidRDefault="00A2057D" w:rsidP="00E33C1C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087EDB">
            <w:rPr>
              <w:rFonts w:cs="Times New Roman"/>
              <w:i/>
              <w:sz w:val="18"/>
            </w:rPr>
            <w:fldChar w:fldCharType="begin"/>
          </w:r>
          <w:r w:rsidRPr="00087EDB">
            <w:rPr>
              <w:rFonts w:cs="Times New Roman"/>
              <w:i/>
              <w:sz w:val="18"/>
            </w:rPr>
            <w:instrText xml:space="preserve"> DOCPROPERTY ActNo </w:instrText>
          </w:r>
          <w:r w:rsidRPr="00087EDB">
            <w:rPr>
              <w:rFonts w:cs="Times New Roman"/>
              <w:i/>
              <w:sz w:val="18"/>
            </w:rPr>
            <w:fldChar w:fldCharType="separate"/>
          </w:r>
          <w:r w:rsidR="008F1F3A">
            <w:rPr>
              <w:rFonts w:cs="Times New Roman"/>
              <w:i/>
              <w:sz w:val="18"/>
            </w:rPr>
            <w:t>No. 144, 2013</w:t>
          </w:r>
          <w:r w:rsidRPr="00087EDB">
            <w:rPr>
              <w:rFonts w:cs="Times New Roman"/>
              <w:i/>
              <w:sz w:val="18"/>
            </w:rPr>
            <w:fldChar w:fldCharType="end"/>
          </w:r>
        </w:p>
      </w:tc>
    </w:tr>
    <w:tr w:rsidR="006D3667" w:rsidRPr="00087EDB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6D3667" w:rsidRPr="00087EDB" w:rsidRDefault="006D3667" w:rsidP="00AF596F">
          <w:pPr>
            <w:rPr>
              <w:rFonts w:cs="Times New Roman"/>
              <w:sz w:val="18"/>
            </w:rPr>
          </w:pPr>
        </w:p>
      </w:tc>
    </w:tr>
  </w:tbl>
  <w:p w:rsidR="006D3667" w:rsidRPr="00087EDB" w:rsidRDefault="00087EDB" w:rsidP="00087EDB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OPC50398</w:t>
    </w:r>
    <w:r w:rsidRPr="00087EDB">
      <w:rPr>
        <w:rFonts w:cs="Times New Roman"/>
        <w:i/>
        <w:sz w:val="18"/>
      </w:rPr>
      <w:t xml:space="preserve">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D63068" w:rsidP="00E33C1C">
          <w:pPr>
            <w:spacing w:line="0" w:lineRule="atLeast"/>
            <w:rPr>
              <w:sz w:val="18"/>
            </w:rPr>
          </w:pPr>
          <w:r>
            <w:rPr>
              <w:i/>
              <w:sz w:val="18"/>
            </w:rPr>
            <w:t>No. 143</w:t>
          </w:r>
          <w:r w:rsidR="008F1F3A">
            <w:rPr>
              <w:i/>
              <w:sz w:val="18"/>
            </w:rPr>
            <w:t>, 2013</w:t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F1F3A">
            <w:rPr>
              <w:i/>
              <w:sz w:val="18"/>
            </w:rPr>
            <w:t>Health Insurance (General Medical Services Table) Amendment (Bariatric and Other Measures)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6306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D3667" w:rsidTr="007946F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6D3667" w:rsidRDefault="006D3667" w:rsidP="00AF596F">
          <w:pPr>
            <w:jc w:val="right"/>
            <w:rPr>
              <w:sz w:val="18"/>
            </w:rPr>
          </w:pPr>
        </w:p>
      </w:tc>
    </w:tr>
  </w:tbl>
  <w:p w:rsidR="006D3667" w:rsidRPr="00ED79B6" w:rsidRDefault="00087EDB" w:rsidP="00087EDB">
    <w:pPr>
      <w:rPr>
        <w:i/>
        <w:sz w:val="18"/>
      </w:rPr>
    </w:pPr>
    <w:r>
      <w:rPr>
        <w:i/>
        <w:sz w:val="18"/>
      </w:rPr>
      <w:t>OPC50398</w:t>
    </w:r>
    <w:r w:rsidRPr="00087EDB">
      <w:rPr>
        <w:rFonts w:cs="Times New Roman"/>
        <w:i/>
        <w:sz w:val="18"/>
      </w:rPr>
      <w:t xml:space="preserve">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087EDB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087EDB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087EDB" w:rsidRDefault="00304E75" w:rsidP="00E33C1C">
          <w:pPr>
            <w:spacing w:line="0" w:lineRule="atLeast"/>
            <w:rPr>
              <w:rFonts w:cs="Times New Roman"/>
              <w:sz w:val="18"/>
            </w:rPr>
          </w:pPr>
          <w:r w:rsidRPr="00087EDB">
            <w:rPr>
              <w:rFonts w:cs="Times New Roman"/>
              <w:i/>
              <w:sz w:val="18"/>
            </w:rPr>
            <w:fldChar w:fldCharType="begin"/>
          </w:r>
          <w:r w:rsidRPr="00087EDB">
            <w:rPr>
              <w:rFonts w:cs="Times New Roman"/>
              <w:i/>
              <w:sz w:val="18"/>
            </w:rPr>
            <w:instrText xml:space="preserve"> PAGE </w:instrText>
          </w:r>
          <w:r w:rsidRPr="00087EDB">
            <w:rPr>
              <w:rFonts w:cs="Times New Roman"/>
              <w:i/>
              <w:sz w:val="18"/>
            </w:rPr>
            <w:fldChar w:fldCharType="separate"/>
          </w:r>
          <w:r w:rsidR="00D63068">
            <w:rPr>
              <w:rFonts w:cs="Times New Roman"/>
              <w:i/>
              <w:noProof/>
              <w:sz w:val="18"/>
            </w:rPr>
            <w:t>2</w:t>
          </w:r>
          <w:r w:rsidRPr="00087ED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087EDB" w:rsidRDefault="00304E75" w:rsidP="00E33C1C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087EDB">
            <w:rPr>
              <w:rFonts w:cs="Times New Roman"/>
              <w:i/>
              <w:sz w:val="18"/>
            </w:rPr>
            <w:fldChar w:fldCharType="begin"/>
          </w:r>
          <w:r w:rsidRPr="00087EDB">
            <w:rPr>
              <w:rFonts w:cs="Times New Roman"/>
              <w:i/>
              <w:sz w:val="18"/>
            </w:rPr>
            <w:instrText xml:space="preserve"> DOCPROPERTY ShortT </w:instrText>
          </w:r>
          <w:r w:rsidRPr="00087EDB">
            <w:rPr>
              <w:rFonts w:cs="Times New Roman"/>
              <w:i/>
              <w:sz w:val="18"/>
            </w:rPr>
            <w:fldChar w:fldCharType="separate"/>
          </w:r>
          <w:r w:rsidR="008F1F3A">
            <w:rPr>
              <w:rFonts w:cs="Times New Roman"/>
              <w:i/>
              <w:sz w:val="18"/>
            </w:rPr>
            <w:t>Health Insurance (General Medical Services Table) Amendment (Bariatric and Other Measures) Regulation 2013</w:t>
          </w:r>
          <w:r w:rsidRPr="00087ED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087EDB" w:rsidRDefault="00D63068" w:rsidP="00E33C1C">
          <w:pPr>
            <w:spacing w:line="0" w:lineRule="atLeast"/>
            <w:jc w:val="right"/>
            <w:rPr>
              <w:rFonts w:cs="Times New Roman"/>
              <w:sz w:val="18"/>
            </w:rPr>
          </w:pPr>
          <w:r>
            <w:rPr>
              <w:rFonts w:cs="Times New Roman"/>
              <w:i/>
              <w:sz w:val="18"/>
            </w:rPr>
            <w:t>No. 143</w:t>
          </w:r>
          <w:r w:rsidR="008F1F3A">
            <w:rPr>
              <w:rFonts w:cs="Times New Roman"/>
              <w:i/>
              <w:sz w:val="18"/>
            </w:rPr>
            <w:t>, 2013</w:t>
          </w:r>
        </w:p>
      </w:tc>
    </w:tr>
    <w:tr w:rsidR="00304E75" w:rsidRPr="00087EDB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304E75" w:rsidRPr="00087EDB" w:rsidRDefault="00304E75" w:rsidP="00AF596F">
          <w:pPr>
            <w:jc w:val="right"/>
            <w:rPr>
              <w:rFonts w:cs="Times New Roman"/>
              <w:sz w:val="18"/>
            </w:rPr>
          </w:pPr>
        </w:p>
      </w:tc>
    </w:tr>
  </w:tbl>
  <w:p w:rsidR="00304E75" w:rsidRPr="00087EDB" w:rsidRDefault="00087EDB" w:rsidP="00087EDB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OPC50398</w:t>
    </w:r>
    <w:r w:rsidRPr="00087EDB">
      <w:rPr>
        <w:rFonts w:cs="Times New Roman"/>
        <w:i/>
        <w:sz w:val="18"/>
      </w:rPr>
      <w:t xml:space="preserve">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D63068" w:rsidP="00E33C1C">
          <w:pPr>
            <w:spacing w:line="0" w:lineRule="atLeast"/>
            <w:rPr>
              <w:sz w:val="18"/>
            </w:rPr>
          </w:pPr>
          <w:r>
            <w:rPr>
              <w:i/>
              <w:sz w:val="18"/>
            </w:rPr>
            <w:t>No. 143</w:t>
          </w:r>
          <w:r w:rsidR="008F1F3A">
            <w:rPr>
              <w:i/>
              <w:sz w:val="18"/>
            </w:rPr>
            <w:t>, 2013</w:t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F1F3A">
            <w:rPr>
              <w:i/>
              <w:sz w:val="18"/>
            </w:rPr>
            <w:t>Health Insurance (General Medical Services Table) Amendment (Bariatric and Other Measures)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6306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63BDE" w:rsidTr="007946F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B63BDE" w:rsidRDefault="00B63BDE" w:rsidP="00AF596F">
          <w:pPr>
            <w:rPr>
              <w:sz w:val="18"/>
            </w:rPr>
          </w:pPr>
        </w:p>
      </w:tc>
    </w:tr>
  </w:tbl>
  <w:p w:rsidR="00B63BDE" w:rsidRPr="00ED79B6" w:rsidRDefault="00087EDB" w:rsidP="00087EDB">
    <w:pPr>
      <w:rPr>
        <w:i/>
        <w:sz w:val="18"/>
      </w:rPr>
    </w:pPr>
    <w:r>
      <w:rPr>
        <w:i/>
        <w:sz w:val="18"/>
      </w:rPr>
      <w:t>OPC50398</w:t>
    </w:r>
    <w:r w:rsidRPr="00087EDB">
      <w:rPr>
        <w:rFonts w:cs="Times New Roman"/>
        <w:i/>
        <w:sz w:val="18"/>
      </w:rPr>
      <w:t xml:space="preserve">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8F1F3A">
            <w:rPr>
              <w:i/>
              <w:sz w:val="18"/>
            </w:rPr>
            <w:t>No. 144,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F1F3A">
            <w:rPr>
              <w:i/>
              <w:sz w:val="18"/>
            </w:rPr>
            <w:t>Health Insurance (General Medical Services Table) Amendment (Bariatric and Other Measures)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708A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63BDE" w:rsidTr="00533C5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B63BDE" w:rsidRDefault="00B63BDE" w:rsidP="00AF596F">
          <w:pPr>
            <w:rPr>
              <w:sz w:val="18"/>
            </w:rPr>
          </w:pP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7DE" w:rsidRDefault="007427DE" w:rsidP="0048364F">
      <w:pPr>
        <w:spacing w:line="240" w:lineRule="auto"/>
      </w:pPr>
      <w:r>
        <w:separator/>
      </w:r>
    </w:p>
  </w:footnote>
  <w:footnote w:type="continuationSeparator" w:id="0">
    <w:p w:rsidR="007427DE" w:rsidRDefault="007427D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722023">
    <w:pPr>
      <w:pBdr>
        <w:bottom w:val="single" w:sz="12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AB3315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6306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63068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B63BDE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E443FC">
    <w:pPr>
      <w:pBdr>
        <w:bottom w:val="single" w:sz="6" w:space="1" w:color="auto"/>
      </w:pBdr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5ED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F42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A47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BE8A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E420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30D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BEC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A49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D2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B0E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7DE"/>
    <w:rsid w:val="00001613"/>
    <w:rsid w:val="000041C6"/>
    <w:rsid w:val="000113BC"/>
    <w:rsid w:val="000136AF"/>
    <w:rsid w:val="00025060"/>
    <w:rsid w:val="0003503F"/>
    <w:rsid w:val="0004044E"/>
    <w:rsid w:val="0004166A"/>
    <w:rsid w:val="00051D61"/>
    <w:rsid w:val="00052711"/>
    <w:rsid w:val="00052AE3"/>
    <w:rsid w:val="000614BF"/>
    <w:rsid w:val="00087EDB"/>
    <w:rsid w:val="00092B4A"/>
    <w:rsid w:val="000A449A"/>
    <w:rsid w:val="000D05EF"/>
    <w:rsid w:val="000D3A96"/>
    <w:rsid w:val="000D7A34"/>
    <w:rsid w:val="000F21C1"/>
    <w:rsid w:val="000F7427"/>
    <w:rsid w:val="0010745C"/>
    <w:rsid w:val="00150132"/>
    <w:rsid w:val="00154EAC"/>
    <w:rsid w:val="0015533A"/>
    <w:rsid w:val="001643C9"/>
    <w:rsid w:val="00165568"/>
    <w:rsid w:val="00166C2F"/>
    <w:rsid w:val="00166C57"/>
    <w:rsid w:val="001708AA"/>
    <w:rsid w:val="001716C9"/>
    <w:rsid w:val="00171EAE"/>
    <w:rsid w:val="00176AF8"/>
    <w:rsid w:val="00193461"/>
    <w:rsid w:val="001939E1"/>
    <w:rsid w:val="001940FF"/>
    <w:rsid w:val="00195382"/>
    <w:rsid w:val="00196048"/>
    <w:rsid w:val="001B7A5D"/>
    <w:rsid w:val="001C1132"/>
    <w:rsid w:val="001C4114"/>
    <w:rsid w:val="001C69C4"/>
    <w:rsid w:val="001E3590"/>
    <w:rsid w:val="001E448D"/>
    <w:rsid w:val="001E562E"/>
    <w:rsid w:val="001E7407"/>
    <w:rsid w:val="001F6924"/>
    <w:rsid w:val="00201D27"/>
    <w:rsid w:val="00217258"/>
    <w:rsid w:val="00223EC1"/>
    <w:rsid w:val="0022502A"/>
    <w:rsid w:val="002311E3"/>
    <w:rsid w:val="00240749"/>
    <w:rsid w:val="00252FA7"/>
    <w:rsid w:val="00265FBC"/>
    <w:rsid w:val="00266D05"/>
    <w:rsid w:val="002932B1"/>
    <w:rsid w:val="0029483C"/>
    <w:rsid w:val="00297ECB"/>
    <w:rsid w:val="002B2FCB"/>
    <w:rsid w:val="002B5B89"/>
    <w:rsid w:val="002B7D96"/>
    <w:rsid w:val="002D043A"/>
    <w:rsid w:val="002F5822"/>
    <w:rsid w:val="00304E75"/>
    <w:rsid w:val="00307056"/>
    <w:rsid w:val="003072FA"/>
    <w:rsid w:val="0031713F"/>
    <w:rsid w:val="00335F55"/>
    <w:rsid w:val="003415D3"/>
    <w:rsid w:val="00352B0F"/>
    <w:rsid w:val="00360817"/>
    <w:rsid w:val="00361BD9"/>
    <w:rsid w:val="00365991"/>
    <w:rsid w:val="00375441"/>
    <w:rsid w:val="003801D0"/>
    <w:rsid w:val="003802D8"/>
    <w:rsid w:val="0039228E"/>
    <w:rsid w:val="003926B5"/>
    <w:rsid w:val="00396B77"/>
    <w:rsid w:val="003B04EC"/>
    <w:rsid w:val="003C26E0"/>
    <w:rsid w:val="003C5F2B"/>
    <w:rsid w:val="003D0BFE"/>
    <w:rsid w:val="003D3C4B"/>
    <w:rsid w:val="003D5700"/>
    <w:rsid w:val="003F1463"/>
    <w:rsid w:val="003F567B"/>
    <w:rsid w:val="004010E7"/>
    <w:rsid w:val="00401403"/>
    <w:rsid w:val="004116CD"/>
    <w:rsid w:val="00412B83"/>
    <w:rsid w:val="00421870"/>
    <w:rsid w:val="00424CA9"/>
    <w:rsid w:val="004415FF"/>
    <w:rsid w:val="0044291A"/>
    <w:rsid w:val="004541B9"/>
    <w:rsid w:val="004547CC"/>
    <w:rsid w:val="00460499"/>
    <w:rsid w:val="00474575"/>
    <w:rsid w:val="004766E1"/>
    <w:rsid w:val="0048364F"/>
    <w:rsid w:val="00496F97"/>
    <w:rsid w:val="004A2484"/>
    <w:rsid w:val="004B34CD"/>
    <w:rsid w:val="004C4D31"/>
    <w:rsid w:val="004C66AA"/>
    <w:rsid w:val="004F1FAC"/>
    <w:rsid w:val="004F35AF"/>
    <w:rsid w:val="004F3A90"/>
    <w:rsid w:val="004F676E"/>
    <w:rsid w:val="005153A7"/>
    <w:rsid w:val="00516B8D"/>
    <w:rsid w:val="00537FBC"/>
    <w:rsid w:val="00543469"/>
    <w:rsid w:val="00557C7A"/>
    <w:rsid w:val="00563E0E"/>
    <w:rsid w:val="00566744"/>
    <w:rsid w:val="00576CA3"/>
    <w:rsid w:val="00584811"/>
    <w:rsid w:val="0058646E"/>
    <w:rsid w:val="00586842"/>
    <w:rsid w:val="00591655"/>
    <w:rsid w:val="00591E07"/>
    <w:rsid w:val="00592F34"/>
    <w:rsid w:val="00593AA6"/>
    <w:rsid w:val="00594161"/>
    <w:rsid w:val="00594749"/>
    <w:rsid w:val="005B4067"/>
    <w:rsid w:val="005B6A3D"/>
    <w:rsid w:val="005B7384"/>
    <w:rsid w:val="005C12DE"/>
    <w:rsid w:val="005C3F41"/>
    <w:rsid w:val="005F0D46"/>
    <w:rsid w:val="00600219"/>
    <w:rsid w:val="006123A9"/>
    <w:rsid w:val="006249E6"/>
    <w:rsid w:val="00630733"/>
    <w:rsid w:val="006403FB"/>
    <w:rsid w:val="0064468A"/>
    <w:rsid w:val="00654CCA"/>
    <w:rsid w:val="00656DE9"/>
    <w:rsid w:val="00677CC2"/>
    <w:rsid w:val="00680F17"/>
    <w:rsid w:val="006856B8"/>
    <w:rsid w:val="00685F42"/>
    <w:rsid w:val="0069207B"/>
    <w:rsid w:val="006937E2"/>
    <w:rsid w:val="006C2C12"/>
    <w:rsid w:val="006C7F8C"/>
    <w:rsid w:val="006D010A"/>
    <w:rsid w:val="006D3667"/>
    <w:rsid w:val="006E32F8"/>
    <w:rsid w:val="00700B2C"/>
    <w:rsid w:val="00701E6A"/>
    <w:rsid w:val="00713084"/>
    <w:rsid w:val="00722023"/>
    <w:rsid w:val="00731E00"/>
    <w:rsid w:val="007427DE"/>
    <w:rsid w:val="007440B7"/>
    <w:rsid w:val="007634AD"/>
    <w:rsid w:val="007715C9"/>
    <w:rsid w:val="00774EDD"/>
    <w:rsid w:val="007757EC"/>
    <w:rsid w:val="007769D4"/>
    <w:rsid w:val="00785AFA"/>
    <w:rsid w:val="007903AC"/>
    <w:rsid w:val="007A0A98"/>
    <w:rsid w:val="007B73BB"/>
    <w:rsid w:val="007E7D4A"/>
    <w:rsid w:val="008033B0"/>
    <w:rsid w:val="0081021C"/>
    <w:rsid w:val="00826DA5"/>
    <w:rsid w:val="008313E9"/>
    <w:rsid w:val="0084452F"/>
    <w:rsid w:val="00853DE4"/>
    <w:rsid w:val="00856A31"/>
    <w:rsid w:val="00864CE6"/>
    <w:rsid w:val="00874B69"/>
    <w:rsid w:val="008754D0"/>
    <w:rsid w:val="00877D48"/>
    <w:rsid w:val="00881D13"/>
    <w:rsid w:val="008932CC"/>
    <w:rsid w:val="0089783B"/>
    <w:rsid w:val="008B1A0F"/>
    <w:rsid w:val="008C63FE"/>
    <w:rsid w:val="008C6987"/>
    <w:rsid w:val="008D00C8"/>
    <w:rsid w:val="008D0EE0"/>
    <w:rsid w:val="008E1C83"/>
    <w:rsid w:val="008F07E3"/>
    <w:rsid w:val="008F10D4"/>
    <w:rsid w:val="008F1F3A"/>
    <w:rsid w:val="008F4F1C"/>
    <w:rsid w:val="00901828"/>
    <w:rsid w:val="00907271"/>
    <w:rsid w:val="009228FB"/>
    <w:rsid w:val="00927128"/>
    <w:rsid w:val="00932377"/>
    <w:rsid w:val="0093246F"/>
    <w:rsid w:val="00962835"/>
    <w:rsid w:val="00987CD1"/>
    <w:rsid w:val="009A16C4"/>
    <w:rsid w:val="009A34F2"/>
    <w:rsid w:val="009B3629"/>
    <w:rsid w:val="009C49D8"/>
    <w:rsid w:val="009E3601"/>
    <w:rsid w:val="009E6AA7"/>
    <w:rsid w:val="009F6D3A"/>
    <w:rsid w:val="009F727E"/>
    <w:rsid w:val="00A2057D"/>
    <w:rsid w:val="00A231E2"/>
    <w:rsid w:val="00A2550D"/>
    <w:rsid w:val="00A415FF"/>
    <w:rsid w:val="00A4169B"/>
    <w:rsid w:val="00A42CAE"/>
    <w:rsid w:val="00A4361F"/>
    <w:rsid w:val="00A628B6"/>
    <w:rsid w:val="00A64912"/>
    <w:rsid w:val="00A70A74"/>
    <w:rsid w:val="00A87AB9"/>
    <w:rsid w:val="00A9775D"/>
    <w:rsid w:val="00AB1639"/>
    <w:rsid w:val="00AB3315"/>
    <w:rsid w:val="00AD0B4A"/>
    <w:rsid w:val="00AD3934"/>
    <w:rsid w:val="00AD5641"/>
    <w:rsid w:val="00AF0336"/>
    <w:rsid w:val="00AF596F"/>
    <w:rsid w:val="00B019FD"/>
    <w:rsid w:val="00B032D8"/>
    <w:rsid w:val="00B06C73"/>
    <w:rsid w:val="00B12EFE"/>
    <w:rsid w:val="00B1365D"/>
    <w:rsid w:val="00B1496B"/>
    <w:rsid w:val="00B332B8"/>
    <w:rsid w:val="00B33B3C"/>
    <w:rsid w:val="00B5046A"/>
    <w:rsid w:val="00B63BDE"/>
    <w:rsid w:val="00B92365"/>
    <w:rsid w:val="00BA1C03"/>
    <w:rsid w:val="00BA5026"/>
    <w:rsid w:val="00BB6E79"/>
    <w:rsid w:val="00BC6060"/>
    <w:rsid w:val="00BD60E6"/>
    <w:rsid w:val="00BE253A"/>
    <w:rsid w:val="00BE719A"/>
    <w:rsid w:val="00BE720A"/>
    <w:rsid w:val="00C04112"/>
    <w:rsid w:val="00C067E5"/>
    <w:rsid w:val="00C164CA"/>
    <w:rsid w:val="00C21B63"/>
    <w:rsid w:val="00C34B50"/>
    <w:rsid w:val="00C42BF8"/>
    <w:rsid w:val="00C460AE"/>
    <w:rsid w:val="00C50043"/>
    <w:rsid w:val="00C55472"/>
    <w:rsid w:val="00C7573B"/>
    <w:rsid w:val="00C76CF3"/>
    <w:rsid w:val="00C818C9"/>
    <w:rsid w:val="00C913B0"/>
    <w:rsid w:val="00CB0180"/>
    <w:rsid w:val="00CB4FDF"/>
    <w:rsid w:val="00CB7A5B"/>
    <w:rsid w:val="00CD7ECB"/>
    <w:rsid w:val="00CF0BB2"/>
    <w:rsid w:val="00D04559"/>
    <w:rsid w:val="00D13441"/>
    <w:rsid w:val="00D17B17"/>
    <w:rsid w:val="00D243A3"/>
    <w:rsid w:val="00D33440"/>
    <w:rsid w:val="00D52EFE"/>
    <w:rsid w:val="00D63068"/>
    <w:rsid w:val="00D63EF6"/>
    <w:rsid w:val="00D70DFB"/>
    <w:rsid w:val="00D766DF"/>
    <w:rsid w:val="00D81CB7"/>
    <w:rsid w:val="00D84B58"/>
    <w:rsid w:val="00D90BF7"/>
    <w:rsid w:val="00D9236E"/>
    <w:rsid w:val="00D925D1"/>
    <w:rsid w:val="00D92B23"/>
    <w:rsid w:val="00D95FB1"/>
    <w:rsid w:val="00D96038"/>
    <w:rsid w:val="00DC66C4"/>
    <w:rsid w:val="00DE077A"/>
    <w:rsid w:val="00E05704"/>
    <w:rsid w:val="00E05C46"/>
    <w:rsid w:val="00E07C5A"/>
    <w:rsid w:val="00E30206"/>
    <w:rsid w:val="00E31767"/>
    <w:rsid w:val="00E33C1C"/>
    <w:rsid w:val="00E443FC"/>
    <w:rsid w:val="00E54292"/>
    <w:rsid w:val="00E74DC7"/>
    <w:rsid w:val="00E75B8C"/>
    <w:rsid w:val="00E806EA"/>
    <w:rsid w:val="00E85443"/>
    <w:rsid w:val="00E8698E"/>
    <w:rsid w:val="00E87699"/>
    <w:rsid w:val="00ED3A7D"/>
    <w:rsid w:val="00EE5178"/>
    <w:rsid w:val="00EF0607"/>
    <w:rsid w:val="00EF2E3A"/>
    <w:rsid w:val="00F047E2"/>
    <w:rsid w:val="00F078DC"/>
    <w:rsid w:val="00F13E86"/>
    <w:rsid w:val="00F15891"/>
    <w:rsid w:val="00F1670E"/>
    <w:rsid w:val="00F24C35"/>
    <w:rsid w:val="00F4555C"/>
    <w:rsid w:val="00F54D0A"/>
    <w:rsid w:val="00F677A9"/>
    <w:rsid w:val="00F720E1"/>
    <w:rsid w:val="00F743E5"/>
    <w:rsid w:val="00F84CF5"/>
    <w:rsid w:val="00FA420B"/>
    <w:rsid w:val="00FA7164"/>
    <w:rsid w:val="00FB6330"/>
    <w:rsid w:val="00FC79AE"/>
    <w:rsid w:val="00FD2172"/>
    <w:rsid w:val="00FD2AFB"/>
    <w:rsid w:val="00FD5B46"/>
    <w:rsid w:val="00FD7CFE"/>
    <w:rsid w:val="00FE2828"/>
    <w:rsid w:val="00FF3089"/>
    <w:rsid w:val="00FF3A4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52AE3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52AE3"/>
  </w:style>
  <w:style w:type="paragraph" w:customStyle="1" w:styleId="OPCParaBase">
    <w:name w:val="OPCParaBase"/>
    <w:qFormat/>
    <w:rsid w:val="00052AE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52AE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52AE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52AE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52AE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52AE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52AE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52AE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52AE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52AE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52AE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52AE3"/>
  </w:style>
  <w:style w:type="paragraph" w:customStyle="1" w:styleId="Blocks">
    <w:name w:val="Blocks"/>
    <w:aliases w:val="bb"/>
    <w:basedOn w:val="OPCParaBase"/>
    <w:qFormat/>
    <w:rsid w:val="00052AE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52AE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52AE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52AE3"/>
    <w:rPr>
      <w:i/>
    </w:rPr>
  </w:style>
  <w:style w:type="paragraph" w:customStyle="1" w:styleId="BoxList">
    <w:name w:val="BoxList"/>
    <w:aliases w:val="bl"/>
    <w:basedOn w:val="BoxText"/>
    <w:qFormat/>
    <w:rsid w:val="00052AE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52AE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52AE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52AE3"/>
    <w:pPr>
      <w:ind w:left="1985" w:hanging="851"/>
    </w:pPr>
  </w:style>
  <w:style w:type="character" w:customStyle="1" w:styleId="CharAmPartNo">
    <w:name w:val="CharAmPartNo"/>
    <w:basedOn w:val="OPCCharBase"/>
    <w:qFormat/>
    <w:rsid w:val="00052AE3"/>
  </w:style>
  <w:style w:type="character" w:customStyle="1" w:styleId="CharAmPartText">
    <w:name w:val="CharAmPartText"/>
    <w:basedOn w:val="OPCCharBase"/>
    <w:qFormat/>
    <w:rsid w:val="00052AE3"/>
  </w:style>
  <w:style w:type="character" w:customStyle="1" w:styleId="CharAmSchNo">
    <w:name w:val="CharAmSchNo"/>
    <w:basedOn w:val="OPCCharBase"/>
    <w:qFormat/>
    <w:rsid w:val="00052AE3"/>
  </w:style>
  <w:style w:type="character" w:customStyle="1" w:styleId="CharAmSchText">
    <w:name w:val="CharAmSchText"/>
    <w:basedOn w:val="OPCCharBase"/>
    <w:qFormat/>
    <w:rsid w:val="00052AE3"/>
  </w:style>
  <w:style w:type="character" w:customStyle="1" w:styleId="CharBoldItalic">
    <w:name w:val="CharBoldItalic"/>
    <w:basedOn w:val="OPCCharBase"/>
    <w:uiPriority w:val="1"/>
    <w:qFormat/>
    <w:rsid w:val="00052AE3"/>
    <w:rPr>
      <w:b/>
      <w:i/>
    </w:rPr>
  </w:style>
  <w:style w:type="character" w:customStyle="1" w:styleId="CharChapNo">
    <w:name w:val="CharChapNo"/>
    <w:basedOn w:val="OPCCharBase"/>
    <w:uiPriority w:val="1"/>
    <w:qFormat/>
    <w:rsid w:val="00052AE3"/>
  </w:style>
  <w:style w:type="character" w:customStyle="1" w:styleId="CharChapText">
    <w:name w:val="CharChapText"/>
    <w:basedOn w:val="OPCCharBase"/>
    <w:uiPriority w:val="1"/>
    <w:qFormat/>
    <w:rsid w:val="00052AE3"/>
  </w:style>
  <w:style w:type="character" w:customStyle="1" w:styleId="CharDivNo">
    <w:name w:val="CharDivNo"/>
    <w:basedOn w:val="OPCCharBase"/>
    <w:uiPriority w:val="1"/>
    <w:qFormat/>
    <w:rsid w:val="00052AE3"/>
  </w:style>
  <w:style w:type="character" w:customStyle="1" w:styleId="CharDivText">
    <w:name w:val="CharDivText"/>
    <w:basedOn w:val="OPCCharBase"/>
    <w:uiPriority w:val="1"/>
    <w:qFormat/>
    <w:rsid w:val="00052AE3"/>
  </w:style>
  <w:style w:type="character" w:customStyle="1" w:styleId="CharItalic">
    <w:name w:val="CharItalic"/>
    <w:basedOn w:val="OPCCharBase"/>
    <w:uiPriority w:val="1"/>
    <w:qFormat/>
    <w:rsid w:val="00052AE3"/>
    <w:rPr>
      <w:i/>
    </w:rPr>
  </w:style>
  <w:style w:type="character" w:customStyle="1" w:styleId="CharPartNo">
    <w:name w:val="CharPartNo"/>
    <w:basedOn w:val="OPCCharBase"/>
    <w:uiPriority w:val="1"/>
    <w:qFormat/>
    <w:rsid w:val="00052AE3"/>
  </w:style>
  <w:style w:type="character" w:customStyle="1" w:styleId="CharPartText">
    <w:name w:val="CharPartText"/>
    <w:basedOn w:val="OPCCharBase"/>
    <w:uiPriority w:val="1"/>
    <w:qFormat/>
    <w:rsid w:val="00052AE3"/>
  </w:style>
  <w:style w:type="character" w:customStyle="1" w:styleId="CharSectno">
    <w:name w:val="CharSectno"/>
    <w:basedOn w:val="OPCCharBase"/>
    <w:qFormat/>
    <w:rsid w:val="00052AE3"/>
  </w:style>
  <w:style w:type="character" w:customStyle="1" w:styleId="CharSubdNo">
    <w:name w:val="CharSubdNo"/>
    <w:basedOn w:val="OPCCharBase"/>
    <w:uiPriority w:val="1"/>
    <w:qFormat/>
    <w:rsid w:val="00052AE3"/>
  </w:style>
  <w:style w:type="character" w:customStyle="1" w:styleId="CharSubdText">
    <w:name w:val="CharSubdText"/>
    <w:basedOn w:val="OPCCharBase"/>
    <w:uiPriority w:val="1"/>
    <w:qFormat/>
    <w:rsid w:val="00052AE3"/>
  </w:style>
  <w:style w:type="paragraph" w:customStyle="1" w:styleId="CTA--">
    <w:name w:val="CTA --"/>
    <w:basedOn w:val="OPCParaBase"/>
    <w:next w:val="Normal"/>
    <w:rsid w:val="00052AE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52AE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52AE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52AE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52AE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52AE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52AE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52AE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52AE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52AE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52AE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52AE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52AE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52AE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052AE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52AE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52AE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52AE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52AE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52AE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52AE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52AE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52AE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52AE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52AE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52AE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52AE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52AE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52AE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52AE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52AE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052AE3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052AE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52AE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52AE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52AE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52AE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52AE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52AE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52AE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52AE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52AE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52AE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52AE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52AE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52AE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52AE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52AE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52AE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52AE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52AE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52AE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52AE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52AE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52AE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52AE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52AE3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052AE3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52AE3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052AE3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52AE3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52AE3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52AE3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52AE3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52AE3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52AE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52AE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52AE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52AE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52AE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52AE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52AE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52AE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52AE3"/>
    <w:rPr>
      <w:sz w:val="16"/>
    </w:rPr>
  </w:style>
  <w:style w:type="table" w:customStyle="1" w:styleId="CFlag">
    <w:name w:val="CFlag"/>
    <w:basedOn w:val="TableNormal"/>
    <w:uiPriority w:val="99"/>
    <w:rsid w:val="00052AE3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2A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AE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52AE3"/>
    <w:rPr>
      <w:color w:val="0000FF"/>
      <w:u w:val="single"/>
    </w:rPr>
  </w:style>
  <w:style w:type="table" w:styleId="TableGrid">
    <w:name w:val="Table Grid"/>
    <w:basedOn w:val="TableNormal"/>
    <w:uiPriority w:val="59"/>
    <w:rsid w:val="00052A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052AE3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052AE3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052AE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52AE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2AE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2AE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2AE3"/>
    <w:rPr>
      <w:b/>
      <w:sz w:val="28"/>
      <w:szCs w:val="28"/>
    </w:rPr>
  </w:style>
  <w:style w:type="paragraph" w:customStyle="1" w:styleId="ENotesHeading1">
    <w:name w:val="ENotesHeading 1"/>
    <w:aliases w:val="Enh1"/>
    <w:basedOn w:val="OPCParaBase"/>
    <w:next w:val="Normal"/>
    <w:rsid w:val="00052AE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52AE3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052AE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basedOn w:val="OPCParaBase"/>
    <w:next w:val="Normal"/>
    <w:rsid w:val="00052AE3"/>
  </w:style>
  <w:style w:type="paragraph" w:customStyle="1" w:styleId="CompiledActNo">
    <w:name w:val="CompiledActNo"/>
    <w:basedOn w:val="OPCParaBase"/>
    <w:next w:val="Normal"/>
    <w:rsid w:val="00052AE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52AE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52AE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SubPartCASA">
    <w:name w:val="SubPart(CASA)"/>
    <w:aliases w:val="csp"/>
    <w:basedOn w:val="OPCParaBase"/>
    <w:next w:val="ActHead3"/>
    <w:rsid w:val="00052AE3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052AE3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052AE3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052AE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52AE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052AE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52AE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052AE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52AE3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052AE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52AE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052AE3"/>
    <w:pPr>
      <w:spacing w:before="240"/>
    </w:pPr>
    <w:rPr>
      <w:sz w:val="24"/>
      <w:szCs w:val="24"/>
    </w:rPr>
  </w:style>
  <w:style w:type="character" w:customStyle="1" w:styleId="CharSubPartTextCASA">
    <w:name w:val="CharSubPartText(CASA)"/>
    <w:basedOn w:val="OPCCharBase"/>
    <w:uiPriority w:val="1"/>
    <w:rsid w:val="00052AE3"/>
  </w:style>
  <w:style w:type="character" w:customStyle="1" w:styleId="CharSubPartNoCASA">
    <w:name w:val="CharSubPartNo(CASA)"/>
    <w:basedOn w:val="OPCCharBase"/>
    <w:uiPriority w:val="1"/>
    <w:rsid w:val="00052AE3"/>
  </w:style>
  <w:style w:type="paragraph" w:customStyle="1" w:styleId="ENoteTTIndentHeadingSub">
    <w:name w:val="ENoteTTIndentHeadingSub"/>
    <w:aliases w:val="enTTHis"/>
    <w:basedOn w:val="OPCParaBase"/>
    <w:rsid w:val="00052AE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52AE3"/>
    <w:pPr>
      <w:keepNext/>
      <w:spacing w:before="60" w:line="240" w:lineRule="atLeast"/>
      <w:ind w:left="340"/>
    </w:pPr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52AE3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52AE3"/>
  </w:style>
  <w:style w:type="paragraph" w:customStyle="1" w:styleId="OPCParaBase">
    <w:name w:val="OPCParaBase"/>
    <w:qFormat/>
    <w:rsid w:val="00052AE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52AE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52AE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52AE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52AE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52AE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52AE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52AE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52AE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52AE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52AE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52AE3"/>
  </w:style>
  <w:style w:type="paragraph" w:customStyle="1" w:styleId="Blocks">
    <w:name w:val="Blocks"/>
    <w:aliases w:val="bb"/>
    <w:basedOn w:val="OPCParaBase"/>
    <w:qFormat/>
    <w:rsid w:val="00052AE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52AE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52AE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52AE3"/>
    <w:rPr>
      <w:i/>
    </w:rPr>
  </w:style>
  <w:style w:type="paragraph" w:customStyle="1" w:styleId="BoxList">
    <w:name w:val="BoxList"/>
    <w:aliases w:val="bl"/>
    <w:basedOn w:val="BoxText"/>
    <w:qFormat/>
    <w:rsid w:val="00052AE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52AE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52AE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52AE3"/>
    <w:pPr>
      <w:ind w:left="1985" w:hanging="851"/>
    </w:pPr>
  </w:style>
  <w:style w:type="character" w:customStyle="1" w:styleId="CharAmPartNo">
    <w:name w:val="CharAmPartNo"/>
    <w:basedOn w:val="OPCCharBase"/>
    <w:qFormat/>
    <w:rsid w:val="00052AE3"/>
  </w:style>
  <w:style w:type="character" w:customStyle="1" w:styleId="CharAmPartText">
    <w:name w:val="CharAmPartText"/>
    <w:basedOn w:val="OPCCharBase"/>
    <w:qFormat/>
    <w:rsid w:val="00052AE3"/>
  </w:style>
  <w:style w:type="character" w:customStyle="1" w:styleId="CharAmSchNo">
    <w:name w:val="CharAmSchNo"/>
    <w:basedOn w:val="OPCCharBase"/>
    <w:qFormat/>
    <w:rsid w:val="00052AE3"/>
  </w:style>
  <w:style w:type="character" w:customStyle="1" w:styleId="CharAmSchText">
    <w:name w:val="CharAmSchText"/>
    <w:basedOn w:val="OPCCharBase"/>
    <w:qFormat/>
    <w:rsid w:val="00052AE3"/>
  </w:style>
  <w:style w:type="character" w:customStyle="1" w:styleId="CharBoldItalic">
    <w:name w:val="CharBoldItalic"/>
    <w:basedOn w:val="OPCCharBase"/>
    <w:uiPriority w:val="1"/>
    <w:qFormat/>
    <w:rsid w:val="00052AE3"/>
    <w:rPr>
      <w:b/>
      <w:i/>
    </w:rPr>
  </w:style>
  <w:style w:type="character" w:customStyle="1" w:styleId="CharChapNo">
    <w:name w:val="CharChapNo"/>
    <w:basedOn w:val="OPCCharBase"/>
    <w:uiPriority w:val="1"/>
    <w:qFormat/>
    <w:rsid w:val="00052AE3"/>
  </w:style>
  <w:style w:type="character" w:customStyle="1" w:styleId="CharChapText">
    <w:name w:val="CharChapText"/>
    <w:basedOn w:val="OPCCharBase"/>
    <w:uiPriority w:val="1"/>
    <w:qFormat/>
    <w:rsid w:val="00052AE3"/>
  </w:style>
  <w:style w:type="character" w:customStyle="1" w:styleId="CharDivNo">
    <w:name w:val="CharDivNo"/>
    <w:basedOn w:val="OPCCharBase"/>
    <w:uiPriority w:val="1"/>
    <w:qFormat/>
    <w:rsid w:val="00052AE3"/>
  </w:style>
  <w:style w:type="character" w:customStyle="1" w:styleId="CharDivText">
    <w:name w:val="CharDivText"/>
    <w:basedOn w:val="OPCCharBase"/>
    <w:uiPriority w:val="1"/>
    <w:qFormat/>
    <w:rsid w:val="00052AE3"/>
  </w:style>
  <w:style w:type="character" w:customStyle="1" w:styleId="CharItalic">
    <w:name w:val="CharItalic"/>
    <w:basedOn w:val="OPCCharBase"/>
    <w:uiPriority w:val="1"/>
    <w:qFormat/>
    <w:rsid w:val="00052AE3"/>
    <w:rPr>
      <w:i/>
    </w:rPr>
  </w:style>
  <w:style w:type="character" w:customStyle="1" w:styleId="CharPartNo">
    <w:name w:val="CharPartNo"/>
    <w:basedOn w:val="OPCCharBase"/>
    <w:uiPriority w:val="1"/>
    <w:qFormat/>
    <w:rsid w:val="00052AE3"/>
  </w:style>
  <w:style w:type="character" w:customStyle="1" w:styleId="CharPartText">
    <w:name w:val="CharPartText"/>
    <w:basedOn w:val="OPCCharBase"/>
    <w:uiPriority w:val="1"/>
    <w:qFormat/>
    <w:rsid w:val="00052AE3"/>
  </w:style>
  <w:style w:type="character" w:customStyle="1" w:styleId="CharSectno">
    <w:name w:val="CharSectno"/>
    <w:basedOn w:val="OPCCharBase"/>
    <w:qFormat/>
    <w:rsid w:val="00052AE3"/>
  </w:style>
  <w:style w:type="character" w:customStyle="1" w:styleId="CharSubdNo">
    <w:name w:val="CharSubdNo"/>
    <w:basedOn w:val="OPCCharBase"/>
    <w:uiPriority w:val="1"/>
    <w:qFormat/>
    <w:rsid w:val="00052AE3"/>
  </w:style>
  <w:style w:type="character" w:customStyle="1" w:styleId="CharSubdText">
    <w:name w:val="CharSubdText"/>
    <w:basedOn w:val="OPCCharBase"/>
    <w:uiPriority w:val="1"/>
    <w:qFormat/>
    <w:rsid w:val="00052AE3"/>
  </w:style>
  <w:style w:type="paragraph" w:customStyle="1" w:styleId="CTA--">
    <w:name w:val="CTA --"/>
    <w:basedOn w:val="OPCParaBase"/>
    <w:next w:val="Normal"/>
    <w:rsid w:val="00052AE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52AE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52AE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52AE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52AE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52AE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52AE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52AE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52AE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52AE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52AE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52AE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52AE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52AE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052AE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52AE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52AE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52AE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52AE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52AE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52AE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52AE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52AE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52AE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52AE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52AE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52AE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52AE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52AE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52AE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52AE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052AE3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052AE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52AE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52AE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52AE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52AE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52AE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52AE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52AE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52AE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52AE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52AE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52AE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52AE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52AE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52AE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52AE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52AE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52AE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52AE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52AE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52AE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52AE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52AE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52AE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52AE3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052AE3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52AE3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052AE3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52AE3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52AE3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52AE3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52AE3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52AE3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52AE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52AE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52AE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52AE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52AE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52AE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52AE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52AE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52AE3"/>
    <w:rPr>
      <w:sz w:val="16"/>
    </w:rPr>
  </w:style>
  <w:style w:type="table" w:customStyle="1" w:styleId="CFlag">
    <w:name w:val="CFlag"/>
    <w:basedOn w:val="TableNormal"/>
    <w:uiPriority w:val="99"/>
    <w:rsid w:val="00052AE3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2A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AE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52AE3"/>
    <w:rPr>
      <w:color w:val="0000FF"/>
      <w:u w:val="single"/>
    </w:rPr>
  </w:style>
  <w:style w:type="table" w:styleId="TableGrid">
    <w:name w:val="Table Grid"/>
    <w:basedOn w:val="TableNormal"/>
    <w:uiPriority w:val="59"/>
    <w:rsid w:val="00052A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052AE3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052AE3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052AE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52AE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2AE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2AE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2AE3"/>
    <w:rPr>
      <w:b/>
      <w:sz w:val="28"/>
      <w:szCs w:val="28"/>
    </w:rPr>
  </w:style>
  <w:style w:type="paragraph" w:customStyle="1" w:styleId="ENotesHeading1">
    <w:name w:val="ENotesHeading 1"/>
    <w:aliases w:val="Enh1"/>
    <w:basedOn w:val="OPCParaBase"/>
    <w:next w:val="Normal"/>
    <w:rsid w:val="00052AE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52AE3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052AE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basedOn w:val="OPCParaBase"/>
    <w:next w:val="Normal"/>
    <w:rsid w:val="00052AE3"/>
  </w:style>
  <w:style w:type="paragraph" w:customStyle="1" w:styleId="CompiledActNo">
    <w:name w:val="CompiledActNo"/>
    <w:basedOn w:val="OPCParaBase"/>
    <w:next w:val="Normal"/>
    <w:rsid w:val="00052AE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52AE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52AE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SubPartCASA">
    <w:name w:val="SubPart(CASA)"/>
    <w:aliases w:val="csp"/>
    <w:basedOn w:val="OPCParaBase"/>
    <w:next w:val="ActHead3"/>
    <w:rsid w:val="00052AE3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052AE3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052AE3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052AE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52AE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052AE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52AE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052AE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52AE3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052AE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52AE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052AE3"/>
    <w:pPr>
      <w:spacing w:before="240"/>
    </w:pPr>
    <w:rPr>
      <w:sz w:val="24"/>
      <w:szCs w:val="24"/>
    </w:rPr>
  </w:style>
  <w:style w:type="character" w:customStyle="1" w:styleId="CharSubPartTextCASA">
    <w:name w:val="CharSubPartText(CASA)"/>
    <w:basedOn w:val="OPCCharBase"/>
    <w:uiPriority w:val="1"/>
    <w:rsid w:val="00052AE3"/>
  </w:style>
  <w:style w:type="character" w:customStyle="1" w:styleId="CharSubPartNoCASA">
    <w:name w:val="CharSubPartNo(CASA)"/>
    <w:basedOn w:val="OPCCharBase"/>
    <w:uiPriority w:val="1"/>
    <w:rsid w:val="00052AE3"/>
  </w:style>
  <w:style w:type="paragraph" w:customStyle="1" w:styleId="ENoteTTIndentHeadingSub">
    <w:name w:val="ENoteTTIndentHeadingSub"/>
    <w:aliases w:val="enTTHis"/>
    <w:basedOn w:val="OPCParaBase"/>
    <w:rsid w:val="00052AE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52AE3"/>
    <w:pPr>
      <w:keepNext/>
      <w:spacing w:before="60" w:line="240" w:lineRule="atLeast"/>
      <w:ind w:left="340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7</Pages>
  <Words>641</Words>
  <Characters>3659</Characters>
  <Application>Microsoft Office Word</Application>
  <DocSecurity>0</DocSecurity>
  <PresentationFormat/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Insurance (General Medical Services Table) Amendment (Bariatric and other measures) Regulation 2013</vt:lpstr>
    </vt:vector>
  </TitlesOfParts>
  <Manager/>
  <Company/>
  <LinksUpToDate>false</LinksUpToDate>
  <CharactersWithSpaces>4292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2013-05-08T04:44:00Z</cp:lastPrinted>
  <dcterms:created xsi:type="dcterms:W3CDTF">2013-06-24T04:42:00Z</dcterms:created>
  <dcterms:modified xsi:type="dcterms:W3CDTF">2013-06-28T01:53:00Z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144, 2013</vt:lpwstr>
  </property>
  <property fmtid="{D5CDD505-2E9C-101B-9397-08002B2CF9AE}" pid="3" name="ShortT">
    <vt:lpwstr>Health Insurance (General Medical Services Table) Amendment (Bariatric and Other Measures) Regulation 2013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28 June 2013</vt:lpwstr>
  </property>
  <property fmtid="{D5CDD505-2E9C-101B-9397-08002B2CF9AE}" pid="10" name="Authority">
    <vt:lpwstr/>
  </property>
  <property fmtid="{D5CDD505-2E9C-101B-9397-08002B2CF9AE}" pid="11" name="ID">
    <vt:lpwstr>OPC50398</vt:lpwstr>
  </property>
  <property fmtid="{D5CDD505-2E9C-101B-9397-08002B2CF9AE}" pid="12" name="ActMadeUnder">
    <vt:lpwstr>Health Insurance Act 1973</vt:lpwstr>
  </property>
  <property fmtid="{D5CDD505-2E9C-101B-9397-08002B2CF9AE}" pid="13" name="NonLegInst">
    <vt:lpwstr>0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Classification">
    <vt:lpwstr> </vt:lpwstr>
  </property>
  <property fmtid="{D5CDD505-2E9C-101B-9397-08002B2CF9AE}" pid="17" name="CounterSign">
    <vt:lpwstr/>
  </property>
  <property fmtid="{D5CDD505-2E9C-101B-9397-08002B2CF9AE}" pid="18" name="ExcoDate">
    <vt:lpwstr>28 June 2013</vt:lpwstr>
  </property>
</Properties>
</file>