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83" w:rsidRDefault="00A07D83" w:rsidP="006D0324">
      <w:pPr>
        <w:pStyle w:val="Heading1nooutline"/>
        <w:spacing w:after="0"/>
        <w:rPr>
          <w:rFonts w:ascii="Times" w:hAnsi="Times"/>
          <w:sz w:val="24"/>
          <w:szCs w:val="24"/>
          <w:u w:val="single"/>
        </w:rPr>
      </w:pPr>
      <w:r w:rsidRPr="009C3AE6">
        <w:rPr>
          <w:rFonts w:ascii="Times" w:hAnsi="Times"/>
          <w:sz w:val="24"/>
          <w:szCs w:val="24"/>
          <w:u w:val="single"/>
        </w:rPr>
        <w:t>EXPLANATORY STATEMENT</w:t>
      </w:r>
    </w:p>
    <w:p w:rsidR="004B2EA6" w:rsidRDefault="004B2EA6" w:rsidP="004B2EA6">
      <w:pPr>
        <w:rPr>
          <w:lang w:eastAsia="en-AU"/>
        </w:rPr>
      </w:pPr>
    </w:p>
    <w:p w:rsidR="004B2EA6" w:rsidRPr="004B2EA6" w:rsidRDefault="004B2EA6" w:rsidP="004B2EA6">
      <w:pPr>
        <w:jc w:val="center"/>
        <w:rPr>
          <w:b/>
          <w:u w:val="single"/>
          <w:lang w:eastAsia="en-AU"/>
        </w:rPr>
      </w:pPr>
      <w:r>
        <w:rPr>
          <w:b/>
          <w:u w:val="single"/>
          <w:lang w:eastAsia="en-AU"/>
        </w:rPr>
        <w:t>Select Legislative Instrument 2013 No. 137</w:t>
      </w:r>
    </w:p>
    <w:p w:rsidR="00943A6C" w:rsidRPr="006D0324" w:rsidRDefault="00943A6C" w:rsidP="00BA6FF2">
      <w:pPr>
        <w:spacing w:after="0"/>
        <w:rPr>
          <w:lang w:eastAsia="en-AU"/>
        </w:rPr>
      </w:pPr>
    </w:p>
    <w:p w:rsidR="00A07D83" w:rsidRDefault="00A07D83" w:rsidP="006D0324">
      <w:pPr>
        <w:pStyle w:val="Heading2numbered"/>
        <w:numPr>
          <w:ilvl w:val="0"/>
          <w:numId w:val="0"/>
        </w:numPr>
        <w:spacing w:before="0"/>
        <w:jc w:val="center"/>
        <w:rPr>
          <w:b w:val="0"/>
          <w:i w:val="0"/>
          <w:u w:val="single"/>
        </w:rPr>
      </w:pPr>
      <w:r w:rsidRPr="00611688">
        <w:rPr>
          <w:b w:val="0"/>
          <w:i w:val="0"/>
          <w:u w:val="single"/>
        </w:rPr>
        <w:t>Issued by Au</w:t>
      </w:r>
      <w:r>
        <w:rPr>
          <w:b w:val="0"/>
          <w:i w:val="0"/>
          <w:u w:val="single"/>
        </w:rPr>
        <w:t xml:space="preserve">thority of the </w:t>
      </w:r>
      <w:r w:rsidR="006A0CC6">
        <w:rPr>
          <w:b w:val="0"/>
          <w:i w:val="0"/>
          <w:u w:val="single"/>
        </w:rPr>
        <w:t xml:space="preserve">Parliamentary Secretary to the </w:t>
      </w:r>
      <w:r>
        <w:rPr>
          <w:b w:val="0"/>
          <w:i w:val="0"/>
          <w:u w:val="single"/>
        </w:rPr>
        <w:t>Attorney-General</w:t>
      </w:r>
    </w:p>
    <w:p w:rsidR="00943A6C" w:rsidRPr="006D0324" w:rsidRDefault="00943A6C" w:rsidP="00BA6FF2">
      <w:pPr>
        <w:spacing w:after="0"/>
        <w:rPr>
          <w:lang w:eastAsia="en-AU"/>
        </w:rPr>
      </w:pPr>
    </w:p>
    <w:p w:rsidR="00376104" w:rsidRPr="008A2E17" w:rsidRDefault="008A2E17" w:rsidP="008A2E17">
      <w:pPr>
        <w:pStyle w:val="Heading2numbered"/>
        <w:numPr>
          <w:ilvl w:val="0"/>
          <w:numId w:val="0"/>
        </w:numPr>
        <w:spacing w:before="0"/>
        <w:jc w:val="center"/>
        <w:rPr>
          <w:b w:val="0"/>
          <w:iCs/>
        </w:rPr>
      </w:pPr>
      <w:r>
        <w:rPr>
          <w:b w:val="0"/>
          <w:iCs/>
        </w:rPr>
        <w:t>Family Law Act 1975</w:t>
      </w:r>
    </w:p>
    <w:p w:rsidR="00B02186" w:rsidRPr="00376104" w:rsidRDefault="00376104" w:rsidP="00376104">
      <w:pPr>
        <w:pStyle w:val="Heading2numbered"/>
        <w:numPr>
          <w:ilvl w:val="0"/>
          <w:numId w:val="0"/>
        </w:numPr>
        <w:spacing w:before="0"/>
        <w:jc w:val="center"/>
        <w:rPr>
          <w:b w:val="0"/>
          <w:iCs/>
        </w:rPr>
      </w:pPr>
      <w:r w:rsidRPr="00376104">
        <w:rPr>
          <w:b w:val="0"/>
          <w:iCs/>
        </w:rPr>
        <w:t>Family Law (Superannuation</w:t>
      </w:r>
      <w:r w:rsidR="00015EA3">
        <w:rPr>
          <w:b w:val="0"/>
          <w:iCs/>
        </w:rPr>
        <w:t xml:space="preserve">) Amendment </w:t>
      </w:r>
      <w:r w:rsidR="00A42901">
        <w:rPr>
          <w:b w:val="0"/>
          <w:iCs/>
        </w:rPr>
        <w:t xml:space="preserve">(ABS) </w:t>
      </w:r>
      <w:r w:rsidR="00015EA3">
        <w:rPr>
          <w:b w:val="0"/>
          <w:iCs/>
        </w:rPr>
        <w:t>Regulation 2013</w:t>
      </w:r>
    </w:p>
    <w:p w:rsidR="00114F50" w:rsidRDefault="008A2E17" w:rsidP="00376104">
      <w:pPr>
        <w:pStyle w:val="Paragraph"/>
      </w:pPr>
      <w:r w:rsidRPr="008A2E17">
        <w:t xml:space="preserve">Subsection 125(1) of the </w:t>
      </w:r>
      <w:r w:rsidRPr="008A2E17">
        <w:rPr>
          <w:i/>
        </w:rPr>
        <w:t>Family Law Act 1975</w:t>
      </w:r>
      <w:r w:rsidRPr="008A2E17">
        <w:t xml:space="preserve"> (the Family Law Act) provides, in part, that the Governor-General may make regulations, not inconsistent with the Family Law Act, prescribing all matters required or permitted by the Family Law Act to be prescribed, or necessary or convenient to be prescribed for carrying out or giving</w:t>
      </w:r>
      <w:bookmarkStart w:id="0" w:name="_GoBack"/>
      <w:r w:rsidRPr="008A2E17">
        <w:t xml:space="preserve"> </w:t>
      </w:r>
      <w:bookmarkEnd w:id="0"/>
      <w:r w:rsidRPr="008A2E17">
        <w:t>effect to the Family</w:t>
      </w:r>
      <w:r w:rsidR="00D53FEB">
        <w:t> </w:t>
      </w:r>
      <w:r w:rsidRPr="008A2E17">
        <w:t>Law</w:t>
      </w:r>
      <w:r w:rsidR="00D53FEB">
        <w:t> </w:t>
      </w:r>
      <w:r w:rsidRPr="008A2E17">
        <w:t>Act.</w:t>
      </w:r>
    </w:p>
    <w:p w:rsidR="00961EE9" w:rsidRPr="00552B9C" w:rsidRDefault="00961EE9" w:rsidP="00961EE9">
      <w:pPr>
        <w:pStyle w:val="Paragraph"/>
        <w:rPr>
          <w:szCs w:val="24"/>
        </w:rPr>
      </w:pPr>
      <w:r>
        <w:t xml:space="preserve">Part </w:t>
      </w:r>
      <w:proofErr w:type="spellStart"/>
      <w:r>
        <w:t>VIIIB</w:t>
      </w:r>
      <w:proofErr w:type="spellEnd"/>
      <w:r>
        <w:t xml:space="preserve"> of the Family Law Act provides for the division of superannuation between married and de facto couples on relationship breakdown.  </w:t>
      </w:r>
      <w:r w:rsidR="008A2E17" w:rsidRPr="008A2E17">
        <w:t xml:space="preserve">The </w:t>
      </w:r>
      <w:r w:rsidR="008A2E17" w:rsidRPr="008A2E17">
        <w:rPr>
          <w:i/>
        </w:rPr>
        <w:t>Family Law (Superannuation) Regulations 2001</w:t>
      </w:r>
      <w:r w:rsidR="008A2E17" w:rsidRPr="008A2E17">
        <w:t xml:space="preserve"> (the Principal Regulations) have been prescribed to give effect to the distribution of superannuation interests under Part </w:t>
      </w:r>
      <w:proofErr w:type="spellStart"/>
      <w:r w:rsidR="00C62CA7">
        <w:t>VIIIB</w:t>
      </w:r>
      <w:proofErr w:type="spellEnd"/>
      <w:r w:rsidR="00C62CA7">
        <w:t xml:space="preserve"> of the Family Law Act</w:t>
      </w:r>
      <w:r w:rsidR="008A2E17" w:rsidRPr="008A2E17">
        <w:t>.</w:t>
      </w:r>
      <w:r w:rsidR="00114F50">
        <w:t xml:space="preserve">  </w:t>
      </w:r>
      <w:r w:rsidR="00114F50" w:rsidRPr="00114F50">
        <w:t xml:space="preserve">The Principal Regulations contain </w:t>
      </w:r>
      <w:r w:rsidRPr="00552B9C">
        <w:rPr>
          <w:szCs w:val="24"/>
        </w:rPr>
        <w:t xml:space="preserve">much of the detail of the legislative scheme for the division of superannuation on relationship breakdown, including provisions relating to the adjustment of base amount interests held by non-member spouses during any period between the operative time </w:t>
      </w:r>
      <w:r w:rsidR="00A42901">
        <w:rPr>
          <w:szCs w:val="24"/>
        </w:rPr>
        <w:t xml:space="preserve">(as defined by section 90MD of the Family Law Act) </w:t>
      </w:r>
      <w:r w:rsidRPr="00552B9C">
        <w:rPr>
          <w:szCs w:val="24"/>
        </w:rPr>
        <w:t xml:space="preserve">and the date at which </w:t>
      </w:r>
      <w:r w:rsidR="00B22C10">
        <w:rPr>
          <w:szCs w:val="24"/>
        </w:rPr>
        <w:t xml:space="preserve">a </w:t>
      </w:r>
      <w:r w:rsidRPr="00552B9C">
        <w:rPr>
          <w:szCs w:val="24"/>
        </w:rPr>
        <w:t>non-member spouse’s entitlement is paid.</w:t>
      </w:r>
    </w:p>
    <w:p w:rsidR="00961EE9" w:rsidRDefault="00B22C10" w:rsidP="00961EE9">
      <w:pPr>
        <w:pStyle w:val="Paragraph"/>
      </w:pPr>
      <w:r>
        <w:t>T</w:t>
      </w:r>
      <w:r w:rsidR="00961EE9" w:rsidRPr="00C62CA7">
        <w:t xml:space="preserve">he </w:t>
      </w:r>
      <w:r w:rsidR="00961EE9" w:rsidRPr="00C62CA7">
        <w:rPr>
          <w:i/>
        </w:rPr>
        <w:t xml:space="preserve">Family Law (Superannuation) Amendment </w:t>
      </w:r>
      <w:r w:rsidR="00205ED8">
        <w:rPr>
          <w:i/>
        </w:rPr>
        <w:t xml:space="preserve">(ABS) </w:t>
      </w:r>
      <w:r w:rsidR="00961EE9" w:rsidRPr="00C62CA7">
        <w:rPr>
          <w:i/>
        </w:rPr>
        <w:t>Regulation 2013</w:t>
      </w:r>
      <w:r w:rsidR="00961EE9" w:rsidRPr="00C62CA7">
        <w:t xml:space="preserve"> (the</w:t>
      </w:r>
      <w:r w:rsidR="00205ED8">
        <w:t> </w:t>
      </w:r>
      <w:r w:rsidR="00961EE9" w:rsidRPr="00C62CA7">
        <w:t>Regulation) amend</w:t>
      </w:r>
      <w:r>
        <w:t>s</w:t>
      </w:r>
      <w:r w:rsidR="00961EE9" w:rsidRPr="00C62CA7">
        <w:t xml:space="preserve"> the Principal Regulations to ensure that </w:t>
      </w:r>
      <w:r w:rsidR="00205ED8">
        <w:t>r</w:t>
      </w:r>
      <w:r w:rsidR="00961EE9">
        <w:t>egulation 45D of the Principal Regulations is operative</w:t>
      </w:r>
      <w:r w:rsidR="00961EE9" w:rsidRPr="00C62CA7">
        <w:t>.</w:t>
      </w:r>
      <w:r w:rsidR="006E7C4C">
        <w:t xml:space="preserve">  </w:t>
      </w:r>
      <w:r w:rsidR="006E7C4C" w:rsidRPr="006E7C4C">
        <w:t>This enable</w:t>
      </w:r>
      <w:r w:rsidR="006E7C4C">
        <w:t>s</w:t>
      </w:r>
      <w:r w:rsidR="006E7C4C" w:rsidRPr="006E7C4C">
        <w:t xml:space="preserve"> the Australian Government Actuary to make this year’s </w:t>
      </w:r>
      <w:r w:rsidR="006E7C4C" w:rsidRPr="006E7C4C">
        <w:rPr>
          <w:i/>
        </w:rPr>
        <w:t>Family Law (Superannuation)(Interest Rate for Adjustment Period) Determination</w:t>
      </w:r>
      <w:r w:rsidR="006E7C4C" w:rsidRPr="006E7C4C">
        <w:t xml:space="preserve"> (Determination), which is required to be made by 1 July 2013.</w:t>
      </w:r>
    </w:p>
    <w:p w:rsidR="00961EE9" w:rsidRPr="00552B9C" w:rsidRDefault="00205ED8" w:rsidP="00961EE9">
      <w:pPr>
        <w:pStyle w:val="Paragraph"/>
        <w:rPr>
          <w:szCs w:val="24"/>
        </w:rPr>
      </w:pPr>
      <w:r>
        <w:rPr>
          <w:szCs w:val="24"/>
        </w:rPr>
        <w:t>Under r</w:t>
      </w:r>
      <w:r w:rsidR="00961EE9" w:rsidRPr="00552B9C">
        <w:rPr>
          <w:szCs w:val="24"/>
        </w:rPr>
        <w:t>egulation 45</w:t>
      </w:r>
      <w:r w:rsidR="00961EE9">
        <w:rPr>
          <w:szCs w:val="24"/>
        </w:rPr>
        <w:t>D of the Principal Regulations</w:t>
      </w:r>
      <w:r w:rsidR="00961EE9" w:rsidRPr="00552B9C">
        <w:rPr>
          <w:szCs w:val="24"/>
        </w:rPr>
        <w:t>, the Australian Government Actuary is sub-delegated power to determine an interest rate (</w:t>
      </w:r>
      <w:proofErr w:type="spellStart"/>
      <w:r w:rsidR="00961EE9" w:rsidRPr="00552B9C">
        <w:rPr>
          <w:szCs w:val="24"/>
        </w:rPr>
        <w:t>subregulation</w:t>
      </w:r>
      <w:proofErr w:type="spellEnd"/>
      <w:r w:rsidR="00961EE9" w:rsidRPr="00552B9C">
        <w:rPr>
          <w:szCs w:val="24"/>
        </w:rPr>
        <w:t xml:space="preserve"> 45D(3) of the </w:t>
      </w:r>
      <w:r w:rsidR="001A49E8">
        <w:rPr>
          <w:szCs w:val="24"/>
        </w:rPr>
        <w:t xml:space="preserve">Principal </w:t>
      </w:r>
      <w:r w:rsidR="00961EE9" w:rsidRPr="00552B9C">
        <w:rPr>
          <w:szCs w:val="24"/>
        </w:rPr>
        <w:t xml:space="preserve">Regulations) and methods for calculating interest rates (under </w:t>
      </w:r>
      <w:proofErr w:type="spellStart"/>
      <w:r w:rsidR="00961EE9" w:rsidRPr="00552B9C">
        <w:rPr>
          <w:szCs w:val="24"/>
        </w:rPr>
        <w:t>subregulations</w:t>
      </w:r>
      <w:proofErr w:type="spellEnd"/>
      <w:r w:rsidR="00961EE9" w:rsidRPr="00552B9C">
        <w:rPr>
          <w:szCs w:val="24"/>
        </w:rPr>
        <w:t xml:space="preserve"> 45D(4) and (6) of the </w:t>
      </w:r>
      <w:r w:rsidR="001A49E8">
        <w:rPr>
          <w:szCs w:val="24"/>
        </w:rPr>
        <w:t xml:space="preserve">Principal </w:t>
      </w:r>
      <w:r w:rsidR="00961EE9" w:rsidRPr="00552B9C">
        <w:rPr>
          <w:szCs w:val="24"/>
        </w:rPr>
        <w:t xml:space="preserve">Regulations) </w:t>
      </w:r>
      <w:r w:rsidR="00A42901" w:rsidRPr="00A42901">
        <w:rPr>
          <w:szCs w:val="24"/>
        </w:rPr>
        <w:t>relating to the adjustment of base amount interests held by non-member spouses</w:t>
      </w:r>
      <w:r w:rsidR="00961EE9" w:rsidRPr="00552B9C">
        <w:rPr>
          <w:szCs w:val="24"/>
        </w:rPr>
        <w:t>.</w:t>
      </w:r>
      <w:r w:rsidR="006E7C4C">
        <w:rPr>
          <w:szCs w:val="24"/>
        </w:rPr>
        <w:t xml:space="preserve">  </w:t>
      </w:r>
      <w:r w:rsidR="006E7C4C" w:rsidRPr="006E7C4C">
        <w:rPr>
          <w:szCs w:val="24"/>
        </w:rPr>
        <w:t>This power is exercised by the making of a Determination every y</w:t>
      </w:r>
      <w:r w:rsidR="006E7C4C">
        <w:rPr>
          <w:szCs w:val="24"/>
        </w:rPr>
        <w:t>ear</w:t>
      </w:r>
      <w:r w:rsidR="00341B04">
        <w:rPr>
          <w:szCs w:val="24"/>
        </w:rPr>
        <w:t>.  The current Determination commenced on 1 July 2013 and applies for the 2012/13 financial year</w:t>
      </w:r>
      <w:r w:rsidR="006E7C4C" w:rsidRPr="006E7C4C">
        <w:rPr>
          <w:szCs w:val="24"/>
        </w:rPr>
        <w:t>.</w:t>
      </w:r>
    </w:p>
    <w:p w:rsidR="00961EE9" w:rsidRPr="00552B9C" w:rsidRDefault="00961EE9" w:rsidP="00961EE9">
      <w:pPr>
        <w:pStyle w:val="Paragraph"/>
        <w:rPr>
          <w:szCs w:val="24"/>
        </w:rPr>
      </w:pPr>
      <w:r w:rsidRPr="00552B9C">
        <w:rPr>
          <w:szCs w:val="24"/>
        </w:rPr>
        <w:t xml:space="preserve">The rate and methods are linked </w:t>
      </w:r>
      <w:r w:rsidR="00A42901">
        <w:rPr>
          <w:szCs w:val="24"/>
        </w:rPr>
        <w:t xml:space="preserve">by regulation 45D </w:t>
      </w:r>
      <w:r w:rsidR="00A35DA4">
        <w:rPr>
          <w:szCs w:val="24"/>
        </w:rPr>
        <w:t xml:space="preserve">of the Principal Regulations </w:t>
      </w:r>
      <w:r w:rsidRPr="00552B9C">
        <w:rPr>
          <w:szCs w:val="24"/>
        </w:rPr>
        <w:t>to the May publication each year by the Australian Bureau of Statistics (ABS) of figures relating to the percentage change in the original estimate of full time adult ordinary time earnings by persons in Australia for the year ending with the previous February quarter.  This series was chosen on the basis that it would be the most recently published prior to the commencement of a financial year.</w:t>
      </w:r>
    </w:p>
    <w:p w:rsidR="00961EE9" w:rsidRPr="00552B9C" w:rsidRDefault="00961EE9" w:rsidP="00961EE9">
      <w:pPr>
        <w:pStyle w:val="Paragraph"/>
        <w:rPr>
          <w:szCs w:val="24"/>
        </w:rPr>
      </w:pPr>
      <w:r w:rsidRPr="00552B9C">
        <w:rPr>
          <w:szCs w:val="24"/>
        </w:rPr>
        <w:t xml:space="preserve">These figures were published by </w:t>
      </w:r>
      <w:r w:rsidR="002D7EF9">
        <w:rPr>
          <w:szCs w:val="24"/>
        </w:rPr>
        <w:t xml:space="preserve">the </w:t>
      </w:r>
      <w:r w:rsidRPr="00552B9C">
        <w:rPr>
          <w:szCs w:val="24"/>
        </w:rPr>
        <w:t xml:space="preserve">ABS each quarter and the determination currently in force is based on the </w:t>
      </w:r>
      <w:r w:rsidR="002D7EF9">
        <w:rPr>
          <w:szCs w:val="24"/>
        </w:rPr>
        <w:t xml:space="preserve">change over the year </w:t>
      </w:r>
      <w:r w:rsidRPr="00552B9C">
        <w:rPr>
          <w:szCs w:val="24"/>
        </w:rPr>
        <w:t>ending with the February 2012 quarter.</w:t>
      </w:r>
      <w:r w:rsidR="0036247F">
        <w:rPr>
          <w:szCs w:val="24"/>
        </w:rPr>
        <w:t xml:space="preserve">  </w:t>
      </w:r>
      <w:r w:rsidRPr="00552B9C">
        <w:rPr>
          <w:szCs w:val="24"/>
        </w:rPr>
        <w:t xml:space="preserve">However, the ABS </w:t>
      </w:r>
      <w:r w:rsidR="006A0CC6">
        <w:rPr>
          <w:szCs w:val="24"/>
        </w:rPr>
        <w:t>has reduced the frequency of the Survey of Average Weekly Earnings (AWE</w:t>
      </w:r>
      <w:r w:rsidR="0036247F">
        <w:rPr>
          <w:szCs w:val="24"/>
        </w:rPr>
        <w:t>)</w:t>
      </w:r>
      <w:r w:rsidR="006A0CC6">
        <w:rPr>
          <w:szCs w:val="24"/>
        </w:rPr>
        <w:t xml:space="preserve"> from quarterly to biannual</w:t>
      </w:r>
      <w:r w:rsidR="0036247F">
        <w:rPr>
          <w:szCs w:val="24"/>
        </w:rPr>
        <w:t xml:space="preserve"> and </w:t>
      </w:r>
      <w:r w:rsidRPr="00552B9C">
        <w:rPr>
          <w:szCs w:val="24"/>
        </w:rPr>
        <w:t xml:space="preserve">is no longer publishing the relevant statistics for the year ending </w:t>
      </w:r>
      <w:r w:rsidRPr="00552B9C">
        <w:rPr>
          <w:szCs w:val="24"/>
        </w:rPr>
        <w:lastRenderedPageBreak/>
        <w:t>with the February quarter</w:t>
      </w:r>
      <w:r w:rsidR="00A42901">
        <w:rPr>
          <w:szCs w:val="24"/>
        </w:rPr>
        <w:t>.  Therefore</w:t>
      </w:r>
      <w:r w:rsidRPr="00552B9C">
        <w:rPr>
          <w:szCs w:val="24"/>
        </w:rPr>
        <w:t xml:space="preserve">, </w:t>
      </w:r>
      <w:r w:rsidR="006A0CC6">
        <w:rPr>
          <w:szCs w:val="24"/>
        </w:rPr>
        <w:t>amendment of the Principal</w:t>
      </w:r>
      <w:r w:rsidRPr="00552B9C">
        <w:rPr>
          <w:szCs w:val="24"/>
        </w:rPr>
        <w:t xml:space="preserve"> Regulations </w:t>
      </w:r>
      <w:r w:rsidR="006A0CC6">
        <w:rPr>
          <w:szCs w:val="24"/>
        </w:rPr>
        <w:t xml:space="preserve">is required </w:t>
      </w:r>
      <w:r w:rsidRPr="00552B9C">
        <w:rPr>
          <w:szCs w:val="24"/>
        </w:rPr>
        <w:t>to link the rate and methods to the percentage change over the year to the November quarter (which is published in February) which will now be the most recently available at the commencement of a financial year.</w:t>
      </w:r>
    </w:p>
    <w:p w:rsidR="00552B9C" w:rsidRPr="00552B9C" w:rsidRDefault="00552B9C" w:rsidP="00552B9C">
      <w:pPr>
        <w:pStyle w:val="Paragraph"/>
        <w:rPr>
          <w:szCs w:val="24"/>
        </w:rPr>
      </w:pPr>
      <w:r w:rsidRPr="00552B9C">
        <w:rPr>
          <w:szCs w:val="24"/>
        </w:rPr>
        <w:t>The ABS has reported that there was a 5.0% increase in the original estimate of full-time adult ordinary time earnings for all persons in Australia for the year ending in the November</w:t>
      </w:r>
      <w:r w:rsidR="00205ED8">
        <w:rPr>
          <w:szCs w:val="24"/>
        </w:rPr>
        <w:t> </w:t>
      </w:r>
      <w:r w:rsidRPr="00552B9C">
        <w:rPr>
          <w:szCs w:val="24"/>
        </w:rPr>
        <w:t>2012 quarter.  This information is contained in the ABS Average Weekly Earnings Australia Publication 6302.0, published on 21 February 2013.</w:t>
      </w:r>
      <w:r w:rsidR="0036247F">
        <w:rPr>
          <w:szCs w:val="24"/>
        </w:rPr>
        <w:t xml:space="preserve">  </w:t>
      </w:r>
      <w:r w:rsidRPr="00552B9C">
        <w:rPr>
          <w:szCs w:val="24"/>
        </w:rPr>
        <w:t>However, this figure includes the increase in earnings over the three months to February 2012 which formed part of the index used in specifying the interest rates to apply for the 2012/13 financial year.  Furthermore, the increase in the February quarter was greater than the average quarterly increase over the remaining three quarters.</w:t>
      </w:r>
    </w:p>
    <w:p w:rsidR="00552B9C" w:rsidRDefault="00552B9C" w:rsidP="00552B9C">
      <w:pPr>
        <w:pStyle w:val="Paragraph"/>
        <w:rPr>
          <w:szCs w:val="24"/>
        </w:rPr>
      </w:pPr>
      <w:r w:rsidRPr="00552B9C">
        <w:rPr>
          <w:szCs w:val="24"/>
        </w:rPr>
        <w:t>To avoid double counting, a transitional arrangement operate</w:t>
      </w:r>
      <w:r w:rsidR="00A42901">
        <w:rPr>
          <w:szCs w:val="24"/>
        </w:rPr>
        <w:t>s</w:t>
      </w:r>
      <w:r w:rsidRPr="00552B9C">
        <w:rPr>
          <w:szCs w:val="24"/>
        </w:rPr>
        <w:t xml:space="preserve"> for the 2013/14 financial year.  Under the formula, the annualised increase in earnings for the nine months to November</w:t>
      </w:r>
      <w:r w:rsidR="00A42901">
        <w:rPr>
          <w:szCs w:val="24"/>
        </w:rPr>
        <w:t> </w:t>
      </w:r>
      <w:r w:rsidRPr="00552B9C">
        <w:rPr>
          <w:szCs w:val="24"/>
        </w:rPr>
        <w:t>2012 is 4.8%.</w:t>
      </w:r>
    </w:p>
    <w:p w:rsidR="00015EA3" w:rsidRDefault="00103105" w:rsidP="00552B9C">
      <w:pPr>
        <w:pStyle w:val="Paragraph"/>
        <w:rPr>
          <w:szCs w:val="24"/>
        </w:rPr>
      </w:pPr>
      <w:r>
        <w:rPr>
          <w:szCs w:val="24"/>
        </w:rPr>
        <w:t xml:space="preserve">Consultation on the </w:t>
      </w:r>
      <w:r w:rsidR="00015EA3">
        <w:rPr>
          <w:szCs w:val="24"/>
        </w:rPr>
        <w:t>form of the Regulation</w:t>
      </w:r>
      <w:r>
        <w:rPr>
          <w:szCs w:val="24"/>
        </w:rPr>
        <w:t xml:space="preserve"> occurred between the </w:t>
      </w:r>
      <w:r w:rsidR="00E22EEF">
        <w:rPr>
          <w:szCs w:val="24"/>
        </w:rPr>
        <w:t xml:space="preserve">Attorney-General’s Department and the </w:t>
      </w:r>
      <w:r w:rsidR="00727855">
        <w:rPr>
          <w:szCs w:val="24"/>
        </w:rPr>
        <w:t xml:space="preserve">Australian Government Actuary </w:t>
      </w:r>
      <w:r>
        <w:rPr>
          <w:szCs w:val="24"/>
        </w:rPr>
        <w:t>by way of email and telephone exchange.</w:t>
      </w:r>
    </w:p>
    <w:p w:rsidR="00015EA3" w:rsidRDefault="00DA26D0" w:rsidP="00015EA3">
      <w:pPr>
        <w:pStyle w:val="Paragraph"/>
        <w:rPr>
          <w:szCs w:val="24"/>
        </w:rPr>
      </w:pPr>
      <w:r w:rsidRPr="005B5DC4">
        <w:rPr>
          <w:szCs w:val="24"/>
        </w:rPr>
        <w:t xml:space="preserve">The </w:t>
      </w:r>
      <w:r w:rsidR="005B5DC4">
        <w:rPr>
          <w:szCs w:val="24"/>
        </w:rPr>
        <w:t>Regulation</w:t>
      </w:r>
      <w:r w:rsidRPr="005B5DC4">
        <w:rPr>
          <w:szCs w:val="24"/>
        </w:rPr>
        <w:t xml:space="preserve"> commence</w:t>
      </w:r>
      <w:r w:rsidR="0036247F">
        <w:rPr>
          <w:szCs w:val="24"/>
        </w:rPr>
        <w:t>s</w:t>
      </w:r>
      <w:r w:rsidRPr="005B5DC4">
        <w:rPr>
          <w:szCs w:val="24"/>
        </w:rPr>
        <w:t xml:space="preserve"> on </w:t>
      </w:r>
      <w:r w:rsidR="00FC26DC">
        <w:rPr>
          <w:szCs w:val="24"/>
        </w:rPr>
        <w:t>1 July 2013</w:t>
      </w:r>
      <w:r w:rsidRPr="005B5DC4">
        <w:rPr>
          <w:szCs w:val="24"/>
        </w:rPr>
        <w:t>.</w:t>
      </w:r>
    </w:p>
    <w:p w:rsidR="00015EA3" w:rsidRDefault="00DA26D0" w:rsidP="00015EA3">
      <w:pPr>
        <w:pStyle w:val="Paragraph"/>
        <w:rPr>
          <w:szCs w:val="24"/>
        </w:rPr>
      </w:pPr>
      <w:r w:rsidRPr="00DA26D0">
        <w:rPr>
          <w:szCs w:val="24"/>
        </w:rPr>
        <w:t xml:space="preserve">The </w:t>
      </w:r>
      <w:r w:rsidR="005B5DC4">
        <w:rPr>
          <w:szCs w:val="24"/>
        </w:rPr>
        <w:t>Regulation</w:t>
      </w:r>
      <w:r w:rsidRPr="00DA26D0">
        <w:rPr>
          <w:szCs w:val="24"/>
        </w:rPr>
        <w:t xml:space="preserve"> is a legislative instrument for the purposes of the </w:t>
      </w:r>
      <w:r w:rsidRPr="009F4247">
        <w:rPr>
          <w:i/>
          <w:szCs w:val="24"/>
        </w:rPr>
        <w:t>Legislative Instruments</w:t>
      </w:r>
      <w:r w:rsidR="00015EA3">
        <w:rPr>
          <w:i/>
          <w:szCs w:val="24"/>
        </w:rPr>
        <w:t xml:space="preserve"> A</w:t>
      </w:r>
      <w:r w:rsidRPr="009F4247">
        <w:rPr>
          <w:i/>
          <w:szCs w:val="24"/>
        </w:rPr>
        <w:t>ct 2003</w:t>
      </w:r>
      <w:r w:rsidRPr="00DA26D0">
        <w:rPr>
          <w:szCs w:val="24"/>
        </w:rPr>
        <w:t>.</w:t>
      </w:r>
    </w:p>
    <w:p w:rsidR="00015EA3" w:rsidRDefault="00DA26D0" w:rsidP="00015EA3">
      <w:pPr>
        <w:pStyle w:val="Paragraph"/>
        <w:rPr>
          <w:szCs w:val="24"/>
        </w:rPr>
      </w:pPr>
      <w:r w:rsidRPr="00DA26D0">
        <w:rPr>
          <w:szCs w:val="24"/>
        </w:rPr>
        <w:t>Details of the</w:t>
      </w:r>
      <w:r w:rsidR="00015EA3">
        <w:rPr>
          <w:szCs w:val="24"/>
        </w:rPr>
        <w:t xml:space="preserve"> Regulation</w:t>
      </w:r>
      <w:r w:rsidRPr="00DA26D0">
        <w:rPr>
          <w:szCs w:val="24"/>
        </w:rPr>
        <w:t xml:space="preserve"> </w:t>
      </w:r>
      <w:r w:rsidR="00FB409E">
        <w:rPr>
          <w:szCs w:val="24"/>
        </w:rPr>
        <w:t>are</w:t>
      </w:r>
      <w:r w:rsidRPr="00DA26D0">
        <w:rPr>
          <w:szCs w:val="24"/>
        </w:rPr>
        <w:t xml:space="preserve"> as follows:</w:t>
      </w:r>
    </w:p>
    <w:p w:rsidR="00015EA3" w:rsidRDefault="00015EA3" w:rsidP="00015EA3">
      <w:pPr>
        <w:pStyle w:val="Paragraph"/>
        <w:rPr>
          <w:szCs w:val="24"/>
        </w:rPr>
      </w:pPr>
    </w:p>
    <w:p w:rsidR="00DA26D0" w:rsidRPr="00015EA3" w:rsidRDefault="005B5DC4" w:rsidP="00015EA3">
      <w:pPr>
        <w:pStyle w:val="Heading2numbered"/>
        <w:numPr>
          <w:ilvl w:val="0"/>
          <w:numId w:val="0"/>
        </w:numPr>
        <w:spacing w:before="0"/>
      </w:pPr>
      <w:r>
        <w:t>Section</w:t>
      </w:r>
      <w:r w:rsidR="00DA26D0" w:rsidRPr="00E27D58">
        <w:t xml:space="preserve"> 1</w:t>
      </w:r>
      <w:r w:rsidR="00DA26D0">
        <w:t xml:space="preserve"> — </w:t>
      </w:r>
      <w:r w:rsidR="00DA26D0" w:rsidRPr="00E27D58">
        <w:t xml:space="preserve">Name of </w:t>
      </w:r>
      <w:r w:rsidR="005C584A">
        <w:t>regulation</w:t>
      </w:r>
    </w:p>
    <w:p w:rsidR="00DA26D0" w:rsidRDefault="00DA26D0" w:rsidP="00C074D5">
      <w:pPr>
        <w:pStyle w:val="Paragraph"/>
        <w:rPr>
          <w:i/>
        </w:rPr>
      </w:pPr>
      <w:r>
        <w:t>Section 1</w:t>
      </w:r>
      <w:r w:rsidRPr="00E27D58">
        <w:t xml:space="preserve"> provides that the title of the </w:t>
      </w:r>
      <w:r w:rsidR="005B5DC4">
        <w:t>r</w:t>
      </w:r>
      <w:r w:rsidR="00015EA3">
        <w:t>egulation</w:t>
      </w:r>
      <w:r w:rsidRPr="00E27D58">
        <w:t xml:space="preserve"> is the </w:t>
      </w:r>
      <w:r w:rsidR="005C584A" w:rsidRPr="005C584A">
        <w:rPr>
          <w:i/>
        </w:rPr>
        <w:t>Family Law (Superannuation) Ame</w:t>
      </w:r>
      <w:r w:rsidR="00376104">
        <w:rPr>
          <w:i/>
        </w:rPr>
        <w:t>n</w:t>
      </w:r>
      <w:r w:rsidR="005C584A" w:rsidRPr="005C584A">
        <w:rPr>
          <w:i/>
        </w:rPr>
        <w:t>d</w:t>
      </w:r>
      <w:r w:rsidR="00015EA3">
        <w:rPr>
          <w:i/>
        </w:rPr>
        <w:t xml:space="preserve">ment </w:t>
      </w:r>
      <w:r w:rsidR="00A42901">
        <w:rPr>
          <w:i/>
        </w:rPr>
        <w:t xml:space="preserve">(ABS) </w:t>
      </w:r>
      <w:r w:rsidR="00015EA3">
        <w:rPr>
          <w:i/>
        </w:rPr>
        <w:t>Regulation 2013</w:t>
      </w:r>
      <w:r w:rsidR="00B02186">
        <w:t>.</w:t>
      </w:r>
    </w:p>
    <w:p w:rsidR="00B262EB" w:rsidRPr="00E27D58" w:rsidRDefault="00B262EB" w:rsidP="006D0324">
      <w:pPr>
        <w:pStyle w:val="Paragraph"/>
        <w:spacing w:before="0"/>
      </w:pPr>
    </w:p>
    <w:p w:rsidR="00DA26D0" w:rsidRPr="00E27D58" w:rsidRDefault="005B5DC4" w:rsidP="006D0324">
      <w:pPr>
        <w:pStyle w:val="Heading2numbered"/>
        <w:numPr>
          <w:ilvl w:val="0"/>
          <w:numId w:val="0"/>
        </w:numPr>
        <w:spacing w:before="0"/>
      </w:pPr>
      <w:r>
        <w:t>Section</w:t>
      </w:r>
      <w:r w:rsidR="00DA26D0">
        <w:t xml:space="preserve"> 2 —</w:t>
      </w:r>
      <w:r w:rsidR="00DA26D0" w:rsidRPr="00E27D58">
        <w:t xml:space="preserve"> Commencement</w:t>
      </w:r>
    </w:p>
    <w:p w:rsidR="00DA26D0" w:rsidRDefault="00DA26D0" w:rsidP="00C074D5">
      <w:pPr>
        <w:pStyle w:val="Paragraph"/>
      </w:pPr>
      <w:r w:rsidRPr="005B5DC4">
        <w:t xml:space="preserve">Section 2 provides that the </w:t>
      </w:r>
      <w:r w:rsidR="005B5DC4">
        <w:t>r</w:t>
      </w:r>
      <w:r w:rsidR="00015EA3" w:rsidRPr="005B5DC4">
        <w:t>egulation</w:t>
      </w:r>
      <w:r w:rsidR="00E63DCC" w:rsidRPr="005B5DC4">
        <w:t xml:space="preserve"> </w:t>
      </w:r>
      <w:r w:rsidRPr="005B5DC4">
        <w:t>commences on</w:t>
      </w:r>
      <w:r w:rsidR="00FC26DC">
        <w:t xml:space="preserve"> 1 July 2013</w:t>
      </w:r>
      <w:r w:rsidRPr="005B5DC4">
        <w:t>.</w:t>
      </w:r>
    </w:p>
    <w:p w:rsidR="00E63DCC" w:rsidRPr="009F4247" w:rsidRDefault="00E63DCC" w:rsidP="006D0324">
      <w:pPr>
        <w:spacing w:after="0"/>
        <w:rPr>
          <w:lang w:eastAsia="en-AU"/>
        </w:rPr>
      </w:pPr>
    </w:p>
    <w:p w:rsidR="005B5DC4" w:rsidRDefault="005B5DC4" w:rsidP="00E22EEF">
      <w:pPr>
        <w:pStyle w:val="Heading2numbered"/>
        <w:numPr>
          <w:ilvl w:val="0"/>
          <w:numId w:val="0"/>
        </w:numPr>
        <w:spacing w:before="0"/>
      </w:pPr>
      <w:r>
        <w:t>Sect</w:t>
      </w:r>
      <w:r w:rsidR="00B61F0B">
        <w:t>ion</w:t>
      </w:r>
      <w:r w:rsidR="00DA26D0" w:rsidRPr="00E27D58">
        <w:t xml:space="preserve"> 3 </w:t>
      </w:r>
      <w:r w:rsidR="00DA26D0">
        <w:t xml:space="preserve">— </w:t>
      </w:r>
      <w:r>
        <w:t>Authority</w:t>
      </w:r>
    </w:p>
    <w:p w:rsidR="005B5DC4" w:rsidRDefault="005B5DC4" w:rsidP="005B5DC4">
      <w:pPr>
        <w:pStyle w:val="Paragraph"/>
      </w:pPr>
      <w:r>
        <w:t xml:space="preserve">Section 3 provides that the regulation is made under the </w:t>
      </w:r>
      <w:r w:rsidRPr="005B5DC4">
        <w:rPr>
          <w:i/>
        </w:rPr>
        <w:t>Family Law Act 1975</w:t>
      </w:r>
      <w:r>
        <w:t>.</w:t>
      </w:r>
    </w:p>
    <w:p w:rsidR="005B5DC4" w:rsidRDefault="005B5DC4" w:rsidP="00E22EEF">
      <w:pPr>
        <w:pStyle w:val="Heading2numbered"/>
        <w:numPr>
          <w:ilvl w:val="0"/>
          <w:numId w:val="0"/>
        </w:numPr>
        <w:spacing w:before="0"/>
      </w:pPr>
    </w:p>
    <w:p w:rsidR="00DA26D0" w:rsidRDefault="005B5DC4" w:rsidP="00E22EEF">
      <w:pPr>
        <w:pStyle w:val="Heading2numbered"/>
        <w:numPr>
          <w:ilvl w:val="0"/>
          <w:numId w:val="0"/>
        </w:numPr>
        <w:spacing w:before="0"/>
      </w:pPr>
      <w:r>
        <w:t xml:space="preserve">Section 4 </w:t>
      </w:r>
      <w:r w:rsidR="002207E5">
        <w:t>–</w:t>
      </w:r>
      <w:r>
        <w:t xml:space="preserve"> Schedule</w:t>
      </w:r>
      <w:r w:rsidR="002207E5">
        <w:t>(</w:t>
      </w:r>
      <w:r>
        <w:t>s</w:t>
      </w:r>
      <w:r w:rsidR="002207E5">
        <w:t>)</w:t>
      </w:r>
    </w:p>
    <w:p w:rsidR="005C584A" w:rsidRDefault="005C584A" w:rsidP="005C584A">
      <w:pPr>
        <w:pStyle w:val="Paragraph"/>
      </w:pPr>
      <w:r>
        <w:t>Section</w:t>
      </w:r>
      <w:r w:rsidR="005B5DC4">
        <w:t xml:space="preserve"> 4</w:t>
      </w:r>
      <w:r>
        <w:t xml:space="preserve"> provides that </w:t>
      </w:r>
      <w:r w:rsidR="00376104">
        <w:t xml:space="preserve">the </w:t>
      </w:r>
      <w:r w:rsidR="00376104" w:rsidRPr="00376104">
        <w:rPr>
          <w:i/>
        </w:rPr>
        <w:t>Family Law (Superannuation) Regulations 2001</w:t>
      </w:r>
      <w:r w:rsidR="00015EA3">
        <w:t xml:space="preserve"> are</w:t>
      </w:r>
      <w:r w:rsidR="00376104">
        <w:t xml:space="preserve"> amended as set out in Schedul</w:t>
      </w:r>
      <w:r>
        <w:t>e 1.</w:t>
      </w:r>
    </w:p>
    <w:p w:rsidR="005C584A" w:rsidRDefault="005C584A" w:rsidP="005C584A">
      <w:pPr>
        <w:spacing w:after="0"/>
        <w:rPr>
          <w:lang w:eastAsia="en-AU"/>
        </w:rPr>
      </w:pPr>
    </w:p>
    <w:p w:rsidR="005C584A" w:rsidRPr="00376104" w:rsidRDefault="005C584A" w:rsidP="002207E5">
      <w:pPr>
        <w:pStyle w:val="Heading2numbered"/>
        <w:numPr>
          <w:ilvl w:val="0"/>
          <w:numId w:val="0"/>
        </w:numPr>
        <w:spacing w:before="0"/>
      </w:pPr>
      <w:r w:rsidRPr="00376104">
        <w:lastRenderedPageBreak/>
        <w:t>Schedule 1 – Amendment</w:t>
      </w:r>
      <w:r w:rsidR="005B5DC4">
        <w:t>s</w:t>
      </w:r>
    </w:p>
    <w:p w:rsidR="005B332F" w:rsidRPr="00FF3068" w:rsidRDefault="005B332F" w:rsidP="002207E5">
      <w:pPr>
        <w:pStyle w:val="Paragraph"/>
        <w:keepNext/>
        <w:rPr>
          <w:b/>
        </w:rPr>
      </w:pPr>
      <w:r w:rsidRPr="00C040A4">
        <w:rPr>
          <w:b/>
        </w:rPr>
        <w:t xml:space="preserve">Item [1] – </w:t>
      </w:r>
      <w:r w:rsidR="00EE6FDA" w:rsidRPr="00277D9D">
        <w:rPr>
          <w:b/>
        </w:rPr>
        <w:t>Regulation</w:t>
      </w:r>
      <w:r w:rsidR="0033600A">
        <w:rPr>
          <w:b/>
        </w:rPr>
        <w:t xml:space="preserve"> </w:t>
      </w:r>
      <w:r w:rsidR="003A132D">
        <w:rPr>
          <w:b/>
        </w:rPr>
        <w:t>45D</w:t>
      </w:r>
    </w:p>
    <w:p w:rsidR="002207E5" w:rsidRDefault="00376104" w:rsidP="002207E5">
      <w:pPr>
        <w:pStyle w:val="Paragraph"/>
      </w:pPr>
      <w:r w:rsidRPr="00FF3068">
        <w:t xml:space="preserve">Item 1 </w:t>
      </w:r>
      <w:r w:rsidR="002207E5" w:rsidRPr="00FF3068">
        <w:t xml:space="preserve">amends </w:t>
      </w:r>
      <w:r w:rsidR="00EE6FDA" w:rsidRPr="00277D9D">
        <w:t>regulation 45D</w:t>
      </w:r>
      <w:r w:rsidR="00E26C47">
        <w:t xml:space="preserve"> </w:t>
      </w:r>
      <w:r w:rsidR="002207E5" w:rsidRPr="00FF3068">
        <w:t xml:space="preserve">of the </w:t>
      </w:r>
      <w:r w:rsidR="002207E5" w:rsidRPr="00FF3068">
        <w:rPr>
          <w:i/>
        </w:rPr>
        <w:t>Family Law (Superannuation) Regulations 2001</w:t>
      </w:r>
      <w:r w:rsidR="002207E5" w:rsidRPr="00FF3068">
        <w:t xml:space="preserve"> by omit</w:t>
      </w:r>
      <w:r w:rsidR="002207E5" w:rsidRPr="003A132D">
        <w:t>ting the word</w:t>
      </w:r>
      <w:r w:rsidR="00EE6FDA" w:rsidRPr="00277D9D">
        <w:t xml:space="preserve"> February (whenever occurr</w:t>
      </w:r>
      <w:r w:rsidR="005A5E41">
        <w:t>ing) and substituting the word November.</w:t>
      </w:r>
    </w:p>
    <w:p w:rsidR="00597C0E" w:rsidRPr="005B332F" w:rsidRDefault="00597C0E" w:rsidP="005A5E41">
      <w:pPr>
        <w:pStyle w:val="Paragraph"/>
        <w:keepNext/>
        <w:rPr>
          <w:b/>
        </w:rPr>
      </w:pPr>
      <w:r>
        <w:rPr>
          <w:b/>
        </w:rPr>
        <w:t>Item [</w:t>
      </w:r>
      <w:r w:rsidR="00B2185B">
        <w:rPr>
          <w:b/>
        </w:rPr>
        <w:t>2</w:t>
      </w:r>
      <w:r w:rsidRPr="005B332F">
        <w:rPr>
          <w:b/>
        </w:rPr>
        <w:t xml:space="preserve">] – </w:t>
      </w:r>
      <w:r>
        <w:rPr>
          <w:b/>
        </w:rPr>
        <w:t>After Part 7</w:t>
      </w:r>
    </w:p>
    <w:p w:rsidR="002207E5" w:rsidRDefault="00597C0E" w:rsidP="005A5E41">
      <w:pPr>
        <w:pStyle w:val="Paragraph"/>
        <w:keepNext/>
      </w:pPr>
      <w:r>
        <w:t xml:space="preserve">Item </w:t>
      </w:r>
      <w:r w:rsidR="003A132D">
        <w:t>2</w:t>
      </w:r>
      <w:r>
        <w:t xml:space="preserve"> inserts</w:t>
      </w:r>
      <w:r w:rsidRPr="00597C0E">
        <w:t xml:space="preserve"> a new Part </w:t>
      </w:r>
      <w:r>
        <w:t xml:space="preserve">8 – Transitional Arrangements into the </w:t>
      </w:r>
      <w:r w:rsidRPr="00597C0E">
        <w:rPr>
          <w:i/>
        </w:rPr>
        <w:t>Family Law (Superannuation) Regulations 2001</w:t>
      </w:r>
      <w:r>
        <w:t>.</w:t>
      </w:r>
    </w:p>
    <w:p w:rsidR="00597C0E" w:rsidRPr="00FF653C" w:rsidRDefault="00FF653C" w:rsidP="00597C0E">
      <w:pPr>
        <w:pStyle w:val="Paragraph"/>
        <w:rPr>
          <w:b/>
        </w:rPr>
      </w:pPr>
      <w:r>
        <w:rPr>
          <w:b/>
        </w:rPr>
        <w:t xml:space="preserve">Part 8 – </w:t>
      </w:r>
      <w:r w:rsidR="00597C0E" w:rsidRPr="00FF653C">
        <w:rPr>
          <w:b/>
        </w:rPr>
        <w:t>Transitional</w:t>
      </w:r>
      <w:r>
        <w:rPr>
          <w:b/>
        </w:rPr>
        <w:t xml:space="preserve"> </w:t>
      </w:r>
      <w:r w:rsidR="00597C0E" w:rsidRPr="00FF653C">
        <w:rPr>
          <w:b/>
        </w:rPr>
        <w:t>arrangements</w:t>
      </w:r>
    </w:p>
    <w:p w:rsidR="00597C0E" w:rsidRPr="00FF653C" w:rsidRDefault="00597C0E" w:rsidP="00597C0E">
      <w:pPr>
        <w:pStyle w:val="Paragraph"/>
        <w:rPr>
          <w:i/>
        </w:rPr>
      </w:pPr>
      <w:r w:rsidRPr="00FF653C">
        <w:rPr>
          <w:i/>
        </w:rPr>
        <w:t xml:space="preserve">73 </w:t>
      </w:r>
      <w:r w:rsidR="00FF653C">
        <w:rPr>
          <w:i/>
        </w:rPr>
        <w:t xml:space="preserve">– </w:t>
      </w:r>
      <w:r w:rsidRPr="00FF653C">
        <w:rPr>
          <w:i/>
        </w:rPr>
        <w:t>Purpose</w:t>
      </w:r>
      <w:r w:rsidR="00FF653C">
        <w:rPr>
          <w:i/>
        </w:rPr>
        <w:t xml:space="preserve"> </w:t>
      </w:r>
      <w:r w:rsidRPr="00FF653C">
        <w:rPr>
          <w:i/>
        </w:rPr>
        <w:t>of Part 8</w:t>
      </w:r>
    </w:p>
    <w:p w:rsidR="00597C0E" w:rsidRDefault="00FF653C" w:rsidP="00597C0E">
      <w:pPr>
        <w:pStyle w:val="Paragraph"/>
      </w:pPr>
      <w:r>
        <w:t xml:space="preserve">Regulation 73 clarifies that Part 8 </w:t>
      </w:r>
      <w:r w:rsidR="00597C0E">
        <w:t xml:space="preserve">makes transitional arrangements in relation to amendments of </w:t>
      </w:r>
      <w:r>
        <w:t xml:space="preserve">the </w:t>
      </w:r>
      <w:r w:rsidRPr="00FF653C">
        <w:rPr>
          <w:i/>
        </w:rPr>
        <w:t>Family Law (Superannuation) Regulations 2001</w:t>
      </w:r>
      <w:r w:rsidR="00597C0E">
        <w:t>.</w:t>
      </w:r>
    </w:p>
    <w:p w:rsidR="00597C0E" w:rsidRPr="00FF653C" w:rsidRDefault="00597C0E" w:rsidP="00597C0E">
      <w:pPr>
        <w:pStyle w:val="Paragraph"/>
        <w:rPr>
          <w:i/>
        </w:rPr>
      </w:pPr>
      <w:r w:rsidRPr="00FF653C">
        <w:rPr>
          <w:i/>
        </w:rPr>
        <w:t xml:space="preserve">74 </w:t>
      </w:r>
      <w:r w:rsidR="00FF653C">
        <w:rPr>
          <w:i/>
        </w:rPr>
        <w:t>–</w:t>
      </w:r>
      <w:r w:rsidR="00FF653C" w:rsidRPr="00FF653C">
        <w:rPr>
          <w:i/>
        </w:rPr>
        <w:t xml:space="preserve"> </w:t>
      </w:r>
      <w:r w:rsidRPr="00FF653C">
        <w:rPr>
          <w:i/>
        </w:rPr>
        <w:t>Amendments made by Family Law (Superannuation) Amendment (ABS) Regulation 2013</w:t>
      </w:r>
    </w:p>
    <w:p w:rsidR="0026562B" w:rsidRDefault="00FF653C" w:rsidP="00597C0E">
      <w:pPr>
        <w:pStyle w:val="Paragraph"/>
        <w:rPr>
          <w:szCs w:val="24"/>
        </w:rPr>
      </w:pPr>
      <w:r>
        <w:t xml:space="preserve">Regulation 74 provides </w:t>
      </w:r>
      <w:r w:rsidR="0026562B">
        <w:t>a formula</w:t>
      </w:r>
      <w:r w:rsidR="006D5957">
        <w:t xml:space="preserve"> </w:t>
      </w:r>
      <w:r w:rsidR="0026562B">
        <w:t xml:space="preserve">to determine </w:t>
      </w:r>
      <w:r w:rsidR="006D5957">
        <w:rPr>
          <w:szCs w:val="24"/>
        </w:rPr>
        <w:t xml:space="preserve">the interest rate for an adjustment period that begins or ends in </w:t>
      </w:r>
      <w:r w:rsidR="006D5957" w:rsidRPr="00552B9C">
        <w:rPr>
          <w:szCs w:val="24"/>
        </w:rPr>
        <w:t>the 2013/14 financial year.</w:t>
      </w:r>
      <w:r w:rsidR="0026562B">
        <w:rPr>
          <w:szCs w:val="24"/>
        </w:rPr>
        <w:t xml:space="preserve">  The formula determines the ‘amended percentage change’ to be used to calculate the interest for the adjustment period for </w:t>
      </w:r>
      <w:proofErr w:type="spellStart"/>
      <w:r w:rsidR="0026562B">
        <w:rPr>
          <w:szCs w:val="24"/>
        </w:rPr>
        <w:t>subregulations</w:t>
      </w:r>
      <w:proofErr w:type="spellEnd"/>
      <w:r w:rsidR="0026562B">
        <w:rPr>
          <w:szCs w:val="24"/>
        </w:rPr>
        <w:t xml:space="preserve"> 45D(3), (4) and (6).</w:t>
      </w:r>
    </w:p>
    <w:p w:rsidR="0026562B" w:rsidRDefault="0026562B" w:rsidP="0026562B">
      <w:pPr>
        <w:pStyle w:val="Paragraph"/>
      </w:pPr>
      <w:r w:rsidRPr="0026562B">
        <w:rPr>
          <w:b/>
        </w:rPr>
        <w:t>amended percentage change</w:t>
      </w:r>
      <w:r>
        <w:t xml:space="preserve"> is defined </w:t>
      </w:r>
      <w:r w:rsidR="0067307F">
        <w:t>by reference to a formula</w:t>
      </w:r>
      <w:r w:rsidR="003A132D">
        <w:t xml:space="preserve"> that</w:t>
      </w:r>
      <w:r w:rsidR="0067307F">
        <w:t xml:space="preserve"> represents</w:t>
      </w:r>
      <w:r>
        <w:t xml:space="preserve"> the </w:t>
      </w:r>
      <w:r w:rsidR="007B635C">
        <w:t xml:space="preserve">annualised </w:t>
      </w:r>
      <w:r>
        <w:t>percentage change in the original estimate of full-time adult ordinary time earnings for all persons in Australia between the February and November 2012 quarters.</w:t>
      </w:r>
    </w:p>
    <w:p w:rsidR="00597C0E" w:rsidRDefault="0026562B" w:rsidP="0026562B">
      <w:pPr>
        <w:pStyle w:val="Paragraph"/>
      </w:pPr>
      <w:r>
        <w:t xml:space="preserve">The following terms are used in the formula to determine </w:t>
      </w:r>
      <w:r w:rsidR="00597C0E">
        <w:t>the amended percentage change</w:t>
      </w:r>
      <w:r>
        <w:t>:</w:t>
      </w:r>
    </w:p>
    <w:p w:rsidR="00597C0E" w:rsidRDefault="00597C0E" w:rsidP="00597C0E">
      <w:pPr>
        <w:pStyle w:val="Paragraph"/>
      </w:pPr>
      <w:r w:rsidRPr="0026562B">
        <w:rPr>
          <w:b/>
        </w:rPr>
        <w:t xml:space="preserve">February </w:t>
      </w:r>
      <w:proofErr w:type="spellStart"/>
      <w:r w:rsidRPr="0026562B">
        <w:rPr>
          <w:b/>
        </w:rPr>
        <w:t>OTE</w:t>
      </w:r>
      <w:proofErr w:type="spellEnd"/>
      <w:r>
        <w:t xml:space="preserve"> means the original estimate of full-time adult</w:t>
      </w:r>
      <w:r w:rsidR="00FF653C">
        <w:t xml:space="preserve"> </w:t>
      </w:r>
      <w:r>
        <w:t>ordinary time earnings for all persons in Australia published by the</w:t>
      </w:r>
      <w:r w:rsidR="00FF653C">
        <w:t xml:space="preserve"> </w:t>
      </w:r>
      <w:r>
        <w:t>Australian Bureau of Statistics for the February 2012 quarter.</w:t>
      </w:r>
    </w:p>
    <w:p w:rsidR="00597C0E" w:rsidRDefault="00597C0E" w:rsidP="00597C0E">
      <w:pPr>
        <w:pStyle w:val="Paragraph"/>
      </w:pPr>
      <w:r w:rsidRPr="0026562B">
        <w:rPr>
          <w:b/>
        </w:rPr>
        <w:t xml:space="preserve">November </w:t>
      </w:r>
      <w:proofErr w:type="spellStart"/>
      <w:r w:rsidRPr="0026562B">
        <w:rPr>
          <w:b/>
        </w:rPr>
        <w:t>OTE</w:t>
      </w:r>
      <w:proofErr w:type="spellEnd"/>
      <w:r>
        <w:t xml:space="preserve"> means the original estimate of full-time adult</w:t>
      </w:r>
      <w:r w:rsidR="00FF653C">
        <w:t xml:space="preserve"> </w:t>
      </w:r>
      <w:r>
        <w:t>ordinary time earnings for all persons in Australia published by the</w:t>
      </w:r>
      <w:r w:rsidR="00FF653C">
        <w:t xml:space="preserve"> </w:t>
      </w:r>
      <w:r>
        <w:t>Australian Bureau of Statistics for the November 2012 quarter.</w:t>
      </w:r>
    </w:p>
    <w:p w:rsidR="005C1B43" w:rsidRPr="00E41B0A" w:rsidRDefault="005C1B43" w:rsidP="00DA26D0">
      <w:pPr>
        <w:spacing w:after="360" w:line="240" w:lineRule="auto"/>
        <w:jc w:val="center"/>
        <w:rPr>
          <w:rFonts w:ascii="Times New Roman" w:eastAsia="Times New Roman" w:hAnsi="Times New Roman"/>
          <w:b/>
          <w:sz w:val="24"/>
          <w:szCs w:val="24"/>
          <w:u w:val="single"/>
          <w:lang w:eastAsia="en-AU"/>
        </w:rPr>
      </w:pPr>
      <w:r>
        <w:rPr>
          <w:rFonts w:ascii="Times New Roman" w:hAnsi="Times New Roman"/>
          <w:sz w:val="24"/>
          <w:szCs w:val="24"/>
        </w:rPr>
        <w:br w:type="page"/>
      </w:r>
      <w:r w:rsidRPr="00E41B0A">
        <w:rPr>
          <w:rFonts w:ascii="Times New Roman" w:eastAsia="Times New Roman" w:hAnsi="Times New Roman"/>
          <w:b/>
          <w:sz w:val="24"/>
          <w:szCs w:val="24"/>
          <w:u w:val="single"/>
          <w:lang w:eastAsia="en-AU"/>
        </w:rPr>
        <w:lastRenderedPageBreak/>
        <w:t>Statement of Compatibility with Human Rights</w:t>
      </w:r>
    </w:p>
    <w:p w:rsidR="007F6972" w:rsidRDefault="005C1B43" w:rsidP="005C1B43">
      <w:pPr>
        <w:spacing w:after="0" w:line="240" w:lineRule="auto"/>
        <w:jc w:val="center"/>
        <w:rPr>
          <w:rFonts w:ascii="Times New Roman" w:eastAsia="Times New Roman" w:hAnsi="Times New Roman"/>
          <w:i/>
          <w:sz w:val="24"/>
          <w:szCs w:val="24"/>
          <w:lang w:eastAsia="en-AU"/>
        </w:rPr>
      </w:pPr>
      <w:r w:rsidRPr="006D0324">
        <w:rPr>
          <w:rFonts w:ascii="Times New Roman" w:eastAsia="Times New Roman" w:hAnsi="Times New Roman"/>
          <w:i/>
          <w:sz w:val="24"/>
          <w:szCs w:val="24"/>
          <w:lang w:eastAsia="en-AU"/>
        </w:rPr>
        <w:t>Prepared in accordance with Part 3 of the Human Rights (Parliamentary Scrutiny) Act 2011</w:t>
      </w:r>
    </w:p>
    <w:p w:rsidR="00C074D5" w:rsidRDefault="00C074D5" w:rsidP="005C1B43">
      <w:pPr>
        <w:spacing w:after="0" w:line="240" w:lineRule="auto"/>
        <w:jc w:val="center"/>
        <w:rPr>
          <w:rFonts w:ascii="Times New Roman" w:eastAsia="Times New Roman" w:hAnsi="Times New Roman"/>
          <w:b/>
          <w:i/>
          <w:sz w:val="24"/>
          <w:szCs w:val="24"/>
          <w:lang w:eastAsia="en-AU"/>
        </w:rPr>
      </w:pPr>
    </w:p>
    <w:p w:rsidR="005C1B43" w:rsidRDefault="005C1B43" w:rsidP="005C1B43">
      <w:pPr>
        <w:spacing w:after="0" w:line="240" w:lineRule="auto"/>
        <w:jc w:val="center"/>
        <w:rPr>
          <w:rFonts w:ascii="Times New Roman" w:eastAsia="Times New Roman" w:hAnsi="Times New Roman"/>
          <w:b/>
          <w:i/>
          <w:sz w:val="24"/>
          <w:szCs w:val="24"/>
          <w:lang w:eastAsia="en-AU"/>
        </w:rPr>
      </w:pPr>
      <w:r w:rsidRPr="00E41B0A">
        <w:rPr>
          <w:rFonts w:ascii="Times New Roman" w:eastAsia="Times New Roman" w:hAnsi="Times New Roman"/>
          <w:b/>
          <w:i/>
          <w:sz w:val="24"/>
          <w:szCs w:val="24"/>
          <w:lang w:eastAsia="en-AU"/>
        </w:rPr>
        <w:t xml:space="preserve">Family Law (Superannuation) </w:t>
      </w:r>
      <w:r w:rsidR="008602EB">
        <w:rPr>
          <w:rFonts w:ascii="Times New Roman" w:eastAsia="Times New Roman" w:hAnsi="Times New Roman"/>
          <w:b/>
          <w:i/>
          <w:sz w:val="24"/>
          <w:szCs w:val="24"/>
          <w:lang w:eastAsia="en-AU"/>
        </w:rPr>
        <w:t xml:space="preserve">Amendment </w:t>
      </w:r>
      <w:r w:rsidR="00205ED8">
        <w:rPr>
          <w:rFonts w:ascii="Times New Roman" w:eastAsia="Times New Roman" w:hAnsi="Times New Roman"/>
          <w:b/>
          <w:i/>
          <w:sz w:val="24"/>
          <w:szCs w:val="24"/>
          <w:lang w:eastAsia="en-AU"/>
        </w:rPr>
        <w:t xml:space="preserve">(ABS) </w:t>
      </w:r>
      <w:r w:rsidR="00341B04">
        <w:rPr>
          <w:rFonts w:ascii="Times New Roman" w:eastAsia="Times New Roman" w:hAnsi="Times New Roman"/>
          <w:b/>
          <w:i/>
          <w:sz w:val="24"/>
          <w:szCs w:val="24"/>
          <w:lang w:eastAsia="en-AU"/>
        </w:rPr>
        <w:t>Regulation 2013</w:t>
      </w:r>
    </w:p>
    <w:p w:rsidR="007F6972" w:rsidRPr="00E41B0A" w:rsidRDefault="007F6972" w:rsidP="005C1B43">
      <w:pPr>
        <w:spacing w:after="0" w:line="240" w:lineRule="auto"/>
        <w:jc w:val="center"/>
        <w:rPr>
          <w:rFonts w:ascii="Times New Roman" w:eastAsia="Times New Roman" w:hAnsi="Times New Roman"/>
          <w:b/>
          <w:i/>
          <w:sz w:val="24"/>
          <w:szCs w:val="24"/>
          <w:lang w:eastAsia="en-AU"/>
        </w:rPr>
      </w:pPr>
    </w:p>
    <w:p w:rsidR="005C1B43" w:rsidRPr="00E41B0A" w:rsidRDefault="005C1B43" w:rsidP="006D0324">
      <w:pPr>
        <w:spacing w:after="360" w:line="240" w:lineRule="auto"/>
        <w:jc w:val="center"/>
        <w:rPr>
          <w:rFonts w:ascii="Times New Roman" w:eastAsia="Times New Roman" w:hAnsi="Times New Roman"/>
          <w:sz w:val="24"/>
          <w:szCs w:val="24"/>
          <w:lang w:eastAsia="en-AU"/>
        </w:rPr>
      </w:pPr>
      <w:r w:rsidRPr="00E41B0A">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00E41B0A">
        <w:rPr>
          <w:rFonts w:ascii="Times New Roman" w:eastAsia="Times New Roman" w:hAnsi="Times New Roman"/>
          <w:i/>
          <w:sz w:val="24"/>
          <w:szCs w:val="20"/>
          <w:lang w:eastAsia="en-AU"/>
        </w:rPr>
        <w:t>Human </w:t>
      </w:r>
      <w:r w:rsidRPr="00E41B0A">
        <w:rPr>
          <w:rFonts w:ascii="Times New Roman" w:eastAsia="Times New Roman" w:hAnsi="Times New Roman"/>
          <w:i/>
          <w:sz w:val="24"/>
          <w:szCs w:val="20"/>
          <w:lang w:eastAsia="en-AU"/>
        </w:rPr>
        <w:t>Rights</w:t>
      </w:r>
      <w:r w:rsidR="00E41B0A">
        <w:rPr>
          <w:rFonts w:ascii="Times New Roman" w:eastAsia="Times New Roman" w:hAnsi="Times New Roman"/>
          <w:i/>
          <w:sz w:val="24"/>
          <w:szCs w:val="20"/>
          <w:lang w:eastAsia="en-AU"/>
        </w:rPr>
        <w:t> </w:t>
      </w:r>
      <w:r w:rsidRPr="00E41B0A">
        <w:rPr>
          <w:rFonts w:ascii="Times New Roman" w:eastAsia="Times New Roman" w:hAnsi="Times New Roman"/>
          <w:i/>
          <w:sz w:val="24"/>
          <w:szCs w:val="20"/>
          <w:lang w:eastAsia="en-AU"/>
        </w:rPr>
        <w:t>(Parliamentary Scrutiny) Act 2011</w:t>
      </w:r>
      <w:r w:rsidRPr="00E41B0A">
        <w:rPr>
          <w:rFonts w:ascii="Times New Roman" w:eastAsia="Times New Roman" w:hAnsi="Times New Roman"/>
          <w:sz w:val="24"/>
          <w:szCs w:val="24"/>
          <w:lang w:eastAsia="en-AU"/>
        </w:rPr>
        <w:t>.</w:t>
      </w:r>
    </w:p>
    <w:p w:rsidR="005C1B43" w:rsidRDefault="005C1B43" w:rsidP="005C1B43">
      <w:pPr>
        <w:spacing w:before="240" w:after="0" w:line="240" w:lineRule="auto"/>
        <w:rPr>
          <w:rFonts w:ascii="Times New Roman" w:eastAsia="Times New Roman" w:hAnsi="Times New Roman"/>
          <w:b/>
          <w:sz w:val="24"/>
          <w:szCs w:val="20"/>
          <w:lang w:eastAsia="en-AU"/>
        </w:rPr>
      </w:pPr>
      <w:r>
        <w:rPr>
          <w:rFonts w:ascii="Times New Roman" w:eastAsia="Times New Roman" w:hAnsi="Times New Roman"/>
          <w:b/>
          <w:sz w:val="24"/>
          <w:szCs w:val="20"/>
          <w:lang w:eastAsia="en-AU"/>
        </w:rPr>
        <w:t>Overview of the Legislative Instrument</w:t>
      </w:r>
    </w:p>
    <w:p w:rsidR="00376994" w:rsidRDefault="00376994" w:rsidP="008602EB">
      <w:pPr>
        <w:pStyle w:val="Paragraph"/>
      </w:pPr>
      <w:r>
        <w:t xml:space="preserve">The Family Law (Superannuation) Amendment </w:t>
      </w:r>
      <w:r w:rsidR="001A49E8">
        <w:t xml:space="preserve">(ABS) </w:t>
      </w:r>
      <w:r>
        <w:t xml:space="preserve">Regulation 2013 (the Regulation) makes technical amendments to </w:t>
      </w:r>
      <w:r w:rsidR="00552B9C">
        <w:t xml:space="preserve">regulation 45D of </w:t>
      </w:r>
      <w:r>
        <w:t xml:space="preserve">the </w:t>
      </w:r>
      <w:r w:rsidRPr="00552B9C">
        <w:rPr>
          <w:i/>
        </w:rPr>
        <w:t>Family Law (Superannuation) Regulations</w:t>
      </w:r>
      <w:r w:rsidR="00552B9C" w:rsidRPr="00552B9C">
        <w:rPr>
          <w:i/>
        </w:rPr>
        <w:t> </w:t>
      </w:r>
      <w:r w:rsidRPr="00552B9C">
        <w:rPr>
          <w:i/>
        </w:rPr>
        <w:t>2001</w:t>
      </w:r>
      <w:r>
        <w:t xml:space="preserve"> (the Principal Regulations) to ensure that regulation 45D of the Principal Regulations is opera</w:t>
      </w:r>
      <w:r w:rsidR="0036247F">
        <w:t>tive</w:t>
      </w:r>
      <w:r>
        <w:t>.</w:t>
      </w:r>
    </w:p>
    <w:p w:rsidR="00552B9C" w:rsidRDefault="00552B9C" w:rsidP="00552B9C">
      <w:pPr>
        <w:pStyle w:val="Paragraph"/>
      </w:pPr>
      <w:r>
        <w:t xml:space="preserve">The amendments to the </w:t>
      </w:r>
      <w:r w:rsidR="00217FDE">
        <w:t xml:space="preserve">Principal </w:t>
      </w:r>
      <w:r>
        <w:t xml:space="preserve">Regulations are required as a result of the decision of the Australian Bureau of Statistics (ABS) to reduce the frequency of the Survey </w:t>
      </w:r>
      <w:r w:rsidR="00205ED8">
        <w:t>of Average Weekly Earnings</w:t>
      </w:r>
      <w:r>
        <w:t xml:space="preserve"> from quarterly to biannual.  On 16 August 2012 the ABS stated:</w:t>
      </w:r>
    </w:p>
    <w:p w:rsidR="00552B9C" w:rsidRDefault="00552B9C" w:rsidP="00217FDE">
      <w:pPr>
        <w:pStyle w:val="Paragraph"/>
        <w:ind w:left="720"/>
      </w:pPr>
      <w:r>
        <w:t xml:space="preserve">The frequency of the average weekly earnings series is changing from quarterly to biannual in 2012.  The May 2012 publication </w:t>
      </w:r>
      <w:r w:rsidR="00341B04">
        <w:t xml:space="preserve">[of the February quarter] </w:t>
      </w:r>
      <w:r>
        <w:t>is the last quarterly issue and the November 2012 publication the first produced on a biannual basis.  From 2013 onwards, the AWE series will be published twice a year relating to the May and November quarters...For full details on the change in frequency, refer to the Information Paper: Changes to Average Weekly Earnings, Australia, April 2012...</w:t>
      </w:r>
    </w:p>
    <w:p w:rsidR="00552B9C" w:rsidRDefault="00552B9C" w:rsidP="00552B9C">
      <w:pPr>
        <w:pStyle w:val="Paragraph"/>
      </w:pPr>
      <w:r>
        <w:t xml:space="preserve">Regulation 45D of the </w:t>
      </w:r>
      <w:r w:rsidR="00217FDE">
        <w:t xml:space="preserve">Principal </w:t>
      </w:r>
      <w:r>
        <w:t>Regulations uses ‘the percentage change in the original estimate of full-time adult ordinary time earnings for all persons in Australia, as published by the Australian Bureau of Statistics during the year ending with the February quarter…’.</w:t>
      </w:r>
    </w:p>
    <w:p w:rsidR="008602EB" w:rsidRDefault="008602EB" w:rsidP="00552B9C">
      <w:pPr>
        <w:pStyle w:val="Paragraph"/>
      </w:pPr>
      <w:r>
        <w:t>The Regulation amends the Principal Regulations to</w:t>
      </w:r>
      <w:r w:rsidR="002F4EE8">
        <w:t xml:space="preserve"> link the rate and methods to the percentage change over t</w:t>
      </w:r>
      <w:r w:rsidR="003A132D">
        <w:t xml:space="preserve">he year to the November quarter, </w:t>
      </w:r>
      <w:r w:rsidR="002F4EE8">
        <w:t>which will now be the most recently available at the com</w:t>
      </w:r>
      <w:r w:rsidR="005A5E41">
        <w:t>mencement of a financial year.</w:t>
      </w:r>
    </w:p>
    <w:p w:rsidR="00C24D3A" w:rsidRPr="008602EB" w:rsidRDefault="00376994" w:rsidP="008602EB">
      <w:pPr>
        <w:pStyle w:val="Paragraph"/>
      </w:pPr>
      <w:r>
        <w:t>None of these amendments make substantive changes to the law</w:t>
      </w:r>
      <w:r w:rsidR="008602EB">
        <w:t>.</w:t>
      </w:r>
    </w:p>
    <w:p w:rsidR="00E22EEF" w:rsidRPr="004D37D7" w:rsidRDefault="004D37D7" w:rsidP="004D37D7">
      <w:pPr>
        <w:spacing w:before="240" w:after="0" w:line="240" w:lineRule="auto"/>
        <w:rPr>
          <w:rFonts w:ascii="Times New Roman" w:eastAsia="Times New Roman" w:hAnsi="Times New Roman"/>
          <w:b/>
          <w:sz w:val="24"/>
          <w:szCs w:val="20"/>
          <w:lang w:eastAsia="en-AU"/>
        </w:rPr>
      </w:pPr>
      <w:r>
        <w:rPr>
          <w:rFonts w:ascii="Times New Roman" w:eastAsia="Times New Roman" w:hAnsi="Times New Roman"/>
          <w:b/>
          <w:sz w:val="24"/>
          <w:szCs w:val="20"/>
          <w:lang w:eastAsia="en-AU"/>
        </w:rPr>
        <w:t>Human rights implications</w:t>
      </w:r>
    </w:p>
    <w:p w:rsidR="004D37D7" w:rsidRDefault="00376994" w:rsidP="004D37D7">
      <w:pPr>
        <w:pStyle w:val="Paragraph"/>
        <w:rPr>
          <w:szCs w:val="24"/>
        </w:rPr>
      </w:pPr>
      <w:r>
        <w:rPr>
          <w:szCs w:val="24"/>
        </w:rPr>
        <w:t>The Regulation does not engage any of the applicable rights or freedoms</w:t>
      </w:r>
      <w:r w:rsidR="00E22EEF" w:rsidRPr="00E22EEF">
        <w:rPr>
          <w:szCs w:val="24"/>
        </w:rPr>
        <w:t>.</w:t>
      </w:r>
    </w:p>
    <w:p w:rsidR="005C1B43" w:rsidRDefault="005C1B43" w:rsidP="005C1B43">
      <w:pPr>
        <w:spacing w:before="24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Conclusion</w:t>
      </w:r>
    </w:p>
    <w:p w:rsidR="00753DB1" w:rsidRPr="00DD6BE5" w:rsidRDefault="005C1B43" w:rsidP="00DD6BE5">
      <w:pPr>
        <w:spacing w:before="240"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CC0613">
        <w:rPr>
          <w:rFonts w:ascii="Times New Roman" w:eastAsia="Times New Roman" w:hAnsi="Times New Roman"/>
          <w:sz w:val="24"/>
          <w:szCs w:val="24"/>
          <w:lang w:eastAsia="en-AU"/>
        </w:rPr>
        <w:t>Regulation</w:t>
      </w:r>
      <w:r w:rsidR="000F51AC">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is compatible with human rights</w:t>
      </w:r>
      <w:r w:rsidR="00E22EEF">
        <w:rPr>
          <w:rFonts w:ascii="Times New Roman" w:eastAsia="Times New Roman" w:hAnsi="Times New Roman"/>
          <w:sz w:val="24"/>
          <w:szCs w:val="24"/>
          <w:lang w:eastAsia="en-AU"/>
        </w:rPr>
        <w:t xml:space="preserve"> </w:t>
      </w:r>
      <w:r w:rsidR="00376994">
        <w:rPr>
          <w:rFonts w:ascii="Times New Roman" w:eastAsia="Times New Roman" w:hAnsi="Times New Roman"/>
          <w:sz w:val="24"/>
          <w:szCs w:val="24"/>
          <w:lang w:eastAsia="en-AU"/>
        </w:rPr>
        <w:t>as it does not raise any human rights issues</w:t>
      </w:r>
      <w:r w:rsidR="00E22EEF" w:rsidRPr="00E22EEF">
        <w:rPr>
          <w:rFonts w:ascii="Times New Roman" w:eastAsia="Times New Roman" w:hAnsi="Times New Roman"/>
          <w:sz w:val="24"/>
          <w:szCs w:val="24"/>
        </w:rPr>
        <w:t>.</w:t>
      </w:r>
    </w:p>
    <w:sectPr w:rsidR="00753DB1" w:rsidRPr="00DD6BE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4A" w:rsidRDefault="001F0C4A" w:rsidP="00E953ED">
      <w:pPr>
        <w:spacing w:after="0" w:line="240" w:lineRule="auto"/>
      </w:pPr>
      <w:r>
        <w:separator/>
      </w:r>
    </w:p>
  </w:endnote>
  <w:endnote w:type="continuationSeparator" w:id="0">
    <w:p w:rsidR="001F0C4A" w:rsidRDefault="001F0C4A" w:rsidP="00E9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ED" w:rsidRPr="00C24D3A" w:rsidRDefault="00E953ED" w:rsidP="00E953ED">
    <w:pPr>
      <w:pStyle w:val="Footer"/>
      <w:tabs>
        <w:tab w:val="clear" w:pos="4513"/>
        <w:tab w:val="clear" w:pos="9026"/>
      </w:tabs>
      <w:spacing w:after="0" w:line="240" w:lineRule="auto"/>
      <w:jc w:val="right"/>
      <w:rPr>
        <w:rFonts w:ascii="Times New Roman" w:eastAsia="Times New Roman" w:hAnsi="Times New Roman"/>
        <w:i/>
        <w:lang w:eastAsia="en-AU"/>
      </w:rPr>
    </w:pPr>
    <w:r w:rsidRPr="00C24D3A">
      <w:rPr>
        <w:rFonts w:ascii="Times New Roman" w:hAnsi="Times New Roman"/>
        <w:i/>
        <w:iCs/>
      </w:rPr>
      <w:t xml:space="preserve">Family Law (Superannuation) </w:t>
    </w:r>
    <w:r w:rsidR="008A32CE">
      <w:rPr>
        <w:rFonts w:ascii="Times New Roman" w:hAnsi="Times New Roman"/>
        <w:i/>
        <w:iCs/>
      </w:rPr>
      <w:t xml:space="preserve">Amendment (ABS) </w:t>
    </w:r>
    <w:r w:rsidR="005B332F">
      <w:rPr>
        <w:rFonts w:ascii="Times New Roman" w:hAnsi="Times New Roman"/>
        <w:i/>
        <w:iCs/>
      </w:rPr>
      <w:t>Regulation 20</w:t>
    </w:r>
    <w:r w:rsidR="005A5E41">
      <w:rPr>
        <w:rFonts w:ascii="Times New Roman" w:hAnsi="Times New Roman"/>
        <w:i/>
        <w:iCs/>
      </w:rPr>
      <w:t>13</w:t>
    </w:r>
    <w:r w:rsidRPr="00C24D3A">
      <w:rPr>
        <w:rFonts w:ascii="Times New Roman" w:eastAsia="Times New Roman" w:hAnsi="Times New Roman"/>
        <w:i/>
        <w:lang w:eastAsia="en-AU"/>
      </w:rPr>
      <w:t xml:space="preserve">: </w:t>
    </w:r>
  </w:p>
  <w:p w:rsidR="00E953ED" w:rsidRPr="00E953ED" w:rsidRDefault="00E953ED" w:rsidP="00E953ED">
    <w:pPr>
      <w:pStyle w:val="Footer"/>
      <w:tabs>
        <w:tab w:val="clear" w:pos="4513"/>
        <w:tab w:val="clear" w:pos="9026"/>
      </w:tabs>
      <w:spacing w:after="0" w:line="240" w:lineRule="auto"/>
      <w:jc w:val="right"/>
      <w:rPr>
        <w:rFonts w:ascii="Times New Roman" w:eastAsia="Times New Roman" w:hAnsi="Times New Roman"/>
        <w:szCs w:val="20"/>
        <w:lang w:eastAsia="en-AU"/>
      </w:rPr>
    </w:pPr>
    <w:r w:rsidRPr="00E953ED">
      <w:rPr>
        <w:rFonts w:ascii="Times New Roman" w:eastAsia="Times New Roman" w:hAnsi="Times New Roman"/>
        <w:szCs w:val="20"/>
        <w:lang w:eastAsia="en-AU"/>
      </w:rPr>
      <w:t xml:space="preserve">Explanatory Statement and Statement of Compatibility with Human Rights — </w:t>
    </w:r>
    <w:r w:rsidRPr="00E953ED">
      <w:rPr>
        <w:rFonts w:ascii="Times New Roman" w:eastAsia="Times New Roman" w:hAnsi="Times New Roman"/>
        <w:szCs w:val="20"/>
        <w:lang w:eastAsia="en-AU"/>
      </w:rPr>
      <w:fldChar w:fldCharType="begin"/>
    </w:r>
    <w:r w:rsidRPr="00E953ED">
      <w:rPr>
        <w:rFonts w:ascii="Times New Roman" w:eastAsia="Times New Roman" w:hAnsi="Times New Roman"/>
        <w:szCs w:val="20"/>
        <w:lang w:eastAsia="en-AU"/>
      </w:rPr>
      <w:instrText xml:space="preserve"> PAGE </w:instrText>
    </w:r>
    <w:r w:rsidRPr="00E953ED">
      <w:rPr>
        <w:rFonts w:ascii="Times New Roman" w:eastAsia="Times New Roman" w:hAnsi="Times New Roman"/>
        <w:szCs w:val="20"/>
        <w:lang w:eastAsia="en-AU"/>
      </w:rPr>
      <w:fldChar w:fldCharType="separate"/>
    </w:r>
    <w:r w:rsidR="004B2EA6">
      <w:rPr>
        <w:rFonts w:ascii="Times New Roman" w:eastAsia="Times New Roman" w:hAnsi="Times New Roman"/>
        <w:noProof/>
        <w:szCs w:val="20"/>
        <w:lang w:eastAsia="en-AU"/>
      </w:rPr>
      <w:t>1</w:t>
    </w:r>
    <w:r w:rsidRPr="00E953ED">
      <w:rPr>
        <w:rFonts w:ascii="Times New Roman" w:eastAsia="Times New Roman" w:hAnsi="Times New Roman"/>
        <w:szCs w:val="20"/>
        <w:lang w:eastAsia="en-AU"/>
      </w:rPr>
      <w:fldChar w:fldCharType="end"/>
    </w:r>
    <w:r w:rsidRPr="00E953ED">
      <w:rPr>
        <w:rFonts w:ascii="Times New Roman" w:eastAsia="Times New Roman" w:hAnsi="Times New Roman"/>
        <w:szCs w:val="20"/>
        <w:lang w:eastAsia="en-AU"/>
      </w:rPr>
      <w:t xml:space="preserve"> of </w:t>
    </w:r>
    <w:r w:rsidRPr="00E953ED">
      <w:rPr>
        <w:rFonts w:ascii="Times New Roman" w:eastAsia="Times New Roman" w:hAnsi="Times New Roman"/>
        <w:szCs w:val="20"/>
        <w:lang w:eastAsia="en-AU"/>
      </w:rPr>
      <w:fldChar w:fldCharType="begin"/>
    </w:r>
    <w:r w:rsidRPr="00E953ED">
      <w:rPr>
        <w:rFonts w:ascii="Times New Roman" w:eastAsia="Times New Roman" w:hAnsi="Times New Roman"/>
        <w:szCs w:val="20"/>
        <w:lang w:eastAsia="en-AU"/>
      </w:rPr>
      <w:instrText xml:space="preserve"> NUMPAGES </w:instrText>
    </w:r>
    <w:r w:rsidRPr="00E953ED">
      <w:rPr>
        <w:rFonts w:ascii="Times New Roman" w:eastAsia="Times New Roman" w:hAnsi="Times New Roman"/>
        <w:szCs w:val="20"/>
        <w:lang w:eastAsia="en-AU"/>
      </w:rPr>
      <w:fldChar w:fldCharType="separate"/>
    </w:r>
    <w:r w:rsidR="004B2EA6">
      <w:rPr>
        <w:rFonts w:ascii="Times New Roman" w:eastAsia="Times New Roman" w:hAnsi="Times New Roman"/>
        <w:noProof/>
        <w:szCs w:val="20"/>
        <w:lang w:eastAsia="en-AU"/>
      </w:rPr>
      <w:t>4</w:t>
    </w:r>
    <w:r w:rsidRPr="00E953ED">
      <w:rPr>
        <w:rFonts w:ascii="Times New Roman" w:eastAsia="Times New Roman" w:hAnsi="Times New Roman"/>
        <w:szCs w:val="20"/>
        <w:lang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4A" w:rsidRDefault="001F0C4A" w:rsidP="00E953ED">
      <w:pPr>
        <w:spacing w:after="0" w:line="240" w:lineRule="auto"/>
      </w:pPr>
      <w:r>
        <w:separator/>
      </w:r>
    </w:p>
  </w:footnote>
  <w:footnote w:type="continuationSeparator" w:id="0">
    <w:p w:rsidR="001F0C4A" w:rsidRDefault="001F0C4A" w:rsidP="00E95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0658"/>
    <w:multiLevelType w:val="multilevel"/>
    <w:tmpl w:val="99E43D82"/>
    <w:lvl w:ilvl="0">
      <w:start w:val="1"/>
      <w:numFmt w:val="decimal"/>
      <w:pStyle w:val="Heading1numbered"/>
      <w:lvlText w:val="%1"/>
      <w:lvlJc w:val="left"/>
      <w:pPr>
        <w:tabs>
          <w:tab w:val="num" w:pos="360"/>
        </w:tabs>
        <w:ind w:left="0" w:firstLine="0"/>
      </w:pPr>
    </w:lvl>
    <w:lvl w:ilvl="1">
      <w:start w:val="1"/>
      <w:numFmt w:val="decimal"/>
      <w:pStyle w:val="Heading2numbered"/>
      <w:lvlText w:val="%1.%2"/>
      <w:lvlJc w:val="left"/>
      <w:pPr>
        <w:tabs>
          <w:tab w:val="num" w:pos="720"/>
        </w:tabs>
        <w:ind w:left="0" w:firstLine="0"/>
      </w:pPr>
    </w:lvl>
    <w:lvl w:ilvl="2">
      <w:start w:val="1"/>
      <w:numFmt w:val="decimal"/>
      <w:pStyle w:val="Heading3numbered"/>
      <w:lvlText w:val="%1.%2.%3"/>
      <w:lvlJc w:val="left"/>
      <w:pPr>
        <w:tabs>
          <w:tab w:val="num" w:pos="720"/>
        </w:tabs>
        <w:ind w:left="0" w:firstLine="0"/>
      </w:pPr>
    </w:lvl>
    <w:lvl w:ilvl="3">
      <w:start w:val="1"/>
      <w:numFmt w:val="decimal"/>
      <w:pStyle w:val="Heading4numbered"/>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F404D0C"/>
    <w:multiLevelType w:val="hybridMultilevel"/>
    <w:tmpl w:val="FBFCA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565C4E"/>
    <w:multiLevelType w:val="hybridMultilevel"/>
    <w:tmpl w:val="DAA6B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9430971"/>
    <w:multiLevelType w:val="hybridMultilevel"/>
    <w:tmpl w:val="CB865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3"/>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B1"/>
    <w:rsid w:val="00015EA3"/>
    <w:rsid w:val="00022639"/>
    <w:rsid w:val="0002400A"/>
    <w:rsid w:val="000450ED"/>
    <w:rsid w:val="00047F40"/>
    <w:rsid w:val="00090DE3"/>
    <w:rsid w:val="000A32D5"/>
    <w:rsid w:val="000B174F"/>
    <w:rsid w:val="000D19D7"/>
    <w:rsid w:val="000F51AC"/>
    <w:rsid w:val="00103105"/>
    <w:rsid w:val="00114F50"/>
    <w:rsid w:val="001170BE"/>
    <w:rsid w:val="001479C4"/>
    <w:rsid w:val="001552FC"/>
    <w:rsid w:val="00164C57"/>
    <w:rsid w:val="001A3041"/>
    <w:rsid w:val="001A49E8"/>
    <w:rsid w:val="001E1D2D"/>
    <w:rsid w:val="001F0C4A"/>
    <w:rsid w:val="00203E1D"/>
    <w:rsid w:val="00205ED8"/>
    <w:rsid w:val="00216DD3"/>
    <w:rsid w:val="00217FDE"/>
    <w:rsid w:val="002207E5"/>
    <w:rsid w:val="00234469"/>
    <w:rsid w:val="00246644"/>
    <w:rsid w:val="00257412"/>
    <w:rsid w:val="0026562B"/>
    <w:rsid w:val="00265EAE"/>
    <w:rsid w:val="00277D9D"/>
    <w:rsid w:val="00291AEE"/>
    <w:rsid w:val="002951F2"/>
    <w:rsid w:val="002A682D"/>
    <w:rsid w:val="002A7418"/>
    <w:rsid w:val="002D4DFD"/>
    <w:rsid w:val="002D5722"/>
    <w:rsid w:val="002D622E"/>
    <w:rsid w:val="002D7EF9"/>
    <w:rsid w:val="002E6FF2"/>
    <w:rsid w:val="002E70B9"/>
    <w:rsid w:val="002F3FF9"/>
    <w:rsid w:val="002F4EE8"/>
    <w:rsid w:val="0031679D"/>
    <w:rsid w:val="003252C1"/>
    <w:rsid w:val="00334771"/>
    <w:rsid w:val="0033600A"/>
    <w:rsid w:val="00341B04"/>
    <w:rsid w:val="0036247F"/>
    <w:rsid w:val="00366FF0"/>
    <w:rsid w:val="0037099F"/>
    <w:rsid w:val="00376104"/>
    <w:rsid w:val="00376994"/>
    <w:rsid w:val="00377E9E"/>
    <w:rsid w:val="003A132D"/>
    <w:rsid w:val="003F0DA6"/>
    <w:rsid w:val="004445CA"/>
    <w:rsid w:val="004546FD"/>
    <w:rsid w:val="00456458"/>
    <w:rsid w:val="00457471"/>
    <w:rsid w:val="004918F9"/>
    <w:rsid w:val="004B2EA6"/>
    <w:rsid w:val="004D37D7"/>
    <w:rsid w:val="005272E6"/>
    <w:rsid w:val="005521DB"/>
    <w:rsid w:val="00552B9C"/>
    <w:rsid w:val="00597C0E"/>
    <w:rsid w:val="005A5E41"/>
    <w:rsid w:val="005B332F"/>
    <w:rsid w:val="005B5DC4"/>
    <w:rsid w:val="005C1B43"/>
    <w:rsid w:val="005C584A"/>
    <w:rsid w:val="00602529"/>
    <w:rsid w:val="00615CD9"/>
    <w:rsid w:val="00633FA9"/>
    <w:rsid w:val="00635A81"/>
    <w:rsid w:val="00657375"/>
    <w:rsid w:val="0067307F"/>
    <w:rsid w:val="006A0CC6"/>
    <w:rsid w:val="006C62AB"/>
    <w:rsid w:val="006D0324"/>
    <w:rsid w:val="006D5957"/>
    <w:rsid w:val="006E7C4C"/>
    <w:rsid w:val="007201CD"/>
    <w:rsid w:val="00727855"/>
    <w:rsid w:val="0074578D"/>
    <w:rsid w:val="007529C1"/>
    <w:rsid w:val="00753DB1"/>
    <w:rsid w:val="00791008"/>
    <w:rsid w:val="007B635C"/>
    <w:rsid w:val="007C0D26"/>
    <w:rsid w:val="007C18A0"/>
    <w:rsid w:val="007D66ED"/>
    <w:rsid w:val="007F58A3"/>
    <w:rsid w:val="007F6972"/>
    <w:rsid w:val="0080021A"/>
    <w:rsid w:val="00813BAC"/>
    <w:rsid w:val="00826102"/>
    <w:rsid w:val="00844B8A"/>
    <w:rsid w:val="00854424"/>
    <w:rsid w:val="008602EB"/>
    <w:rsid w:val="0088494A"/>
    <w:rsid w:val="008908F9"/>
    <w:rsid w:val="008A2E17"/>
    <w:rsid w:val="008A32CE"/>
    <w:rsid w:val="009014E5"/>
    <w:rsid w:val="009015CC"/>
    <w:rsid w:val="00925413"/>
    <w:rsid w:val="0093299B"/>
    <w:rsid w:val="00933116"/>
    <w:rsid w:val="00936950"/>
    <w:rsid w:val="00943A6C"/>
    <w:rsid w:val="0095371D"/>
    <w:rsid w:val="00954F48"/>
    <w:rsid w:val="00956D95"/>
    <w:rsid w:val="00961EE9"/>
    <w:rsid w:val="009870D9"/>
    <w:rsid w:val="00997ADC"/>
    <w:rsid w:val="009D530D"/>
    <w:rsid w:val="009E5F69"/>
    <w:rsid w:val="009F1321"/>
    <w:rsid w:val="009F4247"/>
    <w:rsid w:val="00A07D83"/>
    <w:rsid w:val="00A35DA4"/>
    <w:rsid w:val="00A40BDA"/>
    <w:rsid w:val="00A42901"/>
    <w:rsid w:val="00A52C34"/>
    <w:rsid w:val="00B02186"/>
    <w:rsid w:val="00B2185B"/>
    <w:rsid w:val="00B22C10"/>
    <w:rsid w:val="00B262EB"/>
    <w:rsid w:val="00B61F0B"/>
    <w:rsid w:val="00B84123"/>
    <w:rsid w:val="00B85DF1"/>
    <w:rsid w:val="00B96D46"/>
    <w:rsid w:val="00BA6FF2"/>
    <w:rsid w:val="00BB4441"/>
    <w:rsid w:val="00BE1B89"/>
    <w:rsid w:val="00C040A4"/>
    <w:rsid w:val="00C074D5"/>
    <w:rsid w:val="00C2086E"/>
    <w:rsid w:val="00C24D3A"/>
    <w:rsid w:val="00C44B6A"/>
    <w:rsid w:val="00C62CA7"/>
    <w:rsid w:val="00C66797"/>
    <w:rsid w:val="00C862A1"/>
    <w:rsid w:val="00CA06EA"/>
    <w:rsid w:val="00CA22A4"/>
    <w:rsid w:val="00CB4C34"/>
    <w:rsid w:val="00CC0613"/>
    <w:rsid w:val="00CC3A1F"/>
    <w:rsid w:val="00CF2352"/>
    <w:rsid w:val="00CF78F7"/>
    <w:rsid w:val="00D00CC7"/>
    <w:rsid w:val="00D270C2"/>
    <w:rsid w:val="00D53FEB"/>
    <w:rsid w:val="00D81F3B"/>
    <w:rsid w:val="00DA26D0"/>
    <w:rsid w:val="00DD29A4"/>
    <w:rsid w:val="00DD6BE5"/>
    <w:rsid w:val="00E16F73"/>
    <w:rsid w:val="00E22EEF"/>
    <w:rsid w:val="00E26C47"/>
    <w:rsid w:val="00E41B0A"/>
    <w:rsid w:val="00E63DCC"/>
    <w:rsid w:val="00E953ED"/>
    <w:rsid w:val="00EE6FDA"/>
    <w:rsid w:val="00F02603"/>
    <w:rsid w:val="00F55C2A"/>
    <w:rsid w:val="00F650CA"/>
    <w:rsid w:val="00F66BF8"/>
    <w:rsid w:val="00F70541"/>
    <w:rsid w:val="00FA1D8C"/>
    <w:rsid w:val="00FA4C9A"/>
    <w:rsid w:val="00FB409E"/>
    <w:rsid w:val="00FC26DC"/>
    <w:rsid w:val="00FF3068"/>
    <w:rsid w:val="00FF6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07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07D8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07D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07D8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2">
    <w:name w:val="r2"/>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
    <w:name w:val="p1"/>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07D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7D83"/>
    <w:rPr>
      <w:rFonts w:ascii="Tahoma" w:hAnsi="Tahoma" w:cs="Tahoma"/>
      <w:sz w:val="16"/>
      <w:szCs w:val="16"/>
      <w:lang w:eastAsia="en-US"/>
    </w:rPr>
  </w:style>
  <w:style w:type="paragraph" w:customStyle="1" w:styleId="Heading1nooutline">
    <w:name w:val="Heading 1 (no outline)"/>
    <w:basedOn w:val="Normal"/>
    <w:next w:val="Normal"/>
    <w:rsid w:val="00A07D83"/>
    <w:pPr>
      <w:keepNext/>
      <w:keepLines/>
      <w:pageBreakBefore/>
      <w:spacing w:after="360" w:line="240" w:lineRule="auto"/>
      <w:jc w:val="center"/>
    </w:pPr>
    <w:rPr>
      <w:rFonts w:ascii="Times New Roman" w:eastAsia="Times New Roman" w:hAnsi="Times New Roman"/>
      <w:b/>
      <w:smallCaps/>
      <w:sz w:val="32"/>
      <w:szCs w:val="20"/>
      <w:lang w:eastAsia="en-AU"/>
    </w:rPr>
  </w:style>
  <w:style w:type="paragraph" w:customStyle="1" w:styleId="Heading1numbered">
    <w:name w:val="Heading 1 (numbered)"/>
    <w:basedOn w:val="Heading1"/>
    <w:next w:val="Normal"/>
    <w:rsid w:val="00A07D83"/>
    <w:pPr>
      <w:keepLines/>
      <w:pageBreakBefore/>
      <w:numPr>
        <w:numId w:val="1"/>
      </w:numPr>
      <w:tabs>
        <w:tab w:val="clear" w:pos="360"/>
      </w:tabs>
      <w:spacing w:before="0" w:after="360" w:line="240" w:lineRule="auto"/>
      <w:jc w:val="center"/>
    </w:pPr>
    <w:rPr>
      <w:rFonts w:ascii="Times New Roman" w:hAnsi="Times New Roman"/>
      <w:bCs w:val="0"/>
      <w:smallCaps/>
      <w:kern w:val="0"/>
      <w:szCs w:val="20"/>
      <w:lang w:eastAsia="en-AU"/>
    </w:rPr>
  </w:style>
  <w:style w:type="paragraph" w:customStyle="1" w:styleId="Heading2numbered">
    <w:name w:val="Heading 2 (numbered)"/>
    <w:basedOn w:val="Heading2"/>
    <w:next w:val="Normal"/>
    <w:rsid w:val="00A07D83"/>
    <w:pPr>
      <w:keepLines/>
      <w:numPr>
        <w:ilvl w:val="1"/>
        <w:numId w:val="1"/>
      </w:numPr>
      <w:tabs>
        <w:tab w:val="left" w:pos="851"/>
      </w:tabs>
      <w:spacing w:before="480" w:after="0" w:line="240" w:lineRule="auto"/>
    </w:pPr>
    <w:rPr>
      <w:rFonts w:ascii="Times New Roman" w:hAnsi="Times New Roman"/>
      <w:bCs w:val="0"/>
      <w:iCs w:val="0"/>
      <w:sz w:val="24"/>
      <w:szCs w:val="20"/>
      <w:lang w:eastAsia="en-AU"/>
    </w:rPr>
  </w:style>
  <w:style w:type="paragraph" w:customStyle="1" w:styleId="Heading3numbered">
    <w:name w:val="Heading 3 (numbered)"/>
    <w:basedOn w:val="Heading3"/>
    <w:next w:val="Normal"/>
    <w:rsid w:val="00A07D83"/>
    <w:pPr>
      <w:keepLines/>
      <w:numPr>
        <w:ilvl w:val="2"/>
        <w:numId w:val="1"/>
      </w:numPr>
      <w:tabs>
        <w:tab w:val="clear" w:pos="720"/>
        <w:tab w:val="num" w:pos="360"/>
        <w:tab w:val="left" w:pos="1134"/>
      </w:tabs>
      <w:spacing w:before="360" w:after="0" w:line="240" w:lineRule="auto"/>
      <w:ind w:left="1134" w:hanging="1134"/>
    </w:pPr>
    <w:rPr>
      <w:rFonts w:ascii="Times New Roman" w:hAnsi="Times New Roman"/>
      <w:b w:val="0"/>
      <w:bCs w:val="0"/>
      <w:i/>
      <w:sz w:val="24"/>
      <w:szCs w:val="20"/>
      <w:lang w:eastAsia="en-AU"/>
    </w:rPr>
  </w:style>
  <w:style w:type="paragraph" w:customStyle="1" w:styleId="Heading4numbered">
    <w:name w:val="Heading 4 (numbered)"/>
    <w:basedOn w:val="Heading4"/>
    <w:next w:val="Normal"/>
    <w:rsid w:val="00A07D83"/>
    <w:pPr>
      <w:keepLines/>
      <w:numPr>
        <w:ilvl w:val="3"/>
        <w:numId w:val="1"/>
      </w:numPr>
      <w:tabs>
        <w:tab w:val="clear" w:pos="1080"/>
        <w:tab w:val="num" w:pos="360"/>
        <w:tab w:val="left" w:pos="1134"/>
      </w:tabs>
      <w:spacing w:after="0" w:line="240" w:lineRule="auto"/>
      <w:ind w:left="1134" w:hanging="1134"/>
    </w:pPr>
    <w:rPr>
      <w:rFonts w:ascii="Times New Roman" w:hAnsi="Times New Roman"/>
      <w:b w:val="0"/>
      <w:bCs w:val="0"/>
      <w:sz w:val="24"/>
      <w:szCs w:val="20"/>
      <w:lang w:eastAsia="en-AU"/>
    </w:rPr>
  </w:style>
  <w:style w:type="character" w:customStyle="1" w:styleId="Heading1Char">
    <w:name w:val="Heading 1 Char"/>
    <w:link w:val="Heading1"/>
    <w:uiPriority w:val="9"/>
    <w:rsid w:val="00A07D8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A07D83"/>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A07D8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A07D83"/>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633FA9"/>
    <w:rPr>
      <w:sz w:val="16"/>
      <w:szCs w:val="16"/>
    </w:rPr>
  </w:style>
  <w:style w:type="paragraph" w:styleId="CommentText">
    <w:name w:val="annotation text"/>
    <w:basedOn w:val="Normal"/>
    <w:link w:val="CommentTextChar"/>
    <w:uiPriority w:val="99"/>
    <w:semiHidden/>
    <w:unhideWhenUsed/>
    <w:rsid w:val="00633FA9"/>
    <w:rPr>
      <w:sz w:val="20"/>
      <w:szCs w:val="20"/>
    </w:rPr>
  </w:style>
  <w:style w:type="character" w:customStyle="1" w:styleId="CommentTextChar">
    <w:name w:val="Comment Text Char"/>
    <w:link w:val="CommentText"/>
    <w:uiPriority w:val="99"/>
    <w:semiHidden/>
    <w:rsid w:val="00633FA9"/>
    <w:rPr>
      <w:lang w:eastAsia="en-US"/>
    </w:rPr>
  </w:style>
  <w:style w:type="paragraph" w:styleId="CommentSubject">
    <w:name w:val="annotation subject"/>
    <w:basedOn w:val="CommentText"/>
    <w:next w:val="CommentText"/>
    <w:link w:val="CommentSubjectChar"/>
    <w:uiPriority w:val="99"/>
    <w:semiHidden/>
    <w:unhideWhenUsed/>
    <w:rsid w:val="00633FA9"/>
    <w:rPr>
      <w:b/>
      <w:bCs/>
    </w:rPr>
  </w:style>
  <w:style w:type="character" w:customStyle="1" w:styleId="CommentSubjectChar">
    <w:name w:val="Comment Subject Char"/>
    <w:link w:val="CommentSubject"/>
    <w:uiPriority w:val="99"/>
    <w:semiHidden/>
    <w:rsid w:val="00633FA9"/>
    <w:rPr>
      <w:b/>
      <w:bCs/>
      <w:lang w:eastAsia="en-US"/>
    </w:rPr>
  </w:style>
  <w:style w:type="character" w:styleId="Hyperlink">
    <w:name w:val="Hyperlink"/>
    <w:uiPriority w:val="99"/>
    <w:unhideWhenUsed/>
    <w:rsid w:val="007C0D26"/>
    <w:rPr>
      <w:color w:val="0000FF"/>
      <w:u w:val="single"/>
    </w:rPr>
  </w:style>
  <w:style w:type="paragraph" w:customStyle="1" w:styleId="Paragraph">
    <w:name w:val="Paragraph"/>
    <w:basedOn w:val="Normal"/>
    <w:link w:val="ParagraphChar"/>
    <w:rsid w:val="00DA26D0"/>
    <w:pPr>
      <w:numPr>
        <w:ilvl w:val="12"/>
      </w:numPr>
      <w:spacing w:before="240" w:after="0" w:line="240" w:lineRule="auto"/>
    </w:pPr>
    <w:rPr>
      <w:rFonts w:ascii="Times New Roman" w:eastAsia="Times New Roman" w:hAnsi="Times New Roman"/>
      <w:sz w:val="24"/>
      <w:szCs w:val="20"/>
      <w:lang w:eastAsia="en-AU"/>
    </w:rPr>
  </w:style>
  <w:style w:type="character" w:customStyle="1" w:styleId="ParagraphChar">
    <w:name w:val="Paragraph Char"/>
    <w:link w:val="Paragraph"/>
    <w:rsid w:val="00DA26D0"/>
    <w:rPr>
      <w:rFonts w:ascii="Times New Roman" w:eastAsia="Times New Roman" w:hAnsi="Times New Roman"/>
      <w:sz w:val="24"/>
    </w:rPr>
  </w:style>
  <w:style w:type="paragraph" w:styleId="Header">
    <w:name w:val="header"/>
    <w:basedOn w:val="Normal"/>
    <w:link w:val="HeaderChar"/>
    <w:uiPriority w:val="99"/>
    <w:unhideWhenUsed/>
    <w:rsid w:val="00E953ED"/>
    <w:pPr>
      <w:tabs>
        <w:tab w:val="center" w:pos="4513"/>
        <w:tab w:val="right" w:pos="9026"/>
      </w:tabs>
    </w:pPr>
  </w:style>
  <w:style w:type="character" w:customStyle="1" w:styleId="HeaderChar">
    <w:name w:val="Header Char"/>
    <w:link w:val="Header"/>
    <w:uiPriority w:val="99"/>
    <w:rsid w:val="00E953ED"/>
    <w:rPr>
      <w:sz w:val="22"/>
      <w:szCs w:val="22"/>
      <w:lang w:eastAsia="en-US"/>
    </w:rPr>
  </w:style>
  <w:style w:type="paragraph" w:styleId="Footer">
    <w:name w:val="footer"/>
    <w:basedOn w:val="Normal"/>
    <w:link w:val="FooterChar"/>
    <w:unhideWhenUsed/>
    <w:rsid w:val="00E953ED"/>
    <w:pPr>
      <w:tabs>
        <w:tab w:val="center" w:pos="4513"/>
        <w:tab w:val="right" w:pos="9026"/>
      </w:tabs>
    </w:pPr>
  </w:style>
  <w:style w:type="character" w:customStyle="1" w:styleId="FooterChar">
    <w:name w:val="Footer Char"/>
    <w:link w:val="Footer"/>
    <w:uiPriority w:val="99"/>
    <w:rsid w:val="00E953ED"/>
    <w:rPr>
      <w:sz w:val="22"/>
      <w:szCs w:val="22"/>
      <w:lang w:eastAsia="en-US"/>
    </w:rPr>
  </w:style>
  <w:style w:type="paragraph" w:styleId="ListParagraph">
    <w:name w:val="List Paragraph"/>
    <w:basedOn w:val="Normal"/>
    <w:uiPriority w:val="34"/>
    <w:qFormat/>
    <w:rsid w:val="00552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07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07D8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07D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07D8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2">
    <w:name w:val="r2"/>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
    <w:name w:val="p1"/>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07D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7D83"/>
    <w:rPr>
      <w:rFonts w:ascii="Tahoma" w:hAnsi="Tahoma" w:cs="Tahoma"/>
      <w:sz w:val="16"/>
      <w:szCs w:val="16"/>
      <w:lang w:eastAsia="en-US"/>
    </w:rPr>
  </w:style>
  <w:style w:type="paragraph" w:customStyle="1" w:styleId="Heading1nooutline">
    <w:name w:val="Heading 1 (no outline)"/>
    <w:basedOn w:val="Normal"/>
    <w:next w:val="Normal"/>
    <w:rsid w:val="00A07D83"/>
    <w:pPr>
      <w:keepNext/>
      <w:keepLines/>
      <w:pageBreakBefore/>
      <w:spacing w:after="360" w:line="240" w:lineRule="auto"/>
      <w:jc w:val="center"/>
    </w:pPr>
    <w:rPr>
      <w:rFonts w:ascii="Times New Roman" w:eastAsia="Times New Roman" w:hAnsi="Times New Roman"/>
      <w:b/>
      <w:smallCaps/>
      <w:sz w:val="32"/>
      <w:szCs w:val="20"/>
      <w:lang w:eastAsia="en-AU"/>
    </w:rPr>
  </w:style>
  <w:style w:type="paragraph" w:customStyle="1" w:styleId="Heading1numbered">
    <w:name w:val="Heading 1 (numbered)"/>
    <w:basedOn w:val="Heading1"/>
    <w:next w:val="Normal"/>
    <w:rsid w:val="00A07D83"/>
    <w:pPr>
      <w:keepLines/>
      <w:pageBreakBefore/>
      <w:numPr>
        <w:numId w:val="1"/>
      </w:numPr>
      <w:tabs>
        <w:tab w:val="clear" w:pos="360"/>
      </w:tabs>
      <w:spacing w:before="0" w:after="360" w:line="240" w:lineRule="auto"/>
      <w:jc w:val="center"/>
    </w:pPr>
    <w:rPr>
      <w:rFonts w:ascii="Times New Roman" w:hAnsi="Times New Roman"/>
      <w:bCs w:val="0"/>
      <w:smallCaps/>
      <w:kern w:val="0"/>
      <w:szCs w:val="20"/>
      <w:lang w:eastAsia="en-AU"/>
    </w:rPr>
  </w:style>
  <w:style w:type="paragraph" w:customStyle="1" w:styleId="Heading2numbered">
    <w:name w:val="Heading 2 (numbered)"/>
    <w:basedOn w:val="Heading2"/>
    <w:next w:val="Normal"/>
    <w:rsid w:val="00A07D83"/>
    <w:pPr>
      <w:keepLines/>
      <w:numPr>
        <w:ilvl w:val="1"/>
        <w:numId w:val="1"/>
      </w:numPr>
      <w:tabs>
        <w:tab w:val="left" w:pos="851"/>
      </w:tabs>
      <w:spacing w:before="480" w:after="0" w:line="240" w:lineRule="auto"/>
    </w:pPr>
    <w:rPr>
      <w:rFonts w:ascii="Times New Roman" w:hAnsi="Times New Roman"/>
      <w:bCs w:val="0"/>
      <w:iCs w:val="0"/>
      <w:sz w:val="24"/>
      <w:szCs w:val="20"/>
      <w:lang w:eastAsia="en-AU"/>
    </w:rPr>
  </w:style>
  <w:style w:type="paragraph" w:customStyle="1" w:styleId="Heading3numbered">
    <w:name w:val="Heading 3 (numbered)"/>
    <w:basedOn w:val="Heading3"/>
    <w:next w:val="Normal"/>
    <w:rsid w:val="00A07D83"/>
    <w:pPr>
      <w:keepLines/>
      <w:numPr>
        <w:ilvl w:val="2"/>
        <w:numId w:val="1"/>
      </w:numPr>
      <w:tabs>
        <w:tab w:val="clear" w:pos="720"/>
        <w:tab w:val="num" w:pos="360"/>
        <w:tab w:val="left" w:pos="1134"/>
      </w:tabs>
      <w:spacing w:before="360" w:after="0" w:line="240" w:lineRule="auto"/>
      <w:ind w:left="1134" w:hanging="1134"/>
    </w:pPr>
    <w:rPr>
      <w:rFonts w:ascii="Times New Roman" w:hAnsi="Times New Roman"/>
      <w:b w:val="0"/>
      <w:bCs w:val="0"/>
      <w:i/>
      <w:sz w:val="24"/>
      <w:szCs w:val="20"/>
      <w:lang w:eastAsia="en-AU"/>
    </w:rPr>
  </w:style>
  <w:style w:type="paragraph" w:customStyle="1" w:styleId="Heading4numbered">
    <w:name w:val="Heading 4 (numbered)"/>
    <w:basedOn w:val="Heading4"/>
    <w:next w:val="Normal"/>
    <w:rsid w:val="00A07D83"/>
    <w:pPr>
      <w:keepLines/>
      <w:numPr>
        <w:ilvl w:val="3"/>
        <w:numId w:val="1"/>
      </w:numPr>
      <w:tabs>
        <w:tab w:val="clear" w:pos="1080"/>
        <w:tab w:val="num" w:pos="360"/>
        <w:tab w:val="left" w:pos="1134"/>
      </w:tabs>
      <w:spacing w:after="0" w:line="240" w:lineRule="auto"/>
      <w:ind w:left="1134" w:hanging="1134"/>
    </w:pPr>
    <w:rPr>
      <w:rFonts w:ascii="Times New Roman" w:hAnsi="Times New Roman"/>
      <w:b w:val="0"/>
      <w:bCs w:val="0"/>
      <w:sz w:val="24"/>
      <w:szCs w:val="20"/>
      <w:lang w:eastAsia="en-AU"/>
    </w:rPr>
  </w:style>
  <w:style w:type="character" w:customStyle="1" w:styleId="Heading1Char">
    <w:name w:val="Heading 1 Char"/>
    <w:link w:val="Heading1"/>
    <w:uiPriority w:val="9"/>
    <w:rsid w:val="00A07D8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A07D83"/>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A07D8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A07D83"/>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633FA9"/>
    <w:rPr>
      <w:sz w:val="16"/>
      <w:szCs w:val="16"/>
    </w:rPr>
  </w:style>
  <w:style w:type="paragraph" w:styleId="CommentText">
    <w:name w:val="annotation text"/>
    <w:basedOn w:val="Normal"/>
    <w:link w:val="CommentTextChar"/>
    <w:uiPriority w:val="99"/>
    <w:semiHidden/>
    <w:unhideWhenUsed/>
    <w:rsid w:val="00633FA9"/>
    <w:rPr>
      <w:sz w:val="20"/>
      <w:szCs w:val="20"/>
    </w:rPr>
  </w:style>
  <w:style w:type="character" w:customStyle="1" w:styleId="CommentTextChar">
    <w:name w:val="Comment Text Char"/>
    <w:link w:val="CommentText"/>
    <w:uiPriority w:val="99"/>
    <w:semiHidden/>
    <w:rsid w:val="00633FA9"/>
    <w:rPr>
      <w:lang w:eastAsia="en-US"/>
    </w:rPr>
  </w:style>
  <w:style w:type="paragraph" w:styleId="CommentSubject">
    <w:name w:val="annotation subject"/>
    <w:basedOn w:val="CommentText"/>
    <w:next w:val="CommentText"/>
    <w:link w:val="CommentSubjectChar"/>
    <w:uiPriority w:val="99"/>
    <w:semiHidden/>
    <w:unhideWhenUsed/>
    <w:rsid w:val="00633FA9"/>
    <w:rPr>
      <w:b/>
      <w:bCs/>
    </w:rPr>
  </w:style>
  <w:style w:type="character" w:customStyle="1" w:styleId="CommentSubjectChar">
    <w:name w:val="Comment Subject Char"/>
    <w:link w:val="CommentSubject"/>
    <w:uiPriority w:val="99"/>
    <w:semiHidden/>
    <w:rsid w:val="00633FA9"/>
    <w:rPr>
      <w:b/>
      <w:bCs/>
      <w:lang w:eastAsia="en-US"/>
    </w:rPr>
  </w:style>
  <w:style w:type="character" w:styleId="Hyperlink">
    <w:name w:val="Hyperlink"/>
    <w:uiPriority w:val="99"/>
    <w:unhideWhenUsed/>
    <w:rsid w:val="007C0D26"/>
    <w:rPr>
      <w:color w:val="0000FF"/>
      <w:u w:val="single"/>
    </w:rPr>
  </w:style>
  <w:style w:type="paragraph" w:customStyle="1" w:styleId="Paragraph">
    <w:name w:val="Paragraph"/>
    <w:basedOn w:val="Normal"/>
    <w:link w:val="ParagraphChar"/>
    <w:rsid w:val="00DA26D0"/>
    <w:pPr>
      <w:numPr>
        <w:ilvl w:val="12"/>
      </w:numPr>
      <w:spacing w:before="240" w:after="0" w:line="240" w:lineRule="auto"/>
    </w:pPr>
    <w:rPr>
      <w:rFonts w:ascii="Times New Roman" w:eastAsia="Times New Roman" w:hAnsi="Times New Roman"/>
      <w:sz w:val="24"/>
      <w:szCs w:val="20"/>
      <w:lang w:eastAsia="en-AU"/>
    </w:rPr>
  </w:style>
  <w:style w:type="character" w:customStyle="1" w:styleId="ParagraphChar">
    <w:name w:val="Paragraph Char"/>
    <w:link w:val="Paragraph"/>
    <w:rsid w:val="00DA26D0"/>
    <w:rPr>
      <w:rFonts w:ascii="Times New Roman" w:eastAsia="Times New Roman" w:hAnsi="Times New Roman"/>
      <w:sz w:val="24"/>
    </w:rPr>
  </w:style>
  <w:style w:type="paragraph" w:styleId="Header">
    <w:name w:val="header"/>
    <w:basedOn w:val="Normal"/>
    <w:link w:val="HeaderChar"/>
    <w:uiPriority w:val="99"/>
    <w:unhideWhenUsed/>
    <w:rsid w:val="00E953ED"/>
    <w:pPr>
      <w:tabs>
        <w:tab w:val="center" w:pos="4513"/>
        <w:tab w:val="right" w:pos="9026"/>
      </w:tabs>
    </w:pPr>
  </w:style>
  <w:style w:type="character" w:customStyle="1" w:styleId="HeaderChar">
    <w:name w:val="Header Char"/>
    <w:link w:val="Header"/>
    <w:uiPriority w:val="99"/>
    <w:rsid w:val="00E953ED"/>
    <w:rPr>
      <w:sz w:val="22"/>
      <w:szCs w:val="22"/>
      <w:lang w:eastAsia="en-US"/>
    </w:rPr>
  </w:style>
  <w:style w:type="paragraph" w:styleId="Footer">
    <w:name w:val="footer"/>
    <w:basedOn w:val="Normal"/>
    <w:link w:val="FooterChar"/>
    <w:unhideWhenUsed/>
    <w:rsid w:val="00E953ED"/>
    <w:pPr>
      <w:tabs>
        <w:tab w:val="center" w:pos="4513"/>
        <w:tab w:val="right" w:pos="9026"/>
      </w:tabs>
    </w:pPr>
  </w:style>
  <w:style w:type="character" w:customStyle="1" w:styleId="FooterChar">
    <w:name w:val="Footer Char"/>
    <w:link w:val="Footer"/>
    <w:uiPriority w:val="99"/>
    <w:rsid w:val="00E953ED"/>
    <w:rPr>
      <w:sz w:val="22"/>
      <w:szCs w:val="22"/>
      <w:lang w:eastAsia="en-US"/>
    </w:rPr>
  </w:style>
  <w:style w:type="paragraph" w:styleId="ListParagraph">
    <w:name w:val="List Paragraph"/>
    <w:basedOn w:val="Normal"/>
    <w:uiPriority w:val="34"/>
    <w:qFormat/>
    <w:rsid w:val="00552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4183">
      <w:bodyDiv w:val="1"/>
      <w:marLeft w:val="0"/>
      <w:marRight w:val="0"/>
      <w:marTop w:val="0"/>
      <w:marBottom w:val="0"/>
      <w:divBdr>
        <w:top w:val="none" w:sz="0" w:space="0" w:color="auto"/>
        <w:left w:val="none" w:sz="0" w:space="0" w:color="auto"/>
        <w:bottom w:val="none" w:sz="0" w:space="0" w:color="auto"/>
        <w:right w:val="none" w:sz="0" w:space="0" w:color="auto"/>
      </w:divBdr>
      <w:divsChild>
        <w:div w:id="757092335">
          <w:marLeft w:val="0"/>
          <w:marRight w:val="0"/>
          <w:marTop w:val="0"/>
          <w:marBottom w:val="0"/>
          <w:divBdr>
            <w:top w:val="none" w:sz="0" w:space="0" w:color="auto"/>
            <w:left w:val="none" w:sz="0" w:space="0" w:color="auto"/>
            <w:bottom w:val="none" w:sz="0" w:space="0" w:color="auto"/>
            <w:right w:val="none" w:sz="0" w:space="0" w:color="auto"/>
          </w:divBdr>
          <w:divsChild>
            <w:div w:id="1458570165">
              <w:marLeft w:val="0"/>
              <w:marRight w:val="0"/>
              <w:marTop w:val="0"/>
              <w:marBottom w:val="0"/>
              <w:divBdr>
                <w:top w:val="none" w:sz="0" w:space="0" w:color="auto"/>
                <w:left w:val="none" w:sz="0" w:space="0" w:color="auto"/>
                <w:bottom w:val="none" w:sz="0" w:space="0" w:color="auto"/>
                <w:right w:val="none" w:sz="0" w:space="0" w:color="auto"/>
              </w:divBdr>
              <w:divsChild>
                <w:div w:id="1800298111">
                  <w:marLeft w:val="0"/>
                  <w:marRight w:val="0"/>
                  <w:marTop w:val="0"/>
                  <w:marBottom w:val="0"/>
                  <w:divBdr>
                    <w:top w:val="none" w:sz="0" w:space="0" w:color="auto"/>
                    <w:left w:val="none" w:sz="0" w:space="0" w:color="auto"/>
                    <w:bottom w:val="none" w:sz="0" w:space="0" w:color="auto"/>
                    <w:right w:val="none" w:sz="0" w:space="0" w:color="auto"/>
                  </w:divBdr>
                  <w:divsChild>
                    <w:div w:id="2131895144">
                      <w:marLeft w:val="0"/>
                      <w:marRight w:val="0"/>
                      <w:marTop w:val="0"/>
                      <w:marBottom w:val="0"/>
                      <w:divBdr>
                        <w:top w:val="none" w:sz="0" w:space="0" w:color="auto"/>
                        <w:left w:val="none" w:sz="0" w:space="0" w:color="auto"/>
                        <w:bottom w:val="none" w:sz="0" w:space="0" w:color="auto"/>
                        <w:right w:val="none" w:sz="0" w:space="0" w:color="auto"/>
                      </w:divBdr>
                      <w:divsChild>
                        <w:div w:id="1817725083">
                          <w:marLeft w:val="0"/>
                          <w:marRight w:val="0"/>
                          <w:marTop w:val="0"/>
                          <w:marBottom w:val="0"/>
                          <w:divBdr>
                            <w:top w:val="single" w:sz="6" w:space="0" w:color="828282"/>
                            <w:left w:val="single" w:sz="6" w:space="0" w:color="828282"/>
                            <w:bottom w:val="single" w:sz="6" w:space="0" w:color="828282"/>
                            <w:right w:val="single" w:sz="6" w:space="0" w:color="828282"/>
                          </w:divBdr>
                          <w:divsChild>
                            <w:div w:id="904101029">
                              <w:marLeft w:val="0"/>
                              <w:marRight w:val="0"/>
                              <w:marTop w:val="0"/>
                              <w:marBottom w:val="0"/>
                              <w:divBdr>
                                <w:top w:val="none" w:sz="0" w:space="0" w:color="auto"/>
                                <w:left w:val="none" w:sz="0" w:space="0" w:color="auto"/>
                                <w:bottom w:val="none" w:sz="0" w:space="0" w:color="auto"/>
                                <w:right w:val="none" w:sz="0" w:space="0" w:color="auto"/>
                              </w:divBdr>
                              <w:divsChild>
                                <w:div w:id="572589191">
                                  <w:marLeft w:val="0"/>
                                  <w:marRight w:val="0"/>
                                  <w:marTop w:val="0"/>
                                  <w:marBottom w:val="0"/>
                                  <w:divBdr>
                                    <w:top w:val="none" w:sz="0" w:space="0" w:color="auto"/>
                                    <w:left w:val="none" w:sz="0" w:space="0" w:color="auto"/>
                                    <w:bottom w:val="none" w:sz="0" w:space="0" w:color="auto"/>
                                    <w:right w:val="none" w:sz="0" w:space="0" w:color="auto"/>
                                  </w:divBdr>
                                  <w:divsChild>
                                    <w:div w:id="588274804">
                                      <w:marLeft w:val="0"/>
                                      <w:marRight w:val="0"/>
                                      <w:marTop w:val="0"/>
                                      <w:marBottom w:val="0"/>
                                      <w:divBdr>
                                        <w:top w:val="none" w:sz="0" w:space="0" w:color="auto"/>
                                        <w:left w:val="none" w:sz="0" w:space="0" w:color="auto"/>
                                        <w:bottom w:val="none" w:sz="0" w:space="0" w:color="auto"/>
                                        <w:right w:val="none" w:sz="0" w:space="0" w:color="auto"/>
                                      </w:divBdr>
                                      <w:divsChild>
                                        <w:div w:id="1097097233">
                                          <w:marLeft w:val="0"/>
                                          <w:marRight w:val="0"/>
                                          <w:marTop w:val="0"/>
                                          <w:marBottom w:val="0"/>
                                          <w:divBdr>
                                            <w:top w:val="none" w:sz="0" w:space="0" w:color="auto"/>
                                            <w:left w:val="none" w:sz="0" w:space="0" w:color="auto"/>
                                            <w:bottom w:val="none" w:sz="0" w:space="0" w:color="auto"/>
                                            <w:right w:val="none" w:sz="0" w:space="0" w:color="auto"/>
                                          </w:divBdr>
                                          <w:divsChild>
                                            <w:div w:id="2133087186">
                                              <w:marLeft w:val="0"/>
                                              <w:marRight w:val="0"/>
                                              <w:marTop w:val="0"/>
                                              <w:marBottom w:val="0"/>
                                              <w:divBdr>
                                                <w:top w:val="none" w:sz="0" w:space="0" w:color="auto"/>
                                                <w:left w:val="none" w:sz="0" w:space="0" w:color="auto"/>
                                                <w:bottom w:val="none" w:sz="0" w:space="0" w:color="auto"/>
                                                <w:right w:val="none" w:sz="0" w:space="0" w:color="auto"/>
                                              </w:divBdr>
                                              <w:divsChild>
                                                <w:div w:id="18375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221929">
      <w:bodyDiv w:val="1"/>
      <w:marLeft w:val="0"/>
      <w:marRight w:val="0"/>
      <w:marTop w:val="0"/>
      <w:marBottom w:val="0"/>
      <w:divBdr>
        <w:top w:val="none" w:sz="0" w:space="0" w:color="auto"/>
        <w:left w:val="none" w:sz="0" w:space="0" w:color="auto"/>
        <w:bottom w:val="none" w:sz="0" w:space="0" w:color="auto"/>
        <w:right w:val="none" w:sz="0" w:space="0" w:color="auto"/>
      </w:divBdr>
      <w:divsChild>
        <w:div w:id="88819328">
          <w:marLeft w:val="0"/>
          <w:marRight w:val="0"/>
          <w:marTop w:val="0"/>
          <w:marBottom w:val="0"/>
          <w:divBdr>
            <w:top w:val="none" w:sz="0" w:space="0" w:color="auto"/>
            <w:left w:val="none" w:sz="0" w:space="0" w:color="auto"/>
            <w:bottom w:val="none" w:sz="0" w:space="0" w:color="auto"/>
            <w:right w:val="none" w:sz="0" w:space="0" w:color="auto"/>
          </w:divBdr>
          <w:divsChild>
            <w:div w:id="1258825430">
              <w:marLeft w:val="0"/>
              <w:marRight w:val="0"/>
              <w:marTop w:val="0"/>
              <w:marBottom w:val="0"/>
              <w:divBdr>
                <w:top w:val="none" w:sz="0" w:space="0" w:color="auto"/>
                <w:left w:val="none" w:sz="0" w:space="0" w:color="auto"/>
                <w:bottom w:val="none" w:sz="0" w:space="0" w:color="auto"/>
                <w:right w:val="none" w:sz="0" w:space="0" w:color="auto"/>
              </w:divBdr>
              <w:divsChild>
                <w:div w:id="525796134">
                  <w:marLeft w:val="0"/>
                  <w:marRight w:val="0"/>
                  <w:marTop w:val="0"/>
                  <w:marBottom w:val="0"/>
                  <w:divBdr>
                    <w:top w:val="none" w:sz="0" w:space="0" w:color="auto"/>
                    <w:left w:val="none" w:sz="0" w:space="0" w:color="auto"/>
                    <w:bottom w:val="none" w:sz="0" w:space="0" w:color="auto"/>
                    <w:right w:val="none" w:sz="0" w:space="0" w:color="auto"/>
                  </w:divBdr>
                  <w:divsChild>
                    <w:div w:id="1659730470">
                      <w:marLeft w:val="0"/>
                      <w:marRight w:val="0"/>
                      <w:marTop w:val="0"/>
                      <w:marBottom w:val="0"/>
                      <w:divBdr>
                        <w:top w:val="none" w:sz="0" w:space="0" w:color="auto"/>
                        <w:left w:val="none" w:sz="0" w:space="0" w:color="auto"/>
                        <w:bottom w:val="none" w:sz="0" w:space="0" w:color="auto"/>
                        <w:right w:val="none" w:sz="0" w:space="0" w:color="auto"/>
                      </w:divBdr>
                      <w:divsChild>
                        <w:div w:id="463279932">
                          <w:marLeft w:val="0"/>
                          <w:marRight w:val="0"/>
                          <w:marTop w:val="0"/>
                          <w:marBottom w:val="0"/>
                          <w:divBdr>
                            <w:top w:val="single" w:sz="6" w:space="0" w:color="828282"/>
                            <w:left w:val="single" w:sz="6" w:space="0" w:color="828282"/>
                            <w:bottom w:val="single" w:sz="6" w:space="0" w:color="828282"/>
                            <w:right w:val="single" w:sz="6" w:space="0" w:color="828282"/>
                          </w:divBdr>
                          <w:divsChild>
                            <w:div w:id="28183510">
                              <w:marLeft w:val="0"/>
                              <w:marRight w:val="0"/>
                              <w:marTop w:val="0"/>
                              <w:marBottom w:val="0"/>
                              <w:divBdr>
                                <w:top w:val="none" w:sz="0" w:space="0" w:color="auto"/>
                                <w:left w:val="none" w:sz="0" w:space="0" w:color="auto"/>
                                <w:bottom w:val="none" w:sz="0" w:space="0" w:color="auto"/>
                                <w:right w:val="none" w:sz="0" w:space="0" w:color="auto"/>
                              </w:divBdr>
                              <w:divsChild>
                                <w:div w:id="1092505042">
                                  <w:marLeft w:val="0"/>
                                  <w:marRight w:val="0"/>
                                  <w:marTop w:val="0"/>
                                  <w:marBottom w:val="0"/>
                                  <w:divBdr>
                                    <w:top w:val="none" w:sz="0" w:space="0" w:color="auto"/>
                                    <w:left w:val="none" w:sz="0" w:space="0" w:color="auto"/>
                                    <w:bottom w:val="none" w:sz="0" w:space="0" w:color="auto"/>
                                    <w:right w:val="none" w:sz="0" w:space="0" w:color="auto"/>
                                  </w:divBdr>
                                  <w:divsChild>
                                    <w:div w:id="659621720">
                                      <w:marLeft w:val="0"/>
                                      <w:marRight w:val="0"/>
                                      <w:marTop w:val="0"/>
                                      <w:marBottom w:val="0"/>
                                      <w:divBdr>
                                        <w:top w:val="none" w:sz="0" w:space="0" w:color="auto"/>
                                        <w:left w:val="none" w:sz="0" w:space="0" w:color="auto"/>
                                        <w:bottom w:val="none" w:sz="0" w:space="0" w:color="auto"/>
                                        <w:right w:val="none" w:sz="0" w:space="0" w:color="auto"/>
                                      </w:divBdr>
                                      <w:divsChild>
                                        <w:div w:id="732001039">
                                          <w:marLeft w:val="0"/>
                                          <w:marRight w:val="0"/>
                                          <w:marTop w:val="0"/>
                                          <w:marBottom w:val="0"/>
                                          <w:divBdr>
                                            <w:top w:val="none" w:sz="0" w:space="0" w:color="auto"/>
                                            <w:left w:val="none" w:sz="0" w:space="0" w:color="auto"/>
                                            <w:bottom w:val="none" w:sz="0" w:space="0" w:color="auto"/>
                                            <w:right w:val="none" w:sz="0" w:space="0" w:color="auto"/>
                                          </w:divBdr>
                                          <w:divsChild>
                                            <w:div w:id="1666737934">
                                              <w:marLeft w:val="0"/>
                                              <w:marRight w:val="0"/>
                                              <w:marTop w:val="0"/>
                                              <w:marBottom w:val="0"/>
                                              <w:divBdr>
                                                <w:top w:val="none" w:sz="0" w:space="0" w:color="auto"/>
                                                <w:left w:val="none" w:sz="0" w:space="0" w:color="auto"/>
                                                <w:bottom w:val="none" w:sz="0" w:space="0" w:color="auto"/>
                                                <w:right w:val="none" w:sz="0" w:space="0" w:color="auto"/>
                                              </w:divBdr>
                                              <w:divsChild>
                                                <w:div w:id="554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457280">
      <w:bodyDiv w:val="1"/>
      <w:marLeft w:val="0"/>
      <w:marRight w:val="0"/>
      <w:marTop w:val="0"/>
      <w:marBottom w:val="0"/>
      <w:divBdr>
        <w:top w:val="none" w:sz="0" w:space="0" w:color="auto"/>
        <w:left w:val="none" w:sz="0" w:space="0" w:color="auto"/>
        <w:bottom w:val="none" w:sz="0" w:space="0" w:color="auto"/>
        <w:right w:val="none" w:sz="0" w:space="0" w:color="auto"/>
      </w:divBdr>
      <w:divsChild>
        <w:div w:id="1884905744">
          <w:marLeft w:val="0"/>
          <w:marRight w:val="0"/>
          <w:marTop w:val="0"/>
          <w:marBottom w:val="0"/>
          <w:divBdr>
            <w:top w:val="none" w:sz="0" w:space="0" w:color="auto"/>
            <w:left w:val="none" w:sz="0" w:space="0" w:color="auto"/>
            <w:bottom w:val="none" w:sz="0" w:space="0" w:color="auto"/>
            <w:right w:val="none" w:sz="0" w:space="0" w:color="auto"/>
          </w:divBdr>
          <w:divsChild>
            <w:div w:id="2080591897">
              <w:marLeft w:val="0"/>
              <w:marRight w:val="0"/>
              <w:marTop w:val="0"/>
              <w:marBottom w:val="0"/>
              <w:divBdr>
                <w:top w:val="none" w:sz="0" w:space="0" w:color="auto"/>
                <w:left w:val="none" w:sz="0" w:space="0" w:color="auto"/>
                <w:bottom w:val="none" w:sz="0" w:space="0" w:color="auto"/>
                <w:right w:val="none" w:sz="0" w:space="0" w:color="auto"/>
              </w:divBdr>
              <w:divsChild>
                <w:div w:id="295374005">
                  <w:marLeft w:val="0"/>
                  <w:marRight w:val="0"/>
                  <w:marTop w:val="0"/>
                  <w:marBottom w:val="0"/>
                  <w:divBdr>
                    <w:top w:val="none" w:sz="0" w:space="0" w:color="auto"/>
                    <w:left w:val="none" w:sz="0" w:space="0" w:color="auto"/>
                    <w:bottom w:val="none" w:sz="0" w:space="0" w:color="auto"/>
                    <w:right w:val="none" w:sz="0" w:space="0" w:color="auto"/>
                  </w:divBdr>
                  <w:divsChild>
                    <w:div w:id="1771311266">
                      <w:marLeft w:val="0"/>
                      <w:marRight w:val="0"/>
                      <w:marTop w:val="0"/>
                      <w:marBottom w:val="0"/>
                      <w:divBdr>
                        <w:top w:val="none" w:sz="0" w:space="0" w:color="auto"/>
                        <w:left w:val="none" w:sz="0" w:space="0" w:color="auto"/>
                        <w:bottom w:val="none" w:sz="0" w:space="0" w:color="auto"/>
                        <w:right w:val="none" w:sz="0" w:space="0" w:color="auto"/>
                      </w:divBdr>
                      <w:divsChild>
                        <w:div w:id="1631550135">
                          <w:marLeft w:val="0"/>
                          <w:marRight w:val="0"/>
                          <w:marTop w:val="0"/>
                          <w:marBottom w:val="0"/>
                          <w:divBdr>
                            <w:top w:val="single" w:sz="6" w:space="0" w:color="828282"/>
                            <w:left w:val="single" w:sz="6" w:space="0" w:color="828282"/>
                            <w:bottom w:val="single" w:sz="6" w:space="0" w:color="828282"/>
                            <w:right w:val="single" w:sz="6" w:space="0" w:color="828282"/>
                          </w:divBdr>
                          <w:divsChild>
                            <w:div w:id="2034376825">
                              <w:marLeft w:val="0"/>
                              <w:marRight w:val="0"/>
                              <w:marTop w:val="0"/>
                              <w:marBottom w:val="0"/>
                              <w:divBdr>
                                <w:top w:val="none" w:sz="0" w:space="0" w:color="auto"/>
                                <w:left w:val="none" w:sz="0" w:space="0" w:color="auto"/>
                                <w:bottom w:val="none" w:sz="0" w:space="0" w:color="auto"/>
                                <w:right w:val="none" w:sz="0" w:space="0" w:color="auto"/>
                              </w:divBdr>
                              <w:divsChild>
                                <w:div w:id="565147032">
                                  <w:marLeft w:val="0"/>
                                  <w:marRight w:val="0"/>
                                  <w:marTop w:val="0"/>
                                  <w:marBottom w:val="0"/>
                                  <w:divBdr>
                                    <w:top w:val="none" w:sz="0" w:space="0" w:color="auto"/>
                                    <w:left w:val="none" w:sz="0" w:space="0" w:color="auto"/>
                                    <w:bottom w:val="none" w:sz="0" w:space="0" w:color="auto"/>
                                    <w:right w:val="none" w:sz="0" w:space="0" w:color="auto"/>
                                  </w:divBdr>
                                  <w:divsChild>
                                    <w:div w:id="16278222">
                                      <w:marLeft w:val="0"/>
                                      <w:marRight w:val="0"/>
                                      <w:marTop w:val="0"/>
                                      <w:marBottom w:val="0"/>
                                      <w:divBdr>
                                        <w:top w:val="none" w:sz="0" w:space="0" w:color="auto"/>
                                        <w:left w:val="none" w:sz="0" w:space="0" w:color="auto"/>
                                        <w:bottom w:val="none" w:sz="0" w:space="0" w:color="auto"/>
                                        <w:right w:val="none" w:sz="0" w:space="0" w:color="auto"/>
                                      </w:divBdr>
                                      <w:divsChild>
                                        <w:div w:id="880750438">
                                          <w:marLeft w:val="0"/>
                                          <w:marRight w:val="0"/>
                                          <w:marTop w:val="0"/>
                                          <w:marBottom w:val="0"/>
                                          <w:divBdr>
                                            <w:top w:val="none" w:sz="0" w:space="0" w:color="auto"/>
                                            <w:left w:val="none" w:sz="0" w:space="0" w:color="auto"/>
                                            <w:bottom w:val="none" w:sz="0" w:space="0" w:color="auto"/>
                                            <w:right w:val="none" w:sz="0" w:space="0" w:color="auto"/>
                                          </w:divBdr>
                                          <w:divsChild>
                                            <w:div w:id="475991666">
                                              <w:marLeft w:val="0"/>
                                              <w:marRight w:val="0"/>
                                              <w:marTop w:val="0"/>
                                              <w:marBottom w:val="0"/>
                                              <w:divBdr>
                                                <w:top w:val="none" w:sz="0" w:space="0" w:color="auto"/>
                                                <w:left w:val="none" w:sz="0" w:space="0" w:color="auto"/>
                                                <w:bottom w:val="none" w:sz="0" w:space="0" w:color="auto"/>
                                                <w:right w:val="none" w:sz="0" w:space="0" w:color="auto"/>
                                              </w:divBdr>
                                              <w:divsChild>
                                                <w:div w:id="1548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8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F2201-7742-4887-9AF2-CD2DEACE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7592</Characters>
  <Application>Microsoft Office Word</Application>
  <DocSecurity>0</DocSecurity>
  <Lines>1084</Lines>
  <Paragraphs>475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dc:creator>
  <cp:lastModifiedBy>Hilhorst, Matt</cp:lastModifiedBy>
  <cp:revision>2</cp:revision>
  <cp:lastPrinted>2013-05-30T07:47:00Z</cp:lastPrinted>
  <dcterms:created xsi:type="dcterms:W3CDTF">2013-06-25T05:20:00Z</dcterms:created>
  <dcterms:modified xsi:type="dcterms:W3CDTF">2013-06-25T05:20:00Z</dcterms:modified>
</cp:coreProperties>
</file>