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E1" w:rsidRPr="00940734" w:rsidRDefault="00173370" w:rsidP="00B96FC8">
      <w:r>
        <w:rPr>
          <w:noProof/>
          <w:lang w:eastAsia="en-AU"/>
        </w:rPr>
        <w:drawing>
          <wp:inline distT="0" distB="0" distL="0" distR="0">
            <wp:extent cx="1743075" cy="1381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43075" cy="1381125"/>
                    </a:xfrm>
                    <a:prstGeom prst="rect">
                      <a:avLst/>
                    </a:prstGeom>
                    <a:noFill/>
                    <a:ln w="9525">
                      <a:noFill/>
                      <a:miter lim="800000"/>
                      <a:headEnd/>
                      <a:tailEnd/>
                    </a:ln>
                  </pic:spPr>
                </pic:pic>
              </a:graphicData>
            </a:graphic>
          </wp:inline>
        </w:drawing>
      </w:r>
    </w:p>
    <w:p w:rsidR="006403E1" w:rsidRPr="00940734" w:rsidRDefault="006403E1" w:rsidP="00B96FC8">
      <w:pPr>
        <w:pStyle w:val="Title"/>
        <w:pBdr>
          <w:bottom w:val="single" w:sz="4" w:space="3" w:color="auto"/>
        </w:pBdr>
        <w:rPr>
          <w:rFonts w:ascii="Times New Roman" w:hAnsi="Times New Roman" w:cs="Times New Roman"/>
        </w:rPr>
      </w:pPr>
      <w:bookmarkStart w:id="0" w:name="Citation"/>
      <w:bookmarkStart w:id="1" w:name="InstrumentTitleFull"/>
      <w:r w:rsidRPr="00A60FFA">
        <w:rPr>
          <w:rFonts w:ascii="Times New Roman" w:hAnsi="Times New Roman" w:cs="Times New Roman"/>
        </w:rPr>
        <w:t xml:space="preserve">FMA Act Determination </w:t>
      </w:r>
      <w:r>
        <w:rPr>
          <w:rFonts w:ascii="Times New Roman" w:hAnsi="Times New Roman" w:cs="Times New Roman"/>
          <w:noProof/>
        </w:rPr>
        <w:t>2013/05</w:t>
      </w:r>
      <w:r w:rsidRPr="00A60FFA">
        <w:rPr>
          <w:rFonts w:ascii="Times New Roman" w:hAnsi="Times New Roman" w:cs="Times New Roman"/>
        </w:rPr>
        <w:t xml:space="preserve"> — Section 32 (Transfer of Functions from </w:t>
      </w:r>
      <w:bookmarkEnd w:id="0"/>
      <w:bookmarkEnd w:id="1"/>
      <w:r>
        <w:rPr>
          <w:rFonts w:ascii="Times New Roman" w:hAnsi="Times New Roman" w:cs="Times New Roman"/>
        </w:rPr>
        <w:t>DCCEE to DIICCSRTE and DRET</w:t>
      </w:r>
      <w:r w:rsidRPr="00A60FFA">
        <w:rPr>
          <w:rFonts w:ascii="Times New Roman" w:hAnsi="Times New Roman" w:cs="Times New Roman"/>
        </w:rPr>
        <w:t>)</w:t>
      </w:r>
    </w:p>
    <w:p w:rsidR="006403E1" w:rsidRDefault="006403E1" w:rsidP="00B96FC8">
      <w:pPr>
        <w:pBdr>
          <w:bottom w:val="single" w:sz="4" w:space="3" w:color="auto"/>
        </w:pBdr>
        <w:spacing w:before="480"/>
        <w:outlineLvl w:val="0"/>
        <w:rPr>
          <w:i/>
          <w:sz w:val="28"/>
          <w:szCs w:val="28"/>
          <w:lang w:val="en-US"/>
        </w:rPr>
      </w:pPr>
      <w:r w:rsidRPr="00A60FFA">
        <w:rPr>
          <w:i/>
          <w:sz w:val="28"/>
          <w:szCs w:val="28"/>
          <w:lang w:val="en-US"/>
        </w:rPr>
        <w:t>Financial Management and Accountability Act 1997</w:t>
      </w:r>
    </w:p>
    <w:p w:rsidR="006403E1" w:rsidRPr="0060183A" w:rsidRDefault="006403E1" w:rsidP="00B96FC8">
      <w:pPr>
        <w:tabs>
          <w:tab w:val="left" w:pos="3119"/>
        </w:tabs>
        <w:spacing w:before="360"/>
        <w:rPr>
          <w:szCs w:val="22"/>
        </w:rPr>
      </w:pPr>
      <w:r w:rsidRPr="0060183A">
        <w:rPr>
          <w:szCs w:val="22"/>
        </w:rPr>
        <w:t>I, ALAN GREENSLADE, First Assistant Secretary, Financial Reporting and Cash Management Division, Department of Finance and Deregulation,</w:t>
      </w:r>
      <w:r>
        <w:rPr>
          <w:b/>
          <w:szCs w:val="22"/>
        </w:rPr>
        <w:t xml:space="preserve"> </w:t>
      </w:r>
      <w:r w:rsidRPr="0060183A">
        <w:rPr>
          <w:szCs w:val="22"/>
        </w:rPr>
        <w:t xml:space="preserve">make this Determination under </w:t>
      </w:r>
      <w:r>
        <w:rPr>
          <w:szCs w:val="22"/>
        </w:rPr>
        <w:t xml:space="preserve">section 32 </w:t>
      </w:r>
      <w:r w:rsidRPr="0060183A">
        <w:rPr>
          <w:szCs w:val="22"/>
        </w:rPr>
        <w:t xml:space="preserve">of the </w:t>
      </w:r>
      <w:r w:rsidRPr="0060183A">
        <w:rPr>
          <w:i/>
          <w:szCs w:val="22"/>
        </w:rPr>
        <w:t>Financial Management and Accountability Act 1997</w:t>
      </w:r>
      <w:r>
        <w:rPr>
          <w:i/>
          <w:szCs w:val="22"/>
        </w:rPr>
        <w:t xml:space="preserve"> </w:t>
      </w:r>
      <w:r w:rsidRPr="007817D9">
        <w:rPr>
          <w:szCs w:val="22"/>
        </w:rPr>
        <w:t>(</w:t>
      </w:r>
      <w:r w:rsidRPr="0060183A">
        <w:rPr>
          <w:szCs w:val="22"/>
        </w:rPr>
        <w:t>FMA</w:t>
      </w:r>
      <w:r>
        <w:rPr>
          <w:szCs w:val="22"/>
        </w:rPr>
        <w:t> </w:t>
      </w:r>
      <w:r w:rsidRPr="0060183A">
        <w:rPr>
          <w:szCs w:val="22"/>
        </w:rPr>
        <w:t>Act</w:t>
      </w:r>
      <w:r>
        <w:rPr>
          <w:szCs w:val="22"/>
        </w:rPr>
        <w:t>)</w:t>
      </w:r>
      <w:r w:rsidRPr="0060183A">
        <w:rPr>
          <w:szCs w:val="22"/>
        </w:rPr>
        <w:t>, as delegate of the Secretary of the Department of Finance and Deregulation, who</w:t>
      </w:r>
      <w:r>
        <w:rPr>
          <w:szCs w:val="22"/>
        </w:rPr>
        <w:t>, in turn,</w:t>
      </w:r>
      <w:r w:rsidRPr="0060183A">
        <w:rPr>
          <w:szCs w:val="22"/>
        </w:rPr>
        <w:t xml:space="preserve"> is a delegate of the Finance Minister.</w:t>
      </w:r>
    </w:p>
    <w:p w:rsidR="006403E1" w:rsidRPr="0060183A" w:rsidRDefault="006403E1" w:rsidP="00B96FC8">
      <w:pPr>
        <w:tabs>
          <w:tab w:val="left" w:pos="3119"/>
        </w:tabs>
        <w:rPr>
          <w:szCs w:val="22"/>
        </w:rPr>
      </w:pPr>
    </w:p>
    <w:p w:rsidR="006403E1" w:rsidRPr="00254CA7" w:rsidRDefault="006403E1" w:rsidP="00254CA7">
      <w:pPr>
        <w:tabs>
          <w:tab w:val="left" w:pos="3119"/>
        </w:tabs>
        <w:spacing w:after="120"/>
        <w:rPr>
          <w:szCs w:val="22"/>
        </w:rPr>
      </w:pPr>
      <w:r w:rsidRPr="00254CA7">
        <w:rPr>
          <w:szCs w:val="22"/>
        </w:rPr>
        <w:t xml:space="preserve">This Determination is made due to amendments to the </w:t>
      </w:r>
      <w:r w:rsidRPr="00254CA7">
        <w:rPr>
          <w:i/>
          <w:szCs w:val="22"/>
        </w:rPr>
        <w:t>Administrative Arrangements Order</w:t>
      </w:r>
      <w:r w:rsidRPr="00254CA7">
        <w:rPr>
          <w:szCs w:val="22"/>
        </w:rPr>
        <w:t>, made on 25 March 2013. On that day, the Department of Climate Change and Energy Efficiency</w:t>
      </w:r>
      <w:r w:rsidR="000B7D6D">
        <w:rPr>
          <w:szCs w:val="22"/>
        </w:rPr>
        <w:t xml:space="preserve"> (DCCEE)</w:t>
      </w:r>
      <w:r w:rsidRPr="00254CA7">
        <w:rPr>
          <w:szCs w:val="22"/>
        </w:rPr>
        <w:t xml:space="preserve"> was abolished and its functions were transferred:</w:t>
      </w:r>
    </w:p>
    <w:p w:rsidR="006403E1" w:rsidRDefault="006403E1" w:rsidP="00173370">
      <w:pPr>
        <w:pStyle w:val="ListParagraph"/>
        <w:numPr>
          <w:ilvl w:val="0"/>
          <w:numId w:val="15"/>
        </w:numPr>
        <w:tabs>
          <w:tab w:val="left" w:pos="709"/>
        </w:tabs>
        <w:spacing w:after="120"/>
        <w:rPr>
          <w:szCs w:val="22"/>
        </w:rPr>
      </w:pPr>
      <w:r w:rsidRPr="00254CA7">
        <w:rPr>
          <w:szCs w:val="22"/>
        </w:rPr>
        <w:t>in relation to climate change, to the Department of Industry, Innovation, Climate Change, Science, Research and Tertiary Education</w:t>
      </w:r>
      <w:r w:rsidR="000B7D6D">
        <w:rPr>
          <w:szCs w:val="22"/>
        </w:rPr>
        <w:t xml:space="preserve"> (DIICCSRTE)</w:t>
      </w:r>
      <w:r w:rsidRPr="00254CA7">
        <w:rPr>
          <w:szCs w:val="22"/>
        </w:rPr>
        <w:t>; and</w:t>
      </w:r>
    </w:p>
    <w:p w:rsidR="006403E1" w:rsidRPr="00254CA7" w:rsidRDefault="006403E1" w:rsidP="00173370">
      <w:pPr>
        <w:pStyle w:val="ListParagraph"/>
        <w:numPr>
          <w:ilvl w:val="0"/>
          <w:numId w:val="15"/>
        </w:numPr>
        <w:tabs>
          <w:tab w:val="left" w:pos="709"/>
        </w:tabs>
        <w:spacing w:after="120"/>
        <w:rPr>
          <w:szCs w:val="22"/>
        </w:rPr>
      </w:pPr>
      <w:proofErr w:type="gramStart"/>
      <w:r w:rsidRPr="00254CA7">
        <w:rPr>
          <w:szCs w:val="22"/>
        </w:rPr>
        <w:t>in</w:t>
      </w:r>
      <w:proofErr w:type="gramEnd"/>
      <w:r w:rsidRPr="00254CA7">
        <w:rPr>
          <w:szCs w:val="22"/>
        </w:rPr>
        <w:t xml:space="preserve"> relation to energy efficiency, to the Department of Resources, Energy and Tourism</w:t>
      </w:r>
      <w:r w:rsidR="000B7D6D">
        <w:rPr>
          <w:szCs w:val="22"/>
        </w:rPr>
        <w:t xml:space="preserve"> (DRET)</w:t>
      </w:r>
      <w:r w:rsidRPr="00254CA7">
        <w:rPr>
          <w:szCs w:val="22"/>
        </w:rPr>
        <w:t xml:space="preserve">. </w:t>
      </w:r>
    </w:p>
    <w:p w:rsidR="006403E1" w:rsidRPr="0060183A" w:rsidRDefault="006403E1" w:rsidP="00B96FC8">
      <w:pPr>
        <w:tabs>
          <w:tab w:val="left" w:pos="3119"/>
        </w:tabs>
        <w:rPr>
          <w:szCs w:val="22"/>
        </w:rPr>
      </w:pPr>
    </w:p>
    <w:p w:rsidR="006403E1" w:rsidRPr="0060183A" w:rsidRDefault="006403E1" w:rsidP="00B96FC8">
      <w:pPr>
        <w:tabs>
          <w:tab w:val="left" w:pos="1985"/>
        </w:tabs>
        <w:rPr>
          <w:szCs w:val="22"/>
        </w:rPr>
      </w:pPr>
      <w:r w:rsidRPr="0060183A">
        <w:rPr>
          <w:szCs w:val="22"/>
        </w:rPr>
        <w:t>Dated</w:t>
      </w:r>
      <w:r w:rsidRPr="0060183A">
        <w:rPr>
          <w:szCs w:val="22"/>
        </w:rPr>
        <w:tab/>
      </w:r>
      <w:bookmarkStart w:id="2" w:name="Text4"/>
      <w:r w:rsidRPr="0060183A">
        <w:rPr>
          <w:szCs w:val="22"/>
        </w:rPr>
        <w:tab/>
      </w:r>
      <w:bookmarkEnd w:id="2"/>
      <w:r>
        <w:rPr>
          <w:szCs w:val="22"/>
        </w:rPr>
        <w:t xml:space="preserve">  </w:t>
      </w:r>
      <w:r w:rsidR="007037C5">
        <w:rPr>
          <w:szCs w:val="22"/>
        </w:rPr>
        <w:t xml:space="preserve"> </w:t>
      </w:r>
      <w:r w:rsidR="00D8027A">
        <w:rPr>
          <w:szCs w:val="22"/>
        </w:rPr>
        <w:t>28</w:t>
      </w:r>
      <w:r>
        <w:rPr>
          <w:szCs w:val="22"/>
        </w:rPr>
        <w:t xml:space="preserve"> June</w:t>
      </w:r>
      <w:r w:rsidRPr="0060183A">
        <w:rPr>
          <w:szCs w:val="22"/>
        </w:rPr>
        <w:t xml:space="preserve"> 2013</w:t>
      </w:r>
    </w:p>
    <w:p w:rsidR="006403E1" w:rsidRPr="0060183A" w:rsidRDefault="006403E1" w:rsidP="00B96FC8">
      <w:pPr>
        <w:pBdr>
          <w:bottom w:val="single" w:sz="4" w:space="12" w:color="auto"/>
        </w:pBdr>
        <w:rPr>
          <w:szCs w:val="22"/>
        </w:rPr>
      </w:pPr>
    </w:p>
    <w:p w:rsidR="006403E1" w:rsidRPr="0060183A" w:rsidRDefault="006403E1" w:rsidP="00B96FC8">
      <w:pPr>
        <w:pBdr>
          <w:bottom w:val="single" w:sz="4" w:space="12" w:color="auto"/>
        </w:pBdr>
        <w:rPr>
          <w:szCs w:val="22"/>
        </w:rPr>
      </w:pPr>
    </w:p>
    <w:p w:rsidR="006403E1" w:rsidRPr="0060183A" w:rsidRDefault="006403E1" w:rsidP="00B96FC8">
      <w:pPr>
        <w:pBdr>
          <w:bottom w:val="single" w:sz="4" w:space="12" w:color="auto"/>
        </w:pBdr>
        <w:rPr>
          <w:szCs w:val="22"/>
        </w:rPr>
      </w:pPr>
    </w:p>
    <w:p w:rsidR="006403E1" w:rsidRPr="0060183A" w:rsidRDefault="006403E1" w:rsidP="00B96FC8">
      <w:pPr>
        <w:pBdr>
          <w:bottom w:val="single" w:sz="4" w:space="12" w:color="auto"/>
        </w:pBdr>
        <w:rPr>
          <w:szCs w:val="22"/>
        </w:rPr>
      </w:pPr>
    </w:p>
    <w:p w:rsidR="006403E1" w:rsidRPr="0060183A" w:rsidRDefault="006403E1" w:rsidP="00B96FC8">
      <w:pPr>
        <w:pBdr>
          <w:bottom w:val="single" w:sz="4" w:space="12" w:color="auto"/>
        </w:pBdr>
        <w:rPr>
          <w:szCs w:val="22"/>
        </w:rPr>
      </w:pPr>
    </w:p>
    <w:p w:rsidR="006403E1" w:rsidRPr="00D8385F" w:rsidRDefault="006403E1" w:rsidP="00B96FC8">
      <w:pPr>
        <w:pBdr>
          <w:bottom w:val="single" w:sz="4" w:space="12" w:color="auto"/>
        </w:pBdr>
        <w:outlineLvl w:val="0"/>
        <w:rPr>
          <w:szCs w:val="22"/>
        </w:rPr>
      </w:pPr>
      <w:r>
        <w:rPr>
          <w:szCs w:val="22"/>
        </w:rPr>
        <w:t>ALAN GREENSLADE</w:t>
      </w:r>
    </w:p>
    <w:p w:rsidR="006403E1" w:rsidRDefault="006403E1" w:rsidP="00B96FC8">
      <w:pPr>
        <w:pBdr>
          <w:bottom w:val="single" w:sz="4" w:space="12" w:color="auto"/>
        </w:pBdr>
        <w:rPr>
          <w:szCs w:val="22"/>
        </w:rPr>
      </w:pPr>
      <w:r>
        <w:rPr>
          <w:szCs w:val="22"/>
        </w:rPr>
        <w:t>First Assistant Secretary</w:t>
      </w:r>
    </w:p>
    <w:p w:rsidR="006403E1" w:rsidRPr="00D8385F" w:rsidRDefault="006403E1" w:rsidP="00B96FC8">
      <w:pPr>
        <w:pBdr>
          <w:bottom w:val="single" w:sz="4" w:space="12" w:color="auto"/>
        </w:pBdr>
        <w:rPr>
          <w:szCs w:val="22"/>
        </w:rPr>
      </w:pPr>
      <w:r>
        <w:rPr>
          <w:szCs w:val="22"/>
        </w:rPr>
        <w:t xml:space="preserve">Financial </w:t>
      </w:r>
      <w:r w:rsidRPr="0060183A">
        <w:rPr>
          <w:szCs w:val="22"/>
        </w:rPr>
        <w:t>Reporting and Cash Management Division</w:t>
      </w:r>
    </w:p>
    <w:p w:rsidR="006403E1" w:rsidRPr="0060183A" w:rsidRDefault="006403E1" w:rsidP="00B96FC8">
      <w:pPr>
        <w:pBdr>
          <w:bottom w:val="single" w:sz="4" w:space="12" w:color="auto"/>
        </w:pBdr>
        <w:spacing w:after="240"/>
        <w:rPr>
          <w:szCs w:val="22"/>
        </w:rPr>
      </w:pPr>
      <w:r w:rsidRPr="0060183A">
        <w:rPr>
          <w:szCs w:val="22"/>
        </w:rPr>
        <w:t>Department of Finance and Deregulation</w:t>
      </w:r>
    </w:p>
    <w:p w:rsidR="006403E1" w:rsidRDefault="006403E1" w:rsidP="00175104">
      <w:pPr>
        <w:pStyle w:val="ActHead5"/>
      </w:pPr>
    </w:p>
    <w:p w:rsidR="006403E1" w:rsidRDefault="006403E1" w:rsidP="00175104">
      <w:pPr>
        <w:pStyle w:val="ActHead5"/>
      </w:pPr>
    </w:p>
    <w:p w:rsidR="006403E1" w:rsidRPr="00175104" w:rsidRDefault="006403E1" w:rsidP="00175104">
      <w:pPr>
        <w:pStyle w:val="ActHead5"/>
      </w:pPr>
      <w:r>
        <w:br w:type="page"/>
      </w:r>
      <w:proofErr w:type="gramStart"/>
      <w:r w:rsidRPr="00175104">
        <w:lastRenderedPageBreak/>
        <w:t>1</w:t>
      </w:r>
      <w:r>
        <w:t xml:space="preserve">  </w:t>
      </w:r>
      <w:r w:rsidRPr="00175104">
        <w:t>Name</w:t>
      </w:r>
      <w:proofErr w:type="gramEnd"/>
      <w:r w:rsidRPr="00175104">
        <w:t xml:space="preserve"> of Determination</w:t>
      </w:r>
    </w:p>
    <w:p w:rsidR="006403E1" w:rsidRPr="0060183A" w:rsidRDefault="006403E1" w:rsidP="00175104">
      <w:pPr>
        <w:pStyle w:val="subsection"/>
      </w:pPr>
      <w:r>
        <w:tab/>
      </w:r>
      <w:r>
        <w:tab/>
      </w:r>
      <w:r w:rsidRPr="0060183A">
        <w:t xml:space="preserve">This Determination is the </w:t>
      </w:r>
      <w:r w:rsidRPr="00175104">
        <w:rPr>
          <w:i/>
        </w:rPr>
        <w:t xml:space="preserve">FMA Act Determination </w:t>
      </w:r>
      <w:r>
        <w:rPr>
          <w:i/>
          <w:noProof/>
        </w:rPr>
        <w:t>2013/05</w:t>
      </w:r>
      <w:r w:rsidRPr="00175104">
        <w:rPr>
          <w:i/>
          <w:noProof/>
        </w:rPr>
        <w:t xml:space="preserve"> — </w:t>
      </w:r>
      <w:r w:rsidRPr="00175104">
        <w:rPr>
          <w:i/>
        </w:rPr>
        <w:t xml:space="preserve">Section 32 (Transfer of Functions from </w:t>
      </w:r>
      <w:r>
        <w:rPr>
          <w:i/>
        </w:rPr>
        <w:t>DCCEE to DIICCSRTE and DRET</w:t>
      </w:r>
      <w:r w:rsidRPr="00175104">
        <w:rPr>
          <w:i/>
        </w:rPr>
        <w:t>)</w:t>
      </w:r>
      <w:r w:rsidRPr="0060183A">
        <w:t>.</w:t>
      </w:r>
    </w:p>
    <w:p w:rsidR="006403E1" w:rsidRPr="00416CE6" w:rsidRDefault="006403E1" w:rsidP="00175104">
      <w:pPr>
        <w:pStyle w:val="ActHead5"/>
      </w:pPr>
      <w:bookmarkStart w:id="3" w:name="_Toc189972105"/>
      <w:proofErr w:type="gramStart"/>
      <w:r w:rsidRPr="00175104">
        <w:t xml:space="preserve">2  </w:t>
      </w:r>
      <w:r w:rsidRPr="00416CE6">
        <w:t>Commencement</w:t>
      </w:r>
      <w:bookmarkEnd w:id="3"/>
      <w:proofErr w:type="gramEnd"/>
    </w:p>
    <w:p w:rsidR="006403E1" w:rsidRPr="00175104" w:rsidRDefault="006403E1" w:rsidP="00175104">
      <w:pPr>
        <w:pStyle w:val="subsection"/>
      </w:pPr>
      <w:r>
        <w:tab/>
      </w:r>
      <w:r>
        <w:tab/>
      </w:r>
      <w:r w:rsidRPr="00175104">
        <w:t xml:space="preserve">This Determination commences on </w:t>
      </w:r>
      <w:r w:rsidR="00762401">
        <w:t xml:space="preserve">28 </w:t>
      </w:r>
      <w:r w:rsidR="006E3AAC">
        <w:t>June 2013.</w:t>
      </w:r>
    </w:p>
    <w:p w:rsidR="006403E1" w:rsidRPr="00175104" w:rsidRDefault="006403E1" w:rsidP="00175104">
      <w:pPr>
        <w:pStyle w:val="ActHead5"/>
      </w:pPr>
      <w:proofErr w:type="gramStart"/>
      <w:r w:rsidRPr="00175104">
        <w:t>3  Purpose</w:t>
      </w:r>
      <w:proofErr w:type="gramEnd"/>
    </w:p>
    <w:p w:rsidR="006403E1" w:rsidRDefault="006403E1" w:rsidP="00A71F79">
      <w:pPr>
        <w:pStyle w:val="subsection"/>
      </w:pPr>
      <w:r>
        <w:tab/>
      </w:r>
      <w:r>
        <w:tab/>
      </w:r>
      <w:r w:rsidRPr="00175104">
        <w:t xml:space="preserve">The purpose of this Determination is to </w:t>
      </w:r>
      <w:r>
        <w:t xml:space="preserve">further </w:t>
      </w:r>
      <w:r w:rsidRPr="00175104">
        <w:t xml:space="preserve">adjust appropriations in </w:t>
      </w:r>
      <w:r>
        <w:t xml:space="preserve">relation to amendments made to the </w:t>
      </w:r>
      <w:r w:rsidRPr="00EE3AC8">
        <w:rPr>
          <w:i/>
        </w:rPr>
        <w:t>Administrative Arrangements Order</w:t>
      </w:r>
      <w:r>
        <w:t xml:space="preserve"> on 25 March 2013. On that day, </w:t>
      </w:r>
      <w:r w:rsidR="00783BEA">
        <w:t>DCCEE</w:t>
      </w:r>
      <w:r>
        <w:t xml:space="preserve"> was abolished and its functions were transferred:</w:t>
      </w:r>
    </w:p>
    <w:p w:rsidR="006403E1" w:rsidRDefault="006403E1" w:rsidP="00A71F79">
      <w:pPr>
        <w:pStyle w:val="subsection"/>
        <w:numPr>
          <w:ilvl w:val="0"/>
          <w:numId w:val="16"/>
        </w:numPr>
      </w:pPr>
      <w:r>
        <w:t>in relation to climate change, to</w:t>
      </w:r>
      <w:r w:rsidR="0032055B">
        <w:t xml:space="preserve"> </w:t>
      </w:r>
      <w:r w:rsidR="00783BEA">
        <w:t>DIICCSRTE</w:t>
      </w:r>
      <w:r>
        <w:t>; and</w:t>
      </w:r>
    </w:p>
    <w:p w:rsidR="006403E1" w:rsidRPr="00A71F79" w:rsidRDefault="006403E1" w:rsidP="00A71F79">
      <w:pPr>
        <w:pStyle w:val="subsection"/>
        <w:numPr>
          <w:ilvl w:val="0"/>
          <w:numId w:val="16"/>
        </w:numPr>
      </w:pPr>
      <w:proofErr w:type="gramStart"/>
      <w:r>
        <w:t>in</w:t>
      </w:r>
      <w:proofErr w:type="gramEnd"/>
      <w:r>
        <w:t xml:space="preserve"> relation to energy efficiency, to </w:t>
      </w:r>
      <w:r w:rsidR="00783BEA">
        <w:t>DRET</w:t>
      </w:r>
      <w:r>
        <w:t>.</w:t>
      </w:r>
    </w:p>
    <w:p w:rsidR="006403E1" w:rsidRPr="00D81032" w:rsidRDefault="006403E1" w:rsidP="00175104">
      <w:pPr>
        <w:pStyle w:val="Note"/>
        <w:spacing w:line="240" w:lineRule="auto"/>
        <w:ind w:left="1440"/>
        <w:jc w:val="left"/>
        <w:rPr>
          <w:noProof/>
          <w:sz w:val="18"/>
          <w:szCs w:val="18"/>
        </w:rPr>
      </w:pPr>
      <w:r w:rsidRPr="00D81032">
        <w:rPr>
          <w:rStyle w:val="ItalicText"/>
          <w:sz w:val="18"/>
          <w:szCs w:val="18"/>
        </w:rPr>
        <w:t>Note 1</w:t>
      </w:r>
      <w:r w:rsidRPr="00D81032">
        <w:rPr>
          <w:rStyle w:val="ItalicText"/>
          <w:i w:val="0"/>
          <w:sz w:val="18"/>
          <w:szCs w:val="18"/>
        </w:rPr>
        <w:t>: </w:t>
      </w:r>
      <w:r w:rsidRPr="00D81032">
        <w:rPr>
          <w:noProof/>
          <w:sz w:val="18"/>
          <w:szCs w:val="18"/>
        </w:rPr>
        <w:t xml:space="preserve">Functions in relation to climate change were transferred from DCCEE to DIICCSRTE, and functions in relation to energy efficiency were transferred from DCCEE to DRET due to a change in the </w:t>
      </w:r>
      <w:r w:rsidRPr="00D81032">
        <w:rPr>
          <w:i/>
          <w:noProof/>
          <w:sz w:val="18"/>
          <w:szCs w:val="18"/>
        </w:rPr>
        <w:t>Administrative Arrangements Order</w:t>
      </w:r>
      <w:r w:rsidRPr="00D81032">
        <w:rPr>
          <w:noProof/>
          <w:sz w:val="18"/>
          <w:szCs w:val="18"/>
        </w:rPr>
        <w:t xml:space="preserve"> with effect from 25 March 2013.</w:t>
      </w:r>
    </w:p>
    <w:p w:rsidR="006403E1" w:rsidRPr="00D81032" w:rsidRDefault="006403E1" w:rsidP="00175104">
      <w:pPr>
        <w:pStyle w:val="Note"/>
        <w:spacing w:line="240" w:lineRule="auto"/>
        <w:ind w:left="1440"/>
        <w:jc w:val="left"/>
        <w:rPr>
          <w:iCs/>
          <w:sz w:val="18"/>
          <w:szCs w:val="18"/>
        </w:rPr>
      </w:pPr>
      <w:r w:rsidRPr="00D81032">
        <w:rPr>
          <w:rStyle w:val="ItalicText"/>
          <w:iCs/>
          <w:sz w:val="18"/>
          <w:szCs w:val="18"/>
        </w:rPr>
        <w:t>Note 2</w:t>
      </w:r>
      <w:r w:rsidRPr="00D81032">
        <w:rPr>
          <w:rStyle w:val="ItalicText"/>
          <w:i w:val="0"/>
          <w:iCs/>
          <w:sz w:val="18"/>
          <w:szCs w:val="18"/>
        </w:rPr>
        <w:t>:</w:t>
      </w:r>
      <w:r w:rsidRPr="00D81032">
        <w:rPr>
          <w:iCs/>
          <w:sz w:val="18"/>
          <w:szCs w:val="18"/>
        </w:rPr>
        <w:t> This Determination has been made by a delegate of the Secretary of the Department of Finance and Deregulation. The Secretary is, in turn, a delegate of the Finance Minister (in accordance with section</w:t>
      </w:r>
      <w:r w:rsidR="00750124">
        <w:rPr>
          <w:iCs/>
          <w:sz w:val="18"/>
          <w:szCs w:val="18"/>
        </w:rPr>
        <w:t> </w:t>
      </w:r>
      <w:r w:rsidRPr="00D81032">
        <w:rPr>
          <w:iCs/>
          <w:sz w:val="18"/>
          <w:szCs w:val="18"/>
        </w:rPr>
        <w:t>62 of the FMA Act) and the Secretary has sub-delegated that power to the signatory of this Determination (in accordance with section 53 of the FMA Act).</w:t>
      </w:r>
    </w:p>
    <w:p w:rsidR="006403E1" w:rsidRPr="00D81032" w:rsidRDefault="006403E1" w:rsidP="00175104">
      <w:pPr>
        <w:pStyle w:val="Note"/>
        <w:spacing w:line="240" w:lineRule="auto"/>
        <w:ind w:left="1440"/>
        <w:jc w:val="left"/>
        <w:rPr>
          <w:iCs/>
          <w:sz w:val="18"/>
          <w:szCs w:val="18"/>
        </w:rPr>
      </w:pPr>
      <w:r w:rsidRPr="00D81032">
        <w:rPr>
          <w:rStyle w:val="ItalicText"/>
          <w:iCs/>
          <w:sz w:val="18"/>
          <w:szCs w:val="18"/>
        </w:rPr>
        <w:t>Note 3</w:t>
      </w:r>
      <w:r w:rsidRPr="00D81032">
        <w:rPr>
          <w:rStyle w:val="ItalicText"/>
          <w:i w:val="0"/>
          <w:iCs/>
          <w:sz w:val="18"/>
          <w:szCs w:val="18"/>
        </w:rPr>
        <w:t xml:space="preserve">: An initial transfer of appropriations relating to the transfer of functions in relation to the  </w:t>
      </w:r>
      <w:r w:rsidRPr="00D81032">
        <w:rPr>
          <w:i/>
          <w:sz w:val="18"/>
          <w:szCs w:val="18"/>
        </w:rPr>
        <w:t>Administrative Arrangements Order</w:t>
      </w:r>
      <w:r w:rsidRPr="00D81032">
        <w:rPr>
          <w:sz w:val="18"/>
          <w:szCs w:val="18"/>
        </w:rPr>
        <w:t xml:space="preserve"> on 25 March 2013 </w:t>
      </w:r>
      <w:r w:rsidRPr="00D81032">
        <w:rPr>
          <w:rStyle w:val="ItalicText"/>
          <w:i w:val="0"/>
          <w:iCs/>
          <w:sz w:val="18"/>
          <w:szCs w:val="18"/>
        </w:rPr>
        <w:t xml:space="preserve">occurred under </w:t>
      </w:r>
      <w:r w:rsidR="00A94706">
        <w:rPr>
          <w:rStyle w:val="ItalicText"/>
          <w:iCs/>
          <w:sz w:val="18"/>
          <w:szCs w:val="18"/>
        </w:rPr>
        <w:t>FMA</w:t>
      </w:r>
      <w:r w:rsidRPr="00D81032">
        <w:rPr>
          <w:rStyle w:val="ItalicText"/>
          <w:iCs/>
          <w:sz w:val="18"/>
          <w:szCs w:val="18"/>
        </w:rPr>
        <w:t xml:space="preserve"> </w:t>
      </w:r>
      <w:r w:rsidR="00D077DC">
        <w:rPr>
          <w:rStyle w:val="ItalicText"/>
          <w:iCs/>
          <w:sz w:val="18"/>
          <w:szCs w:val="18"/>
        </w:rPr>
        <w:t>Act</w:t>
      </w:r>
      <w:r w:rsidRPr="00D81032">
        <w:rPr>
          <w:rStyle w:val="ItalicText"/>
          <w:iCs/>
          <w:sz w:val="18"/>
          <w:szCs w:val="18"/>
        </w:rPr>
        <w:t xml:space="preserve"> Determination 2013/01– Section 32 (Transfer of Functions from DCCEE to DIICCSRTE and DRET)</w:t>
      </w:r>
      <w:r w:rsidRPr="00D81032">
        <w:rPr>
          <w:rStyle w:val="ItalicText"/>
          <w:i w:val="0"/>
          <w:iCs/>
          <w:sz w:val="18"/>
          <w:szCs w:val="18"/>
        </w:rPr>
        <w:t xml:space="preserve">. This Determination relates to the second transfer of appropriations.  </w:t>
      </w:r>
    </w:p>
    <w:p w:rsidR="006403E1" w:rsidRPr="00175104" w:rsidRDefault="006403E1" w:rsidP="00175104">
      <w:pPr>
        <w:pStyle w:val="ActHead5"/>
      </w:pPr>
      <w:proofErr w:type="gramStart"/>
      <w:r w:rsidRPr="00175104">
        <w:t>4  Amendment</w:t>
      </w:r>
      <w:proofErr w:type="gramEnd"/>
      <w:r w:rsidRPr="00175104">
        <w:t xml:space="preserve"> of Appropriation Acts </w:t>
      </w:r>
    </w:p>
    <w:p w:rsidR="006403E1" w:rsidRDefault="006403E1" w:rsidP="006210B2">
      <w:pPr>
        <w:pStyle w:val="subsection"/>
      </w:pPr>
      <w:r>
        <w:tab/>
      </w:r>
      <w:r>
        <w:tab/>
        <w:t xml:space="preserve">Schedule 1 of </w:t>
      </w:r>
      <w:r w:rsidRPr="00513EA2">
        <w:rPr>
          <w:i/>
        </w:rPr>
        <w:t>Appropriation Act (No. 1) 2012-2</w:t>
      </w:r>
      <w:r>
        <w:rPr>
          <w:i/>
        </w:rPr>
        <w:t>013</w:t>
      </w:r>
      <w:r>
        <w:t xml:space="preserve"> is amended</w:t>
      </w:r>
      <w:r w:rsidRPr="00175104">
        <w:t xml:space="preserve"> as set out in </w:t>
      </w:r>
      <w:r>
        <w:t>Schedule 1 to this Determination.</w:t>
      </w:r>
    </w:p>
    <w:p w:rsidR="006403E1" w:rsidRDefault="006403E1" w:rsidP="006210B2">
      <w:pPr>
        <w:pStyle w:val="subsection"/>
      </w:pPr>
      <w:r>
        <w:tab/>
      </w:r>
      <w:r>
        <w:tab/>
        <w:t xml:space="preserve">Schedule 2 of </w:t>
      </w:r>
      <w:r w:rsidRPr="00513EA2">
        <w:rPr>
          <w:i/>
        </w:rPr>
        <w:t xml:space="preserve">Appropriation Act (No. </w:t>
      </w:r>
      <w:r>
        <w:rPr>
          <w:i/>
        </w:rPr>
        <w:t>2</w:t>
      </w:r>
      <w:r w:rsidRPr="00513EA2">
        <w:rPr>
          <w:i/>
        </w:rPr>
        <w:t>) 2012-2</w:t>
      </w:r>
      <w:r>
        <w:rPr>
          <w:i/>
        </w:rPr>
        <w:t>013</w:t>
      </w:r>
      <w:r>
        <w:t xml:space="preserve"> is amended as set out in Schedule 2 to this Determination.</w:t>
      </w:r>
    </w:p>
    <w:p w:rsidR="006403E1" w:rsidRDefault="006403E1" w:rsidP="006210B2">
      <w:pPr>
        <w:pStyle w:val="subsection"/>
      </w:pPr>
      <w:r>
        <w:tab/>
      </w:r>
      <w:r>
        <w:tab/>
        <w:t xml:space="preserve">Schedule 1 of </w:t>
      </w:r>
      <w:r w:rsidRPr="00513EA2">
        <w:rPr>
          <w:i/>
        </w:rPr>
        <w:t xml:space="preserve">Appropriation Act (No. </w:t>
      </w:r>
      <w:r>
        <w:rPr>
          <w:i/>
        </w:rPr>
        <w:t>3</w:t>
      </w:r>
      <w:r w:rsidRPr="00513EA2">
        <w:rPr>
          <w:i/>
        </w:rPr>
        <w:t>) 2012-2</w:t>
      </w:r>
      <w:r>
        <w:rPr>
          <w:i/>
        </w:rPr>
        <w:t>013</w:t>
      </w:r>
      <w:r>
        <w:t xml:space="preserve"> is amended</w:t>
      </w:r>
      <w:r w:rsidRPr="00175104">
        <w:t xml:space="preserve"> as set out in </w:t>
      </w:r>
      <w:r>
        <w:t>Schedule 3 to this Determination.</w:t>
      </w:r>
    </w:p>
    <w:p w:rsidR="006403E1" w:rsidRDefault="006403E1" w:rsidP="006210B2">
      <w:pPr>
        <w:pStyle w:val="subsection"/>
      </w:pPr>
      <w:r>
        <w:tab/>
      </w:r>
      <w:r>
        <w:tab/>
        <w:t xml:space="preserve">Schedule 1 of </w:t>
      </w:r>
      <w:r w:rsidRPr="00513EA2">
        <w:rPr>
          <w:i/>
        </w:rPr>
        <w:t>Appropriation Act (No. 1) 201</w:t>
      </w:r>
      <w:r>
        <w:rPr>
          <w:i/>
        </w:rPr>
        <w:t>1</w:t>
      </w:r>
      <w:r w:rsidRPr="00513EA2">
        <w:rPr>
          <w:i/>
        </w:rPr>
        <w:t>-2</w:t>
      </w:r>
      <w:r>
        <w:rPr>
          <w:i/>
        </w:rPr>
        <w:t xml:space="preserve">012 </w:t>
      </w:r>
      <w:r>
        <w:t>is amended as set out in Schedule 4 to this Determination.</w:t>
      </w:r>
    </w:p>
    <w:p w:rsidR="006403E1" w:rsidRDefault="006403E1" w:rsidP="006210B2">
      <w:pPr>
        <w:pStyle w:val="subsection"/>
      </w:pPr>
      <w:r>
        <w:tab/>
      </w:r>
      <w:r>
        <w:tab/>
        <w:t xml:space="preserve">Schedule 2 of </w:t>
      </w:r>
      <w:r w:rsidRPr="00513EA2">
        <w:rPr>
          <w:i/>
        </w:rPr>
        <w:t xml:space="preserve">Appropriation Act (No. </w:t>
      </w:r>
      <w:r>
        <w:rPr>
          <w:i/>
        </w:rPr>
        <w:t>2</w:t>
      </w:r>
      <w:r w:rsidRPr="00513EA2">
        <w:rPr>
          <w:i/>
        </w:rPr>
        <w:t>) 201</w:t>
      </w:r>
      <w:r>
        <w:rPr>
          <w:i/>
        </w:rPr>
        <w:t>1</w:t>
      </w:r>
      <w:r w:rsidRPr="00513EA2">
        <w:rPr>
          <w:i/>
        </w:rPr>
        <w:t>-2</w:t>
      </w:r>
      <w:r>
        <w:rPr>
          <w:i/>
        </w:rPr>
        <w:t xml:space="preserve">012 </w:t>
      </w:r>
      <w:r>
        <w:t>is amended as set out in Schedule 5 to this Determination.</w:t>
      </w:r>
    </w:p>
    <w:p w:rsidR="006403E1" w:rsidRDefault="006403E1" w:rsidP="006210B2">
      <w:pPr>
        <w:pStyle w:val="subsection"/>
      </w:pPr>
      <w:r>
        <w:tab/>
      </w:r>
      <w:r>
        <w:tab/>
        <w:t xml:space="preserve">Schedule 1 of </w:t>
      </w:r>
      <w:r w:rsidRPr="00513EA2">
        <w:rPr>
          <w:i/>
        </w:rPr>
        <w:t xml:space="preserve">Appropriation Act (No. </w:t>
      </w:r>
      <w:r>
        <w:rPr>
          <w:i/>
        </w:rPr>
        <w:t>3</w:t>
      </w:r>
      <w:r w:rsidRPr="00513EA2">
        <w:rPr>
          <w:i/>
        </w:rPr>
        <w:t>) 201</w:t>
      </w:r>
      <w:r>
        <w:rPr>
          <w:i/>
        </w:rPr>
        <w:t>1</w:t>
      </w:r>
      <w:r w:rsidRPr="00513EA2">
        <w:rPr>
          <w:i/>
        </w:rPr>
        <w:t>-2</w:t>
      </w:r>
      <w:r>
        <w:rPr>
          <w:i/>
        </w:rPr>
        <w:t xml:space="preserve">012 </w:t>
      </w:r>
      <w:r>
        <w:t>is amended as set out in Schedule 6 to this Determination.</w:t>
      </w:r>
    </w:p>
    <w:p w:rsidR="006403E1" w:rsidRDefault="006403E1" w:rsidP="006210B2">
      <w:pPr>
        <w:pStyle w:val="subsection"/>
      </w:pPr>
      <w:r>
        <w:tab/>
      </w:r>
      <w:r>
        <w:tab/>
        <w:t xml:space="preserve">Schedule 2 of </w:t>
      </w:r>
      <w:r w:rsidRPr="00513EA2">
        <w:rPr>
          <w:i/>
        </w:rPr>
        <w:t xml:space="preserve">Appropriation Act (No. </w:t>
      </w:r>
      <w:r>
        <w:rPr>
          <w:i/>
        </w:rPr>
        <w:t>2</w:t>
      </w:r>
      <w:r w:rsidRPr="00513EA2">
        <w:rPr>
          <w:i/>
        </w:rPr>
        <w:t>) 201</w:t>
      </w:r>
      <w:r>
        <w:rPr>
          <w:i/>
        </w:rPr>
        <w:t>0</w:t>
      </w:r>
      <w:r w:rsidRPr="00513EA2">
        <w:rPr>
          <w:i/>
        </w:rPr>
        <w:t>-2</w:t>
      </w:r>
      <w:r>
        <w:rPr>
          <w:i/>
        </w:rPr>
        <w:t xml:space="preserve">011 </w:t>
      </w:r>
      <w:r>
        <w:t>is amended as set out in Schedule 7 to this Determination.</w:t>
      </w:r>
    </w:p>
    <w:p w:rsidR="006403E1" w:rsidRPr="00DA7B55" w:rsidRDefault="006403E1" w:rsidP="006210B2">
      <w:pPr>
        <w:pStyle w:val="subsection"/>
      </w:pPr>
      <w:r>
        <w:tab/>
      </w:r>
      <w:r>
        <w:tab/>
        <w:t xml:space="preserve">Schedule 2 of </w:t>
      </w:r>
      <w:r w:rsidRPr="00513EA2">
        <w:rPr>
          <w:i/>
        </w:rPr>
        <w:t xml:space="preserve">Appropriation Act (No. </w:t>
      </w:r>
      <w:r>
        <w:rPr>
          <w:i/>
        </w:rPr>
        <w:t>4</w:t>
      </w:r>
      <w:r w:rsidRPr="00513EA2">
        <w:rPr>
          <w:i/>
        </w:rPr>
        <w:t>) 201</w:t>
      </w:r>
      <w:r>
        <w:rPr>
          <w:i/>
        </w:rPr>
        <w:t>0</w:t>
      </w:r>
      <w:r w:rsidRPr="00513EA2">
        <w:rPr>
          <w:i/>
        </w:rPr>
        <w:t>-2</w:t>
      </w:r>
      <w:r>
        <w:rPr>
          <w:i/>
        </w:rPr>
        <w:t xml:space="preserve">011 </w:t>
      </w:r>
      <w:r>
        <w:t>is amended as set out in Schedule 8 to this Determination.</w:t>
      </w:r>
    </w:p>
    <w:p w:rsidR="006403E1" w:rsidRPr="00175104" w:rsidRDefault="006403E1" w:rsidP="00175104">
      <w:pPr>
        <w:pStyle w:val="ActHead5"/>
      </w:pPr>
      <w:proofErr w:type="gramStart"/>
      <w:r w:rsidRPr="00175104">
        <w:lastRenderedPageBreak/>
        <w:t>5  Definitions</w:t>
      </w:r>
      <w:proofErr w:type="gramEnd"/>
    </w:p>
    <w:p w:rsidR="006403E1" w:rsidRPr="00175104" w:rsidRDefault="006403E1" w:rsidP="00175104">
      <w:pPr>
        <w:pStyle w:val="subsection"/>
      </w:pPr>
      <w:r>
        <w:tab/>
      </w:r>
      <w:r>
        <w:tab/>
      </w:r>
      <w:r w:rsidRPr="00175104">
        <w:t>In this Determination:</w:t>
      </w:r>
    </w:p>
    <w:p w:rsidR="006403E1" w:rsidRDefault="006403E1" w:rsidP="0085253E">
      <w:pPr>
        <w:pStyle w:val="Definition"/>
      </w:pPr>
      <w:r>
        <w:rPr>
          <w:b/>
          <w:i/>
        </w:rPr>
        <w:t xml:space="preserve">DCCEE </w:t>
      </w:r>
      <w:r w:rsidRPr="0085253E">
        <w:t>means the</w:t>
      </w:r>
      <w:r>
        <w:t xml:space="preserve"> former</w:t>
      </w:r>
      <w:r w:rsidRPr="0085253E">
        <w:t xml:space="preserve"> </w:t>
      </w:r>
      <w:r w:rsidRPr="00254CA7">
        <w:t>Department of Climate Change and Energy Efficiency.</w:t>
      </w:r>
    </w:p>
    <w:p w:rsidR="006403E1" w:rsidRDefault="006403E1" w:rsidP="0085253E">
      <w:pPr>
        <w:pStyle w:val="Definition"/>
      </w:pPr>
      <w:r>
        <w:rPr>
          <w:b/>
          <w:i/>
        </w:rPr>
        <w:t xml:space="preserve">DIICCSRTE </w:t>
      </w:r>
      <w:r w:rsidRPr="00254CA7">
        <w:t>means the Department of Industry, Innovation, Climate Change, Science, Research and Tertiary Education.</w:t>
      </w:r>
    </w:p>
    <w:p w:rsidR="003A1BB7" w:rsidRDefault="003A1BB7" w:rsidP="0085253E">
      <w:pPr>
        <w:pStyle w:val="Definition"/>
      </w:pPr>
      <w:r>
        <w:rPr>
          <w:b/>
          <w:i/>
        </w:rPr>
        <w:t>DIISRTE</w:t>
      </w:r>
      <w:r>
        <w:t xml:space="preserve"> means the former</w:t>
      </w:r>
      <w:r w:rsidRPr="003A1BB7">
        <w:t xml:space="preserve"> </w:t>
      </w:r>
      <w:r w:rsidRPr="00254CA7">
        <w:t>Department of Industry, Innovation, Science, Research and Tertiary Education.</w:t>
      </w:r>
    </w:p>
    <w:p w:rsidR="003A1BB7" w:rsidRPr="003A1BB7" w:rsidRDefault="003A1BB7" w:rsidP="003A1BB7">
      <w:pPr>
        <w:pStyle w:val="Definition"/>
      </w:pPr>
      <w:r>
        <w:rPr>
          <w:b/>
          <w:i/>
        </w:rPr>
        <w:t>DIISR</w:t>
      </w:r>
      <w:r>
        <w:t xml:space="preserve"> means the former</w:t>
      </w:r>
      <w:r w:rsidRPr="003A1BB7">
        <w:t xml:space="preserve"> </w:t>
      </w:r>
      <w:r w:rsidRPr="00254CA7">
        <w:t xml:space="preserve">Department of Innovation, Industry, </w:t>
      </w:r>
      <w:r>
        <w:t xml:space="preserve">Science and </w:t>
      </w:r>
      <w:r w:rsidRPr="00254CA7">
        <w:t>Research.</w:t>
      </w:r>
    </w:p>
    <w:p w:rsidR="006403E1" w:rsidRPr="0085253E" w:rsidRDefault="006403E1" w:rsidP="0085253E">
      <w:pPr>
        <w:pStyle w:val="Definition"/>
      </w:pPr>
      <w:r>
        <w:rPr>
          <w:b/>
          <w:i/>
        </w:rPr>
        <w:t xml:space="preserve">DRET </w:t>
      </w:r>
      <w:r w:rsidRPr="0085253E">
        <w:t>means</w:t>
      </w:r>
      <w:r w:rsidRPr="00254CA7">
        <w:t xml:space="preserve"> the Department of Resources, Energy and Tourism.</w:t>
      </w:r>
    </w:p>
    <w:p w:rsidR="006403E1" w:rsidRPr="0085253E" w:rsidRDefault="006403E1" w:rsidP="0085253E">
      <w:pPr>
        <w:pStyle w:val="Definition"/>
      </w:pPr>
      <w:r w:rsidRPr="0085253E">
        <w:rPr>
          <w:b/>
          <w:i/>
        </w:rPr>
        <w:t>FMA Act</w:t>
      </w:r>
      <w:r w:rsidRPr="0085253E">
        <w:t xml:space="preserve"> means the </w:t>
      </w:r>
      <w:r w:rsidRPr="0085253E">
        <w:rPr>
          <w:i/>
        </w:rPr>
        <w:t>Financial Management and Accountability Act 1997</w:t>
      </w:r>
      <w:r w:rsidRPr="0085253E">
        <w:t>.</w:t>
      </w:r>
    </w:p>
    <w:p w:rsidR="006403E1" w:rsidRPr="0041662D" w:rsidRDefault="006403E1" w:rsidP="005542E1">
      <w:pPr>
        <w:pStyle w:val="ActHead6"/>
        <w:pageBreakBefore/>
        <w:ind w:left="1985" w:hanging="1985"/>
      </w:pPr>
      <w:r>
        <w:t>Schedule 1</w:t>
      </w:r>
      <w:r>
        <w:tab/>
      </w:r>
      <w:r w:rsidRPr="00177177">
        <w:t xml:space="preserve">Amendment of </w:t>
      </w:r>
      <w:r>
        <w:t>Appropriation Act (No. 1) 2012</w:t>
      </w:r>
      <w:r>
        <w:noBreakHyphen/>
        <w:t>2013</w:t>
      </w:r>
    </w:p>
    <w:p w:rsidR="006403E1" w:rsidRPr="00F3113A" w:rsidRDefault="006403E1" w:rsidP="00F3113A">
      <w:pPr>
        <w:pStyle w:val="A1S"/>
        <w:spacing w:before="240" w:line="240" w:lineRule="auto"/>
        <w:ind w:left="426" w:hanging="426"/>
        <w:rPr>
          <w:bCs/>
        </w:rPr>
      </w:pPr>
      <w:r w:rsidRPr="00F3113A">
        <w:rPr>
          <w:bCs/>
        </w:rPr>
        <w:t>1</w:t>
      </w:r>
      <w:r>
        <w:rPr>
          <w:bCs/>
        </w:rPr>
        <w:tab/>
      </w:r>
      <w:proofErr w:type="gramStart"/>
      <w:r>
        <w:rPr>
          <w:bCs/>
        </w:rPr>
        <w:t>At</w:t>
      </w:r>
      <w:proofErr w:type="gramEnd"/>
      <w:r>
        <w:rPr>
          <w:bCs/>
        </w:rPr>
        <w:t xml:space="preserve"> the end of Schedule 1, after the note to Table 3 for </w:t>
      </w:r>
      <w:r>
        <w:rPr>
          <w:bCs/>
        </w:rPr>
        <w:br/>
        <w:t xml:space="preserve">“3 FMA Act Determination 2013/04 – Section 32 (Transfer of Functions </w:t>
      </w:r>
      <w:r>
        <w:rPr>
          <w:bCs/>
        </w:rPr>
        <w:br/>
        <w:t>from Health to NHFB)”</w:t>
      </w:r>
    </w:p>
    <w:p w:rsidR="006403E1" w:rsidRPr="0060183A" w:rsidRDefault="006403E1" w:rsidP="00A10043">
      <w:pPr>
        <w:pStyle w:val="Item"/>
        <w:ind w:left="426"/>
      </w:pPr>
      <w:r w:rsidRPr="0060183A">
        <w:t>Insert</w:t>
      </w:r>
      <w:r>
        <w:t>:</w:t>
      </w:r>
    </w:p>
    <w:p w:rsidR="006403E1" w:rsidRPr="008C1370" w:rsidRDefault="006403E1" w:rsidP="00194A05">
      <w:pPr>
        <w:pStyle w:val="ItemHead"/>
        <w:ind w:left="1276" w:hanging="362"/>
      </w:pPr>
      <w:r>
        <w:t>4</w:t>
      </w:r>
      <w:r>
        <w:tab/>
        <w:t xml:space="preserve">FMA Act Determination </w:t>
      </w:r>
      <w:r>
        <w:rPr>
          <w:noProof/>
        </w:rPr>
        <w:t xml:space="preserve">2013/05 — </w:t>
      </w:r>
      <w:r>
        <w:t>Section 32 (Transfer of Functions   from DCCEE to DIICCSRTE and DRET</w:t>
      </w:r>
      <w:r w:rsidRPr="00B97560">
        <w:t>)</w:t>
      </w:r>
    </w:p>
    <w:p w:rsidR="006403E1" w:rsidRDefault="006403E1" w:rsidP="00040D9A">
      <w:pPr>
        <w:pStyle w:val="Item"/>
        <w:ind w:left="990"/>
      </w:pPr>
      <w:r w:rsidRPr="00B97560">
        <w:t xml:space="preserve">Schedule 1 of this Act is amended </w:t>
      </w:r>
      <w:r>
        <w:t>in accordance with</w:t>
      </w:r>
      <w:r w:rsidRPr="00B97560">
        <w:t xml:space="preserve"> </w:t>
      </w:r>
      <w:r>
        <w:t>section 32</w:t>
      </w:r>
      <w:r w:rsidRPr="00B97560">
        <w:t xml:space="preserve"> of the </w:t>
      </w:r>
      <w:r w:rsidRPr="00B97560">
        <w:rPr>
          <w:i/>
        </w:rPr>
        <w:t>Financial Management and Accountability Act 1997</w:t>
      </w:r>
      <w:r w:rsidRPr="00B97560">
        <w:t xml:space="preserve"> (FMA Act). </w:t>
      </w:r>
      <w:r>
        <w:t>A</w:t>
      </w:r>
      <w:r w:rsidRPr="00B97560">
        <w:t xml:space="preserve">mendments to appropriations are as specified in </w:t>
      </w:r>
      <w:r>
        <w:t xml:space="preserve">the following table. The appropriation </w:t>
      </w:r>
      <w:r w:rsidRPr="00B97560">
        <w:t xml:space="preserve">item </w:t>
      </w:r>
      <w:r>
        <w:t>(</w:t>
      </w:r>
      <w:r w:rsidRPr="00B97560">
        <w:t>listed in Column 1</w:t>
      </w:r>
      <w:r>
        <w:t>)</w:t>
      </w:r>
      <w:r w:rsidRPr="00B97560">
        <w:t xml:space="preserve"> for the </w:t>
      </w:r>
      <w:r>
        <w:t>Agency</w:t>
      </w:r>
      <w:r w:rsidRPr="00B97560">
        <w:t xml:space="preserve"> </w:t>
      </w:r>
      <w:r>
        <w:t xml:space="preserve">(listed in </w:t>
      </w:r>
      <w:r w:rsidRPr="00B97560">
        <w:t>Column 2</w:t>
      </w:r>
      <w:r>
        <w:t xml:space="preserve">) is </w:t>
      </w:r>
      <w:r w:rsidRPr="00B97560">
        <w:t xml:space="preserve">amended by the </w:t>
      </w:r>
      <w:r>
        <w:t xml:space="preserve">relevant </w:t>
      </w:r>
      <w:r w:rsidRPr="00B97560">
        <w:t xml:space="preserve">amount </w:t>
      </w:r>
      <w:r>
        <w:t>(</w:t>
      </w:r>
      <w:r w:rsidRPr="00B97560">
        <w:t>listed in Column 3</w:t>
      </w:r>
      <w:r>
        <w:t>)</w:t>
      </w:r>
      <w:r w:rsidRPr="00B97560">
        <w:t>.</w:t>
      </w:r>
      <w:r>
        <w:t xml:space="preserve"> </w:t>
      </w:r>
      <w:r>
        <w:br/>
        <w:t>A positive amount in Column 3 is an increase in the appropriation and a negative amount is a decrease in the appropriation.</w:t>
      </w:r>
    </w:p>
    <w:p w:rsidR="006403E1" w:rsidRPr="00040D9A" w:rsidRDefault="006403E1" w:rsidP="00040D9A">
      <w:pPr>
        <w:pStyle w:val="ItemHead"/>
        <w:ind w:left="990" w:firstLine="0"/>
        <w:rPr>
          <w:rFonts w:ascii="Times New Roman" w:hAnsi="Times New Roman"/>
          <w:b w:val="0"/>
          <w:sz w:val="22"/>
          <w:szCs w:val="22"/>
        </w:rPr>
      </w:pPr>
      <w:r w:rsidRPr="00040D9A">
        <w:rPr>
          <w:rFonts w:ascii="Times New Roman" w:hAnsi="Times New Roman"/>
          <w:sz w:val="22"/>
          <w:szCs w:val="22"/>
        </w:rPr>
        <w:t xml:space="preserve">Table </w:t>
      </w:r>
      <w:r>
        <w:rPr>
          <w:rFonts w:ascii="Times New Roman" w:hAnsi="Times New Roman"/>
          <w:sz w:val="22"/>
          <w:szCs w:val="22"/>
        </w:rPr>
        <w:t>4</w:t>
      </w:r>
    </w:p>
    <w:p w:rsidR="006403E1" w:rsidRPr="00AF371C" w:rsidRDefault="006403E1" w:rsidP="00AF371C"/>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3109"/>
        <w:gridCol w:w="2697"/>
        <w:gridCol w:w="1559"/>
      </w:tblGrid>
      <w:tr w:rsidR="006403E1" w:rsidRPr="006F4315" w:rsidTr="00040D9A">
        <w:trPr>
          <w:tblHeader/>
        </w:trPr>
        <w:tc>
          <w:tcPr>
            <w:tcW w:w="8079" w:type="dxa"/>
            <w:gridSpan w:val="4"/>
            <w:tcBorders>
              <w:top w:val="single" w:sz="12" w:space="0" w:color="auto"/>
              <w:bottom w:val="single" w:sz="6" w:space="0" w:color="auto"/>
            </w:tcBorders>
          </w:tcPr>
          <w:p w:rsidR="006403E1" w:rsidRDefault="006403E1" w:rsidP="00177177">
            <w:pPr>
              <w:pStyle w:val="TableHeading"/>
            </w:pPr>
            <w:r>
              <w:t>Amendment of appropriations</w:t>
            </w:r>
          </w:p>
        </w:tc>
      </w:tr>
      <w:tr w:rsidR="006403E1" w:rsidRPr="006F4315" w:rsidTr="005A707D">
        <w:trPr>
          <w:tblHeader/>
        </w:trPr>
        <w:tc>
          <w:tcPr>
            <w:tcW w:w="714" w:type="dxa"/>
            <w:tcBorders>
              <w:top w:val="single" w:sz="6" w:space="0" w:color="auto"/>
              <w:bottom w:val="single" w:sz="6" w:space="0" w:color="auto"/>
            </w:tcBorders>
          </w:tcPr>
          <w:p w:rsidR="006403E1" w:rsidRDefault="006403E1" w:rsidP="00177177">
            <w:pPr>
              <w:pStyle w:val="TableHeading"/>
            </w:pPr>
          </w:p>
        </w:tc>
        <w:tc>
          <w:tcPr>
            <w:tcW w:w="3109" w:type="dxa"/>
            <w:tcBorders>
              <w:top w:val="single" w:sz="6" w:space="0" w:color="auto"/>
              <w:bottom w:val="single" w:sz="6" w:space="0" w:color="auto"/>
            </w:tcBorders>
          </w:tcPr>
          <w:p w:rsidR="006403E1" w:rsidRDefault="006403E1" w:rsidP="00177177">
            <w:pPr>
              <w:pStyle w:val="TableHeading"/>
            </w:pPr>
            <w:r>
              <w:t>Column 1</w:t>
            </w:r>
          </w:p>
        </w:tc>
        <w:tc>
          <w:tcPr>
            <w:tcW w:w="2697" w:type="dxa"/>
            <w:tcBorders>
              <w:top w:val="single" w:sz="6" w:space="0" w:color="auto"/>
              <w:bottom w:val="single" w:sz="6" w:space="0" w:color="auto"/>
            </w:tcBorders>
          </w:tcPr>
          <w:p w:rsidR="006403E1" w:rsidRDefault="006403E1" w:rsidP="00177177">
            <w:pPr>
              <w:pStyle w:val="TableHeading"/>
            </w:pPr>
            <w:r>
              <w:t>Column 2</w:t>
            </w:r>
          </w:p>
        </w:tc>
        <w:tc>
          <w:tcPr>
            <w:tcW w:w="1559" w:type="dxa"/>
            <w:tcBorders>
              <w:top w:val="single" w:sz="6" w:space="0" w:color="auto"/>
              <w:bottom w:val="single" w:sz="6" w:space="0" w:color="auto"/>
            </w:tcBorders>
          </w:tcPr>
          <w:p w:rsidR="006403E1" w:rsidRDefault="006403E1" w:rsidP="00177177">
            <w:pPr>
              <w:pStyle w:val="TableHeading"/>
            </w:pPr>
            <w:r>
              <w:t>Column 3</w:t>
            </w:r>
          </w:p>
        </w:tc>
      </w:tr>
      <w:tr w:rsidR="006403E1" w:rsidRPr="006F4315" w:rsidTr="005A707D">
        <w:trPr>
          <w:tblHeader/>
        </w:trPr>
        <w:tc>
          <w:tcPr>
            <w:tcW w:w="714" w:type="dxa"/>
            <w:tcBorders>
              <w:top w:val="single" w:sz="6" w:space="0" w:color="auto"/>
              <w:bottom w:val="single" w:sz="12" w:space="0" w:color="auto"/>
            </w:tcBorders>
          </w:tcPr>
          <w:p w:rsidR="006403E1" w:rsidRDefault="006403E1" w:rsidP="00177177">
            <w:pPr>
              <w:pStyle w:val="TableHeading"/>
            </w:pPr>
            <w:r>
              <w:t>Item</w:t>
            </w:r>
          </w:p>
        </w:tc>
        <w:tc>
          <w:tcPr>
            <w:tcW w:w="3109" w:type="dxa"/>
            <w:tcBorders>
              <w:top w:val="single" w:sz="6" w:space="0" w:color="auto"/>
              <w:bottom w:val="single" w:sz="12" w:space="0" w:color="auto"/>
            </w:tcBorders>
          </w:tcPr>
          <w:p w:rsidR="006403E1" w:rsidRDefault="006403E1" w:rsidP="00177177">
            <w:pPr>
              <w:pStyle w:val="TableHeading"/>
            </w:pPr>
            <w:r>
              <w:t>Appropriation item</w:t>
            </w:r>
          </w:p>
        </w:tc>
        <w:tc>
          <w:tcPr>
            <w:tcW w:w="2697" w:type="dxa"/>
            <w:tcBorders>
              <w:top w:val="single" w:sz="6" w:space="0" w:color="auto"/>
              <w:bottom w:val="single" w:sz="12" w:space="0" w:color="auto"/>
            </w:tcBorders>
          </w:tcPr>
          <w:p w:rsidR="006403E1" w:rsidRDefault="006403E1" w:rsidP="00177177">
            <w:pPr>
              <w:pStyle w:val="TableHeading"/>
            </w:pPr>
            <w:r>
              <w:t>Agency</w:t>
            </w:r>
          </w:p>
        </w:tc>
        <w:tc>
          <w:tcPr>
            <w:tcW w:w="1559" w:type="dxa"/>
            <w:tcBorders>
              <w:top w:val="single" w:sz="6" w:space="0" w:color="auto"/>
              <w:bottom w:val="single" w:sz="12" w:space="0" w:color="auto"/>
            </w:tcBorders>
          </w:tcPr>
          <w:p w:rsidR="006403E1" w:rsidRDefault="006403E1" w:rsidP="005A707D">
            <w:pPr>
              <w:pStyle w:val="TableHeading"/>
              <w:jc w:val="right"/>
            </w:pPr>
            <w:r>
              <w:t>Amount $</w:t>
            </w:r>
          </w:p>
        </w:tc>
      </w:tr>
      <w:tr w:rsidR="006403E1" w:rsidRPr="006F4315" w:rsidTr="005A707D">
        <w:tc>
          <w:tcPr>
            <w:tcW w:w="714" w:type="dxa"/>
            <w:tcBorders>
              <w:top w:val="single" w:sz="12" w:space="0" w:color="auto"/>
            </w:tcBorders>
          </w:tcPr>
          <w:p w:rsidR="006403E1" w:rsidRDefault="006403E1" w:rsidP="00177177">
            <w:pPr>
              <w:pStyle w:val="Tabletext"/>
            </w:pPr>
            <w:r>
              <w:t>1</w:t>
            </w:r>
          </w:p>
        </w:tc>
        <w:tc>
          <w:tcPr>
            <w:tcW w:w="3109" w:type="dxa"/>
            <w:tcBorders>
              <w:top w:val="single" w:sz="12" w:space="0" w:color="auto"/>
            </w:tcBorders>
          </w:tcPr>
          <w:p w:rsidR="006403E1" w:rsidRDefault="006403E1" w:rsidP="00177177">
            <w:pPr>
              <w:pStyle w:val="Tabletext"/>
            </w:pPr>
            <w:r>
              <w:t>Departmental item</w:t>
            </w:r>
          </w:p>
        </w:tc>
        <w:tc>
          <w:tcPr>
            <w:tcW w:w="2697" w:type="dxa"/>
            <w:tcBorders>
              <w:top w:val="single" w:sz="12" w:space="0" w:color="auto"/>
            </w:tcBorders>
          </w:tcPr>
          <w:p w:rsidR="006403E1" w:rsidRDefault="006403E1" w:rsidP="00177177">
            <w:pPr>
              <w:pStyle w:val="Tabletext"/>
            </w:pPr>
            <w:r w:rsidRPr="003C3092">
              <w:t>Department of Industry, Innovation, Climate Change, Science, Research and Tertiary Education</w:t>
            </w:r>
          </w:p>
        </w:tc>
        <w:tc>
          <w:tcPr>
            <w:tcW w:w="1559" w:type="dxa"/>
            <w:tcBorders>
              <w:top w:val="single" w:sz="12" w:space="0" w:color="auto"/>
            </w:tcBorders>
          </w:tcPr>
          <w:p w:rsidR="006403E1" w:rsidRDefault="006403E1" w:rsidP="00303D88">
            <w:pPr>
              <w:pStyle w:val="Tabletext"/>
              <w:jc w:val="right"/>
            </w:pPr>
            <w:r w:rsidRPr="00303D88">
              <w:t>+</w:t>
            </w:r>
            <w:r>
              <w:t>17,110,342.76</w:t>
            </w:r>
          </w:p>
        </w:tc>
      </w:tr>
      <w:tr w:rsidR="006403E1" w:rsidRPr="006F4315" w:rsidTr="005A707D">
        <w:tc>
          <w:tcPr>
            <w:tcW w:w="714" w:type="dxa"/>
          </w:tcPr>
          <w:p w:rsidR="006403E1" w:rsidRPr="00AF371C" w:rsidRDefault="006403E1" w:rsidP="00177177">
            <w:pPr>
              <w:pStyle w:val="Tabletext"/>
            </w:pPr>
            <w:r w:rsidRPr="00AF371C">
              <w:t>2</w:t>
            </w:r>
          </w:p>
        </w:tc>
        <w:tc>
          <w:tcPr>
            <w:tcW w:w="3109" w:type="dxa"/>
          </w:tcPr>
          <w:p w:rsidR="006403E1" w:rsidRPr="00AF371C" w:rsidRDefault="006403E1" w:rsidP="00177177">
            <w:pPr>
              <w:pStyle w:val="Tabletext"/>
            </w:pPr>
            <w:r w:rsidRPr="00AF371C">
              <w:t>Departmental item</w:t>
            </w:r>
          </w:p>
        </w:tc>
        <w:tc>
          <w:tcPr>
            <w:tcW w:w="2697" w:type="dxa"/>
          </w:tcPr>
          <w:p w:rsidR="006403E1" w:rsidRPr="00AF371C" w:rsidRDefault="006403E1" w:rsidP="00177177">
            <w:pPr>
              <w:pStyle w:val="Tabletext"/>
            </w:pPr>
            <w:r w:rsidRPr="004E5756">
              <w:t>Department of</w:t>
            </w:r>
            <w:r>
              <w:t xml:space="preserve"> Resources, Energy and Tourism</w:t>
            </w:r>
          </w:p>
        </w:tc>
        <w:tc>
          <w:tcPr>
            <w:tcW w:w="1559" w:type="dxa"/>
          </w:tcPr>
          <w:p w:rsidR="006403E1" w:rsidRDefault="006403E1" w:rsidP="00B160E1">
            <w:pPr>
              <w:pStyle w:val="Tabletext"/>
              <w:jc w:val="right"/>
            </w:pPr>
            <w:r>
              <w:t>+8,667,739.43</w:t>
            </w:r>
          </w:p>
        </w:tc>
      </w:tr>
      <w:tr w:rsidR="006403E1" w:rsidRPr="006F4315" w:rsidTr="005A707D">
        <w:tc>
          <w:tcPr>
            <w:tcW w:w="714" w:type="dxa"/>
            <w:tcBorders>
              <w:bottom w:val="single" w:sz="12" w:space="0" w:color="auto"/>
            </w:tcBorders>
          </w:tcPr>
          <w:p w:rsidR="006403E1" w:rsidRPr="00AF371C" w:rsidRDefault="006403E1" w:rsidP="00177177">
            <w:pPr>
              <w:pStyle w:val="Tabletext"/>
            </w:pPr>
            <w:r w:rsidRPr="00AF371C">
              <w:t>3</w:t>
            </w:r>
          </w:p>
        </w:tc>
        <w:tc>
          <w:tcPr>
            <w:tcW w:w="3109" w:type="dxa"/>
            <w:tcBorders>
              <w:bottom w:val="single" w:sz="12" w:space="0" w:color="auto"/>
            </w:tcBorders>
          </w:tcPr>
          <w:p w:rsidR="006403E1" w:rsidRPr="00AF371C" w:rsidRDefault="006403E1" w:rsidP="00177177">
            <w:pPr>
              <w:pStyle w:val="Tabletext"/>
            </w:pPr>
            <w:r w:rsidRPr="00AF371C">
              <w:t>Departmental item</w:t>
            </w:r>
          </w:p>
        </w:tc>
        <w:tc>
          <w:tcPr>
            <w:tcW w:w="2697" w:type="dxa"/>
            <w:tcBorders>
              <w:bottom w:val="single" w:sz="12" w:space="0" w:color="auto"/>
            </w:tcBorders>
          </w:tcPr>
          <w:p w:rsidR="006403E1" w:rsidRPr="00AF371C" w:rsidRDefault="006403E1" w:rsidP="00A62168">
            <w:pPr>
              <w:pStyle w:val="Tabletext"/>
            </w:pPr>
            <w:r>
              <w:t>Department of Climate Change and Energy Efficiency</w:t>
            </w:r>
          </w:p>
        </w:tc>
        <w:tc>
          <w:tcPr>
            <w:tcW w:w="1559" w:type="dxa"/>
            <w:tcBorders>
              <w:bottom w:val="single" w:sz="12" w:space="0" w:color="auto"/>
            </w:tcBorders>
          </w:tcPr>
          <w:p w:rsidR="006403E1" w:rsidRDefault="006403E1" w:rsidP="00303D88">
            <w:pPr>
              <w:pStyle w:val="Tabletext"/>
              <w:jc w:val="right"/>
            </w:pPr>
            <w:r w:rsidRPr="00303D88">
              <w:t>-</w:t>
            </w:r>
            <w:r>
              <w:t>25,778,082.19</w:t>
            </w:r>
          </w:p>
        </w:tc>
      </w:tr>
    </w:tbl>
    <w:p w:rsidR="006403E1" w:rsidRDefault="006403E1" w:rsidP="00AF371C">
      <w:pPr>
        <w:pStyle w:val="notetext"/>
      </w:pPr>
      <w:r w:rsidRPr="00AF371C">
        <w:t>Note:</w:t>
      </w:r>
      <w:r>
        <w:tab/>
        <w:t xml:space="preserve">Section 32 </w:t>
      </w:r>
      <w:r w:rsidRPr="00C05B8D">
        <w:t>of the FMA Act enables the Finance Minister to determine that Schedules to Appropriation Acts are amended</w:t>
      </w:r>
      <w:r>
        <w:t xml:space="preserve"> in relation to</w:t>
      </w:r>
      <w:r w:rsidRPr="00C05B8D">
        <w:t xml:space="preserve"> a transfer of functions between Agencies</w:t>
      </w:r>
      <w:r>
        <w:t>. A </w:t>
      </w:r>
      <w:r w:rsidRPr="00C05B8D">
        <w:t xml:space="preserve">determination </w:t>
      </w:r>
      <w:r>
        <w:t xml:space="preserve">under section 32 of the FMA Act </w:t>
      </w:r>
      <w:r w:rsidRPr="00C05B8D">
        <w:t xml:space="preserve">cannot result in a change </w:t>
      </w:r>
      <w:r>
        <w:t xml:space="preserve">to </w:t>
      </w:r>
      <w:r w:rsidRPr="00C05B8D">
        <w:t>the total amount appropriated.</w:t>
      </w:r>
      <w:r>
        <w:t xml:space="preserve"> </w:t>
      </w:r>
      <w:r w:rsidRPr="00C05B8D">
        <w:rPr>
          <w:i/>
        </w:rPr>
        <w:t>FMA</w:t>
      </w:r>
      <w:r>
        <w:rPr>
          <w:i/>
        </w:rPr>
        <w:t> Act Determination 2013/05</w:t>
      </w:r>
      <w:r w:rsidRPr="00C05B8D">
        <w:rPr>
          <w:i/>
        </w:rPr>
        <w:t xml:space="preserve"> — Section 32 (Transfer of Functions from </w:t>
      </w:r>
      <w:r>
        <w:rPr>
          <w:i/>
        </w:rPr>
        <w:t>DCCEE to DIICCSRTE and DRET</w:t>
      </w:r>
      <w:r w:rsidRPr="00C05B8D">
        <w:rPr>
          <w:i/>
        </w:rPr>
        <w:t xml:space="preserve">) </w:t>
      </w:r>
      <w:r w:rsidRPr="00C05B8D">
        <w:t xml:space="preserve">affects </w:t>
      </w:r>
      <w:r>
        <w:t xml:space="preserve">this Act </w:t>
      </w:r>
      <w:r w:rsidRPr="00C05B8D">
        <w:t xml:space="preserve">in </w:t>
      </w:r>
      <w:r>
        <w:t xml:space="preserve">a specified way to </w:t>
      </w:r>
      <w:r w:rsidRPr="00C05B8D">
        <w:t>result</w:t>
      </w:r>
      <w:r>
        <w:t xml:space="preserve"> in no</w:t>
      </w:r>
      <w:r w:rsidRPr="00C05B8D">
        <w:t xml:space="preserve"> change </w:t>
      </w:r>
      <w:r>
        <w:t>to the total amount appropriated.</w:t>
      </w:r>
    </w:p>
    <w:p w:rsidR="006403E1" w:rsidRPr="00F3113A" w:rsidRDefault="006403E1" w:rsidP="00A10043">
      <w:pPr>
        <w:pStyle w:val="A1S"/>
        <w:spacing w:before="240" w:line="240" w:lineRule="auto"/>
        <w:ind w:left="426" w:hanging="426"/>
        <w:rPr>
          <w:bCs/>
        </w:rPr>
      </w:pPr>
      <w:r>
        <w:rPr>
          <w:bCs/>
        </w:rPr>
        <w:t>2</w:t>
      </w:r>
      <w:r>
        <w:rPr>
          <w:bCs/>
        </w:rPr>
        <w:tab/>
        <w:t xml:space="preserve">Schedule 1, </w:t>
      </w:r>
      <w:r w:rsidRPr="00335BCD">
        <w:rPr>
          <w:bCs/>
        </w:rPr>
        <w:t>Climate Change and Energy Efficiency portfolio, after the Department of Climate Change and Energy Efficiency table</w:t>
      </w:r>
      <w:r>
        <w:rPr>
          <w:bCs/>
        </w:rPr>
        <w:t>, after Note 1</w:t>
      </w:r>
    </w:p>
    <w:p w:rsidR="006403E1" w:rsidRPr="00AF371C" w:rsidRDefault="006403E1" w:rsidP="00AF371C">
      <w:pPr>
        <w:pStyle w:val="Item"/>
      </w:pPr>
      <w:r w:rsidRPr="0060183A">
        <w:t>Insert</w:t>
      </w:r>
      <w:r>
        <w:t>:</w:t>
      </w:r>
    </w:p>
    <w:p w:rsidR="006403E1" w:rsidRPr="00D81032" w:rsidRDefault="006403E1" w:rsidP="00AF371C">
      <w:pPr>
        <w:pStyle w:val="notetext"/>
        <w:rPr>
          <w:szCs w:val="18"/>
        </w:rPr>
      </w:pPr>
      <w:r w:rsidRPr="00D81032">
        <w:rPr>
          <w:szCs w:val="18"/>
        </w:rPr>
        <w:t>Note 2:</w:t>
      </w:r>
      <w:r w:rsidRPr="00D81032">
        <w:rPr>
          <w:szCs w:val="18"/>
        </w:rPr>
        <w:tab/>
      </w:r>
      <w:r w:rsidRPr="00D81032">
        <w:rPr>
          <w:i/>
          <w:szCs w:val="18"/>
        </w:rPr>
        <w:t>FMA Act Determination 2013/05 — Section 32 (Transfer of Functions from DCCEE to DIICCSRTE and DRET)</w:t>
      </w:r>
      <w:r w:rsidRPr="00D81032">
        <w:rPr>
          <w:szCs w:val="18"/>
        </w:rPr>
        <w:t xml:space="preserve"> reduced the departmental item</w:t>
      </w:r>
      <w:r w:rsidRPr="00D81032" w:rsidDel="007F010D">
        <w:rPr>
          <w:szCs w:val="18"/>
        </w:rPr>
        <w:t xml:space="preserve"> </w:t>
      </w:r>
      <w:r w:rsidRPr="00D81032">
        <w:rPr>
          <w:szCs w:val="18"/>
        </w:rPr>
        <w:t xml:space="preserve">for the former Department of Climate Change and Energy Efficiency (DCCEE) in accordance with Table 4 at the end of Schedule 1 to this Act. </w:t>
      </w:r>
    </w:p>
    <w:p w:rsidR="006403E1" w:rsidRPr="00D81032" w:rsidRDefault="006403E1" w:rsidP="00B160E1">
      <w:pPr>
        <w:pStyle w:val="notetext"/>
        <w:ind w:firstLine="0"/>
        <w:rPr>
          <w:szCs w:val="18"/>
        </w:rPr>
      </w:pPr>
      <w:r w:rsidRPr="00D81032">
        <w:rPr>
          <w:szCs w:val="18"/>
        </w:rPr>
        <w:t xml:space="preserve">These changes were made to implement the amendments to the </w:t>
      </w:r>
      <w:r w:rsidRPr="00D81032">
        <w:rPr>
          <w:i/>
          <w:szCs w:val="18"/>
        </w:rPr>
        <w:t>Administrative Arrangements Order</w:t>
      </w:r>
      <w:r w:rsidRPr="00D81032">
        <w:rPr>
          <w:szCs w:val="18"/>
        </w:rPr>
        <w:t xml:space="preserve"> made on 25 March 2013. Functions of the former DCCEE were transferred:</w:t>
      </w:r>
    </w:p>
    <w:p w:rsidR="006403E1" w:rsidRPr="00D81032" w:rsidRDefault="006403E1" w:rsidP="00FD10C5">
      <w:pPr>
        <w:pStyle w:val="Notepara0"/>
        <w:numPr>
          <w:ilvl w:val="0"/>
          <w:numId w:val="17"/>
        </w:numPr>
        <w:tabs>
          <w:tab w:val="left" w:pos="1985"/>
        </w:tabs>
        <w:spacing w:before="120" w:after="100" w:afterAutospacing="1" w:line="240" w:lineRule="auto"/>
        <w:ind w:left="2835" w:hanging="708"/>
        <w:jc w:val="left"/>
        <w:rPr>
          <w:sz w:val="18"/>
          <w:szCs w:val="18"/>
        </w:rPr>
      </w:pPr>
      <w:r w:rsidRPr="00D81032">
        <w:rPr>
          <w:sz w:val="18"/>
          <w:szCs w:val="18"/>
        </w:rPr>
        <w:t xml:space="preserve">in relation to climate change, to </w:t>
      </w:r>
      <w:r w:rsidR="00EC472A">
        <w:rPr>
          <w:sz w:val="18"/>
          <w:szCs w:val="18"/>
        </w:rPr>
        <w:t xml:space="preserve">the </w:t>
      </w:r>
      <w:r w:rsidRPr="00D81032">
        <w:rPr>
          <w:sz w:val="18"/>
          <w:szCs w:val="18"/>
        </w:rPr>
        <w:t>Department of Industry, Innovation, Climate Change, Science, Research and Tertiary Education; and</w:t>
      </w:r>
    </w:p>
    <w:p w:rsidR="006403E1" w:rsidRPr="00D81032" w:rsidRDefault="006403E1" w:rsidP="00FD10C5">
      <w:pPr>
        <w:pStyle w:val="Notepara0"/>
        <w:numPr>
          <w:ilvl w:val="0"/>
          <w:numId w:val="17"/>
        </w:numPr>
        <w:tabs>
          <w:tab w:val="left" w:pos="709"/>
        </w:tabs>
        <w:spacing w:before="120" w:after="100" w:afterAutospacing="1" w:line="240" w:lineRule="auto"/>
        <w:ind w:left="2835" w:hanging="708"/>
        <w:jc w:val="left"/>
        <w:rPr>
          <w:sz w:val="18"/>
          <w:szCs w:val="18"/>
        </w:rPr>
      </w:pPr>
      <w:proofErr w:type="gramStart"/>
      <w:r w:rsidRPr="00D81032">
        <w:rPr>
          <w:sz w:val="18"/>
          <w:szCs w:val="18"/>
        </w:rPr>
        <w:t>in</w:t>
      </w:r>
      <w:proofErr w:type="gramEnd"/>
      <w:r w:rsidRPr="00D81032">
        <w:rPr>
          <w:sz w:val="18"/>
          <w:szCs w:val="18"/>
        </w:rPr>
        <w:t xml:space="preserve"> relation to energy efficiency, to </w:t>
      </w:r>
      <w:r w:rsidR="00EC472A">
        <w:rPr>
          <w:sz w:val="18"/>
          <w:szCs w:val="18"/>
        </w:rPr>
        <w:t xml:space="preserve">the </w:t>
      </w:r>
      <w:r w:rsidRPr="00D81032">
        <w:rPr>
          <w:sz w:val="18"/>
          <w:szCs w:val="18"/>
        </w:rPr>
        <w:t>Department of Resources, Energy and Tourism.</w:t>
      </w:r>
    </w:p>
    <w:p w:rsidR="006403E1" w:rsidRPr="00AF371C" w:rsidRDefault="006403E1" w:rsidP="00AF371C">
      <w:pPr>
        <w:pStyle w:val="notetext"/>
      </w:pPr>
    </w:p>
    <w:p w:rsidR="006403E1" w:rsidRDefault="006403E1">
      <w:pPr>
        <w:spacing w:line="240" w:lineRule="auto"/>
        <w:rPr>
          <w:rFonts w:ascii="Arial" w:hAnsi="Arial"/>
          <w:b/>
          <w:bCs/>
          <w:sz w:val="24"/>
          <w:szCs w:val="24"/>
          <w:lang w:eastAsia="en-AU"/>
        </w:rPr>
      </w:pPr>
      <w:r>
        <w:rPr>
          <w:bCs/>
        </w:rPr>
        <w:br w:type="page"/>
      </w:r>
    </w:p>
    <w:p w:rsidR="006403E1" w:rsidRPr="00F3113A" w:rsidRDefault="006403E1" w:rsidP="00A10043">
      <w:pPr>
        <w:pStyle w:val="A1S"/>
        <w:spacing w:before="240" w:line="240" w:lineRule="auto"/>
        <w:ind w:left="426" w:hanging="426"/>
        <w:rPr>
          <w:bCs/>
        </w:rPr>
      </w:pPr>
      <w:r>
        <w:rPr>
          <w:bCs/>
        </w:rPr>
        <w:t>3</w:t>
      </w:r>
      <w:r>
        <w:rPr>
          <w:bCs/>
        </w:rPr>
        <w:tab/>
        <w:t>Schedule 1, Industry, Innovation, Science, Research and Tertiary Education</w:t>
      </w:r>
      <w:r w:rsidRPr="00E7285F">
        <w:rPr>
          <w:bCs/>
        </w:rPr>
        <w:t xml:space="preserve"> portfolio, </w:t>
      </w:r>
      <w:r w:rsidR="00E62369">
        <w:rPr>
          <w:bCs/>
        </w:rPr>
        <w:t xml:space="preserve">after the </w:t>
      </w:r>
      <w:r>
        <w:rPr>
          <w:bCs/>
        </w:rPr>
        <w:t xml:space="preserve">Department of Industry, Innovation, Climate Change, Science, Research and Tertiary Education </w:t>
      </w:r>
      <w:r w:rsidRPr="00E7285F">
        <w:rPr>
          <w:bCs/>
        </w:rPr>
        <w:t>tabl</w:t>
      </w:r>
      <w:r>
        <w:rPr>
          <w:bCs/>
        </w:rPr>
        <w:t>e, after Note 5</w:t>
      </w:r>
    </w:p>
    <w:p w:rsidR="006403E1" w:rsidRPr="00AF371C" w:rsidRDefault="006403E1" w:rsidP="00AF371C">
      <w:pPr>
        <w:pStyle w:val="Item"/>
      </w:pPr>
      <w:r w:rsidRPr="00AF371C">
        <w:t>Insert</w:t>
      </w:r>
      <w:r>
        <w:t>:</w:t>
      </w:r>
    </w:p>
    <w:p w:rsidR="006403E1" w:rsidRDefault="006403E1" w:rsidP="00AF371C">
      <w:pPr>
        <w:pStyle w:val="notetext"/>
        <w:rPr>
          <w:szCs w:val="18"/>
        </w:rPr>
      </w:pPr>
      <w:r w:rsidRPr="00AF371C">
        <w:t>Note </w:t>
      </w:r>
      <w:r>
        <w:t>6</w:t>
      </w:r>
      <w:r w:rsidRPr="00AF371C">
        <w:t>:</w:t>
      </w:r>
      <w:r>
        <w:tab/>
      </w:r>
      <w:r>
        <w:rPr>
          <w:i/>
          <w:szCs w:val="18"/>
        </w:rPr>
        <w:t>FMA Act Determination 2013/05</w:t>
      </w:r>
      <w:r w:rsidRPr="00A50789">
        <w:rPr>
          <w:i/>
          <w:szCs w:val="18"/>
        </w:rPr>
        <w:t xml:space="preserve"> — Section 32 (Transfer of Functions from </w:t>
      </w:r>
      <w:r>
        <w:rPr>
          <w:i/>
          <w:szCs w:val="18"/>
        </w:rPr>
        <w:t xml:space="preserve">DCCEE to </w:t>
      </w:r>
      <w:r w:rsidRPr="00335BCD">
        <w:rPr>
          <w:i/>
          <w:szCs w:val="18"/>
        </w:rPr>
        <w:t>DIICCSRTE and DRET</w:t>
      </w:r>
      <w:r w:rsidRPr="00A50789">
        <w:rPr>
          <w:i/>
          <w:szCs w:val="18"/>
        </w:rPr>
        <w:t>)</w:t>
      </w:r>
      <w:r w:rsidRPr="00A50789">
        <w:rPr>
          <w:szCs w:val="18"/>
        </w:rPr>
        <w:t xml:space="preserve"> </w:t>
      </w:r>
      <w:r>
        <w:rPr>
          <w:szCs w:val="18"/>
        </w:rPr>
        <w:t>increased</w:t>
      </w:r>
      <w:r w:rsidRPr="00A50789">
        <w:rPr>
          <w:szCs w:val="18"/>
        </w:rPr>
        <w:t xml:space="preserve"> the departmental item</w:t>
      </w:r>
      <w:r w:rsidRPr="00A50789" w:rsidDel="007F010D">
        <w:rPr>
          <w:szCs w:val="18"/>
        </w:rPr>
        <w:t xml:space="preserve"> </w:t>
      </w:r>
      <w:r>
        <w:rPr>
          <w:szCs w:val="18"/>
        </w:rPr>
        <w:t xml:space="preserve">for the </w:t>
      </w:r>
      <w:r w:rsidRPr="00AE0CAA">
        <w:rPr>
          <w:szCs w:val="18"/>
        </w:rPr>
        <w:t>Department of Industry, Innovation, Climate Change, Science, Research and Tertiary Education (DIICCSRTE)</w:t>
      </w:r>
      <w:r>
        <w:rPr>
          <w:szCs w:val="18"/>
        </w:rPr>
        <w:t xml:space="preserve"> in accordance with Table 4</w:t>
      </w:r>
      <w:r w:rsidRPr="00A50789">
        <w:rPr>
          <w:szCs w:val="18"/>
        </w:rPr>
        <w:t xml:space="preserve"> </w:t>
      </w:r>
      <w:r>
        <w:rPr>
          <w:szCs w:val="18"/>
        </w:rPr>
        <w:t>at the end of</w:t>
      </w:r>
      <w:r w:rsidRPr="00A50789">
        <w:rPr>
          <w:szCs w:val="18"/>
        </w:rPr>
        <w:t xml:space="preserve"> Schedule </w:t>
      </w:r>
      <w:r>
        <w:rPr>
          <w:szCs w:val="18"/>
        </w:rPr>
        <w:t>1</w:t>
      </w:r>
      <w:r w:rsidRPr="00A50789">
        <w:rPr>
          <w:szCs w:val="18"/>
        </w:rPr>
        <w:t xml:space="preserve"> to this Act.</w:t>
      </w:r>
    </w:p>
    <w:p w:rsidR="006403E1" w:rsidRDefault="006403E1" w:rsidP="00B750AF">
      <w:pPr>
        <w:pStyle w:val="notemargin"/>
        <w:spacing w:line="240" w:lineRule="auto"/>
        <w:ind w:left="1985" w:firstLine="0"/>
        <w:rPr>
          <w:szCs w:val="18"/>
        </w:rPr>
      </w:pPr>
      <w:r w:rsidRPr="007374FD">
        <w:rPr>
          <w:szCs w:val="18"/>
        </w:rPr>
        <w:t xml:space="preserve">These changes were made to implement the amendments to the </w:t>
      </w:r>
      <w:r w:rsidRPr="007374FD">
        <w:rPr>
          <w:i/>
          <w:szCs w:val="18"/>
        </w:rPr>
        <w:t>Administrative Arrangements Order</w:t>
      </w:r>
      <w:r w:rsidRPr="007374FD">
        <w:rPr>
          <w:szCs w:val="18"/>
        </w:rPr>
        <w:t xml:space="preserve"> made on 25 March 2013. Functions of the former Department of Climate Change and Energy Efficiency in relation to climate change were transferred to DIICCSRTE. </w:t>
      </w:r>
    </w:p>
    <w:p w:rsidR="006403E1" w:rsidRPr="00F3113A" w:rsidRDefault="006403E1" w:rsidP="006D740B">
      <w:pPr>
        <w:pStyle w:val="A1S"/>
        <w:spacing w:before="240" w:line="240" w:lineRule="auto"/>
        <w:ind w:left="426" w:hanging="426"/>
        <w:rPr>
          <w:bCs/>
        </w:rPr>
      </w:pPr>
      <w:r>
        <w:rPr>
          <w:bCs/>
        </w:rPr>
        <w:t>4</w:t>
      </w:r>
      <w:r>
        <w:rPr>
          <w:bCs/>
        </w:rPr>
        <w:tab/>
        <w:t xml:space="preserve">Schedule 1, </w:t>
      </w:r>
      <w:r>
        <w:t>Resources, Energy and Tourism</w:t>
      </w:r>
      <w:r w:rsidRPr="00E7285F">
        <w:rPr>
          <w:bCs/>
        </w:rPr>
        <w:t xml:space="preserve"> portfolio</w:t>
      </w:r>
      <w:r w:rsidRPr="00402FD4">
        <w:t xml:space="preserve">, after the </w:t>
      </w:r>
      <w:r>
        <w:rPr>
          <w:bCs/>
        </w:rPr>
        <w:t xml:space="preserve">Department of </w:t>
      </w:r>
      <w:r>
        <w:t>Resources, Energy and Tourism</w:t>
      </w:r>
      <w:r w:rsidRPr="00E7285F">
        <w:rPr>
          <w:bCs/>
        </w:rPr>
        <w:t xml:space="preserve"> </w:t>
      </w:r>
      <w:r w:rsidRPr="00402FD4">
        <w:t>table</w:t>
      </w:r>
      <w:r>
        <w:rPr>
          <w:bCs/>
        </w:rPr>
        <w:t>, after Note 1</w:t>
      </w:r>
    </w:p>
    <w:p w:rsidR="006403E1" w:rsidRPr="00D81032" w:rsidRDefault="006403E1" w:rsidP="006D740B">
      <w:pPr>
        <w:pStyle w:val="notetext"/>
        <w:rPr>
          <w:szCs w:val="18"/>
        </w:rPr>
      </w:pPr>
      <w:r w:rsidRPr="00D81032">
        <w:rPr>
          <w:szCs w:val="18"/>
        </w:rPr>
        <w:t>Note 2:</w:t>
      </w:r>
      <w:r w:rsidRPr="00D81032">
        <w:rPr>
          <w:szCs w:val="18"/>
        </w:rPr>
        <w:tab/>
      </w:r>
      <w:r w:rsidRPr="00D81032">
        <w:rPr>
          <w:i/>
          <w:szCs w:val="18"/>
        </w:rPr>
        <w:t>FMA Act Determination 2013/05 — Section 32 (Transfer of Functions from DCCEE to DIICCSRTE and DRET)</w:t>
      </w:r>
      <w:r w:rsidRPr="00D81032">
        <w:rPr>
          <w:szCs w:val="18"/>
        </w:rPr>
        <w:t xml:space="preserve"> increased the departmental item</w:t>
      </w:r>
      <w:r w:rsidRPr="00D81032" w:rsidDel="007F010D">
        <w:rPr>
          <w:szCs w:val="18"/>
        </w:rPr>
        <w:t xml:space="preserve"> </w:t>
      </w:r>
      <w:r w:rsidRPr="00D81032">
        <w:rPr>
          <w:szCs w:val="18"/>
        </w:rPr>
        <w:t>for the Department of Resources, Energy and Tourism (DRET) in accordance with Table 4 at the end of Schedule 1 to this Act.</w:t>
      </w:r>
    </w:p>
    <w:p w:rsidR="006403E1" w:rsidRPr="00D81032" w:rsidRDefault="006403E1" w:rsidP="00B750AF">
      <w:pPr>
        <w:pStyle w:val="notemargin"/>
        <w:tabs>
          <w:tab w:val="clear" w:pos="709"/>
          <w:tab w:val="left" w:pos="1985"/>
        </w:tabs>
        <w:spacing w:before="120" w:line="240" w:lineRule="auto"/>
        <w:ind w:left="1985" w:firstLine="0"/>
        <w:rPr>
          <w:szCs w:val="18"/>
        </w:rPr>
      </w:pPr>
      <w:r w:rsidRPr="00D81032">
        <w:rPr>
          <w:szCs w:val="18"/>
        </w:rPr>
        <w:t xml:space="preserve">These changes were made to implement the amendments to the </w:t>
      </w:r>
      <w:r w:rsidRPr="00D81032">
        <w:rPr>
          <w:i/>
          <w:szCs w:val="18"/>
        </w:rPr>
        <w:t>Administrative Arrangements Order</w:t>
      </w:r>
      <w:r w:rsidRPr="00D81032">
        <w:rPr>
          <w:szCs w:val="18"/>
        </w:rPr>
        <w:t xml:space="preserve"> made on 25 March 2013. Functions of the former Department of Climate Change and Energy Efficiency in relation to energy efficiency were transferred to DRET.</w:t>
      </w:r>
    </w:p>
    <w:p w:rsidR="006403E1" w:rsidRDefault="006403E1" w:rsidP="00B750AF">
      <w:pPr>
        <w:pStyle w:val="notemargin"/>
        <w:tabs>
          <w:tab w:val="clear" w:pos="709"/>
          <w:tab w:val="left" w:pos="1985"/>
        </w:tabs>
        <w:spacing w:before="120" w:line="240" w:lineRule="auto"/>
        <w:ind w:left="1985" w:firstLine="0"/>
        <w:rPr>
          <w:szCs w:val="18"/>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B750AF">
      <w:pPr>
        <w:pStyle w:val="notemargin"/>
        <w:tabs>
          <w:tab w:val="clear" w:pos="709"/>
          <w:tab w:val="left" w:pos="1985"/>
        </w:tabs>
        <w:spacing w:before="120" w:line="240" w:lineRule="auto"/>
        <w:ind w:left="1985" w:hanging="1985"/>
        <w:rPr>
          <w:rFonts w:ascii="Arial" w:hAnsi="Arial"/>
          <w:b/>
          <w:kern w:val="28"/>
          <w:sz w:val="32"/>
        </w:rPr>
      </w:pPr>
    </w:p>
    <w:p w:rsidR="006403E1" w:rsidRPr="00B750AF" w:rsidRDefault="006403E1" w:rsidP="00B750AF">
      <w:pPr>
        <w:pStyle w:val="notemargin"/>
        <w:tabs>
          <w:tab w:val="clear" w:pos="709"/>
          <w:tab w:val="left" w:pos="1985"/>
        </w:tabs>
        <w:spacing w:before="120" w:line="240" w:lineRule="auto"/>
        <w:ind w:left="1985" w:hanging="1985"/>
        <w:rPr>
          <w:rFonts w:ascii="Arial" w:hAnsi="Arial"/>
          <w:b/>
          <w:kern w:val="28"/>
          <w:sz w:val="32"/>
        </w:rPr>
      </w:pPr>
      <w:r w:rsidRPr="00B750AF">
        <w:rPr>
          <w:rFonts w:ascii="Arial" w:hAnsi="Arial"/>
          <w:b/>
          <w:kern w:val="28"/>
          <w:sz w:val="32"/>
        </w:rPr>
        <w:t>Schedule 2</w:t>
      </w:r>
      <w:r w:rsidRPr="00B750AF">
        <w:rPr>
          <w:rFonts w:ascii="Arial" w:hAnsi="Arial"/>
          <w:b/>
          <w:kern w:val="28"/>
          <w:sz w:val="32"/>
        </w:rPr>
        <w:tab/>
        <w:t>Amendment of Appropriation Act (No. 2) 2012</w:t>
      </w:r>
      <w:r w:rsidRPr="00B750AF">
        <w:rPr>
          <w:rFonts w:ascii="Arial" w:hAnsi="Arial"/>
          <w:b/>
          <w:kern w:val="28"/>
          <w:sz w:val="32"/>
        </w:rPr>
        <w:noBreakHyphen/>
        <w:t>2013</w:t>
      </w:r>
    </w:p>
    <w:p w:rsidR="006403E1" w:rsidRDefault="006403E1" w:rsidP="00FA540F">
      <w:pPr>
        <w:pStyle w:val="A1S"/>
        <w:spacing w:before="240" w:line="240" w:lineRule="auto"/>
        <w:ind w:left="426" w:hanging="426"/>
        <w:rPr>
          <w:bCs/>
        </w:rPr>
      </w:pPr>
      <w:r w:rsidRPr="00F3113A">
        <w:rPr>
          <w:bCs/>
        </w:rPr>
        <w:t>1</w:t>
      </w:r>
      <w:r>
        <w:rPr>
          <w:bCs/>
        </w:rPr>
        <w:tab/>
      </w:r>
      <w:proofErr w:type="gramStart"/>
      <w:r>
        <w:rPr>
          <w:bCs/>
        </w:rPr>
        <w:t>At</w:t>
      </w:r>
      <w:proofErr w:type="gramEnd"/>
      <w:r>
        <w:rPr>
          <w:bCs/>
        </w:rPr>
        <w:t xml:space="preserve"> the end of Schedule 2, on a new page</w:t>
      </w:r>
    </w:p>
    <w:p w:rsidR="006403E1" w:rsidRDefault="006403E1" w:rsidP="00FA540F">
      <w:pPr>
        <w:rPr>
          <w:lang w:eastAsia="en-AU"/>
        </w:rPr>
      </w:pPr>
      <w:r>
        <w:rPr>
          <w:lang w:eastAsia="en-AU"/>
        </w:rPr>
        <w:tab/>
        <w:t>Insert:</w:t>
      </w:r>
    </w:p>
    <w:p w:rsidR="006403E1" w:rsidRDefault="006403E1" w:rsidP="00FA540F">
      <w:pPr>
        <w:rPr>
          <w:rFonts w:ascii="Arial" w:hAnsi="Arial" w:cs="Arial"/>
          <w:b/>
          <w:sz w:val="32"/>
          <w:szCs w:val="32"/>
          <w:lang w:eastAsia="en-AU"/>
        </w:rPr>
      </w:pPr>
      <w:r w:rsidRPr="00D02B43">
        <w:rPr>
          <w:rFonts w:ascii="Arial" w:hAnsi="Arial" w:cs="Arial"/>
          <w:b/>
          <w:sz w:val="32"/>
          <w:szCs w:val="32"/>
          <w:lang w:eastAsia="en-AU"/>
        </w:rPr>
        <w:t>Amendment of Schedule 2 arising from Determination(s) under section 32 of the Financial Management and Accountability Act 1997</w:t>
      </w:r>
    </w:p>
    <w:p w:rsidR="006403E1" w:rsidRPr="0040173F" w:rsidRDefault="006403E1" w:rsidP="0040173F">
      <w:pPr>
        <w:pStyle w:val="ItemHead"/>
        <w:ind w:left="1276" w:hanging="362"/>
      </w:pPr>
      <w:r w:rsidRPr="0040173F">
        <w:t>1</w:t>
      </w:r>
      <w:r w:rsidRPr="0040173F">
        <w:tab/>
      </w:r>
      <w:r>
        <w:t>FMA Act Determination 2013/05 — Section 32 (Transfer of Functions from DCCEE to DIICCSRTE and DRET</w:t>
      </w:r>
      <w:r w:rsidRPr="00B97560">
        <w:t>)</w:t>
      </w:r>
    </w:p>
    <w:p w:rsidR="006403E1" w:rsidRDefault="006403E1" w:rsidP="00D02B43">
      <w:pPr>
        <w:pStyle w:val="Item"/>
        <w:ind w:left="990"/>
      </w:pPr>
      <w:r w:rsidRPr="00B97560">
        <w:t xml:space="preserve">Schedule </w:t>
      </w:r>
      <w:r>
        <w:t>2</w:t>
      </w:r>
      <w:r w:rsidRPr="00B97560">
        <w:t xml:space="preserve"> of this Act is amended </w:t>
      </w:r>
      <w:r>
        <w:t>in accordance with</w:t>
      </w:r>
      <w:r w:rsidRPr="00B97560">
        <w:t xml:space="preserve"> </w:t>
      </w:r>
      <w:r>
        <w:t>section 32</w:t>
      </w:r>
      <w:r w:rsidRPr="00B97560">
        <w:t xml:space="preserve"> of the </w:t>
      </w:r>
      <w:r w:rsidRPr="00B97560">
        <w:rPr>
          <w:i/>
        </w:rPr>
        <w:t>Financial Management and Accountability Act 1997</w:t>
      </w:r>
      <w:r w:rsidRPr="00B97560">
        <w:t xml:space="preserve"> (FMA Act). </w:t>
      </w:r>
      <w:r>
        <w:t>A</w:t>
      </w:r>
      <w:r w:rsidRPr="00B97560">
        <w:t xml:space="preserve">mendments to appropriations are as specified in </w:t>
      </w:r>
      <w:r>
        <w:t xml:space="preserve">the following table. The appropriation </w:t>
      </w:r>
      <w:r w:rsidRPr="00B97560">
        <w:t xml:space="preserve">item </w:t>
      </w:r>
      <w:r>
        <w:t>(</w:t>
      </w:r>
      <w:r w:rsidRPr="00B97560">
        <w:t>listed in Column 1</w:t>
      </w:r>
      <w:r>
        <w:t>)</w:t>
      </w:r>
      <w:r w:rsidRPr="00B97560">
        <w:t xml:space="preserve"> for the </w:t>
      </w:r>
      <w:r>
        <w:t>Agency</w:t>
      </w:r>
      <w:r w:rsidRPr="00B97560">
        <w:t xml:space="preserve"> </w:t>
      </w:r>
      <w:r>
        <w:t xml:space="preserve">(listed in </w:t>
      </w:r>
      <w:r w:rsidRPr="00B97560">
        <w:t>Column 2</w:t>
      </w:r>
      <w:r>
        <w:t xml:space="preserve">) is </w:t>
      </w:r>
      <w:r w:rsidRPr="00B97560">
        <w:t xml:space="preserve">amended by the </w:t>
      </w:r>
      <w:r>
        <w:t xml:space="preserve">relevant </w:t>
      </w:r>
      <w:r w:rsidRPr="00B97560">
        <w:t xml:space="preserve">amount </w:t>
      </w:r>
      <w:r>
        <w:t>(</w:t>
      </w:r>
      <w:r w:rsidRPr="00B97560">
        <w:t>listed in Column 3</w:t>
      </w:r>
      <w:r>
        <w:t>)</w:t>
      </w:r>
      <w:r w:rsidRPr="00B97560">
        <w:t>.</w:t>
      </w:r>
      <w:r>
        <w:t xml:space="preserve"> </w:t>
      </w:r>
      <w:r>
        <w:br/>
        <w:t>A positive amount in Column 3 is an increase in the appropriation and a negative amount is a decrease in the appropriation.</w:t>
      </w:r>
    </w:p>
    <w:p w:rsidR="006403E1" w:rsidRPr="00040D9A" w:rsidRDefault="006403E1" w:rsidP="00D02B43">
      <w:pPr>
        <w:pStyle w:val="ItemHead"/>
        <w:ind w:left="990" w:firstLine="0"/>
        <w:rPr>
          <w:rFonts w:ascii="Times New Roman" w:hAnsi="Times New Roman"/>
          <w:b w:val="0"/>
          <w:sz w:val="22"/>
          <w:szCs w:val="22"/>
        </w:rPr>
      </w:pPr>
      <w:r w:rsidRPr="00040D9A">
        <w:rPr>
          <w:rFonts w:ascii="Times New Roman" w:hAnsi="Times New Roman"/>
          <w:sz w:val="22"/>
          <w:szCs w:val="22"/>
        </w:rPr>
        <w:t xml:space="preserve">Table </w:t>
      </w:r>
      <w:r>
        <w:rPr>
          <w:rFonts w:ascii="Times New Roman" w:hAnsi="Times New Roman"/>
          <w:sz w:val="22"/>
          <w:szCs w:val="22"/>
        </w:rPr>
        <w:t>1</w:t>
      </w:r>
    </w:p>
    <w:p w:rsidR="006403E1" w:rsidRPr="00AF371C" w:rsidRDefault="006403E1" w:rsidP="00D02B43"/>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3109"/>
        <w:gridCol w:w="2697"/>
        <w:gridCol w:w="1559"/>
      </w:tblGrid>
      <w:tr w:rsidR="006403E1" w:rsidRPr="006F4315" w:rsidTr="00D02B43">
        <w:trPr>
          <w:tblHeader/>
        </w:trPr>
        <w:tc>
          <w:tcPr>
            <w:tcW w:w="8079" w:type="dxa"/>
            <w:gridSpan w:val="4"/>
            <w:tcBorders>
              <w:top w:val="single" w:sz="12" w:space="0" w:color="auto"/>
              <w:bottom w:val="single" w:sz="6" w:space="0" w:color="auto"/>
            </w:tcBorders>
          </w:tcPr>
          <w:p w:rsidR="006403E1" w:rsidRDefault="006403E1" w:rsidP="00D02B43">
            <w:pPr>
              <w:pStyle w:val="TableHeading"/>
            </w:pPr>
            <w:r>
              <w:t>Amendment of appropriations</w:t>
            </w:r>
          </w:p>
        </w:tc>
      </w:tr>
      <w:tr w:rsidR="006403E1" w:rsidRPr="006F4315" w:rsidTr="00D02B43">
        <w:trPr>
          <w:tblHeader/>
        </w:trPr>
        <w:tc>
          <w:tcPr>
            <w:tcW w:w="714" w:type="dxa"/>
            <w:tcBorders>
              <w:top w:val="single" w:sz="6" w:space="0" w:color="auto"/>
              <w:bottom w:val="single" w:sz="6" w:space="0" w:color="auto"/>
            </w:tcBorders>
          </w:tcPr>
          <w:p w:rsidR="006403E1" w:rsidRDefault="006403E1" w:rsidP="00D02B43">
            <w:pPr>
              <w:pStyle w:val="TableHeading"/>
            </w:pPr>
          </w:p>
        </w:tc>
        <w:tc>
          <w:tcPr>
            <w:tcW w:w="3109" w:type="dxa"/>
            <w:tcBorders>
              <w:top w:val="single" w:sz="6" w:space="0" w:color="auto"/>
              <w:bottom w:val="single" w:sz="6" w:space="0" w:color="auto"/>
            </w:tcBorders>
          </w:tcPr>
          <w:p w:rsidR="006403E1" w:rsidRDefault="006403E1" w:rsidP="00D02B43">
            <w:pPr>
              <w:pStyle w:val="TableHeading"/>
            </w:pPr>
            <w:r>
              <w:t>Column 1</w:t>
            </w:r>
          </w:p>
        </w:tc>
        <w:tc>
          <w:tcPr>
            <w:tcW w:w="2697" w:type="dxa"/>
            <w:tcBorders>
              <w:top w:val="single" w:sz="6" w:space="0" w:color="auto"/>
              <w:bottom w:val="single" w:sz="6" w:space="0" w:color="auto"/>
            </w:tcBorders>
          </w:tcPr>
          <w:p w:rsidR="006403E1" w:rsidRDefault="006403E1" w:rsidP="00D02B43">
            <w:pPr>
              <w:pStyle w:val="TableHeading"/>
            </w:pPr>
            <w:r>
              <w:t>Column 2</w:t>
            </w:r>
          </w:p>
        </w:tc>
        <w:tc>
          <w:tcPr>
            <w:tcW w:w="1559" w:type="dxa"/>
            <w:tcBorders>
              <w:top w:val="single" w:sz="6" w:space="0" w:color="auto"/>
              <w:bottom w:val="single" w:sz="6" w:space="0" w:color="auto"/>
            </w:tcBorders>
          </w:tcPr>
          <w:p w:rsidR="006403E1" w:rsidRDefault="006403E1" w:rsidP="00D02B43">
            <w:pPr>
              <w:pStyle w:val="TableHeading"/>
            </w:pPr>
            <w:r>
              <w:t>Column 3</w:t>
            </w:r>
          </w:p>
        </w:tc>
      </w:tr>
      <w:tr w:rsidR="006403E1" w:rsidRPr="006F4315" w:rsidTr="00D02B43">
        <w:trPr>
          <w:tblHeader/>
        </w:trPr>
        <w:tc>
          <w:tcPr>
            <w:tcW w:w="714" w:type="dxa"/>
            <w:tcBorders>
              <w:top w:val="single" w:sz="6" w:space="0" w:color="auto"/>
              <w:bottom w:val="single" w:sz="12" w:space="0" w:color="auto"/>
            </w:tcBorders>
          </w:tcPr>
          <w:p w:rsidR="006403E1" w:rsidRDefault="006403E1" w:rsidP="00D02B43">
            <w:pPr>
              <w:pStyle w:val="TableHeading"/>
            </w:pPr>
            <w:r>
              <w:t>Item</w:t>
            </w:r>
          </w:p>
        </w:tc>
        <w:tc>
          <w:tcPr>
            <w:tcW w:w="3109" w:type="dxa"/>
            <w:tcBorders>
              <w:top w:val="single" w:sz="6" w:space="0" w:color="auto"/>
              <w:bottom w:val="single" w:sz="12" w:space="0" w:color="auto"/>
            </w:tcBorders>
          </w:tcPr>
          <w:p w:rsidR="006403E1" w:rsidRDefault="006403E1" w:rsidP="00D02B43">
            <w:pPr>
              <w:pStyle w:val="TableHeading"/>
            </w:pPr>
            <w:r>
              <w:t>Appropriation item</w:t>
            </w:r>
          </w:p>
        </w:tc>
        <w:tc>
          <w:tcPr>
            <w:tcW w:w="2697" w:type="dxa"/>
            <w:tcBorders>
              <w:top w:val="single" w:sz="6" w:space="0" w:color="auto"/>
              <w:bottom w:val="single" w:sz="12" w:space="0" w:color="auto"/>
            </w:tcBorders>
          </w:tcPr>
          <w:p w:rsidR="006403E1" w:rsidRDefault="006403E1" w:rsidP="00D02B43">
            <w:pPr>
              <w:pStyle w:val="TableHeading"/>
            </w:pPr>
            <w:r>
              <w:t>Agency</w:t>
            </w:r>
          </w:p>
        </w:tc>
        <w:tc>
          <w:tcPr>
            <w:tcW w:w="1559" w:type="dxa"/>
            <w:tcBorders>
              <w:top w:val="single" w:sz="6" w:space="0" w:color="auto"/>
              <w:bottom w:val="single" w:sz="12" w:space="0" w:color="auto"/>
            </w:tcBorders>
          </w:tcPr>
          <w:p w:rsidR="006403E1" w:rsidRDefault="006403E1" w:rsidP="00D02B43">
            <w:pPr>
              <w:pStyle w:val="TableHeading"/>
              <w:jc w:val="right"/>
            </w:pPr>
            <w:r>
              <w:t>Amount $</w:t>
            </w:r>
          </w:p>
        </w:tc>
      </w:tr>
      <w:tr w:rsidR="006403E1" w:rsidRPr="006F4315" w:rsidTr="00D02B43">
        <w:tc>
          <w:tcPr>
            <w:tcW w:w="714" w:type="dxa"/>
            <w:tcBorders>
              <w:top w:val="single" w:sz="12" w:space="0" w:color="auto"/>
            </w:tcBorders>
          </w:tcPr>
          <w:p w:rsidR="006403E1" w:rsidRDefault="006403E1" w:rsidP="00D02B43">
            <w:pPr>
              <w:pStyle w:val="Tabletext"/>
            </w:pPr>
            <w:r>
              <w:t>1</w:t>
            </w:r>
          </w:p>
        </w:tc>
        <w:tc>
          <w:tcPr>
            <w:tcW w:w="3109" w:type="dxa"/>
            <w:tcBorders>
              <w:top w:val="single" w:sz="12" w:space="0" w:color="auto"/>
            </w:tcBorders>
          </w:tcPr>
          <w:p w:rsidR="006403E1" w:rsidRDefault="006403E1" w:rsidP="0040173F">
            <w:pPr>
              <w:pStyle w:val="Tabletext"/>
            </w:pPr>
            <w:r>
              <w:t xml:space="preserve">Other departmental item (Equity Injections) </w:t>
            </w:r>
          </w:p>
        </w:tc>
        <w:tc>
          <w:tcPr>
            <w:tcW w:w="2697" w:type="dxa"/>
            <w:tcBorders>
              <w:top w:val="single" w:sz="12" w:space="0" w:color="auto"/>
            </w:tcBorders>
          </w:tcPr>
          <w:p w:rsidR="006403E1" w:rsidRDefault="006403E1" w:rsidP="00D02B43">
            <w:pPr>
              <w:pStyle w:val="Tabletext"/>
            </w:pPr>
            <w:r w:rsidRPr="003C3092">
              <w:t>Department of Industry, Innovation, Climate Change, Science, Research and Tertiary Education</w:t>
            </w:r>
          </w:p>
        </w:tc>
        <w:tc>
          <w:tcPr>
            <w:tcW w:w="1559" w:type="dxa"/>
            <w:tcBorders>
              <w:top w:val="single" w:sz="12" w:space="0" w:color="auto"/>
            </w:tcBorders>
          </w:tcPr>
          <w:p w:rsidR="006403E1" w:rsidRDefault="006403E1" w:rsidP="0040173F">
            <w:pPr>
              <w:pStyle w:val="Tabletext"/>
              <w:jc w:val="right"/>
            </w:pPr>
            <w:r w:rsidRPr="00AF371C">
              <w:t>+</w:t>
            </w:r>
            <w:r>
              <w:t>100,000.00</w:t>
            </w:r>
          </w:p>
        </w:tc>
      </w:tr>
      <w:tr w:rsidR="006403E1" w:rsidRPr="006F4315" w:rsidTr="00D02B43">
        <w:tc>
          <w:tcPr>
            <w:tcW w:w="714" w:type="dxa"/>
            <w:tcBorders>
              <w:bottom w:val="single" w:sz="12" w:space="0" w:color="auto"/>
            </w:tcBorders>
          </w:tcPr>
          <w:p w:rsidR="006403E1" w:rsidRPr="00AF371C" w:rsidRDefault="006403E1" w:rsidP="00D02B43">
            <w:pPr>
              <w:pStyle w:val="Tabletext"/>
            </w:pPr>
            <w:r>
              <w:t>2</w:t>
            </w:r>
          </w:p>
        </w:tc>
        <w:tc>
          <w:tcPr>
            <w:tcW w:w="3109" w:type="dxa"/>
            <w:tcBorders>
              <w:bottom w:val="single" w:sz="12" w:space="0" w:color="auto"/>
            </w:tcBorders>
          </w:tcPr>
          <w:p w:rsidR="006403E1" w:rsidRPr="00AF371C" w:rsidRDefault="006403E1" w:rsidP="0040173F">
            <w:pPr>
              <w:pStyle w:val="Tabletext"/>
            </w:pPr>
            <w:r>
              <w:t>Other departmental item (Equity Injections)</w:t>
            </w:r>
          </w:p>
        </w:tc>
        <w:tc>
          <w:tcPr>
            <w:tcW w:w="2697" w:type="dxa"/>
            <w:tcBorders>
              <w:bottom w:val="single" w:sz="12" w:space="0" w:color="auto"/>
            </w:tcBorders>
          </w:tcPr>
          <w:p w:rsidR="006403E1" w:rsidRPr="00AF371C" w:rsidRDefault="006403E1" w:rsidP="00D02B43">
            <w:pPr>
              <w:pStyle w:val="Tabletext"/>
            </w:pPr>
            <w:r>
              <w:t>Department of Climate Change and Energy Efficiency</w:t>
            </w:r>
          </w:p>
        </w:tc>
        <w:tc>
          <w:tcPr>
            <w:tcW w:w="1559" w:type="dxa"/>
            <w:tcBorders>
              <w:bottom w:val="single" w:sz="12" w:space="0" w:color="auto"/>
            </w:tcBorders>
          </w:tcPr>
          <w:p w:rsidR="006403E1" w:rsidRDefault="006403E1" w:rsidP="00DC1731">
            <w:pPr>
              <w:pStyle w:val="Tabletext"/>
              <w:jc w:val="right"/>
            </w:pPr>
            <w:r w:rsidRPr="00AF371C">
              <w:t>-</w:t>
            </w:r>
            <w:r>
              <w:t>100,000.00</w:t>
            </w:r>
          </w:p>
        </w:tc>
      </w:tr>
    </w:tbl>
    <w:p w:rsidR="006403E1" w:rsidRDefault="006403E1" w:rsidP="00D02B43">
      <w:pPr>
        <w:pStyle w:val="notetext"/>
      </w:pPr>
      <w:r w:rsidRPr="00D02B43">
        <w:t xml:space="preserve">Note: </w:t>
      </w:r>
      <w:r w:rsidRPr="00D02B43">
        <w:tab/>
        <w:t xml:space="preserve">Section 32 of the FMA Act enables the Finance Minister to determine that Schedules to Appropriation Acts are amended in relation to a transfer of functions between Agencies. A determination under section 32 of the FMA Act cannot result in a change to the total amount appropriated. </w:t>
      </w:r>
      <w:r w:rsidRPr="0024710B">
        <w:rPr>
          <w:i/>
        </w:rPr>
        <w:t xml:space="preserve">FMA Act Determination 2013/05 — Section 32 (Transfer of Functions from DCCEE to DIICCSRTE and DRET) </w:t>
      </w:r>
      <w:r w:rsidRPr="00D02B43">
        <w:t>affects this Act in a specified way to result in no change to the total amount appropriated.</w:t>
      </w:r>
    </w:p>
    <w:p w:rsidR="006403E1" w:rsidRDefault="006403E1" w:rsidP="00783D6F">
      <w:pPr>
        <w:pStyle w:val="notetext"/>
        <w:ind w:firstLine="0"/>
      </w:pPr>
      <w:r>
        <w:t xml:space="preserve">As a result of amendments to the </w:t>
      </w:r>
      <w:r>
        <w:rPr>
          <w:i/>
        </w:rPr>
        <w:t>Administrative Arrangements Order</w:t>
      </w:r>
      <w:r>
        <w:t xml:space="preserve">, made on 25 March 2013, the </w:t>
      </w:r>
      <w:r w:rsidRPr="007374FD">
        <w:rPr>
          <w:szCs w:val="18"/>
        </w:rPr>
        <w:t>Department of Industry, Innovation, Science, Research and Tertiary Education</w:t>
      </w:r>
      <w:r>
        <w:t xml:space="preserve"> (DIISRTE) was renamed the </w:t>
      </w:r>
      <w:r w:rsidRPr="00201A76">
        <w:t>Department of Industry, Innovation, Climate Change, Science, Research and Tertiary Education</w:t>
      </w:r>
      <w:r>
        <w:t xml:space="preserve"> (DIICCSRTE).</w:t>
      </w:r>
    </w:p>
    <w:p w:rsidR="006403E1" w:rsidRPr="00201A76" w:rsidRDefault="006403E1" w:rsidP="00D02B43">
      <w:pPr>
        <w:pStyle w:val="notetext"/>
      </w:pPr>
    </w:p>
    <w:p w:rsidR="006403E1" w:rsidRPr="00F3113A" w:rsidRDefault="006403E1" w:rsidP="00DC1731">
      <w:pPr>
        <w:pStyle w:val="A1S"/>
        <w:spacing w:before="240" w:line="240" w:lineRule="auto"/>
        <w:ind w:left="426" w:hanging="426"/>
        <w:rPr>
          <w:bCs/>
        </w:rPr>
      </w:pPr>
      <w:r>
        <w:rPr>
          <w:bCs/>
        </w:rPr>
        <w:t>2</w:t>
      </w:r>
      <w:r>
        <w:rPr>
          <w:bCs/>
        </w:rPr>
        <w:tab/>
        <w:t xml:space="preserve">Schedule 2, </w:t>
      </w:r>
      <w:r w:rsidRPr="00335BCD">
        <w:rPr>
          <w:bCs/>
        </w:rPr>
        <w:t>Climate Change and Energy Efficiency portfolio, after the Department of Climate Change and Energy Efficiency table</w:t>
      </w:r>
      <w:r>
        <w:rPr>
          <w:bCs/>
        </w:rPr>
        <w:t>, after Note 1</w:t>
      </w:r>
    </w:p>
    <w:p w:rsidR="006403E1" w:rsidRPr="00AF371C" w:rsidRDefault="006403E1" w:rsidP="00DC1731">
      <w:pPr>
        <w:pStyle w:val="Item"/>
      </w:pPr>
      <w:r w:rsidRPr="0060183A">
        <w:t>Insert</w:t>
      </w:r>
      <w:r>
        <w:t>:</w:t>
      </w:r>
    </w:p>
    <w:p w:rsidR="006403E1" w:rsidRPr="00B750AF" w:rsidRDefault="006403E1" w:rsidP="00DC1731">
      <w:pPr>
        <w:pStyle w:val="notetext"/>
        <w:rPr>
          <w:szCs w:val="18"/>
        </w:rPr>
      </w:pPr>
      <w:r w:rsidRPr="00B750AF">
        <w:rPr>
          <w:szCs w:val="18"/>
        </w:rPr>
        <w:t>Note 2:</w:t>
      </w:r>
      <w:r w:rsidRPr="00B750AF">
        <w:rPr>
          <w:szCs w:val="18"/>
        </w:rPr>
        <w:tab/>
      </w:r>
      <w:r w:rsidRPr="00B750AF">
        <w:rPr>
          <w:i/>
          <w:szCs w:val="18"/>
        </w:rPr>
        <w:t>FMA Act Determination 2013/05 — Section 32 (Transfer of Functions from DCCEE to DIICCSRTE and DRET)</w:t>
      </w:r>
      <w:r w:rsidRPr="00B750AF">
        <w:rPr>
          <w:szCs w:val="18"/>
        </w:rPr>
        <w:t xml:space="preserve"> reduced the other departmental item (Equity Injections) for the Department of Climate Change and Energy Efficiency (DCCEE) in accordance with Table 1 at the end of Schedule 2 to this Act. </w:t>
      </w:r>
    </w:p>
    <w:p w:rsidR="006403E1" w:rsidRPr="00B750AF" w:rsidRDefault="006403E1" w:rsidP="00B750AF">
      <w:pPr>
        <w:pStyle w:val="notetext"/>
        <w:ind w:firstLine="0"/>
        <w:rPr>
          <w:szCs w:val="18"/>
        </w:rPr>
      </w:pPr>
      <w:r w:rsidRPr="00B750AF">
        <w:rPr>
          <w:szCs w:val="18"/>
        </w:rPr>
        <w:t xml:space="preserve">These changes were made to implement the amendments to the </w:t>
      </w:r>
      <w:r w:rsidRPr="00B750AF">
        <w:rPr>
          <w:i/>
          <w:szCs w:val="18"/>
        </w:rPr>
        <w:t>Administrative Arrangements Order</w:t>
      </w:r>
      <w:r w:rsidRPr="00B750AF">
        <w:rPr>
          <w:szCs w:val="18"/>
        </w:rPr>
        <w:t xml:space="preserve"> made on 25 March 2013. Functions of the former DCCEE were transferred:</w:t>
      </w:r>
    </w:p>
    <w:p w:rsidR="006403E1" w:rsidRPr="00B750AF" w:rsidRDefault="006403E1" w:rsidP="00B750AF">
      <w:pPr>
        <w:pStyle w:val="Notepara0"/>
        <w:numPr>
          <w:ilvl w:val="0"/>
          <w:numId w:val="21"/>
        </w:numPr>
        <w:tabs>
          <w:tab w:val="left" w:pos="1276"/>
        </w:tabs>
        <w:spacing w:before="120" w:after="100" w:afterAutospacing="1" w:line="240" w:lineRule="auto"/>
        <w:ind w:left="2694" w:hanging="425"/>
        <w:jc w:val="left"/>
        <w:rPr>
          <w:sz w:val="18"/>
          <w:szCs w:val="18"/>
        </w:rPr>
      </w:pPr>
      <w:r w:rsidRPr="00B750AF">
        <w:rPr>
          <w:sz w:val="18"/>
          <w:szCs w:val="18"/>
        </w:rPr>
        <w:t xml:space="preserve">in relation to climate change, to </w:t>
      </w:r>
      <w:r w:rsidR="00321ACD">
        <w:rPr>
          <w:sz w:val="18"/>
          <w:szCs w:val="18"/>
        </w:rPr>
        <w:t xml:space="preserve">the </w:t>
      </w:r>
      <w:r w:rsidRPr="00B750AF">
        <w:rPr>
          <w:sz w:val="18"/>
          <w:szCs w:val="18"/>
        </w:rPr>
        <w:t>Department of Industry, Innovation, Climate Change, Science, Research and Tertiary Education; and</w:t>
      </w:r>
    </w:p>
    <w:p w:rsidR="006403E1" w:rsidRPr="00B750AF" w:rsidRDefault="006403E1" w:rsidP="00B750AF">
      <w:pPr>
        <w:pStyle w:val="Notepara0"/>
        <w:numPr>
          <w:ilvl w:val="0"/>
          <w:numId w:val="21"/>
        </w:numPr>
        <w:tabs>
          <w:tab w:val="left" w:pos="709"/>
        </w:tabs>
        <w:spacing w:before="120" w:after="100" w:afterAutospacing="1" w:line="240" w:lineRule="auto"/>
        <w:ind w:left="2694" w:hanging="425"/>
        <w:jc w:val="left"/>
        <w:rPr>
          <w:sz w:val="18"/>
          <w:szCs w:val="18"/>
        </w:rPr>
      </w:pPr>
      <w:proofErr w:type="gramStart"/>
      <w:r w:rsidRPr="00B750AF">
        <w:rPr>
          <w:sz w:val="18"/>
          <w:szCs w:val="18"/>
        </w:rPr>
        <w:t>in</w:t>
      </w:r>
      <w:proofErr w:type="gramEnd"/>
      <w:r w:rsidRPr="00B750AF">
        <w:rPr>
          <w:sz w:val="18"/>
          <w:szCs w:val="18"/>
        </w:rPr>
        <w:t xml:space="preserve"> relation to energy efficiency, to </w:t>
      </w:r>
      <w:r w:rsidR="00321ACD">
        <w:rPr>
          <w:sz w:val="18"/>
          <w:szCs w:val="18"/>
        </w:rPr>
        <w:t xml:space="preserve">the </w:t>
      </w:r>
      <w:r w:rsidRPr="00B750AF">
        <w:rPr>
          <w:sz w:val="18"/>
          <w:szCs w:val="18"/>
        </w:rPr>
        <w:t>Department of Resources, Energy and Tourism.</w:t>
      </w:r>
    </w:p>
    <w:p w:rsidR="006403E1" w:rsidRPr="00F3113A" w:rsidRDefault="006403E1" w:rsidP="00B8776A">
      <w:pPr>
        <w:pStyle w:val="A1S"/>
        <w:spacing w:before="240" w:line="240" w:lineRule="auto"/>
        <w:ind w:left="426" w:hanging="426"/>
        <w:rPr>
          <w:bCs/>
        </w:rPr>
      </w:pPr>
      <w:r>
        <w:rPr>
          <w:bCs/>
        </w:rPr>
        <w:t>3</w:t>
      </w:r>
      <w:r>
        <w:rPr>
          <w:bCs/>
        </w:rPr>
        <w:tab/>
        <w:t>Schedule 2, Industry, Innovation, Science, Research and Tertiary Education</w:t>
      </w:r>
      <w:r w:rsidRPr="00E7285F">
        <w:rPr>
          <w:bCs/>
        </w:rPr>
        <w:t xml:space="preserve"> portfolio, </w:t>
      </w:r>
      <w:r w:rsidR="00E62369">
        <w:rPr>
          <w:bCs/>
        </w:rPr>
        <w:t xml:space="preserve">after the </w:t>
      </w:r>
      <w:r>
        <w:rPr>
          <w:bCs/>
        </w:rPr>
        <w:t xml:space="preserve">Department of Industry, Innovation, Science, Research and Tertiary Education </w:t>
      </w:r>
      <w:r w:rsidRPr="00E7285F">
        <w:rPr>
          <w:bCs/>
        </w:rPr>
        <w:t>tabl</w:t>
      </w:r>
      <w:r>
        <w:rPr>
          <w:bCs/>
        </w:rPr>
        <w:t>e</w:t>
      </w:r>
      <w:r w:rsidR="008C603E">
        <w:rPr>
          <w:bCs/>
        </w:rPr>
        <w:t>, after Note 2</w:t>
      </w:r>
    </w:p>
    <w:p w:rsidR="006403E1" w:rsidRPr="00AF371C" w:rsidRDefault="006403E1" w:rsidP="00B8776A">
      <w:pPr>
        <w:pStyle w:val="Item"/>
      </w:pPr>
      <w:r w:rsidRPr="00AF371C">
        <w:t>Insert</w:t>
      </w:r>
      <w:r>
        <w:t>:</w:t>
      </w:r>
    </w:p>
    <w:p w:rsidR="006403E1" w:rsidRDefault="006403E1" w:rsidP="00B8776A">
      <w:pPr>
        <w:pStyle w:val="notetext"/>
        <w:rPr>
          <w:szCs w:val="18"/>
        </w:rPr>
      </w:pPr>
      <w:r w:rsidRPr="00AF371C">
        <w:t>Note </w:t>
      </w:r>
      <w:r>
        <w:t>3</w:t>
      </w:r>
      <w:r w:rsidRPr="00AF371C">
        <w:t>:</w:t>
      </w:r>
      <w:r>
        <w:tab/>
      </w:r>
      <w:r>
        <w:rPr>
          <w:i/>
          <w:szCs w:val="18"/>
        </w:rPr>
        <w:t>FMA Act Determination 2013/05</w:t>
      </w:r>
      <w:r w:rsidRPr="00A50789">
        <w:rPr>
          <w:i/>
          <w:szCs w:val="18"/>
        </w:rPr>
        <w:t xml:space="preserve"> — Section 32 (Transfer of Functions from </w:t>
      </w:r>
      <w:r>
        <w:rPr>
          <w:i/>
          <w:szCs w:val="18"/>
        </w:rPr>
        <w:t xml:space="preserve">DCCEE to </w:t>
      </w:r>
      <w:r w:rsidRPr="00335BCD">
        <w:rPr>
          <w:i/>
          <w:szCs w:val="18"/>
        </w:rPr>
        <w:t>DIICCSRTE and DRET</w:t>
      </w:r>
      <w:r w:rsidRPr="00A50789">
        <w:rPr>
          <w:i/>
          <w:szCs w:val="18"/>
        </w:rPr>
        <w:t>)</w:t>
      </w:r>
      <w:r w:rsidRPr="00A50789">
        <w:rPr>
          <w:szCs w:val="18"/>
        </w:rPr>
        <w:t xml:space="preserve"> </w:t>
      </w:r>
      <w:r>
        <w:rPr>
          <w:szCs w:val="18"/>
        </w:rPr>
        <w:t>increased</w:t>
      </w:r>
      <w:r w:rsidRPr="00A50789">
        <w:rPr>
          <w:szCs w:val="18"/>
        </w:rPr>
        <w:t xml:space="preserve"> the </w:t>
      </w:r>
      <w:r>
        <w:rPr>
          <w:szCs w:val="18"/>
        </w:rPr>
        <w:t xml:space="preserve">other </w:t>
      </w:r>
      <w:r w:rsidRPr="00A50789">
        <w:rPr>
          <w:szCs w:val="18"/>
        </w:rPr>
        <w:t>departmental</w:t>
      </w:r>
      <w:r>
        <w:rPr>
          <w:szCs w:val="18"/>
        </w:rPr>
        <w:t xml:space="preserve"> </w:t>
      </w:r>
      <w:r w:rsidRPr="00A50789">
        <w:rPr>
          <w:szCs w:val="18"/>
        </w:rPr>
        <w:t>item</w:t>
      </w:r>
      <w:r>
        <w:rPr>
          <w:szCs w:val="18"/>
        </w:rPr>
        <w:t xml:space="preserve"> (Equity Injections)</w:t>
      </w:r>
      <w:r w:rsidRPr="00A50789">
        <w:rPr>
          <w:szCs w:val="18"/>
        </w:rPr>
        <w:t xml:space="preserve"> </w:t>
      </w:r>
      <w:r>
        <w:rPr>
          <w:szCs w:val="18"/>
        </w:rPr>
        <w:t xml:space="preserve">for the </w:t>
      </w:r>
      <w:r w:rsidRPr="00AE0CAA">
        <w:rPr>
          <w:szCs w:val="18"/>
        </w:rPr>
        <w:t>Department of Industry, Innovation, Climate Change, Science, Research and Tertiary Education (DIICCSRTE)</w:t>
      </w:r>
      <w:r>
        <w:rPr>
          <w:szCs w:val="18"/>
        </w:rPr>
        <w:t xml:space="preserve"> in accordance with Table 1</w:t>
      </w:r>
      <w:r w:rsidRPr="00A50789">
        <w:rPr>
          <w:szCs w:val="18"/>
        </w:rPr>
        <w:t xml:space="preserve"> </w:t>
      </w:r>
      <w:r>
        <w:rPr>
          <w:szCs w:val="18"/>
        </w:rPr>
        <w:t>at the end of</w:t>
      </w:r>
      <w:r w:rsidRPr="00A50789">
        <w:rPr>
          <w:szCs w:val="18"/>
        </w:rPr>
        <w:t xml:space="preserve"> Schedule </w:t>
      </w:r>
      <w:r>
        <w:rPr>
          <w:szCs w:val="18"/>
        </w:rPr>
        <w:t>2</w:t>
      </w:r>
      <w:r w:rsidRPr="00A50789">
        <w:rPr>
          <w:szCs w:val="18"/>
        </w:rPr>
        <w:t xml:space="preserve"> to this Act.</w:t>
      </w:r>
    </w:p>
    <w:p w:rsidR="006403E1" w:rsidRDefault="006403E1" w:rsidP="00B750AF">
      <w:pPr>
        <w:pStyle w:val="notemargin"/>
        <w:spacing w:line="240" w:lineRule="auto"/>
        <w:ind w:left="1985" w:firstLine="0"/>
        <w:rPr>
          <w:szCs w:val="18"/>
        </w:rPr>
      </w:pPr>
      <w:r w:rsidRPr="007374FD">
        <w:rPr>
          <w:szCs w:val="18"/>
        </w:rPr>
        <w:t xml:space="preserve">These changes were made to implement the amendments to the </w:t>
      </w:r>
      <w:r w:rsidRPr="007374FD">
        <w:rPr>
          <w:i/>
          <w:szCs w:val="18"/>
        </w:rPr>
        <w:t>Administrative Arrangements Order</w:t>
      </w:r>
      <w:r w:rsidRPr="007374FD">
        <w:rPr>
          <w:szCs w:val="18"/>
        </w:rPr>
        <w:t xml:space="preserve"> made on 25 March 2013. Functions of the former Department of Climate Change and Energy Efficiency in relation to climate change were transferred to DIICCSRTE. </w:t>
      </w:r>
    </w:p>
    <w:p w:rsidR="006403E1" w:rsidRDefault="006403E1" w:rsidP="00F02D2D">
      <w:pPr>
        <w:pStyle w:val="notetext"/>
        <w:ind w:firstLine="0"/>
      </w:pPr>
      <w:r>
        <w:t xml:space="preserve">As a result of amendments to the </w:t>
      </w:r>
      <w:r>
        <w:rPr>
          <w:i/>
        </w:rPr>
        <w:t>Administrative Arrangements Order</w:t>
      </w:r>
      <w:r>
        <w:t xml:space="preserve">, made on 25 March 2013, the </w:t>
      </w:r>
      <w:r w:rsidRPr="007374FD">
        <w:rPr>
          <w:szCs w:val="18"/>
        </w:rPr>
        <w:t>Department of Industry, Innovation, Science, Research and Tertiary Education</w:t>
      </w:r>
      <w:r>
        <w:t xml:space="preserve"> (DIISRTE) was renamed DIICCSRTE.</w:t>
      </w:r>
    </w:p>
    <w:p w:rsidR="006403E1" w:rsidRPr="00F02D2D" w:rsidRDefault="006403E1" w:rsidP="00F02D2D">
      <w:pPr>
        <w:pStyle w:val="notemargin"/>
        <w:tabs>
          <w:tab w:val="clear" w:pos="709"/>
          <w:tab w:val="left" w:pos="1985"/>
        </w:tabs>
        <w:spacing w:before="120" w:line="240" w:lineRule="auto"/>
        <w:ind w:left="1985" w:hanging="1985"/>
        <w:rPr>
          <w:rFonts w:ascii="Arial" w:hAnsi="Arial"/>
          <w:b/>
          <w:kern w:val="28"/>
          <w:sz w:val="32"/>
        </w:rPr>
      </w:pPr>
      <w:r w:rsidRPr="00F02D2D">
        <w:rPr>
          <w:rFonts w:ascii="Arial" w:hAnsi="Arial"/>
          <w:b/>
          <w:kern w:val="28"/>
          <w:sz w:val="32"/>
        </w:rPr>
        <w:t>Schedule 3</w:t>
      </w:r>
      <w:r w:rsidRPr="00F02D2D">
        <w:rPr>
          <w:rFonts w:ascii="Arial" w:hAnsi="Arial"/>
          <w:b/>
          <w:kern w:val="28"/>
          <w:sz w:val="32"/>
        </w:rPr>
        <w:tab/>
        <w:t>Amendment of Appropriation Act (No. 3) 2012</w:t>
      </w:r>
      <w:r w:rsidRPr="00F02D2D">
        <w:rPr>
          <w:rFonts w:ascii="Arial" w:hAnsi="Arial"/>
          <w:b/>
          <w:kern w:val="28"/>
          <w:sz w:val="32"/>
        </w:rPr>
        <w:noBreakHyphen/>
        <w:t>2013</w:t>
      </w:r>
    </w:p>
    <w:p w:rsidR="006403E1" w:rsidRDefault="006403E1" w:rsidP="00D95969">
      <w:pPr>
        <w:pStyle w:val="A1S"/>
        <w:spacing w:before="240" w:line="240" w:lineRule="auto"/>
        <w:ind w:left="426" w:hanging="426"/>
        <w:rPr>
          <w:bCs/>
        </w:rPr>
      </w:pPr>
      <w:r w:rsidRPr="00F3113A">
        <w:rPr>
          <w:bCs/>
        </w:rPr>
        <w:t>1</w:t>
      </w:r>
      <w:r>
        <w:rPr>
          <w:bCs/>
        </w:rPr>
        <w:tab/>
      </w:r>
      <w:proofErr w:type="gramStart"/>
      <w:r>
        <w:rPr>
          <w:bCs/>
        </w:rPr>
        <w:t>At</w:t>
      </w:r>
      <w:proofErr w:type="gramEnd"/>
      <w:r>
        <w:rPr>
          <w:bCs/>
        </w:rPr>
        <w:t xml:space="preserve"> the end of Schedule 1, on a new page</w:t>
      </w:r>
    </w:p>
    <w:p w:rsidR="006403E1" w:rsidRDefault="006403E1" w:rsidP="00D95969">
      <w:pPr>
        <w:rPr>
          <w:lang w:eastAsia="en-AU"/>
        </w:rPr>
      </w:pPr>
      <w:r>
        <w:rPr>
          <w:lang w:eastAsia="en-AU"/>
        </w:rPr>
        <w:tab/>
        <w:t>Insert:</w:t>
      </w:r>
    </w:p>
    <w:p w:rsidR="006403E1" w:rsidRDefault="006403E1" w:rsidP="00D95969">
      <w:pPr>
        <w:rPr>
          <w:rFonts w:ascii="Arial" w:hAnsi="Arial" w:cs="Arial"/>
          <w:b/>
          <w:sz w:val="32"/>
          <w:szCs w:val="32"/>
          <w:lang w:eastAsia="en-AU"/>
        </w:rPr>
      </w:pPr>
      <w:r w:rsidRPr="00D02B43">
        <w:rPr>
          <w:rFonts w:ascii="Arial" w:hAnsi="Arial" w:cs="Arial"/>
          <w:b/>
          <w:sz w:val="32"/>
          <w:szCs w:val="32"/>
          <w:lang w:eastAsia="en-AU"/>
        </w:rPr>
        <w:t xml:space="preserve">Amendment of Schedule </w:t>
      </w:r>
      <w:r>
        <w:rPr>
          <w:rFonts w:ascii="Arial" w:hAnsi="Arial" w:cs="Arial"/>
          <w:b/>
          <w:sz w:val="32"/>
          <w:szCs w:val="32"/>
          <w:lang w:eastAsia="en-AU"/>
        </w:rPr>
        <w:t>1</w:t>
      </w:r>
      <w:r w:rsidRPr="00D02B43">
        <w:rPr>
          <w:rFonts w:ascii="Arial" w:hAnsi="Arial" w:cs="Arial"/>
          <w:b/>
          <w:sz w:val="32"/>
          <w:szCs w:val="32"/>
          <w:lang w:eastAsia="en-AU"/>
        </w:rPr>
        <w:t xml:space="preserve"> arising from Determination(s) under section 32 of the Financial Management and Accountability Act 1997</w:t>
      </w:r>
    </w:p>
    <w:p w:rsidR="006403E1" w:rsidRPr="001030AF" w:rsidRDefault="006403E1" w:rsidP="001030AF">
      <w:pPr>
        <w:pStyle w:val="ItemHead"/>
        <w:ind w:left="1276" w:hanging="362"/>
      </w:pPr>
      <w:r w:rsidRPr="001030AF">
        <w:t>1</w:t>
      </w:r>
      <w:r w:rsidRPr="001030AF">
        <w:tab/>
      </w:r>
      <w:r>
        <w:t>FMA Act Determination 2013/05 — Section 32 (Transfer of Functions from DCCEE to DIICCSRTE and DRET</w:t>
      </w:r>
      <w:r w:rsidRPr="00B97560">
        <w:t>)</w:t>
      </w:r>
    </w:p>
    <w:p w:rsidR="006403E1" w:rsidRDefault="006403E1" w:rsidP="00D95969">
      <w:pPr>
        <w:pStyle w:val="Item"/>
        <w:ind w:left="990"/>
      </w:pPr>
      <w:r w:rsidRPr="00B97560">
        <w:t xml:space="preserve">Schedule 1 of this Act is amended </w:t>
      </w:r>
      <w:r>
        <w:t>in accordance with</w:t>
      </w:r>
      <w:r w:rsidRPr="00B97560">
        <w:t xml:space="preserve"> </w:t>
      </w:r>
      <w:r>
        <w:t>section 32</w:t>
      </w:r>
      <w:r w:rsidRPr="00B97560">
        <w:t xml:space="preserve"> of the </w:t>
      </w:r>
      <w:r w:rsidRPr="00B97560">
        <w:rPr>
          <w:i/>
        </w:rPr>
        <w:t>Financial Management and Accountability Act 1997</w:t>
      </w:r>
      <w:r w:rsidRPr="00B97560">
        <w:t xml:space="preserve"> (FMA Act). </w:t>
      </w:r>
      <w:r>
        <w:t>A</w:t>
      </w:r>
      <w:r w:rsidRPr="00B97560">
        <w:t xml:space="preserve">mendments to appropriations are as specified in </w:t>
      </w:r>
      <w:r>
        <w:t xml:space="preserve">the following table. The appropriation </w:t>
      </w:r>
      <w:r w:rsidRPr="00B97560">
        <w:t xml:space="preserve">item </w:t>
      </w:r>
      <w:r>
        <w:t>(</w:t>
      </w:r>
      <w:r w:rsidRPr="00B97560">
        <w:t>listed in Column 1</w:t>
      </w:r>
      <w:r>
        <w:t>)</w:t>
      </w:r>
      <w:r w:rsidRPr="00B97560">
        <w:t xml:space="preserve"> for the </w:t>
      </w:r>
      <w:r>
        <w:t>Agency</w:t>
      </w:r>
      <w:r w:rsidRPr="00B97560">
        <w:t xml:space="preserve"> </w:t>
      </w:r>
      <w:r>
        <w:t xml:space="preserve">(listed in </w:t>
      </w:r>
      <w:r w:rsidRPr="00B97560">
        <w:t>Column 2</w:t>
      </w:r>
      <w:r>
        <w:t xml:space="preserve">) is </w:t>
      </w:r>
      <w:r w:rsidRPr="00B97560">
        <w:t xml:space="preserve">amended by the </w:t>
      </w:r>
      <w:r>
        <w:t xml:space="preserve">relevant </w:t>
      </w:r>
      <w:r w:rsidRPr="00B97560">
        <w:t xml:space="preserve">amount </w:t>
      </w:r>
      <w:r>
        <w:t>(</w:t>
      </w:r>
      <w:r w:rsidRPr="00B97560">
        <w:t>listed in Column 3</w:t>
      </w:r>
      <w:r>
        <w:t>)</w:t>
      </w:r>
      <w:r w:rsidRPr="00B97560">
        <w:t>.</w:t>
      </w:r>
      <w:r>
        <w:t xml:space="preserve"> </w:t>
      </w:r>
      <w:r>
        <w:br/>
        <w:t>A positive amount in Column 3 is an increase in the appropriation and a negative amount is a decrease in the appropriation.</w:t>
      </w:r>
    </w:p>
    <w:p w:rsidR="006403E1" w:rsidRPr="00040D9A" w:rsidRDefault="006403E1" w:rsidP="00D95969">
      <w:pPr>
        <w:pStyle w:val="ItemHead"/>
        <w:ind w:left="990" w:firstLine="0"/>
        <w:rPr>
          <w:rFonts w:ascii="Times New Roman" w:hAnsi="Times New Roman"/>
          <w:b w:val="0"/>
          <w:sz w:val="22"/>
          <w:szCs w:val="22"/>
        </w:rPr>
      </w:pPr>
      <w:r w:rsidRPr="00040D9A">
        <w:rPr>
          <w:rFonts w:ascii="Times New Roman" w:hAnsi="Times New Roman"/>
          <w:sz w:val="22"/>
          <w:szCs w:val="22"/>
        </w:rPr>
        <w:t xml:space="preserve">Table </w:t>
      </w:r>
      <w:r>
        <w:rPr>
          <w:rFonts w:ascii="Times New Roman" w:hAnsi="Times New Roman"/>
          <w:sz w:val="22"/>
          <w:szCs w:val="22"/>
        </w:rPr>
        <w:t>1</w:t>
      </w:r>
    </w:p>
    <w:p w:rsidR="006403E1" w:rsidRPr="00AF371C" w:rsidRDefault="006403E1" w:rsidP="00D95969"/>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3109"/>
        <w:gridCol w:w="2697"/>
        <w:gridCol w:w="1559"/>
      </w:tblGrid>
      <w:tr w:rsidR="006403E1" w:rsidRPr="006F4315" w:rsidTr="00D95969">
        <w:trPr>
          <w:tblHeader/>
        </w:trPr>
        <w:tc>
          <w:tcPr>
            <w:tcW w:w="8079" w:type="dxa"/>
            <w:gridSpan w:val="4"/>
            <w:tcBorders>
              <w:top w:val="single" w:sz="12" w:space="0" w:color="auto"/>
              <w:bottom w:val="single" w:sz="6" w:space="0" w:color="auto"/>
            </w:tcBorders>
          </w:tcPr>
          <w:p w:rsidR="006403E1" w:rsidRDefault="006403E1" w:rsidP="00D95969">
            <w:pPr>
              <w:pStyle w:val="TableHeading"/>
            </w:pPr>
            <w:r>
              <w:t>Amendment of appropriations</w:t>
            </w:r>
          </w:p>
        </w:tc>
      </w:tr>
      <w:tr w:rsidR="006403E1" w:rsidRPr="006F4315" w:rsidTr="00D95969">
        <w:trPr>
          <w:tblHeader/>
        </w:trPr>
        <w:tc>
          <w:tcPr>
            <w:tcW w:w="714" w:type="dxa"/>
            <w:tcBorders>
              <w:top w:val="single" w:sz="6" w:space="0" w:color="auto"/>
              <w:bottom w:val="single" w:sz="6" w:space="0" w:color="auto"/>
            </w:tcBorders>
          </w:tcPr>
          <w:p w:rsidR="006403E1" w:rsidRDefault="006403E1" w:rsidP="00D95969">
            <w:pPr>
              <w:pStyle w:val="TableHeading"/>
            </w:pPr>
          </w:p>
        </w:tc>
        <w:tc>
          <w:tcPr>
            <w:tcW w:w="3109" w:type="dxa"/>
            <w:tcBorders>
              <w:top w:val="single" w:sz="6" w:space="0" w:color="auto"/>
              <w:bottom w:val="single" w:sz="6" w:space="0" w:color="auto"/>
            </w:tcBorders>
          </w:tcPr>
          <w:p w:rsidR="006403E1" w:rsidRDefault="006403E1" w:rsidP="00D95969">
            <w:pPr>
              <w:pStyle w:val="TableHeading"/>
            </w:pPr>
            <w:r>
              <w:t>Column 1</w:t>
            </w:r>
          </w:p>
        </w:tc>
        <w:tc>
          <w:tcPr>
            <w:tcW w:w="2697" w:type="dxa"/>
            <w:tcBorders>
              <w:top w:val="single" w:sz="6" w:space="0" w:color="auto"/>
              <w:bottom w:val="single" w:sz="6" w:space="0" w:color="auto"/>
            </w:tcBorders>
          </w:tcPr>
          <w:p w:rsidR="006403E1" w:rsidRDefault="006403E1" w:rsidP="00D95969">
            <w:pPr>
              <w:pStyle w:val="TableHeading"/>
            </w:pPr>
            <w:r>
              <w:t>Column 2</w:t>
            </w:r>
          </w:p>
        </w:tc>
        <w:tc>
          <w:tcPr>
            <w:tcW w:w="1559" w:type="dxa"/>
            <w:tcBorders>
              <w:top w:val="single" w:sz="6" w:space="0" w:color="auto"/>
              <w:bottom w:val="single" w:sz="6" w:space="0" w:color="auto"/>
            </w:tcBorders>
          </w:tcPr>
          <w:p w:rsidR="006403E1" w:rsidRDefault="006403E1" w:rsidP="00D95969">
            <w:pPr>
              <w:pStyle w:val="TableHeading"/>
            </w:pPr>
            <w:r>
              <w:t>Column 3</w:t>
            </w:r>
          </w:p>
        </w:tc>
      </w:tr>
      <w:tr w:rsidR="006403E1" w:rsidRPr="006F4315" w:rsidTr="00D95969">
        <w:trPr>
          <w:tblHeader/>
        </w:trPr>
        <w:tc>
          <w:tcPr>
            <w:tcW w:w="714" w:type="dxa"/>
            <w:tcBorders>
              <w:top w:val="single" w:sz="6" w:space="0" w:color="auto"/>
              <w:bottom w:val="single" w:sz="12" w:space="0" w:color="auto"/>
            </w:tcBorders>
          </w:tcPr>
          <w:p w:rsidR="006403E1" w:rsidRDefault="006403E1" w:rsidP="00D95969">
            <w:pPr>
              <w:pStyle w:val="TableHeading"/>
            </w:pPr>
            <w:r>
              <w:t>Item</w:t>
            </w:r>
          </w:p>
        </w:tc>
        <w:tc>
          <w:tcPr>
            <w:tcW w:w="3109" w:type="dxa"/>
            <w:tcBorders>
              <w:top w:val="single" w:sz="6" w:space="0" w:color="auto"/>
              <w:bottom w:val="single" w:sz="12" w:space="0" w:color="auto"/>
            </w:tcBorders>
          </w:tcPr>
          <w:p w:rsidR="006403E1" w:rsidRDefault="006403E1" w:rsidP="00D95969">
            <w:pPr>
              <w:pStyle w:val="TableHeading"/>
            </w:pPr>
            <w:r>
              <w:t>Appropriation item</w:t>
            </w:r>
          </w:p>
        </w:tc>
        <w:tc>
          <w:tcPr>
            <w:tcW w:w="2697" w:type="dxa"/>
            <w:tcBorders>
              <w:top w:val="single" w:sz="6" w:space="0" w:color="auto"/>
              <w:bottom w:val="single" w:sz="12" w:space="0" w:color="auto"/>
            </w:tcBorders>
          </w:tcPr>
          <w:p w:rsidR="006403E1" w:rsidRDefault="006403E1" w:rsidP="00D95969">
            <w:pPr>
              <w:pStyle w:val="TableHeading"/>
            </w:pPr>
            <w:r>
              <w:t>Agency</w:t>
            </w:r>
          </w:p>
        </w:tc>
        <w:tc>
          <w:tcPr>
            <w:tcW w:w="1559" w:type="dxa"/>
            <w:tcBorders>
              <w:top w:val="single" w:sz="6" w:space="0" w:color="auto"/>
              <w:bottom w:val="single" w:sz="12" w:space="0" w:color="auto"/>
            </w:tcBorders>
          </w:tcPr>
          <w:p w:rsidR="006403E1" w:rsidRDefault="006403E1" w:rsidP="00D95969">
            <w:pPr>
              <w:pStyle w:val="TableHeading"/>
              <w:jc w:val="right"/>
            </w:pPr>
            <w:r>
              <w:t>Amount $</w:t>
            </w:r>
          </w:p>
        </w:tc>
      </w:tr>
      <w:tr w:rsidR="006403E1" w:rsidRPr="006F4315" w:rsidTr="0024710B">
        <w:tc>
          <w:tcPr>
            <w:tcW w:w="714" w:type="dxa"/>
            <w:tcBorders>
              <w:top w:val="single" w:sz="12" w:space="0" w:color="auto"/>
            </w:tcBorders>
          </w:tcPr>
          <w:p w:rsidR="006403E1" w:rsidRDefault="006403E1" w:rsidP="00D95969">
            <w:pPr>
              <w:pStyle w:val="Tabletext"/>
            </w:pPr>
            <w:r>
              <w:t>1</w:t>
            </w:r>
          </w:p>
        </w:tc>
        <w:tc>
          <w:tcPr>
            <w:tcW w:w="3109" w:type="dxa"/>
            <w:tcBorders>
              <w:top w:val="single" w:sz="12" w:space="0" w:color="auto"/>
            </w:tcBorders>
          </w:tcPr>
          <w:p w:rsidR="006403E1" w:rsidRDefault="006403E1" w:rsidP="00D95969">
            <w:pPr>
              <w:pStyle w:val="Tabletext"/>
            </w:pPr>
            <w:r>
              <w:t xml:space="preserve">Departmental </w:t>
            </w:r>
            <w:r w:rsidR="00BE6B9F">
              <w:t>i</w:t>
            </w:r>
            <w:r>
              <w:t>tem</w:t>
            </w:r>
          </w:p>
        </w:tc>
        <w:tc>
          <w:tcPr>
            <w:tcW w:w="2697" w:type="dxa"/>
            <w:tcBorders>
              <w:top w:val="single" w:sz="12" w:space="0" w:color="auto"/>
            </w:tcBorders>
          </w:tcPr>
          <w:p w:rsidR="006403E1" w:rsidRDefault="006403E1" w:rsidP="00D95969">
            <w:pPr>
              <w:pStyle w:val="Tabletext"/>
            </w:pPr>
            <w:r w:rsidRPr="003C3092">
              <w:t>Department of Industry, Innovation, Climate Change, Science, Research and Tertiary Education</w:t>
            </w:r>
          </w:p>
        </w:tc>
        <w:tc>
          <w:tcPr>
            <w:tcW w:w="1559" w:type="dxa"/>
            <w:tcBorders>
              <w:top w:val="single" w:sz="12" w:space="0" w:color="auto"/>
            </w:tcBorders>
          </w:tcPr>
          <w:p w:rsidR="006403E1" w:rsidRDefault="006403E1" w:rsidP="00D95969">
            <w:pPr>
              <w:pStyle w:val="Tabletext"/>
              <w:jc w:val="right"/>
            </w:pPr>
            <w:r w:rsidRPr="00AF371C">
              <w:t>+</w:t>
            </w:r>
            <w:r>
              <w:t>621,275.00</w:t>
            </w:r>
          </w:p>
        </w:tc>
      </w:tr>
      <w:tr w:rsidR="006403E1" w:rsidRPr="006F4315" w:rsidTr="0024710B">
        <w:tc>
          <w:tcPr>
            <w:tcW w:w="714" w:type="dxa"/>
          </w:tcPr>
          <w:p w:rsidR="006403E1" w:rsidRDefault="006403E1" w:rsidP="00D95969">
            <w:pPr>
              <w:pStyle w:val="Tabletext"/>
            </w:pPr>
            <w:r>
              <w:t>2</w:t>
            </w:r>
          </w:p>
        </w:tc>
        <w:tc>
          <w:tcPr>
            <w:tcW w:w="3109" w:type="dxa"/>
          </w:tcPr>
          <w:p w:rsidR="006403E1" w:rsidRDefault="006403E1" w:rsidP="00D95969">
            <w:pPr>
              <w:pStyle w:val="Tabletext"/>
            </w:pPr>
            <w:r>
              <w:t xml:space="preserve">Departmental </w:t>
            </w:r>
            <w:r w:rsidR="00BE6B9F">
              <w:t>i</w:t>
            </w:r>
            <w:r>
              <w:t>tem</w:t>
            </w:r>
          </w:p>
        </w:tc>
        <w:tc>
          <w:tcPr>
            <w:tcW w:w="2697" w:type="dxa"/>
          </w:tcPr>
          <w:p w:rsidR="006403E1" w:rsidRDefault="006403E1" w:rsidP="00D95969">
            <w:pPr>
              <w:pStyle w:val="Tabletext"/>
            </w:pPr>
            <w:r w:rsidRPr="004E5756">
              <w:t>Department of</w:t>
            </w:r>
            <w:r>
              <w:t xml:space="preserve"> Resources, Energy and Tourism</w:t>
            </w:r>
          </w:p>
        </w:tc>
        <w:tc>
          <w:tcPr>
            <w:tcW w:w="1559" w:type="dxa"/>
          </w:tcPr>
          <w:p w:rsidR="006403E1" w:rsidRPr="00AF371C" w:rsidRDefault="006403E1" w:rsidP="00D95969">
            <w:pPr>
              <w:pStyle w:val="Tabletext"/>
              <w:jc w:val="right"/>
            </w:pPr>
            <w:r>
              <w:t>+314,725.00</w:t>
            </w:r>
          </w:p>
        </w:tc>
      </w:tr>
      <w:tr w:rsidR="006403E1" w:rsidRPr="006F4315" w:rsidTr="0024710B">
        <w:tc>
          <w:tcPr>
            <w:tcW w:w="714" w:type="dxa"/>
            <w:tcBorders>
              <w:bottom w:val="single" w:sz="12" w:space="0" w:color="auto"/>
            </w:tcBorders>
          </w:tcPr>
          <w:p w:rsidR="006403E1" w:rsidRPr="00AF371C" w:rsidRDefault="006403E1" w:rsidP="00D95969">
            <w:pPr>
              <w:pStyle w:val="Tabletext"/>
            </w:pPr>
            <w:r>
              <w:t>3</w:t>
            </w:r>
          </w:p>
        </w:tc>
        <w:tc>
          <w:tcPr>
            <w:tcW w:w="3109" w:type="dxa"/>
            <w:tcBorders>
              <w:bottom w:val="single" w:sz="12" w:space="0" w:color="auto"/>
            </w:tcBorders>
          </w:tcPr>
          <w:p w:rsidR="006403E1" w:rsidRPr="00AF371C" w:rsidRDefault="006403E1" w:rsidP="00D95969">
            <w:pPr>
              <w:pStyle w:val="Tabletext"/>
            </w:pPr>
            <w:r>
              <w:t xml:space="preserve">Departmental </w:t>
            </w:r>
            <w:r w:rsidR="00BE6B9F">
              <w:t>i</w:t>
            </w:r>
            <w:r>
              <w:t>tem</w:t>
            </w:r>
          </w:p>
        </w:tc>
        <w:tc>
          <w:tcPr>
            <w:tcW w:w="2697" w:type="dxa"/>
            <w:tcBorders>
              <w:bottom w:val="single" w:sz="12" w:space="0" w:color="auto"/>
            </w:tcBorders>
          </w:tcPr>
          <w:p w:rsidR="006403E1" w:rsidRPr="00AF371C" w:rsidRDefault="006403E1" w:rsidP="00D95969">
            <w:pPr>
              <w:pStyle w:val="Tabletext"/>
            </w:pPr>
            <w:r>
              <w:t>Department of Climate Change and Energy Efficiency</w:t>
            </w:r>
          </w:p>
        </w:tc>
        <w:tc>
          <w:tcPr>
            <w:tcW w:w="1559" w:type="dxa"/>
            <w:tcBorders>
              <w:bottom w:val="single" w:sz="12" w:space="0" w:color="auto"/>
            </w:tcBorders>
          </w:tcPr>
          <w:p w:rsidR="006403E1" w:rsidRDefault="006403E1" w:rsidP="00D95969">
            <w:pPr>
              <w:pStyle w:val="Tabletext"/>
              <w:jc w:val="right"/>
            </w:pPr>
            <w:r w:rsidRPr="00AF371C">
              <w:t>-</w:t>
            </w:r>
            <w:r>
              <w:t>936,000.00</w:t>
            </w:r>
          </w:p>
        </w:tc>
      </w:tr>
    </w:tbl>
    <w:p w:rsidR="006403E1" w:rsidRDefault="006403E1" w:rsidP="00D95969">
      <w:pPr>
        <w:pStyle w:val="notetext"/>
      </w:pPr>
      <w:r w:rsidRPr="00D02B43">
        <w:t xml:space="preserve">Note: </w:t>
      </w:r>
      <w:r w:rsidRPr="00D02B43">
        <w:tab/>
        <w:t xml:space="preserve">Section 32 of the FMA Act enables the Finance Minister to determine that Schedules to Appropriation Acts are amended in relation to a transfer of functions between Agencies. A determination under section 32 of the FMA Act cannot result in a change to the total amount appropriated. </w:t>
      </w:r>
      <w:r w:rsidRPr="0024710B">
        <w:rPr>
          <w:i/>
        </w:rPr>
        <w:t>FMA Act Determination 2013/05 — Section 32 (Transfer of Functions from DCCEE to DIICCSRTE and DRET)</w:t>
      </w:r>
      <w:r w:rsidRPr="00D02B43">
        <w:t xml:space="preserve"> affects this Act</w:t>
      </w:r>
      <w:r>
        <w:t xml:space="preserve"> </w:t>
      </w:r>
      <w:r w:rsidRPr="00D02B43">
        <w:t>in a specified way to result in no change to the total amount appropriated.</w:t>
      </w:r>
    </w:p>
    <w:p w:rsidR="006403E1" w:rsidRDefault="006403E1" w:rsidP="000403E3">
      <w:pPr>
        <w:pStyle w:val="notetext"/>
        <w:ind w:firstLine="0"/>
      </w:pPr>
      <w:r>
        <w:t xml:space="preserve">As a result of amendments to the </w:t>
      </w:r>
      <w:r>
        <w:rPr>
          <w:i/>
        </w:rPr>
        <w:t>Administrative Arrangements Order</w:t>
      </w:r>
      <w:r>
        <w:t xml:space="preserve">, made on 25 March 2013, the </w:t>
      </w:r>
      <w:r w:rsidRPr="007374FD">
        <w:rPr>
          <w:szCs w:val="18"/>
        </w:rPr>
        <w:t>Department of Industry, Innovation, Science, Research and Tertiary Education</w:t>
      </w:r>
      <w:r>
        <w:t xml:space="preserve"> (DIISRTE) was renamed the </w:t>
      </w:r>
      <w:r w:rsidRPr="00201A76">
        <w:t>Department of Industry, Innovation, Climate Change, Science, Research and Tertiary Education</w:t>
      </w:r>
      <w:r>
        <w:t xml:space="preserve"> (DIICCSRTE).</w:t>
      </w:r>
    </w:p>
    <w:p w:rsidR="006403E1" w:rsidRPr="00F3113A" w:rsidRDefault="006403E1" w:rsidP="00D95969">
      <w:pPr>
        <w:pStyle w:val="A1S"/>
        <w:spacing w:before="240" w:line="240" w:lineRule="auto"/>
        <w:ind w:left="426" w:hanging="426"/>
        <w:rPr>
          <w:bCs/>
        </w:rPr>
      </w:pPr>
      <w:r>
        <w:rPr>
          <w:bCs/>
        </w:rPr>
        <w:t>2</w:t>
      </w:r>
      <w:r>
        <w:rPr>
          <w:bCs/>
        </w:rPr>
        <w:tab/>
        <w:t xml:space="preserve">Schedule 1, </w:t>
      </w:r>
      <w:r w:rsidRPr="00335BCD">
        <w:rPr>
          <w:bCs/>
        </w:rPr>
        <w:t>Climate Change and Energy Efficiency portfolio, after the Department of Climate Change and Energy Efficiency table</w:t>
      </w:r>
    </w:p>
    <w:p w:rsidR="006403E1" w:rsidRPr="00AF371C" w:rsidRDefault="006403E1" w:rsidP="00D95969">
      <w:pPr>
        <w:pStyle w:val="Item"/>
      </w:pPr>
      <w:r w:rsidRPr="0060183A">
        <w:t>Insert</w:t>
      </w:r>
      <w:r>
        <w:t>:</w:t>
      </w:r>
    </w:p>
    <w:p w:rsidR="006403E1" w:rsidRPr="00D81032" w:rsidRDefault="006403E1" w:rsidP="00D95969">
      <w:pPr>
        <w:pStyle w:val="notetext"/>
        <w:rPr>
          <w:szCs w:val="18"/>
        </w:rPr>
      </w:pPr>
      <w:r w:rsidRPr="00D81032">
        <w:rPr>
          <w:szCs w:val="18"/>
        </w:rPr>
        <w:t>Note 1:</w:t>
      </w:r>
      <w:r w:rsidRPr="00D81032">
        <w:rPr>
          <w:szCs w:val="18"/>
        </w:rPr>
        <w:tab/>
      </w:r>
      <w:r w:rsidRPr="00D81032">
        <w:rPr>
          <w:i/>
          <w:szCs w:val="18"/>
        </w:rPr>
        <w:t>FMA Act Determination 2013/05 — Section 32 (Transfer of Functions from DCCEE to DIICCSRTE and DRET)</w:t>
      </w:r>
      <w:r w:rsidRPr="00D81032">
        <w:rPr>
          <w:szCs w:val="18"/>
        </w:rPr>
        <w:t xml:space="preserve"> reduced the departmental item</w:t>
      </w:r>
      <w:r w:rsidRPr="00D81032" w:rsidDel="007F010D">
        <w:rPr>
          <w:szCs w:val="18"/>
        </w:rPr>
        <w:t xml:space="preserve"> </w:t>
      </w:r>
      <w:r w:rsidRPr="00D81032">
        <w:rPr>
          <w:szCs w:val="18"/>
        </w:rPr>
        <w:t xml:space="preserve">for the Department of Climate Change and Energy Efficiency (DCCEE) in accordance with Table 1 at the end of Schedule 1 to this Act. </w:t>
      </w:r>
    </w:p>
    <w:p w:rsidR="006403E1" w:rsidRPr="00D81032" w:rsidRDefault="006403E1" w:rsidP="0024710B">
      <w:pPr>
        <w:pStyle w:val="notetext"/>
        <w:ind w:firstLine="0"/>
        <w:rPr>
          <w:szCs w:val="18"/>
        </w:rPr>
      </w:pPr>
      <w:r w:rsidRPr="00D81032">
        <w:rPr>
          <w:szCs w:val="18"/>
        </w:rPr>
        <w:t xml:space="preserve">These changes were made to implement the amendments to the </w:t>
      </w:r>
      <w:r w:rsidRPr="00D81032">
        <w:rPr>
          <w:i/>
          <w:szCs w:val="18"/>
        </w:rPr>
        <w:t>Administrative Arrangements Order</w:t>
      </w:r>
      <w:r w:rsidRPr="00D81032">
        <w:rPr>
          <w:szCs w:val="18"/>
        </w:rPr>
        <w:t xml:space="preserve"> made on 25 March 2013. Functions of the former DCCEE were transferred:</w:t>
      </w:r>
    </w:p>
    <w:p w:rsidR="006403E1" w:rsidRPr="00D81032" w:rsidRDefault="006403E1" w:rsidP="0024710B">
      <w:pPr>
        <w:pStyle w:val="Notepara0"/>
        <w:numPr>
          <w:ilvl w:val="0"/>
          <w:numId w:val="24"/>
        </w:numPr>
        <w:tabs>
          <w:tab w:val="left" w:pos="1276"/>
        </w:tabs>
        <w:spacing w:before="120" w:after="100" w:afterAutospacing="1" w:line="240" w:lineRule="auto"/>
        <w:ind w:left="2835" w:hanging="708"/>
        <w:jc w:val="left"/>
        <w:rPr>
          <w:sz w:val="18"/>
          <w:szCs w:val="18"/>
        </w:rPr>
      </w:pPr>
      <w:r w:rsidRPr="00D81032">
        <w:rPr>
          <w:sz w:val="18"/>
          <w:szCs w:val="18"/>
        </w:rPr>
        <w:t>in relation to climate change, to</w:t>
      </w:r>
      <w:r w:rsidR="00321ACD">
        <w:rPr>
          <w:sz w:val="18"/>
          <w:szCs w:val="18"/>
        </w:rPr>
        <w:t xml:space="preserve"> the</w:t>
      </w:r>
      <w:r w:rsidRPr="00D81032">
        <w:rPr>
          <w:sz w:val="18"/>
          <w:szCs w:val="18"/>
        </w:rPr>
        <w:t xml:space="preserve"> Department of Industry, Innovation, Climate Change, Science, Research and Tertiary Education; and</w:t>
      </w:r>
    </w:p>
    <w:p w:rsidR="006403E1" w:rsidRPr="00D81032" w:rsidRDefault="006403E1" w:rsidP="0024710B">
      <w:pPr>
        <w:pStyle w:val="Notepara0"/>
        <w:numPr>
          <w:ilvl w:val="0"/>
          <w:numId w:val="24"/>
        </w:numPr>
        <w:tabs>
          <w:tab w:val="left" w:pos="709"/>
        </w:tabs>
        <w:spacing w:before="120" w:after="100" w:afterAutospacing="1" w:line="240" w:lineRule="auto"/>
        <w:ind w:left="2835" w:hanging="708"/>
        <w:jc w:val="left"/>
        <w:rPr>
          <w:sz w:val="18"/>
          <w:szCs w:val="18"/>
        </w:rPr>
      </w:pPr>
      <w:proofErr w:type="gramStart"/>
      <w:r w:rsidRPr="00D81032">
        <w:rPr>
          <w:sz w:val="18"/>
          <w:szCs w:val="18"/>
        </w:rPr>
        <w:t>in</w:t>
      </w:r>
      <w:proofErr w:type="gramEnd"/>
      <w:r w:rsidRPr="00D81032">
        <w:rPr>
          <w:sz w:val="18"/>
          <w:szCs w:val="18"/>
        </w:rPr>
        <w:t xml:space="preserve"> relation to energy efficiency, to </w:t>
      </w:r>
      <w:r w:rsidR="00321ACD">
        <w:rPr>
          <w:sz w:val="18"/>
          <w:szCs w:val="18"/>
        </w:rPr>
        <w:t xml:space="preserve">the </w:t>
      </w:r>
      <w:r w:rsidRPr="00D81032">
        <w:rPr>
          <w:sz w:val="18"/>
          <w:szCs w:val="18"/>
        </w:rPr>
        <w:t>Department of Resources, Energy and Tourism.</w:t>
      </w:r>
    </w:p>
    <w:p w:rsidR="006403E1" w:rsidRPr="00F3113A" w:rsidRDefault="006403E1" w:rsidP="00D95969">
      <w:pPr>
        <w:pStyle w:val="A1S"/>
        <w:spacing w:before="240" w:line="240" w:lineRule="auto"/>
        <w:ind w:left="426" w:hanging="426"/>
        <w:rPr>
          <w:bCs/>
        </w:rPr>
      </w:pPr>
      <w:r>
        <w:rPr>
          <w:bCs/>
        </w:rPr>
        <w:t>3</w:t>
      </w:r>
      <w:r>
        <w:rPr>
          <w:bCs/>
        </w:rPr>
        <w:tab/>
        <w:t>Schedule 1, Industry, Innovation, Science, Research and Tertiary Education</w:t>
      </w:r>
      <w:r w:rsidRPr="00E7285F">
        <w:rPr>
          <w:bCs/>
        </w:rPr>
        <w:t xml:space="preserve"> portfolio,</w:t>
      </w:r>
      <w:r>
        <w:rPr>
          <w:bCs/>
        </w:rPr>
        <w:t xml:space="preserve"> after the</w:t>
      </w:r>
      <w:r w:rsidRPr="00E7285F">
        <w:rPr>
          <w:bCs/>
        </w:rPr>
        <w:t xml:space="preserve"> </w:t>
      </w:r>
      <w:r>
        <w:rPr>
          <w:bCs/>
        </w:rPr>
        <w:t xml:space="preserve">Department of Industry, Innovation, Science, Research and Tertiary Education </w:t>
      </w:r>
      <w:r w:rsidRPr="00E7285F">
        <w:rPr>
          <w:bCs/>
        </w:rPr>
        <w:t>tabl</w:t>
      </w:r>
      <w:r>
        <w:rPr>
          <w:bCs/>
        </w:rPr>
        <w:t>e</w:t>
      </w:r>
    </w:p>
    <w:p w:rsidR="006403E1" w:rsidRPr="00AF371C" w:rsidRDefault="006403E1" w:rsidP="00D95969">
      <w:pPr>
        <w:pStyle w:val="Item"/>
      </w:pPr>
      <w:r w:rsidRPr="00AF371C">
        <w:t>Insert</w:t>
      </w:r>
      <w:r>
        <w:t>:</w:t>
      </w:r>
    </w:p>
    <w:p w:rsidR="006403E1" w:rsidRDefault="006403E1" w:rsidP="00D95969">
      <w:pPr>
        <w:pStyle w:val="notetext"/>
        <w:rPr>
          <w:szCs w:val="18"/>
        </w:rPr>
      </w:pPr>
      <w:r w:rsidRPr="00AF371C">
        <w:t>Note </w:t>
      </w:r>
      <w:r>
        <w:t>1</w:t>
      </w:r>
      <w:r w:rsidRPr="00AF371C">
        <w:t>:</w:t>
      </w:r>
      <w:r>
        <w:tab/>
      </w:r>
      <w:r>
        <w:rPr>
          <w:i/>
          <w:szCs w:val="18"/>
        </w:rPr>
        <w:t>FMA Act Determination 2013/05</w:t>
      </w:r>
      <w:r w:rsidRPr="00A50789">
        <w:rPr>
          <w:i/>
          <w:szCs w:val="18"/>
        </w:rPr>
        <w:t xml:space="preserve"> — Section 32 (Transfer of Functions from </w:t>
      </w:r>
      <w:r>
        <w:rPr>
          <w:i/>
          <w:szCs w:val="18"/>
        </w:rPr>
        <w:t xml:space="preserve">DCCEE to </w:t>
      </w:r>
      <w:r w:rsidRPr="00335BCD">
        <w:rPr>
          <w:i/>
          <w:szCs w:val="18"/>
        </w:rPr>
        <w:t>DIICCSRTE and DRET</w:t>
      </w:r>
      <w:r w:rsidRPr="00A50789">
        <w:rPr>
          <w:i/>
          <w:szCs w:val="18"/>
        </w:rPr>
        <w:t>)</w:t>
      </w:r>
      <w:r w:rsidRPr="00A50789">
        <w:rPr>
          <w:szCs w:val="18"/>
        </w:rPr>
        <w:t xml:space="preserve"> </w:t>
      </w:r>
      <w:r>
        <w:rPr>
          <w:szCs w:val="18"/>
        </w:rPr>
        <w:t>increased</w:t>
      </w:r>
      <w:r w:rsidRPr="00A50789">
        <w:rPr>
          <w:szCs w:val="18"/>
        </w:rPr>
        <w:t xml:space="preserve"> the </w:t>
      </w:r>
      <w:r>
        <w:rPr>
          <w:szCs w:val="18"/>
        </w:rPr>
        <w:t xml:space="preserve">departmental </w:t>
      </w:r>
      <w:r w:rsidRPr="00A50789">
        <w:rPr>
          <w:szCs w:val="18"/>
        </w:rPr>
        <w:t>item</w:t>
      </w:r>
      <w:r w:rsidRPr="00A50789" w:rsidDel="007F010D">
        <w:rPr>
          <w:szCs w:val="18"/>
        </w:rPr>
        <w:t xml:space="preserve"> </w:t>
      </w:r>
      <w:r>
        <w:rPr>
          <w:szCs w:val="18"/>
        </w:rPr>
        <w:t xml:space="preserve">for the </w:t>
      </w:r>
      <w:r w:rsidRPr="00AE0CAA">
        <w:rPr>
          <w:szCs w:val="18"/>
        </w:rPr>
        <w:t>Department of Industry, Innovation, Climate Change, Science, Research and Tertiary Education (DIICCSRTE)</w:t>
      </w:r>
      <w:r>
        <w:rPr>
          <w:szCs w:val="18"/>
        </w:rPr>
        <w:t xml:space="preserve"> in accordance with Table 1</w:t>
      </w:r>
      <w:r w:rsidRPr="00A50789">
        <w:rPr>
          <w:szCs w:val="18"/>
        </w:rPr>
        <w:t xml:space="preserve"> </w:t>
      </w:r>
      <w:r>
        <w:rPr>
          <w:szCs w:val="18"/>
        </w:rPr>
        <w:t>at the end of</w:t>
      </w:r>
      <w:r w:rsidRPr="00A50789">
        <w:rPr>
          <w:szCs w:val="18"/>
        </w:rPr>
        <w:t xml:space="preserve"> Schedule </w:t>
      </w:r>
      <w:r>
        <w:rPr>
          <w:szCs w:val="18"/>
        </w:rPr>
        <w:t>1</w:t>
      </w:r>
      <w:r w:rsidRPr="00A50789">
        <w:rPr>
          <w:szCs w:val="18"/>
        </w:rPr>
        <w:t xml:space="preserve"> to this Act.</w:t>
      </w:r>
    </w:p>
    <w:p w:rsidR="006403E1" w:rsidRPr="007374FD" w:rsidRDefault="006403E1" w:rsidP="0024710B">
      <w:pPr>
        <w:pStyle w:val="notemargin"/>
        <w:spacing w:line="240" w:lineRule="auto"/>
        <w:ind w:left="1985" w:firstLine="0"/>
        <w:rPr>
          <w:szCs w:val="18"/>
        </w:rPr>
      </w:pPr>
      <w:r w:rsidRPr="007374FD">
        <w:rPr>
          <w:szCs w:val="18"/>
        </w:rPr>
        <w:t xml:space="preserve">These changes were made to implement the amendments to the </w:t>
      </w:r>
      <w:r w:rsidRPr="007374FD">
        <w:rPr>
          <w:i/>
          <w:szCs w:val="18"/>
        </w:rPr>
        <w:t>Administrative Arrangements Order</w:t>
      </w:r>
      <w:r w:rsidRPr="007374FD">
        <w:rPr>
          <w:szCs w:val="18"/>
        </w:rPr>
        <w:t xml:space="preserve"> made on 25 March 2013. Functions of the former Department of Climate Change and Energy Efficiency in relation to climate change were transferred to DIICCSRTE. </w:t>
      </w:r>
    </w:p>
    <w:p w:rsidR="006403E1" w:rsidRDefault="006403E1" w:rsidP="000806FC">
      <w:pPr>
        <w:pStyle w:val="notetext"/>
      </w:pPr>
      <w:r>
        <w:tab/>
        <w:t xml:space="preserve">As a result of amendments to the </w:t>
      </w:r>
      <w:r>
        <w:rPr>
          <w:i/>
        </w:rPr>
        <w:t>Administrative Arrangements Order</w:t>
      </w:r>
      <w:r>
        <w:t xml:space="preserve">, made on 25 March 2013, the </w:t>
      </w:r>
      <w:r w:rsidRPr="007374FD">
        <w:rPr>
          <w:szCs w:val="18"/>
        </w:rPr>
        <w:t>Department of Industry, Innovation, Science, Research and Tertiary Education</w:t>
      </w:r>
      <w:r>
        <w:t xml:space="preserve"> (DIISRTE) was renamed DIICCSRTE. </w:t>
      </w:r>
    </w:p>
    <w:p w:rsidR="00D81032" w:rsidRPr="00F3113A" w:rsidRDefault="00D81032" w:rsidP="00D81032">
      <w:pPr>
        <w:pStyle w:val="A1S"/>
        <w:spacing w:before="240" w:line="240" w:lineRule="auto"/>
        <w:ind w:left="426" w:hanging="426"/>
        <w:rPr>
          <w:bCs/>
        </w:rPr>
      </w:pPr>
      <w:r>
        <w:rPr>
          <w:bCs/>
        </w:rPr>
        <w:t>4</w:t>
      </w:r>
      <w:r>
        <w:rPr>
          <w:bCs/>
        </w:rPr>
        <w:tab/>
        <w:t xml:space="preserve">Schedule 1, </w:t>
      </w:r>
      <w:r>
        <w:t>Resources, Energy and Tourism</w:t>
      </w:r>
      <w:r w:rsidRPr="00E7285F">
        <w:rPr>
          <w:bCs/>
        </w:rPr>
        <w:t xml:space="preserve"> portfolio</w:t>
      </w:r>
      <w:r w:rsidRPr="00402FD4">
        <w:t xml:space="preserve">, after the </w:t>
      </w:r>
      <w:r>
        <w:rPr>
          <w:bCs/>
        </w:rPr>
        <w:t xml:space="preserve">Department of </w:t>
      </w:r>
      <w:r>
        <w:t>Resources, Energy and Tourism</w:t>
      </w:r>
      <w:r w:rsidRPr="00E7285F">
        <w:rPr>
          <w:bCs/>
        </w:rPr>
        <w:t xml:space="preserve"> </w:t>
      </w:r>
      <w:r w:rsidRPr="00402FD4">
        <w:t>table</w:t>
      </w:r>
    </w:p>
    <w:p w:rsidR="00321ACD" w:rsidRPr="00AF371C" w:rsidRDefault="00321ACD" w:rsidP="00321ACD">
      <w:pPr>
        <w:pStyle w:val="Item"/>
      </w:pPr>
      <w:r w:rsidRPr="00AF371C">
        <w:t>Insert</w:t>
      </w:r>
      <w:r>
        <w:t>:</w:t>
      </w:r>
    </w:p>
    <w:p w:rsidR="00D81032" w:rsidRPr="0025284B" w:rsidRDefault="00D81032" w:rsidP="00D81032">
      <w:pPr>
        <w:pStyle w:val="notetext"/>
        <w:rPr>
          <w:szCs w:val="18"/>
        </w:rPr>
      </w:pPr>
      <w:r w:rsidRPr="0025284B">
        <w:rPr>
          <w:szCs w:val="18"/>
        </w:rPr>
        <w:t>Note </w:t>
      </w:r>
      <w:r w:rsidR="00F02393">
        <w:rPr>
          <w:szCs w:val="18"/>
        </w:rPr>
        <w:t>1</w:t>
      </w:r>
      <w:r w:rsidRPr="005E5147">
        <w:rPr>
          <w:szCs w:val="18"/>
        </w:rPr>
        <w:t>:</w:t>
      </w:r>
      <w:r w:rsidRPr="005E5147">
        <w:rPr>
          <w:szCs w:val="18"/>
        </w:rPr>
        <w:tab/>
      </w:r>
      <w:r>
        <w:rPr>
          <w:i/>
          <w:szCs w:val="18"/>
        </w:rPr>
        <w:t>FMA Act Determination 2013/05 — Section 32 (Transfer of Functions from DCCEE to DIICCSRTE and DRET)</w:t>
      </w:r>
      <w:r w:rsidRPr="005E5147">
        <w:rPr>
          <w:szCs w:val="18"/>
        </w:rPr>
        <w:t xml:space="preserve"> increased the departmental item for the Department of Resources, Energy and Tourism (DRET)</w:t>
      </w:r>
      <w:r w:rsidRPr="0025284B">
        <w:rPr>
          <w:szCs w:val="18"/>
        </w:rPr>
        <w:t xml:space="preserve"> in accordance with Table </w:t>
      </w:r>
      <w:r w:rsidRPr="005E5147">
        <w:rPr>
          <w:szCs w:val="18"/>
        </w:rPr>
        <w:t>1 at the end of Schedule 1 to this Act.</w:t>
      </w:r>
    </w:p>
    <w:p w:rsidR="00D81032" w:rsidRPr="0025284B" w:rsidRDefault="00D81032" w:rsidP="00D81032">
      <w:pPr>
        <w:pStyle w:val="notemargin"/>
        <w:tabs>
          <w:tab w:val="clear" w:pos="709"/>
          <w:tab w:val="left" w:pos="1985"/>
        </w:tabs>
        <w:spacing w:before="120" w:line="240" w:lineRule="auto"/>
        <w:ind w:left="1985" w:firstLine="0"/>
        <w:rPr>
          <w:szCs w:val="18"/>
        </w:rPr>
      </w:pPr>
      <w:r w:rsidRPr="005E5147">
        <w:rPr>
          <w:szCs w:val="18"/>
        </w:rPr>
        <w:t xml:space="preserve">These changes were made to implement the amendments to the </w:t>
      </w:r>
      <w:r>
        <w:rPr>
          <w:i/>
          <w:szCs w:val="18"/>
        </w:rPr>
        <w:t>Administrative Arrangements Order</w:t>
      </w:r>
      <w:r w:rsidRPr="005E5147">
        <w:rPr>
          <w:szCs w:val="18"/>
        </w:rPr>
        <w:t xml:space="preserve"> made on 25 March 2013. Functions of the former Department of Climate Change and Energy Efficiency in relation to energy efficiency were transferred to DRET.</w:t>
      </w:r>
    </w:p>
    <w:p w:rsidR="00D81032" w:rsidRDefault="00D81032" w:rsidP="000806FC">
      <w:pPr>
        <w:pStyle w:val="notetext"/>
      </w:pPr>
    </w:p>
    <w:p w:rsidR="00A334E6" w:rsidRDefault="00A334E6" w:rsidP="000806FC">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0806FC">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0806FC">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0806FC">
      <w:pPr>
        <w:pStyle w:val="notemargin"/>
        <w:tabs>
          <w:tab w:val="clear" w:pos="709"/>
          <w:tab w:val="left" w:pos="1985"/>
        </w:tabs>
        <w:spacing w:before="120" w:line="240" w:lineRule="auto"/>
        <w:ind w:left="1985" w:hanging="1985"/>
        <w:rPr>
          <w:rFonts w:ascii="Arial" w:hAnsi="Arial"/>
          <w:b/>
          <w:kern w:val="28"/>
          <w:sz w:val="32"/>
        </w:rPr>
      </w:pPr>
    </w:p>
    <w:p w:rsidR="00A334E6" w:rsidRDefault="00A334E6" w:rsidP="000806FC">
      <w:pPr>
        <w:pStyle w:val="notemargin"/>
        <w:tabs>
          <w:tab w:val="clear" w:pos="709"/>
          <w:tab w:val="left" w:pos="1985"/>
        </w:tabs>
        <w:spacing w:before="120" w:line="240" w:lineRule="auto"/>
        <w:ind w:left="1985" w:hanging="1985"/>
        <w:rPr>
          <w:rFonts w:ascii="Arial" w:hAnsi="Arial"/>
          <w:b/>
          <w:kern w:val="28"/>
          <w:sz w:val="32"/>
        </w:rPr>
      </w:pPr>
    </w:p>
    <w:p w:rsidR="006403E1" w:rsidRPr="000806FC" w:rsidRDefault="006403E1" w:rsidP="000806FC">
      <w:pPr>
        <w:pStyle w:val="notemargin"/>
        <w:tabs>
          <w:tab w:val="clear" w:pos="709"/>
          <w:tab w:val="left" w:pos="1985"/>
        </w:tabs>
        <w:spacing w:before="120" w:line="240" w:lineRule="auto"/>
        <w:ind w:left="1985" w:hanging="1985"/>
        <w:rPr>
          <w:rFonts w:ascii="Arial" w:hAnsi="Arial"/>
          <w:b/>
          <w:kern w:val="28"/>
          <w:sz w:val="32"/>
        </w:rPr>
      </w:pPr>
      <w:r w:rsidRPr="000806FC">
        <w:rPr>
          <w:rFonts w:ascii="Arial" w:hAnsi="Arial"/>
          <w:b/>
          <w:kern w:val="28"/>
          <w:sz w:val="32"/>
        </w:rPr>
        <w:t>Schedule 4</w:t>
      </w:r>
      <w:r w:rsidRPr="000806FC">
        <w:rPr>
          <w:rFonts w:ascii="Arial" w:hAnsi="Arial"/>
          <w:b/>
          <w:kern w:val="28"/>
          <w:sz w:val="32"/>
        </w:rPr>
        <w:tab/>
        <w:t>Amendment of Appropriation Act (No. 1) 2011</w:t>
      </w:r>
      <w:r w:rsidRPr="000806FC">
        <w:rPr>
          <w:rFonts w:ascii="Arial" w:hAnsi="Arial"/>
          <w:b/>
          <w:kern w:val="28"/>
          <w:sz w:val="32"/>
        </w:rPr>
        <w:noBreakHyphen/>
        <w:t>2012</w:t>
      </w:r>
    </w:p>
    <w:p w:rsidR="006403E1" w:rsidRDefault="006403E1" w:rsidP="00FA2E93">
      <w:pPr>
        <w:pStyle w:val="A1S"/>
        <w:spacing w:before="240" w:line="240" w:lineRule="auto"/>
        <w:ind w:left="426" w:hanging="426"/>
        <w:rPr>
          <w:bCs/>
        </w:rPr>
      </w:pPr>
      <w:r w:rsidRPr="00F3113A">
        <w:rPr>
          <w:bCs/>
        </w:rPr>
        <w:t>1</w:t>
      </w:r>
      <w:r>
        <w:rPr>
          <w:bCs/>
        </w:rPr>
        <w:tab/>
      </w:r>
      <w:proofErr w:type="gramStart"/>
      <w:r>
        <w:rPr>
          <w:bCs/>
        </w:rPr>
        <w:t>At</w:t>
      </w:r>
      <w:proofErr w:type="gramEnd"/>
      <w:r>
        <w:rPr>
          <w:bCs/>
        </w:rPr>
        <w:t xml:space="preserve"> the end of Schedule 1, on a new page</w:t>
      </w:r>
    </w:p>
    <w:p w:rsidR="006403E1" w:rsidRDefault="006403E1" w:rsidP="00FA2E93">
      <w:pPr>
        <w:rPr>
          <w:lang w:eastAsia="en-AU"/>
        </w:rPr>
      </w:pPr>
    </w:p>
    <w:p w:rsidR="006403E1" w:rsidRDefault="006403E1" w:rsidP="00FA2E93">
      <w:pPr>
        <w:rPr>
          <w:lang w:eastAsia="en-AU"/>
        </w:rPr>
      </w:pPr>
      <w:r>
        <w:rPr>
          <w:lang w:eastAsia="en-AU"/>
        </w:rPr>
        <w:tab/>
        <w:t>Insert:</w:t>
      </w:r>
    </w:p>
    <w:p w:rsidR="006403E1" w:rsidRDefault="006403E1" w:rsidP="00FA2E93">
      <w:pPr>
        <w:rPr>
          <w:rFonts w:ascii="Arial" w:hAnsi="Arial" w:cs="Arial"/>
          <w:b/>
          <w:sz w:val="32"/>
          <w:szCs w:val="32"/>
          <w:lang w:eastAsia="en-AU"/>
        </w:rPr>
      </w:pPr>
      <w:r w:rsidRPr="00D02B43">
        <w:rPr>
          <w:rFonts w:ascii="Arial" w:hAnsi="Arial" w:cs="Arial"/>
          <w:b/>
          <w:sz w:val="32"/>
          <w:szCs w:val="32"/>
          <w:lang w:eastAsia="en-AU"/>
        </w:rPr>
        <w:t xml:space="preserve">Amendment of Schedule </w:t>
      </w:r>
      <w:r>
        <w:rPr>
          <w:rFonts w:ascii="Arial" w:hAnsi="Arial" w:cs="Arial"/>
          <w:b/>
          <w:sz w:val="32"/>
          <w:szCs w:val="32"/>
          <w:lang w:eastAsia="en-AU"/>
        </w:rPr>
        <w:t>1</w:t>
      </w:r>
      <w:r w:rsidRPr="00D02B43">
        <w:rPr>
          <w:rFonts w:ascii="Arial" w:hAnsi="Arial" w:cs="Arial"/>
          <w:b/>
          <w:sz w:val="32"/>
          <w:szCs w:val="32"/>
          <w:lang w:eastAsia="en-AU"/>
        </w:rPr>
        <w:t xml:space="preserve"> arising from Determination(s) under section 32 of the Financial Management and Accountability Act 1997</w:t>
      </w:r>
    </w:p>
    <w:p w:rsidR="006403E1" w:rsidRPr="001030AF" w:rsidRDefault="006403E1" w:rsidP="001030AF">
      <w:pPr>
        <w:pStyle w:val="ItemHead"/>
        <w:ind w:left="1276" w:hanging="362"/>
      </w:pPr>
      <w:r w:rsidRPr="001030AF">
        <w:t>1</w:t>
      </w:r>
      <w:r w:rsidRPr="001030AF">
        <w:tab/>
      </w:r>
      <w:r>
        <w:t>FMA Act Determination 2013/05 — Section 32 (Transfer of Functions from DCCEE to DIICCSRTE and DRET</w:t>
      </w:r>
      <w:r w:rsidRPr="00B97560">
        <w:t>)</w:t>
      </w:r>
    </w:p>
    <w:p w:rsidR="006403E1" w:rsidRDefault="006403E1" w:rsidP="00FA2E93">
      <w:pPr>
        <w:pStyle w:val="Item"/>
        <w:ind w:left="990"/>
      </w:pPr>
      <w:r w:rsidRPr="00B97560">
        <w:t xml:space="preserve">Schedule 1 of this Act is amended </w:t>
      </w:r>
      <w:r>
        <w:t>in accordance with</w:t>
      </w:r>
      <w:r w:rsidRPr="00B97560">
        <w:t xml:space="preserve"> </w:t>
      </w:r>
      <w:r>
        <w:t>section 32</w:t>
      </w:r>
      <w:r w:rsidRPr="00B97560">
        <w:t xml:space="preserve"> of the </w:t>
      </w:r>
      <w:r w:rsidRPr="00B97560">
        <w:rPr>
          <w:i/>
        </w:rPr>
        <w:t>Financial Management and Accountability Act 1997</w:t>
      </w:r>
      <w:r w:rsidRPr="00B97560">
        <w:t xml:space="preserve"> (FMA Act). </w:t>
      </w:r>
      <w:r>
        <w:t>A</w:t>
      </w:r>
      <w:r w:rsidRPr="00B97560">
        <w:t xml:space="preserve">mendments to appropriations are as specified in </w:t>
      </w:r>
      <w:r>
        <w:t xml:space="preserve">the following table. The appropriation </w:t>
      </w:r>
      <w:r w:rsidRPr="00B97560">
        <w:t xml:space="preserve">item </w:t>
      </w:r>
      <w:r>
        <w:t>(</w:t>
      </w:r>
      <w:r w:rsidRPr="00B97560">
        <w:t>listed in Column 1</w:t>
      </w:r>
      <w:r>
        <w:t>)</w:t>
      </w:r>
      <w:r w:rsidRPr="00B97560">
        <w:t xml:space="preserve"> for the </w:t>
      </w:r>
      <w:r>
        <w:t>Agency</w:t>
      </w:r>
      <w:r w:rsidRPr="00B97560">
        <w:t xml:space="preserve"> </w:t>
      </w:r>
      <w:r>
        <w:t xml:space="preserve">(listed in </w:t>
      </w:r>
      <w:r w:rsidRPr="00B97560">
        <w:t>Column 2</w:t>
      </w:r>
      <w:r>
        <w:t xml:space="preserve">) is </w:t>
      </w:r>
      <w:r w:rsidRPr="00B97560">
        <w:t xml:space="preserve">amended by the </w:t>
      </w:r>
      <w:r>
        <w:t xml:space="preserve">relevant </w:t>
      </w:r>
      <w:r w:rsidRPr="00B97560">
        <w:t xml:space="preserve">amount </w:t>
      </w:r>
      <w:r>
        <w:t>(</w:t>
      </w:r>
      <w:r w:rsidRPr="00B97560">
        <w:t>listed in Column 3</w:t>
      </w:r>
      <w:r>
        <w:t>)</w:t>
      </w:r>
      <w:r w:rsidRPr="00B97560">
        <w:t>.</w:t>
      </w:r>
      <w:r>
        <w:t xml:space="preserve"> </w:t>
      </w:r>
      <w:r>
        <w:br/>
        <w:t>A positive amount in Column 3 is an increase in the appropriation and a negative amount is a decrease in the appropriation.</w:t>
      </w:r>
    </w:p>
    <w:p w:rsidR="006403E1" w:rsidRPr="00040D9A" w:rsidRDefault="006403E1" w:rsidP="000806FC">
      <w:pPr>
        <w:pStyle w:val="ItemHead"/>
        <w:keepNext/>
        <w:ind w:left="990" w:firstLine="0"/>
        <w:rPr>
          <w:rFonts w:ascii="Times New Roman" w:hAnsi="Times New Roman"/>
          <w:b w:val="0"/>
          <w:sz w:val="22"/>
          <w:szCs w:val="22"/>
        </w:rPr>
      </w:pPr>
      <w:r w:rsidRPr="00040D9A">
        <w:rPr>
          <w:rFonts w:ascii="Times New Roman" w:hAnsi="Times New Roman"/>
          <w:sz w:val="22"/>
          <w:szCs w:val="22"/>
        </w:rPr>
        <w:t xml:space="preserve">Table </w:t>
      </w:r>
      <w:r>
        <w:rPr>
          <w:rFonts w:ascii="Times New Roman" w:hAnsi="Times New Roman"/>
          <w:sz w:val="22"/>
          <w:szCs w:val="22"/>
        </w:rPr>
        <w:t>1</w:t>
      </w:r>
    </w:p>
    <w:p w:rsidR="006403E1" w:rsidRPr="00AF371C" w:rsidRDefault="006403E1" w:rsidP="000806FC">
      <w:pPr>
        <w:keepNext/>
        <w:keepLines/>
      </w:pPr>
    </w:p>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3109"/>
        <w:gridCol w:w="2697"/>
        <w:gridCol w:w="1559"/>
      </w:tblGrid>
      <w:tr w:rsidR="006403E1" w:rsidRPr="006F4315" w:rsidTr="00824D82">
        <w:trPr>
          <w:tblHeader/>
        </w:trPr>
        <w:tc>
          <w:tcPr>
            <w:tcW w:w="8079" w:type="dxa"/>
            <w:gridSpan w:val="4"/>
            <w:tcBorders>
              <w:top w:val="single" w:sz="12" w:space="0" w:color="auto"/>
              <w:bottom w:val="single" w:sz="6" w:space="0" w:color="auto"/>
            </w:tcBorders>
          </w:tcPr>
          <w:p w:rsidR="006403E1" w:rsidRDefault="006403E1" w:rsidP="000806FC">
            <w:pPr>
              <w:pStyle w:val="TableHeading"/>
              <w:keepNext/>
              <w:keepLines/>
            </w:pPr>
            <w:r>
              <w:t>Amendment of appropriations</w:t>
            </w:r>
          </w:p>
        </w:tc>
      </w:tr>
      <w:tr w:rsidR="006403E1" w:rsidRPr="006F4315" w:rsidTr="00824D82">
        <w:trPr>
          <w:tblHeader/>
        </w:trPr>
        <w:tc>
          <w:tcPr>
            <w:tcW w:w="714" w:type="dxa"/>
            <w:tcBorders>
              <w:top w:val="single" w:sz="6" w:space="0" w:color="auto"/>
              <w:bottom w:val="single" w:sz="6" w:space="0" w:color="auto"/>
            </w:tcBorders>
          </w:tcPr>
          <w:p w:rsidR="006403E1" w:rsidRDefault="006403E1" w:rsidP="000806FC">
            <w:pPr>
              <w:pStyle w:val="TableHeading"/>
              <w:keepNext/>
              <w:keepLines/>
            </w:pPr>
          </w:p>
        </w:tc>
        <w:tc>
          <w:tcPr>
            <w:tcW w:w="3109" w:type="dxa"/>
            <w:tcBorders>
              <w:top w:val="single" w:sz="6" w:space="0" w:color="auto"/>
              <w:bottom w:val="single" w:sz="6" w:space="0" w:color="auto"/>
            </w:tcBorders>
          </w:tcPr>
          <w:p w:rsidR="006403E1" w:rsidRDefault="006403E1" w:rsidP="000806FC">
            <w:pPr>
              <w:pStyle w:val="TableHeading"/>
              <w:keepNext/>
              <w:keepLines/>
            </w:pPr>
            <w:r>
              <w:t>Column 1</w:t>
            </w:r>
          </w:p>
        </w:tc>
        <w:tc>
          <w:tcPr>
            <w:tcW w:w="2697" w:type="dxa"/>
            <w:tcBorders>
              <w:top w:val="single" w:sz="6" w:space="0" w:color="auto"/>
              <w:bottom w:val="single" w:sz="6" w:space="0" w:color="auto"/>
            </w:tcBorders>
          </w:tcPr>
          <w:p w:rsidR="006403E1" w:rsidRDefault="006403E1" w:rsidP="000806FC">
            <w:pPr>
              <w:pStyle w:val="TableHeading"/>
              <w:keepNext/>
              <w:keepLines/>
            </w:pPr>
            <w:r>
              <w:t>Column 2</w:t>
            </w:r>
          </w:p>
        </w:tc>
        <w:tc>
          <w:tcPr>
            <w:tcW w:w="1559" w:type="dxa"/>
            <w:tcBorders>
              <w:top w:val="single" w:sz="6" w:space="0" w:color="auto"/>
              <w:bottom w:val="single" w:sz="6" w:space="0" w:color="auto"/>
            </w:tcBorders>
          </w:tcPr>
          <w:p w:rsidR="006403E1" w:rsidRDefault="006403E1" w:rsidP="000806FC">
            <w:pPr>
              <w:pStyle w:val="TableHeading"/>
              <w:keepNext/>
              <w:keepLines/>
            </w:pPr>
            <w:r>
              <w:t>Column 3</w:t>
            </w:r>
          </w:p>
        </w:tc>
      </w:tr>
      <w:tr w:rsidR="006403E1" w:rsidRPr="006F4315" w:rsidTr="00824D82">
        <w:trPr>
          <w:tblHeader/>
        </w:trPr>
        <w:tc>
          <w:tcPr>
            <w:tcW w:w="714" w:type="dxa"/>
            <w:tcBorders>
              <w:top w:val="single" w:sz="6" w:space="0" w:color="auto"/>
              <w:bottom w:val="single" w:sz="12" w:space="0" w:color="auto"/>
            </w:tcBorders>
          </w:tcPr>
          <w:p w:rsidR="006403E1" w:rsidRDefault="006403E1" w:rsidP="000806FC">
            <w:pPr>
              <w:pStyle w:val="TableHeading"/>
              <w:keepNext/>
              <w:keepLines/>
            </w:pPr>
            <w:r>
              <w:t>Item</w:t>
            </w:r>
          </w:p>
        </w:tc>
        <w:tc>
          <w:tcPr>
            <w:tcW w:w="3109" w:type="dxa"/>
            <w:tcBorders>
              <w:top w:val="single" w:sz="6" w:space="0" w:color="auto"/>
              <w:bottom w:val="single" w:sz="12" w:space="0" w:color="auto"/>
            </w:tcBorders>
          </w:tcPr>
          <w:p w:rsidR="006403E1" w:rsidRDefault="006403E1" w:rsidP="000806FC">
            <w:pPr>
              <w:pStyle w:val="TableHeading"/>
              <w:keepNext/>
              <w:keepLines/>
            </w:pPr>
            <w:r>
              <w:t>Appropriation item</w:t>
            </w:r>
          </w:p>
        </w:tc>
        <w:tc>
          <w:tcPr>
            <w:tcW w:w="2697" w:type="dxa"/>
            <w:tcBorders>
              <w:top w:val="single" w:sz="6" w:space="0" w:color="auto"/>
              <w:bottom w:val="single" w:sz="12" w:space="0" w:color="auto"/>
            </w:tcBorders>
          </w:tcPr>
          <w:p w:rsidR="006403E1" w:rsidRDefault="006403E1" w:rsidP="000806FC">
            <w:pPr>
              <w:pStyle w:val="TableHeading"/>
              <w:keepNext/>
              <w:keepLines/>
            </w:pPr>
            <w:r>
              <w:t>Agency</w:t>
            </w:r>
          </w:p>
        </w:tc>
        <w:tc>
          <w:tcPr>
            <w:tcW w:w="1559" w:type="dxa"/>
            <w:tcBorders>
              <w:top w:val="single" w:sz="6" w:space="0" w:color="auto"/>
              <w:bottom w:val="single" w:sz="12" w:space="0" w:color="auto"/>
            </w:tcBorders>
          </w:tcPr>
          <w:p w:rsidR="006403E1" w:rsidRDefault="006403E1" w:rsidP="000806FC">
            <w:pPr>
              <w:pStyle w:val="TableHeading"/>
              <w:keepNext/>
              <w:keepLines/>
              <w:jc w:val="right"/>
            </w:pPr>
            <w:r>
              <w:t>Amount $</w:t>
            </w:r>
          </w:p>
        </w:tc>
      </w:tr>
      <w:tr w:rsidR="006403E1" w:rsidRPr="006F4315" w:rsidTr="00824D82">
        <w:tc>
          <w:tcPr>
            <w:tcW w:w="714" w:type="dxa"/>
            <w:tcBorders>
              <w:top w:val="single" w:sz="12" w:space="0" w:color="auto"/>
            </w:tcBorders>
          </w:tcPr>
          <w:p w:rsidR="006403E1" w:rsidRDefault="006403E1" w:rsidP="000806FC">
            <w:pPr>
              <w:pStyle w:val="Tabletext"/>
              <w:keepNext/>
              <w:keepLines/>
            </w:pPr>
            <w:r>
              <w:t>1</w:t>
            </w:r>
          </w:p>
        </w:tc>
        <w:tc>
          <w:tcPr>
            <w:tcW w:w="3109" w:type="dxa"/>
            <w:tcBorders>
              <w:top w:val="single" w:sz="12" w:space="0" w:color="auto"/>
            </w:tcBorders>
          </w:tcPr>
          <w:p w:rsidR="006403E1" w:rsidRDefault="006403E1" w:rsidP="001C7A04">
            <w:pPr>
              <w:pStyle w:val="Tabletext"/>
              <w:keepNext/>
              <w:keepLines/>
            </w:pPr>
            <w:r>
              <w:t>Administered item, Outcome 4</w:t>
            </w:r>
          </w:p>
          <w:p w:rsidR="006403E1" w:rsidRDefault="006403E1" w:rsidP="000806FC">
            <w:pPr>
              <w:pStyle w:val="Tabletext"/>
              <w:keepNext/>
              <w:keepLines/>
            </w:pPr>
          </w:p>
        </w:tc>
        <w:tc>
          <w:tcPr>
            <w:tcW w:w="2697" w:type="dxa"/>
            <w:tcBorders>
              <w:top w:val="single" w:sz="12" w:space="0" w:color="auto"/>
            </w:tcBorders>
          </w:tcPr>
          <w:p w:rsidR="006403E1" w:rsidRDefault="006403E1" w:rsidP="000806FC">
            <w:pPr>
              <w:pStyle w:val="Tabletext"/>
              <w:keepNext/>
              <w:keepLines/>
            </w:pPr>
            <w:r w:rsidRPr="003C3092">
              <w:t>Department of Industry, Innovation, Climate Change, Science, Research and Tertiary Education</w:t>
            </w:r>
          </w:p>
        </w:tc>
        <w:tc>
          <w:tcPr>
            <w:tcW w:w="1559" w:type="dxa"/>
            <w:tcBorders>
              <w:top w:val="single" w:sz="12" w:space="0" w:color="auto"/>
            </w:tcBorders>
          </w:tcPr>
          <w:p w:rsidR="006403E1" w:rsidRDefault="006403E1" w:rsidP="000806FC">
            <w:pPr>
              <w:pStyle w:val="Tabletext"/>
              <w:keepNext/>
              <w:keepLines/>
              <w:jc w:val="right"/>
            </w:pPr>
            <w:r w:rsidRPr="00AF371C">
              <w:t>+</w:t>
            </w:r>
            <w:r>
              <w:t>649,087.63</w:t>
            </w:r>
          </w:p>
        </w:tc>
      </w:tr>
      <w:tr w:rsidR="00FE31AA" w:rsidRPr="006F4315" w:rsidTr="00CA79B9">
        <w:tc>
          <w:tcPr>
            <w:tcW w:w="714" w:type="dxa"/>
          </w:tcPr>
          <w:p w:rsidR="00FE31AA" w:rsidRPr="00AF371C" w:rsidRDefault="00FE31AA" w:rsidP="00321ACD">
            <w:pPr>
              <w:pStyle w:val="Tabletext"/>
            </w:pPr>
            <w:r>
              <w:t>2</w:t>
            </w:r>
          </w:p>
        </w:tc>
        <w:tc>
          <w:tcPr>
            <w:tcW w:w="3109" w:type="dxa"/>
          </w:tcPr>
          <w:p w:rsidR="00FE31AA" w:rsidRDefault="00FE31AA" w:rsidP="00321ACD">
            <w:pPr>
              <w:pStyle w:val="Tabletext"/>
            </w:pPr>
            <w:r>
              <w:t>Administered item, Outcome 1</w:t>
            </w:r>
          </w:p>
          <w:p w:rsidR="00FE31AA" w:rsidRPr="00AF371C" w:rsidRDefault="00FE31AA" w:rsidP="00321ACD">
            <w:pPr>
              <w:pStyle w:val="Tabletext"/>
            </w:pPr>
            <w:r>
              <w:t xml:space="preserve"> </w:t>
            </w:r>
          </w:p>
        </w:tc>
        <w:tc>
          <w:tcPr>
            <w:tcW w:w="2697" w:type="dxa"/>
          </w:tcPr>
          <w:p w:rsidR="00FE31AA" w:rsidRPr="00AF371C" w:rsidRDefault="00FE31AA" w:rsidP="00321ACD">
            <w:pPr>
              <w:pStyle w:val="Tabletext"/>
            </w:pPr>
            <w:r>
              <w:t>Department of Climate Change and Energy Efficiency</w:t>
            </w:r>
          </w:p>
        </w:tc>
        <w:tc>
          <w:tcPr>
            <w:tcW w:w="1559" w:type="dxa"/>
          </w:tcPr>
          <w:p w:rsidR="00FE31AA" w:rsidRDefault="00FE31AA" w:rsidP="00321ACD">
            <w:pPr>
              <w:pStyle w:val="Tabletext"/>
              <w:jc w:val="right"/>
            </w:pPr>
            <w:r w:rsidRPr="00AF371C">
              <w:t>-</w:t>
            </w:r>
            <w:r>
              <w:t>649,087.63</w:t>
            </w:r>
          </w:p>
        </w:tc>
      </w:tr>
      <w:tr w:rsidR="00FE31AA" w:rsidRPr="006F4315" w:rsidTr="00CA79B9">
        <w:tc>
          <w:tcPr>
            <w:tcW w:w="714" w:type="dxa"/>
          </w:tcPr>
          <w:p w:rsidR="00FE31AA" w:rsidRPr="00AF371C" w:rsidRDefault="00FE31AA" w:rsidP="00824D82">
            <w:pPr>
              <w:pStyle w:val="Tabletext"/>
            </w:pPr>
            <w:r>
              <w:t>3</w:t>
            </w:r>
          </w:p>
        </w:tc>
        <w:tc>
          <w:tcPr>
            <w:tcW w:w="3109" w:type="dxa"/>
          </w:tcPr>
          <w:p w:rsidR="00FE31AA" w:rsidRDefault="00FE31AA" w:rsidP="00FA2E93">
            <w:pPr>
              <w:pStyle w:val="Tabletext"/>
            </w:pPr>
            <w:r w:rsidRPr="00AF371C">
              <w:t>Departmental item</w:t>
            </w:r>
          </w:p>
        </w:tc>
        <w:tc>
          <w:tcPr>
            <w:tcW w:w="2697" w:type="dxa"/>
          </w:tcPr>
          <w:p w:rsidR="00FE31AA" w:rsidRPr="004E5756" w:rsidRDefault="00FE31AA" w:rsidP="00824D82">
            <w:pPr>
              <w:pStyle w:val="Tabletext"/>
            </w:pPr>
            <w:r w:rsidRPr="003C3092">
              <w:t>Department of Industry, Innovation, Climate Change, Science, Research and Tertiary Education</w:t>
            </w:r>
          </w:p>
        </w:tc>
        <w:tc>
          <w:tcPr>
            <w:tcW w:w="1559" w:type="dxa"/>
          </w:tcPr>
          <w:p w:rsidR="00FE31AA" w:rsidRDefault="00FE31AA" w:rsidP="00FA2E93">
            <w:pPr>
              <w:pStyle w:val="Tabletext"/>
              <w:jc w:val="right"/>
            </w:pPr>
            <w:r>
              <w:t>+44,845,739.27</w:t>
            </w:r>
          </w:p>
        </w:tc>
      </w:tr>
      <w:tr w:rsidR="00FE31AA" w:rsidRPr="006F4315" w:rsidTr="00CA79B9">
        <w:tc>
          <w:tcPr>
            <w:tcW w:w="714" w:type="dxa"/>
          </w:tcPr>
          <w:p w:rsidR="00FE31AA" w:rsidRDefault="00FE31AA" w:rsidP="00824D82">
            <w:pPr>
              <w:pStyle w:val="Tabletext"/>
            </w:pPr>
            <w:r>
              <w:t xml:space="preserve">4 </w:t>
            </w:r>
          </w:p>
        </w:tc>
        <w:tc>
          <w:tcPr>
            <w:tcW w:w="3109" w:type="dxa"/>
          </w:tcPr>
          <w:p w:rsidR="00FE31AA" w:rsidRDefault="00FE31AA" w:rsidP="00824D82">
            <w:pPr>
              <w:pStyle w:val="Tabletext"/>
            </w:pPr>
            <w:r w:rsidRPr="00AF371C">
              <w:t>Departmental item</w:t>
            </w:r>
          </w:p>
        </w:tc>
        <w:tc>
          <w:tcPr>
            <w:tcW w:w="2697" w:type="dxa"/>
          </w:tcPr>
          <w:p w:rsidR="00FE31AA" w:rsidRDefault="00FE31AA" w:rsidP="00824D82">
            <w:pPr>
              <w:pStyle w:val="Tabletext"/>
            </w:pPr>
            <w:r w:rsidRPr="004E5756">
              <w:t>Department of</w:t>
            </w:r>
            <w:r>
              <w:t xml:space="preserve"> Resources, Energy and Tourism</w:t>
            </w:r>
          </w:p>
        </w:tc>
        <w:tc>
          <w:tcPr>
            <w:tcW w:w="1559" w:type="dxa"/>
          </w:tcPr>
          <w:p w:rsidR="00FE31AA" w:rsidRDefault="00FE31AA" w:rsidP="00CA79B9">
            <w:pPr>
              <w:pStyle w:val="Tabletext"/>
              <w:jc w:val="right"/>
            </w:pPr>
            <w:r>
              <w:t>+13,984,922.18</w:t>
            </w:r>
          </w:p>
        </w:tc>
      </w:tr>
      <w:tr w:rsidR="00FE31AA" w:rsidRPr="006F4315" w:rsidTr="00824D82">
        <w:tc>
          <w:tcPr>
            <w:tcW w:w="714" w:type="dxa"/>
            <w:tcBorders>
              <w:bottom w:val="single" w:sz="12" w:space="0" w:color="auto"/>
            </w:tcBorders>
          </w:tcPr>
          <w:p w:rsidR="00FE31AA" w:rsidRDefault="00FE31AA" w:rsidP="00824D82">
            <w:pPr>
              <w:pStyle w:val="Tabletext"/>
            </w:pPr>
            <w:r>
              <w:t xml:space="preserve">5 </w:t>
            </w:r>
          </w:p>
        </w:tc>
        <w:tc>
          <w:tcPr>
            <w:tcW w:w="3109" w:type="dxa"/>
            <w:tcBorders>
              <w:bottom w:val="single" w:sz="12" w:space="0" w:color="auto"/>
            </w:tcBorders>
          </w:tcPr>
          <w:p w:rsidR="00FE31AA" w:rsidRDefault="00FE31AA" w:rsidP="00824D82">
            <w:pPr>
              <w:pStyle w:val="Tabletext"/>
            </w:pPr>
            <w:r w:rsidRPr="00AF371C">
              <w:t>Departmental item</w:t>
            </w:r>
          </w:p>
        </w:tc>
        <w:tc>
          <w:tcPr>
            <w:tcW w:w="2697" w:type="dxa"/>
            <w:tcBorders>
              <w:bottom w:val="single" w:sz="12" w:space="0" w:color="auto"/>
            </w:tcBorders>
          </w:tcPr>
          <w:p w:rsidR="00FE31AA" w:rsidRDefault="00FE31AA" w:rsidP="00824D82">
            <w:pPr>
              <w:pStyle w:val="Tabletext"/>
            </w:pPr>
            <w:r>
              <w:t>Department of Climate Change and Energy Efficiency</w:t>
            </w:r>
          </w:p>
        </w:tc>
        <w:tc>
          <w:tcPr>
            <w:tcW w:w="1559" w:type="dxa"/>
            <w:tcBorders>
              <w:bottom w:val="single" w:sz="12" w:space="0" w:color="auto"/>
            </w:tcBorders>
          </w:tcPr>
          <w:p w:rsidR="00FE31AA" w:rsidRPr="00AF371C" w:rsidRDefault="00FE31AA" w:rsidP="00FA2E93">
            <w:pPr>
              <w:pStyle w:val="Tabletext"/>
              <w:jc w:val="right"/>
            </w:pPr>
            <w:r>
              <w:t>-58,830,661.45</w:t>
            </w:r>
          </w:p>
        </w:tc>
      </w:tr>
    </w:tbl>
    <w:p w:rsidR="006403E1" w:rsidRDefault="006403E1" w:rsidP="00FA2E93">
      <w:pPr>
        <w:pStyle w:val="notetext"/>
      </w:pPr>
      <w:r w:rsidRPr="00D02B43">
        <w:t xml:space="preserve">Note: </w:t>
      </w:r>
      <w:r w:rsidRPr="00D02B43">
        <w:tab/>
        <w:t xml:space="preserve">Section 32 of the FMA Act enables the Finance Minister to determine that Schedules to Appropriation Acts are amended in relation to a transfer of functions between Agencies. A determination under section 32 of the FMA Act cannot result in a change to the total amount appropriated. </w:t>
      </w:r>
      <w:r w:rsidRPr="002835A6">
        <w:rPr>
          <w:i/>
        </w:rPr>
        <w:t>FMA Act Determination 2013/05 — Section 32 (Transfer of Functions from DCCEE to DIICCSRTE and DRET)</w:t>
      </w:r>
      <w:r w:rsidRPr="00D02B43">
        <w:t xml:space="preserve"> affects this Act</w:t>
      </w:r>
      <w:r>
        <w:t xml:space="preserve"> </w:t>
      </w:r>
      <w:r w:rsidRPr="00D02B43">
        <w:t>in a specified way to result in no change to the total amount appropriated.</w:t>
      </w:r>
    </w:p>
    <w:p w:rsidR="006403E1" w:rsidRDefault="006403E1" w:rsidP="00FF0C69">
      <w:pPr>
        <w:pStyle w:val="notetext"/>
      </w:pPr>
      <w:r>
        <w:tab/>
        <w:t xml:space="preserve">As a result of amendments to the </w:t>
      </w:r>
      <w:r>
        <w:rPr>
          <w:i/>
        </w:rPr>
        <w:t>Administrative Arrangements Order</w:t>
      </w:r>
      <w:r>
        <w:t xml:space="preserve">, made on 14 December 2011, the former Department of Innovation, Industry, Science and Research (DIISR) was renamed to </w:t>
      </w:r>
      <w:r w:rsidR="008C6112">
        <w:t xml:space="preserve">the </w:t>
      </w:r>
      <w:r>
        <w:t xml:space="preserve">Department of Industry, Innovation, Science, Research and Tertiary Education (DIISRTE). </w:t>
      </w:r>
    </w:p>
    <w:p w:rsidR="006403E1" w:rsidRDefault="006403E1" w:rsidP="00FF0C69">
      <w:pPr>
        <w:pStyle w:val="notetext"/>
        <w:ind w:firstLine="0"/>
      </w:pPr>
      <w:r>
        <w:t xml:space="preserve">Subsequently, amendments to the </w:t>
      </w:r>
      <w:r>
        <w:rPr>
          <w:i/>
        </w:rPr>
        <w:t>Administrative Arrangements Order</w:t>
      </w:r>
      <w:r>
        <w:t xml:space="preserve">, made on 25 March 2013, renamed DIISRTE the </w:t>
      </w:r>
      <w:r w:rsidRPr="007374FD">
        <w:rPr>
          <w:szCs w:val="18"/>
        </w:rPr>
        <w:t>Department of Industry, Innovation, Climate Change, Science, Research and Tertiary Education</w:t>
      </w:r>
      <w:r>
        <w:t xml:space="preserve"> (DIICCSRTE). </w:t>
      </w:r>
    </w:p>
    <w:p w:rsidR="006403E1" w:rsidRPr="00F3113A" w:rsidRDefault="006403E1" w:rsidP="00FA2E93">
      <w:pPr>
        <w:pStyle w:val="A1S"/>
        <w:spacing w:before="240" w:line="240" w:lineRule="auto"/>
        <w:ind w:left="426" w:hanging="426"/>
        <w:rPr>
          <w:bCs/>
        </w:rPr>
      </w:pPr>
      <w:r>
        <w:rPr>
          <w:bCs/>
        </w:rPr>
        <w:t>2</w:t>
      </w:r>
      <w:r>
        <w:rPr>
          <w:bCs/>
        </w:rPr>
        <w:tab/>
        <w:t xml:space="preserve">Schedule 1, </w:t>
      </w:r>
      <w:r w:rsidRPr="00335BCD">
        <w:rPr>
          <w:bCs/>
        </w:rPr>
        <w:t>Climate Change and Energy Efficiency portfolio, after the Department of Climate Change and Energy Efficiency table</w:t>
      </w:r>
      <w:r>
        <w:rPr>
          <w:bCs/>
        </w:rPr>
        <w:t>, after Note 3</w:t>
      </w:r>
    </w:p>
    <w:p w:rsidR="006403E1" w:rsidRPr="00AF371C" w:rsidRDefault="006403E1" w:rsidP="00FA2E93">
      <w:pPr>
        <w:pStyle w:val="Item"/>
      </w:pPr>
      <w:r w:rsidRPr="0060183A">
        <w:t>Insert</w:t>
      </w:r>
      <w:r>
        <w:t>:</w:t>
      </w:r>
    </w:p>
    <w:p w:rsidR="006403E1" w:rsidRPr="00D81032" w:rsidRDefault="006403E1" w:rsidP="00FA2E93">
      <w:pPr>
        <w:pStyle w:val="notetext"/>
        <w:rPr>
          <w:szCs w:val="18"/>
        </w:rPr>
      </w:pPr>
      <w:r w:rsidRPr="00D81032">
        <w:rPr>
          <w:szCs w:val="18"/>
        </w:rPr>
        <w:t>Note 4:</w:t>
      </w:r>
      <w:r w:rsidRPr="00D81032">
        <w:rPr>
          <w:szCs w:val="18"/>
        </w:rPr>
        <w:tab/>
      </w:r>
      <w:r w:rsidRPr="00D81032">
        <w:rPr>
          <w:i/>
          <w:szCs w:val="18"/>
        </w:rPr>
        <w:t>FMA Act Determination 2013/05 — Section 32 (Transfer of Functions from DCCEE to DIICCSRTE and DRET)</w:t>
      </w:r>
      <w:r w:rsidRPr="00D81032">
        <w:rPr>
          <w:szCs w:val="18"/>
        </w:rPr>
        <w:t xml:space="preserve"> reduced the administered item for Outcome 1 and the departmental item</w:t>
      </w:r>
      <w:r w:rsidRPr="00D81032" w:rsidDel="007F010D">
        <w:rPr>
          <w:szCs w:val="18"/>
        </w:rPr>
        <w:t xml:space="preserve"> </w:t>
      </w:r>
      <w:r w:rsidRPr="00D81032">
        <w:rPr>
          <w:szCs w:val="18"/>
        </w:rPr>
        <w:t>for the Department of Climate Change and Energy Efficiency (DCCEE) in accordance with Table</w:t>
      </w:r>
      <w:r w:rsidR="00BF2A01">
        <w:rPr>
          <w:szCs w:val="18"/>
        </w:rPr>
        <w:t> </w:t>
      </w:r>
      <w:r w:rsidRPr="00D81032">
        <w:rPr>
          <w:szCs w:val="18"/>
        </w:rPr>
        <w:t xml:space="preserve">1 at the end of Schedule 1 to this Act. </w:t>
      </w:r>
    </w:p>
    <w:p w:rsidR="006403E1" w:rsidRPr="00D81032" w:rsidRDefault="006403E1" w:rsidP="00CA79B9">
      <w:pPr>
        <w:pStyle w:val="notetext"/>
        <w:ind w:firstLine="0"/>
        <w:rPr>
          <w:szCs w:val="18"/>
        </w:rPr>
      </w:pPr>
      <w:r w:rsidRPr="00D81032">
        <w:rPr>
          <w:szCs w:val="18"/>
        </w:rPr>
        <w:t xml:space="preserve">These changes were made to implement the amendments to the </w:t>
      </w:r>
      <w:r w:rsidRPr="00D81032">
        <w:rPr>
          <w:i/>
          <w:szCs w:val="18"/>
        </w:rPr>
        <w:t>Administrative Arrangements Order</w:t>
      </w:r>
      <w:r w:rsidRPr="00D81032">
        <w:rPr>
          <w:szCs w:val="18"/>
        </w:rPr>
        <w:t xml:space="preserve"> made on 25 March 2013. Functions of the former DCCEE were transferred:</w:t>
      </w:r>
    </w:p>
    <w:p w:rsidR="006403E1" w:rsidRPr="00D81032" w:rsidRDefault="006403E1" w:rsidP="00CA79B9">
      <w:pPr>
        <w:pStyle w:val="Notepara0"/>
        <w:numPr>
          <w:ilvl w:val="0"/>
          <w:numId w:val="23"/>
        </w:numPr>
        <w:tabs>
          <w:tab w:val="left" w:pos="1276"/>
        </w:tabs>
        <w:spacing w:before="120" w:after="100" w:afterAutospacing="1" w:line="240" w:lineRule="auto"/>
        <w:ind w:left="2835" w:hanging="567"/>
        <w:jc w:val="left"/>
        <w:rPr>
          <w:sz w:val="18"/>
          <w:szCs w:val="18"/>
        </w:rPr>
      </w:pPr>
      <w:r w:rsidRPr="00D81032">
        <w:rPr>
          <w:sz w:val="18"/>
          <w:szCs w:val="18"/>
        </w:rPr>
        <w:t xml:space="preserve">in relation to climate change, to </w:t>
      </w:r>
      <w:r w:rsidR="00820368">
        <w:rPr>
          <w:sz w:val="18"/>
          <w:szCs w:val="18"/>
        </w:rPr>
        <w:t xml:space="preserve">the </w:t>
      </w:r>
      <w:r w:rsidRPr="00D81032">
        <w:rPr>
          <w:sz w:val="18"/>
          <w:szCs w:val="18"/>
        </w:rPr>
        <w:t>Department of Industry, Innovation, Climate Change, Science, Research and Tertiary Education; and</w:t>
      </w:r>
    </w:p>
    <w:p w:rsidR="006403E1" w:rsidRPr="00D81032" w:rsidRDefault="006403E1" w:rsidP="00CA79B9">
      <w:pPr>
        <w:pStyle w:val="Notepara0"/>
        <w:numPr>
          <w:ilvl w:val="0"/>
          <w:numId w:val="23"/>
        </w:numPr>
        <w:tabs>
          <w:tab w:val="left" w:pos="709"/>
        </w:tabs>
        <w:spacing w:before="120" w:after="100" w:afterAutospacing="1" w:line="240" w:lineRule="auto"/>
        <w:ind w:left="2835" w:hanging="567"/>
        <w:jc w:val="left"/>
        <w:rPr>
          <w:sz w:val="18"/>
          <w:szCs w:val="18"/>
        </w:rPr>
      </w:pPr>
      <w:proofErr w:type="gramStart"/>
      <w:r w:rsidRPr="00D81032">
        <w:rPr>
          <w:sz w:val="18"/>
          <w:szCs w:val="18"/>
        </w:rPr>
        <w:t>in</w:t>
      </w:r>
      <w:proofErr w:type="gramEnd"/>
      <w:r w:rsidRPr="00D81032">
        <w:rPr>
          <w:sz w:val="18"/>
          <w:szCs w:val="18"/>
        </w:rPr>
        <w:t xml:space="preserve"> relation to energy efficiency, to</w:t>
      </w:r>
      <w:r w:rsidR="00820368">
        <w:rPr>
          <w:sz w:val="18"/>
          <w:szCs w:val="18"/>
        </w:rPr>
        <w:t xml:space="preserve"> the</w:t>
      </w:r>
      <w:r w:rsidRPr="00D81032">
        <w:rPr>
          <w:sz w:val="18"/>
          <w:szCs w:val="18"/>
        </w:rPr>
        <w:t xml:space="preserve"> Department of Resources, Energy and Tourism.</w:t>
      </w:r>
    </w:p>
    <w:p w:rsidR="006403E1" w:rsidRPr="00783D6F" w:rsidRDefault="006403E1" w:rsidP="00783D6F">
      <w:pPr>
        <w:pStyle w:val="A1S"/>
        <w:spacing w:before="240" w:line="240" w:lineRule="auto"/>
        <w:ind w:left="426" w:hanging="426"/>
        <w:rPr>
          <w:bCs/>
        </w:rPr>
      </w:pPr>
      <w:r>
        <w:rPr>
          <w:bCs/>
        </w:rPr>
        <w:t>3</w:t>
      </w:r>
      <w:r>
        <w:rPr>
          <w:bCs/>
        </w:rPr>
        <w:tab/>
      </w:r>
      <w:r w:rsidRPr="00783D6F">
        <w:rPr>
          <w:bCs/>
        </w:rPr>
        <w:t xml:space="preserve">Schedule 1, </w:t>
      </w:r>
      <w:r>
        <w:rPr>
          <w:bCs/>
        </w:rPr>
        <w:t xml:space="preserve">Innovation, Industry, Science and Research </w:t>
      </w:r>
      <w:r w:rsidRPr="00E7285F">
        <w:rPr>
          <w:bCs/>
        </w:rPr>
        <w:t>portfolio</w:t>
      </w:r>
      <w:r w:rsidRPr="00783D6F">
        <w:rPr>
          <w:bCs/>
        </w:rPr>
        <w:t xml:space="preserve">, </w:t>
      </w:r>
      <w:r>
        <w:rPr>
          <w:bCs/>
        </w:rPr>
        <w:t xml:space="preserve">Department of Innovation, Industry, Science and Research </w:t>
      </w:r>
      <w:r w:rsidRPr="00E7285F">
        <w:rPr>
          <w:bCs/>
        </w:rPr>
        <w:t>tabl</w:t>
      </w:r>
      <w:r>
        <w:rPr>
          <w:bCs/>
        </w:rPr>
        <w:t>e</w:t>
      </w:r>
      <w:r w:rsidRPr="00783D6F">
        <w:rPr>
          <w:bCs/>
        </w:rPr>
        <w:t xml:space="preserve">, between </w:t>
      </w:r>
      <w:r>
        <w:rPr>
          <w:bCs/>
        </w:rPr>
        <w:t xml:space="preserve">the row for </w:t>
      </w:r>
      <w:r w:rsidRPr="00783D6F">
        <w:rPr>
          <w:bCs/>
        </w:rPr>
        <w:t xml:space="preserve">“Outcome </w:t>
      </w:r>
      <w:r>
        <w:rPr>
          <w:bCs/>
        </w:rPr>
        <w:t xml:space="preserve">3 - </w:t>
      </w:r>
      <w:r w:rsidRPr="00783D6F">
        <w:rPr>
          <w:bCs/>
        </w:rPr>
        <w:t>A growth in skills, qualifications and productivity through funding to improve teaching quality, learning, and tertiary sector infrastructure, international promotion of Australia's education and training sectors, and partnerships with industry” and</w:t>
      </w:r>
      <w:r>
        <w:rPr>
          <w:bCs/>
        </w:rPr>
        <w:t xml:space="preserve"> the row for </w:t>
      </w:r>
      <w:r w:rsidRPr="00783D6F">
        <w:rPr>
          <w:bCs/>
        </w:rPr>
        <w:t xml:space="preserve">“Total: </w:t>
      </w:r>
      <w:r>
        <w:rPr>
          <w:bCs/>
        </w:rPr>
        <w:t>Department of Innovation, Industry, Science and Research</w:t>
      </w:r>
      <w:r w:rsidRPr="00783D6F">
        <w:rPr>
          <w:bCs/>
        </w:rPr>
        <w:t>”</w:t>
      </w:r>
    </w:p>
    <w:p w:rsidR="006403E1" w:rsidRDefault="006403E1" w:rsidP="00783D6F">
      <w:pPr>
        <w:autoSpaceDE w:val="0"/>
        <w:autoSpaceDN w:val="0"/>
        <w:adjustRightInd w:val="0"/>
        <w:spacing w:line="240" w:lineRule="auto"/>
        <w:rPr>
          <w:rFonts w:ascii="Arial" w:hAnsi="Arial" w:cs="Arial"/>
          <w:sz w:val="16"/>
          <w:szCs w:val="16"/>
          <w:lang w:eastAsia="en-AU"/>
        </w:rPr>
      </w:pPr>
    </w:p>
    <w:p w:rsidR="006403E1" w:rsidRDefault="006403E1" w:rsidP="00275FAA">
      <w:pPr>
        <w:pStyle w:val="Item"/>
      </w:pPr>
      <w:r>
        <w:t>Insert a new row as follows:</w:t>
      </w:r>
    </w:p>
    <w:tbl>
      <w:tblPr>
        <w:tblW w:w="7031" w:type="dxa"/>
        <w:tblInd w:w="1023" w:type="dxa"/>
        <w:tblLayout w:type="fixed"/>
        <w:tblCellMar>
          <w:left w:w="30" w:type="dxa"/>
          <w:right w:w="30" w:type="dxa"/>
        </w:tblCellMar>
        <w:tblLook w:val="0000"/>
      </w:tblPr>
      <w:tblGrid>
        <w:gridCol w:w="3612"/>
        <w:gridCol w:w="1168"/>
        <w:gridCol w:w="1083"/>
        <w:gridCol w:w="1168"/>
      </w:tblGrid>
      <w:tr w:rsidR="006403E1" w:rsidTr="002327E7">
        <w:tc>
          <w:tcPr>
            <w:tcW w:w="3612" w:type="dxa"/>
            <w:vMerge w:val="restart"/>
          </w:tcPr>
          <w:p w:rsidR="00D81032" w:rsidRDefault="00D81032" w:rsidP="002327E7">
            <w:pPr>
              <w:pStyle w:val="FinTableLeftBold"/>
              <w:keepNext/>
            </w:pPr>
          </w:p>
          <w:p w:rsidR="006403E1" w:rsidRPr="003965A8" w:rsidRDefault="006403E1" w:rsidP="002327E7">
            <w:pPr>
              <w:pStyle w:val="FinTableLeftBold"/>
              <w:keepNext/>
            </w:pPr>
            <w:r w:rsidRPr="003965A8">
              <w:t>Outcome 4 –</w:t>
            </w:r>
          </w:p>
          <w:p w:rsidR="006403E1" w:rsidRDefault="006403E1" w:rsidP="002327E7">
            <w:pPr>
              <w:pStyle w:val="FinTableLeftIndent"/>
              <w:keepNext/>
            </w:pPr>
            <w:r w:rsidRPr="000806FC">
              <w:t>Reduction of Australia’s greenhouse gas emissions, adaptation to the impacts of climate change, and negotiation of an effective global solution, through the development and implementation of a national response to climate change; and bilateral, regional and multilateral engagement internationally</w:t>
            </w:r>
          </w:p>
        </w:tc>
        <w:tc>
          <w:tcPr>
            <w:tcW w:w="1168" w:type="dxa"/>
          </w:tcPr>
          <w:p w:rsidR="006403E1" w:rsidRDefault="006403E1" w:rsidP="002327E7">
            <w:pPr>
              <w:pStyle w:val="FinTableRight"/>
              <w:keepNext/>
            </w:pPr>
          </w:p>
        </w:tc>
        <w:tc>
          <w:tcPr>
            <w:tcW w:w="1083" w:type="dxa"/>
          </w:tcPr>
          <w:p w:rsidR="006403E1" w:rsidRDefault="006403E1" w:rsidP="002327E7">
            <w:pPr>
              <w:pStyle w:val="FinTableRight"/>
              <w:keepNext/>
            </w:pPr>
          </w:p>
          <w:p w:rsidR="006403E1" w:rsidRDefault="006403E1" w:rsidP="002327E7">
            <w:pPr>
              <w:pStyle w:val="FinTableRight"/>
              <w:keepNext/>
            </w:pPr>
          </w:p>
        </w:tc>
        <w:tc>
          <w:tcPr>
            <w:tcW w:w="1168" w:type="dxa"/>
          </w:tcPr>
          <w:p w:rsidR="006403E1" w:rsidRDefault="006403E1" w:rsidP="002327E7">
            <w:pPr>
              <w:pStyle w:val="FinTableRight"/>
              <w:keepNext/>
            </w:pPr>
          </w:p>
        </w:tc>
      </w:tr>
      <w:tr w:rsidR="006403E1" w:rsidTr="002327E7">
        <w:tc>
          <w:tcPr>
            <w:tcW w:w="3612" w:type="dxa"/>
            <w:vMerge/>
          </w:tcPr>
          <w:p w:rsidR="006403E1" w:rsidRDefault="006403E1" w:rsidP="002327E7">
            <w:pPr>
              <w:pStyle w:val="FinTableRight"/>
              <w:keepNext/>
            </w:pPr>
          </w:p>
        </w:tc>
        <w:tc>
          <w:tcPr>
            <w:tcW w:w="1168" w:type="dxa"/>
          </w:tcPr>
          <w:p w:rsidR="006403E1" w:rsidRPr="00BE6B9F" w:rsidRDefault="00CF08B5" w:rsidP="002327E7">
            <w:pPr>
              <w:pStyle w:val="FinTableRightBold"/>
              <w:keepNext/>
              <w:keepLines/>
              <w:ind w:left="1134" w:hanging="1134"/>
              <w:outlineLvl w:val="0"/>
              <w:rPr>
                <w:b w:val="0"/>
              </w:rPr>
            </w:pPr>
            <w:r w:rsidRPr="00CF08B5">
              <w:rPr>
                <w:b w:val="0"/>
              </w:rPr>
              <w:t>0</w:t>
            </w:r>
          </w:p>
        </w:tc>
        <w:tc>
          <w:tcPr>
            <w:tcW w:w="1083" w:type="dxa"/>
          </w:tcPr>
          <w:p w:rsidR="006403E1" w:rsidRPr="00BE6B9F" w:rsidRDefault="00CF08B5" w:rsidP="002327E7">
            <w:pPr>
              <w:pStyle w:val="FinTableRightBold"/>
              <w:keepNext/>
              <w:keepLines/>
              <w:ind w:left="1134" w:hanging="1134"/>
              <w:outlineLvl w:val="0"/>
              <w:rPr>
                <w:b w:val="0"/>
              </w:rPr>
            </w:pPr>
            <w:r w:rsidRPr="00CF08B5">
              <w:rPr>
                <w:b w:val="0"/>
              </w:rPr>
              <w:t>0</w:t>
            </w:r>
          </w:p>
        </w:tc>
        <w:tc>
          <w:tcPr>
            <w:tcW w:w="1168" w:type="dxa"/>
          </w:tcPr>
          <w:p w:rsidR="006403E1" w:rsidRPr="00BE6B9F" w:rsidRDefault="00CF08B5" w:rsidP="002327E7">
            <w:pPr>
              <w:pStyle w:val="FinTableRightBold"/>
              <w:keepNext/>
              <w:keepLines/>
              <w:ind w:left="1134" w:hanging="1134"/>
              <w:outlineLvl w:val="0"/>
              <w:rPr>
                <w:b w:val="0"/>
              </w:rPr>
            </w:pPr>
            <w:r w:rsidRPr="00CF08B5">
              <w:rPr>
                <w:b w:val="0"/>
              </w:rPr>
              <w:t>0</w:t>
            </w:r>
          </w:p>
        </w:tc>
      </w:tr>
      <w:tr w:rsidR="006403E1" w:rsidTr="002327E7">
        <w:tc>
          <w:tcPr>
            <w:tcW w:w="3612" w:type="dxa"/>
            <w:vMerge/>
          </w:tcPr>
          <w:p w:rsidR="006403E1" w:rsidRDefault="006403E1" w:rsidP="002327E7">
            <w:pPr>
              <w:pStyle w:val="FinTableLeftIndent"/>
              <w:keepNext/>
            </w:pPr>
          </w:p>
        </w:tc>
        <w:tc>
          <w:tcPr>
            <w:tcW w:w="1168" w:type="dxa"/>
          </w:tcPr>
          <w:p w:rsidR="006403E1" w:rsidRDefault="00E90905" w:rsidP="002327E7">
            <w:pPr>
              <w:pStyle w:val="FinTableRightItalic"/>
              <w:keepNext/>
            </w:pPr>
            <w:r>
              <w:t>0</w:t>
            </w:r>
          </w:p>
        </w:tc>
        <w:tc>
          <w:tcPr>
            <w:tcW w:w="1083" w:type="dxa"/>
          </w:tcPr>
          <w:p w:rsidR="006403E1" w:rsidRDefault="00E90905" w:rsidP="002327E7">
            <w:pPr>
              <w:pStyle w:val="FinTableRightItalic"/>
              <w:keepNext/>
            </w:pPr>
            <w:r>
              <w:t>0</w:t>
            </w:r>
          </w:p>
        </w:tc>
        <w:tc>
          <w:tcPr>
            <w:tcW w:w="1168" w:type="dxa"/>
          </w:tcPr>
          <w:p w:rsidR="006403E1" w:rsidRDefault="00E90905" w:rsidP="002327E7">
            <w:pPr>
              <w:pStyle w:val="FinTableRightItalic"/>
              <w:keepNext/>
            </w:pPr>
            <w:r>
              <w:t>0</w:t>
            </w:r>
          </w:p>
        </w:tc>
      </w:tr>
      <w:tr w:rsidR="006403E1" w:rsidTr="002327E7">
        <w:tc>
          <w:tcPr>
            <w:tcW w:w="3612" w:type="dxa"/>
            <w:vMerge/>
          </w:tcPr>
          <w:p w:rsidR="006403E1" w:rsidRDefault="006403E1" w:rsidP="002327E7">
            <w:pPr>
              <w:pStyle w:val="FinTableRightPlain"/>
              <w:keepNext/>
            </w:pPr>
          </w:p>
        </w:tc>
        <w:tc>
          <w:tcPr>
            <w:tcW w:w="1168" w:type="dxa"/>
          </w:tcPr>
          <w:p w:rsidR="006403E1" w:rsidRDefault="006403E1" w:rsidP="002327E7">
            <w:pPr>
              <w:pStyle w:val="FinTableRightPlain"/>
              <w:keepNext/>
            </w:pPr>
          </w:p>
        </w:tc>
        <w:tc>
          <w:tcPr>
            <w:tcW w:w="1083" w:type="dxa"/>
          </w:tcPr>
          <w:p w:rsidR="006403E1" w:rsidRDefault="006403E1" w:rsidP="002327E7">
            <w:pPr>
              <w:pStyle w:val="FinTableRightPlain"/>
              <w:keepNext/>
            </w:pPr>
          </w:p>
          <w:p w:rsidR="006403E1" w:rsidRDefault="006403E1" w:rsidP="002327E7">
            <w:pPr>
              <w:pStyle w:val="FinTableRightPlain"/>
              <w:keepNext/>
            </w:pPr>
          </w:p>
          <w:p w:rsidR="006403E1" w:rsidRDefault="006403E1" w:rsidP="002327E7">
            <w:pPr>
              <w:pStyle w:val="FinTableRightPlain"/>
              <w:keepNext/>
            </w:pPr>
          </w:p>
          <w:p w:rsidR="006403E1" w:rsidRDefault="006403E1" w:rsidP="002327E7">
            <w:pPr>
              <w:pStyle w:val="FinTableRightPlain"/>
              <w:keepNext/>
            </w:pPr>
          </w:p>
          <w:p w:rsidR="006403E1" w:rsidRPr="002327E7" w:rsidRDefault="006403E1" w:rsidP="002327E7">
            <w:pPr>
              <w:pStyle w:val="FinTableRightBold"/>
              <w:keepNext/>
              <w:rPr>
                <w:b w:val="0"/>
              </w:rPr>
            </w:pPr>
          </w:p>
        </w:tc>
        <w:tc>
          <w:tcPr>
            <w:tcW w:w="1168" w:type="dxa"/>
          </w:tcPr>
          <w:p w:rsidR="006403E1" w:rsidRDefault="006403E1" w:rsidP="002327E7">
            <w:pPr>
              <w:pStyle w:val="FinTableRightPlain"/>
              <w:keepNext/>
            </w:pPr>
          </w:p>
        </w:tc>
      </w:tr>
    </w:tbl>
    <w:p w:rsidR="006403E1" w:rsidRPr="00F3113A" w:rsidRDefault="006403E1" w:rsidP="00FA2E93">
      <w:pPr>
        <w:pStyle w:val="A1S"/>
        <w:spacing w:before="240" w:line="240" w:lineRule="auto"/>
        <w:ind w:left="426" w:hanging="426"/>
        <w:rPr>
          <w:bCs/>
        </w:rPr>
      </w:pPr>
      <w:r>
        <w:rPr>
          <w:bCs/>
        </w:rPr>
        <w:t>4</w:t>
      </w:r>
      <w:r>
        <w:rPr>
          <w:bCs/>
        </w:rPr>
        <w:tab/>
        <w:t xml:space="preserve">Schedule 1, Innovation, Industry, Science and Research </w:t>
      </w:r>
      <w:r w:rsidRPr="00E7285F">
        <w:rPr>
          <w:bCs/>
        </w:rPr>
        <w:t xml:space="preserve">portfolio, </w:t>
      </w:r>
      <w:r w:rsidR="00E62369">
        <w:rPr>
          <w:bCs/>
        </w:rPr>
        <w:t xml:space="preserve">after the </w:t>
      </w:r>
      <w:r>
        <w:rPr>
          <w:bCs/>
        </w:rPr>
        <w:t xml:space="preserve">Department of Innovation, Industry, Science and Research </w:t>
      </w:r>
      <w:r w:rsidRPr="00E7285F">
        <w:rPr>
          <w:bCs/>
        </w:rPr>
        <w:t>tabl</w:t>
      </w:r>
      <w:r>
        <w:rPr>
          <w:bCs/>
        </w:rPr>
        <w:t>e, after note 6</w:t>
      </w:r>
    </w:p>
    <w:p w:rsidR="006403E1" w:rsidRPr="00AF371C" w:rsidRDefault="006403E1" w:rsidP="00FA2E93">
      <w:pPr>
        <w:pStyle w:val="Item"/>
      </w:pPr>
      <w:r w:rsidRPr="00AF371C">
        <w:t>Insert</w:t>
      </w:r>
      <w:r>
        <w:t>:</w:t>
      </w:r>
    </w:p>
    <w:p w:rsidR="006403E1" w:rsidRDefault="006403E1" w:rsidP="00FA2E93">
      <w:pPr>
        <w:pStyle w:val="notetext"/>
        <w:rPr>
          <w:szCs w:val="18"/>
        </w:rPr>
      </w:pPr>
      <w:r w:rsidRPr="00AF371C">
        <w:t>Note </w:t>
      </w:r>
      <w:r>
        <w:t>7</w:t>
      </w:r>
      <w:r w:rsidRPr="00AF371C">
        <w:t>:</w:t>
      </w:r>
      <w:r>
        <w:tab/>
      </w:r>
      <w:r>
        <w:rPr>
          <w:i/>
          <w:szCs w:val="18"/>
        </w:rPr>
        <w:t>FMA Act Determination 2013/05</w:t>
      </w:r>
      <w:r w:rsidRPr="00A50789">
        <w:rPr>
          <w:i/>
          <w:szCs w:val="18"/>
        </w:rPr>
        <w:t xml:space="preserve"> — Section 32 (Transfer of Functions from </w:t>
      </w:r>
      <w:r>
        <w:rPr>
          <w:i/>
          <w:szCs w:val="18"/>
        </w:rPr>
        <w:t xml:space="preserve">DCCEE to </w:t>
      </w:r>
      <w:r w:rsidRPr="00335BCD">
        <w:rPr>
          <w:i/>
          <w:szCs w:val="18"/>
        </w:rPr>
        <w:t>DIICCSRTE and DRET</w:t>
      </w:r>
      <w:r w:rsidRPr="00A50789">
        <w:rPr>
          <w:i/>
          <w:szCs w:val="18"/>
        </w:rPr>
        <w:t>)</w:t>
      </w:r>
      <w:r w:rsidRPr="00A50789">
        <w:rPr>
          <w:szCs w:val="18"/>
        </w:rPr>
        <w:t xml:space="preserve"> </w:t>
      </w:r>
      <w:r>
        <w:rPr>
          <w:szCs w:val="18"/>
        </w:rPr>
        <w:t>increased</w:t>
      </w:r>
      <w:r w:rsidRPr="00A50789">
        <w:rPr>
          <w:szCs w:val="18"/>
        </w:rPr>
        <w:t xml:space="preserve"> the </w:t>
      </w:r>
      <w:r>
        <w:rPr>
          <w:szCs w:val="18"/>
        </w:rPr>
        <w:t xml:space="preserve">administered </w:t>
      </w:r>
      <w:r w:rsidRPr="00A50789">
        <w:rPr>
          <w:szCs w:val="18"/>
        </w:rPr>
        <w:t>item</w:t>
      </w:r>
      <w:r>
        <w:rPr>
          <w:szCs w:val="18"/>
        </w:rPr>
        <w:t xml:space="preserve"> for Outcome 4 and the </w:t>
      </w:r>
      <w:r w:rsidRPr="00E54AA8">
        <w:rPr>
          <w:szCs w:val="18"/>
        </w:rPr>
        <w:t>departmental item</w:t>
      </w:r>
      <w:r w:rsidRPr="00A50789" w:rsidDel="007F010D">
        <w:rPr>
          <w:szCs w:val="18"/>
        </w:rPr>
        <w:t xml:space="preserve"> </w:t>
      </w:r>
      <w:r>
        <w:rPr>
          <w:szCs w:val="18"/>
        </w:rPr>
        <w:t xml:space="preserve">for the </w:t>
      </w:r>
      <w:r w:rsidRPr="00AE0CAA">
        <w:rPr>
          <w:szCs w:val="18"/>
        </w:rPr>
        <w:t>Department of Industry, Innovation, Climate Change, Science, Research and Tertiary Education (DIICCSRTE)</w:t>
      </w:r>
      <w:r>
        <w:rPr>
          <w:szCs w:val="18"/>
        </w:rPr>
        <w:t xml:space="preserve"> in accordance with Table 1</w:t>
      </w:r>
      <w:r w:rsidRPr="00A50789">
        <w:rPr>
          <w:szCs w:val="18"/>
        </w:rPr>
        <w:t xml:space="preserve"> </w:t>
      </w:r>
      <w:r>
        <w:rPr>
          <w:szCs w:val="18"/>
        </w:rPr>
        <w:t>at the end of</w:t>
      </w:r>
      <w:r w:rsidRPr="00A50789">
        <w:rPr>
          <w:szCs w:val="18"/>
        </w:rPr>
        <w:t xml:space="preserve"> Schedule </w:t>
      </w:r>
      <w:r>
        <w:rPr>
          <w:szCs w:val="18"/>
        </w:rPr>
        <w:t>1</w:t>
      </w:r>
      <w:r w:rsidRPr="00A50789">
        <w:rPr>
          <w:szCs w:val="18"/>
        </w:rPr>
        <w:t xml:space="preserve"> to this Act.</w:t>
      </w:r>
    </w:p>
    <w:p w:rsidR="006403E1" w:rsidRDefault="006403E1" w:rsidP="00E54AA8">
      <w:pPr>
        <w:pStyle w:val="notemargin"/>
        <w:spacing w:line="240" w:lineRule="auto"/>
        <w:ind w:left="1985" w:firstLine="0"/>
        <w:rPr>
          <w:szCs w:val="18"/>
        </w:rPr>
      </w:pPr>
      <w:r w:rsidRPr="007374FD">
        <w:rPr>
          <w:szCs w:val="18"/>
        </w:rPr>
        <w:t xml:space="preserve">These changes were made to implement the amendments to the </w:t>
      </w:r>
      <w:r w:rsidRPr="007374FD">
        <w:rPr>
          <w:i/>
          <w:szCs w:val="18"/>
        </w:rPr>
        <w:t>Administrative Arrangements Order</w:t>
      </w:r>
      <w:r w:rsidRPr="007374FD">
        <w:rPr>
          <w:szCs w:val="18"/>
        </w:rPr>
        <w:t xml:space="preserve"> made on 25 March 2013. Functions of the former Department of Climate Change and Energy Efficiency in relation to climate change were transferred to DIICCSRTE. </w:t>
      </w:r>
    </w:p>
    <w:p w:rsidR="006403E1" w:rsidRDefault="006403E1" w:rsidP="00B65185">
      <w:pPr>
        <w:pStyle w:val="notetext"/>
        <w:ind w:firstLine="0"/>
      </w:pPr>
      <w:r>
        <w:t xml:space="preserve">As a result of amendments to the </w:t>
      </w:r>
      <w:r>
        <w:rPr>
          <w:i/>
        </w:rPr>
        <w:t>Administrative Arrangements Order</w:t>
      </w:r>
      <w:r>
        <w:t xml:space="preserve">, made on 14 December 2011, the former Department of Innovation, Industry, Science and Research (DIISR) was renamed to </w:t>
      </w:r>
      <w:r w:rsidR="00F01F58">
        <w:t xml:space="preserve">the </w:t>
      </w:r>
      <w:r>
        <w:t xml:space="preserve">Department of Industry, Innovation, Science, Research and Tertiary Education (DIISRTE). </w:t>
      </w:r>
    </w:p>
    <w:p w:rsidR="006403E1" w:rsidRPr="007374FD" w:rsidRDefault="006403E1" w:rsidP="00B65185">
      <w:pPr>
        <w:pStyle w:val="notemargin"/>
        <w:spacing w:line="240" w:lineRule="auto"/>
        <w:ind w:left="1985" w:firstLine="0"/>
        <w:rPr>
          <w:szCs w:val="18"/>
        </w:rPr>
      </w:pPr>
      <w:r>
        <w:t xml:space="preserve">Subsequently, amendments to the </w:t>
      </w:r>
      <w:r>
        <w:rPr>
          <w:i/>
        </w:rPr>
        <w:t>Administrative Arrangements Order</w:t>
      </w:r>
      <w:r>
        <w:t xml:space="preserve">, made on 25 March 2013, renamed DIISRTE </w:t>
      </w:r>
      <w:r w:rsidR="007C371F">
        <w:t xml:space="preserve">to </w:t>
      </w:r>
      <w:r>
        <w:t xml:space="preserve">DIICCSRTE. </w:t>
      </w:r>
    </w:p>
    <w:p w:rsidR="006403E1" w:rsidRPr="00F3113A" w:rsidRDefault="006403E1" w:rsidP="00FA2E93">
      <w:pPr>
        <w:pStyle w:val="A1S"/>
        <w:spacing w:before="240" w:line="240" w:lineRule="auto"/>
        <w:ind w:left="426" w:hanging="426"/>
        <w:rPr>
          <w:bCs/>
        </w:rPr>
      </w:pPr>
      <w:r>
        <w:rPr>
          <w:bCs/>
        </w:rPr>
        <w:t>5</w:t>
      </w:r>
      <w:r>
        <w:rPr>
          <w:bCs/>
        </w:rPr>
        <w:tab/>
        <w:t xml:space="preserve">Schedule 1, </w:t>
      </w:r>
      <w:r>
        <w:t>Resources, Energy and Tourism</w:t>
      </w:r>
      <w:r w:rsidRPr="00E7285F">
        <w:rPr>
          <w:bCs/>
        </w:rPr>
        <w:t xml:space="preserve"> portfolio</w:t>
      </w:r>
      <w:r w:rsidRPr="00402FD4">
        <w:t xml:space="preserve">, after the </w:t>
      </w:r>
      <w:r>
        <w:rPr>
          <w:bCs/>
        </w:rPr>
        <w:t xml:space="preserve">Department of </w:t>
      </w:r>
      <w:r>
        <w:t>Resources, Energy and Tourism</w:t>
      </w:r>
      <w:r w:rsidRPr="00E7285F">
        <w:rPr>
          <w:bCs/>
        </w:rPr>
        <w:t xml:space="preserve"> </w:t>
      </w:r>
      <w:r w:rsidRPr="00402FD4">
        <w:t>table</w:t>
      </w:r>
    </w:p>
    <w:p w:rsidR="006403E1" w:rsidRPr="00AF371C" w:rsidRDefault="006403E1" w:rsidP="007B7C05">
      <w:pPr>
        <w:pStyle w:val="Item"/>
      </w:pPr>
      <w:r w:rsidRPr="00AF371C">
        <w:t>Insert</w:t>
      </w:r>
      <w:r>
        <w:t>:</w:t>
      </w:r>
    </w:p>
    <w:p w:rsidR="006403E1" w:rsidRPr="008069F2" w:rsidRDefault="006403E1" w:rsidP="00FA2E93">
      <w:pPr>
        <w:pStyle w:val="notetext"/>
        <w:rPr>
          <w:szCs w:val="18"/>
        </w:rPr>
      </w:pPr>
      <w:r w:rsidRPr="008069F2">
        <w:rPr>
          <w:szCs w:val="18"/>
        </w:rPr>
        <w:t>Note 1:</w:t>
      </w:r>
      <w:r w:rsidRPr="008069F2">
        <w:rPr>
          <w:szCs w:val="18"/>
        </w:rPr>
        <w:tab/>
      </w:r>
      <w:r w:rsidRPr="008069F2">
        <w:rPr>
          <w:i/>
          <w:szCs w:val="18"/>
        </w:rPr>
        <w:t>FMA Act Determination 2013/05 — Section 32 (Transfer of Functions from DCCEE to DIICCSRTE and DRET)</w:t>
      </w:r>
      <w:r w:rsidRPr="008069F2">
        <w:rPr>
          <w:szCs w:val="18"/>
        </w:rPr>
        <w:t xml:space="preserve"> increased the departmental item</w:t>
      </w:r>
      <w:r w:rsidRPr="008069F2" w:rsidDel="007F010D">
        <w:rPr>
          <w:szCs w:val="18"/>
        </w:rPr>
        <w:t xml:space="preserve"> </w:t>
      </w:r>
      <w:r w:rsidRPr="008069F2">
        <w:rPr>
          <w:szCs w:val="18"/>
        </w:rPr>
        <w:t>for the Department of Resources, Energy and Tourism (DRET) in accordance with Table 1 at the end of Schedule 1 to this Act.</w:t>
      </w:r>
    </w:p>
    <w:p w:rsidR="006403E1" w:rsidRDefault="006403E1" w:rsidP="0066736E">
      <w:pPr>
        <w:pStyle w:val="notemargin"/>
        <w:tabs>
          <w:tab w:val="clear" w:pos="709"/>
          <w:tab w:val="left" w:pos="1985"/>
        </w:tabs>
        <w:spacing w:before="120" w:line="240" w:lineRule="auto"/>
        <w:ind w:left="1985" w:firstLine="0"/>
        <w:rPr>
          <w:szCs w:val="18"/>
        </w:rPr>
      </w:pPr>
      <w:r w:rsidRPr="008069F2">
        <w:rPr>
          <w:szCs w:val="18"/>
        </w:rPr>
        <w:t xml:space="preserve">These changes were made to implement the amendments to the </w:t>
      </w:r>
      <w:r w:rsidRPr="008069F2">
        <w:rPr>
          <w:i/>
          <w:szCs w:val="18"/>
        </w:rPr>
        <w:t>Administrative Arrangements Order</w:t>
      </w:r>
      <w:r w:rsidRPr="008069F2">
        <w:rPr>
          <w:szCs w:val="18"/>
        </w:rPr>
        <w:t xml:space="preserve"> made on 25 March 2013. Functions of the former Department of Climate Change and Energy Efficiency in relation to energy efficiency were transferred to DRET.</w:t>
      </w:r>
    </w:p>
    <w:p w:rsidR="006403E1" w:rsidRPr="0041662D" w:rsidRDefault="006403E1" w:rsidP="0066736E">
      <w:pPr>
        <w:pStyle w:val="notemargin"/>
        <w:tabs>
          <w:tab w:val="clear" w:pos="709"/>
          <w:tab w:val="left" w:pos="1985"/>
        </w:tabs>
        <w:spacing w:before="120" w:line="240" w:lineRule="auto"/>
        <w:ind w:left="1985" w:hanging="1985"/>
      </w:pPr>
      <w:r w:rsidRPr="0066736E">
        <w:rPr>
          <w:rFonts w:ascii="Arial" w:hAnsi="Arial"/>
          <w:b/>
          <w:kern w:val="28"/>
          <w:sz w:val="32"/>
        </w:rPr>
        <w:t>Schedule 5</w:t>
      </w:r>
      <w:r w:rsidRPr="0066736E">
        <w:rPr>
          <w:rFonts w:ascii="Arial" w:hAnsi="Arial"/>
          <w:b/>
          <w:kern w:val="28"/>
          <w:sz w:val="32"/>
        </w:rPr>
        <w:tab/>
        <w:t>Amendment of Appropriation Act (No. 2) 2011</w:t>
      </w:r>
      <w:r w:rsidRPr="0066736E">
        <w:rPr>
          <w:rFonts w:ascii="Arial" w:hAnsi="Arial"/>
          <w:b/>
          <w:kern w:val="28"/>
          <w:sz w:val="32"/>
        </w:rPr>
        <w:noBreakHyphen/>
        <w:t>2012</w:t>
      </w:r>
    </w:p>
    <w:p w:rsidR="006403E1" w:rsidRDefault="006403E1" w:rsidP="000403E3">
      <w:pPr>
        <w:pStyle w:val="A1S"/>
        <w:spacing w:before="240" w:line="240" w:lineRule="auto"/>
        <w:ind w:left="426" w:hanging="426"/>
        <w:rPr>
          <w:bCs/>
        </w:rPr>
      </w:pPr>
      <w:r w:rsidRPr="00F3113A">
        <w:rPr>
          <w:bCs/>
        </w:rPr>
        <w:t>1</w:t>
      </w:r>
      <w:r>
        <w:rPr>
          <w:bCs/>
        </w:rPr>
        <w:tab/>
      </w:r>
      <w:proofErr w:type="gramStart"/>
      <w:r>
        <w:rPr>
          <w:bCs/>
        </w:rPr>
        <w:t>At</w:t>
      </w:r>
      <w:proofErr w:type="gramEnd"/>
      <w:r>
        <w:rPr>
          <w:bCs/>
        </w:rPr>
        <w:t xml:space="preserve"> the end of Schedule 2, on a new page</w:t>
      </w:r>
    </w:p>
    <w:p w:rsidR="006403E1" w:rsidRDefault="006403E1" w:rsidP="000403E3">
      <w:pPr>
        <w:rPr>
          <w:lang w:eastAsia="en-AU"/>
        </w:rPr>
      </w:pPr>
    </w:p>
    <w:p w:rsidR="006403E1" w:rsidRDefault="006403E1" w:rsidP="000403E3">
      <w:pPr>
        <w:rPr>
          <w:lang w:eastAsia="en-AU"/>
        </w:rPr>
      </w:pPr>
      <w:r>
        <w:rPr>
          <w:lang w:eastAsia="en-AU"/>
        </w:rPr>
        <w:tab/>
        <w:t>Insert:</w:t>
      </w:r>
    </w:p>
    <w:p w:rsidR="006403E1" w:rsidRDefault="006403E1" w:rsidP="000403E3">
      <w:pPr>
        <w:rPr>
          <w:rFonts w:ascii="Arial" w:hAnsi="Arial" w:cs="Arial"/>
          <w:b/>
          <w:sz w:val="32"/>
          <w:szCs w:val="32"/>
          <w:lang w:eastAsia="en-AU"/>
        </w:rPr>
      </w:pPr>
      <w:r w:rsidRPr="00D02B43">
        <w:rPr>
          <w:rFonts w:ascii="Arial" w:hAnsi="Arial" w:cs="Arial"/>
          <w:b/>
          <w:sz w:val="32"/>
          <w:szCs w:val="32"/>
          <w:lang w:eastAsia="en-AU"/>
        </w:rPr>
        <w:t>Amendment of Schedule 2 arising from Determination(s) under section 32 of the Financial Management and Accountability Act 1997</w:t>
      </w:r>
    </w:p>
    <w:p w:rsidR="006403E1" w:rsidRPr="001030AF" w:rsidRDefault="006403E1" w:rsidP="001030AF">
      <w:pPr>
        <w:pStyle w:val="ItemHead"/>
        <w:ind w:left="1276" w:hanging="362"/>
      </w:pPr>
      <w:r w:rsidRPr="001030AF">
        <w:t>1</w:t>
      </w:r>
      <w:r w:rsidRPr="001030AF">
        <w:tab/>
      </w:r>
      <w:r>
        <w:t>FMA Act Determination 2013/05 — Section 32 (Transfer of Functions from DCCEE to DIICCSRTE and DRET</w:t>
      </w:r>
      <w:r w:rsidRPr="00B97560">
        <w:t>)</w:t>
      </w:r>
    </w:p>
    <w:p w:rsidR="006403E1" w:rsidRDefault="006403E1" w:rsidP="000403E3">
      <w:pPr>
        <w:pStyle w:val="Item"/>
        <w:ind w:left="990"/>
      </w:pPr>
      <w:r w:rsidRPr="00B97560">
        <w:t xml:space="preserve">Schedule </w:t>
      </w:r>
      <w:r>
        <w:t>2</w:t>
      </w:r>
      <w:r w:rsidRPr="00B97560">
        <w:t xml:space="preserve"> of this Act is amended </w:t>
      </w:r>
      <w:r>
        <w:t>in accordance with</w:t>
      </w:r>
      <w:r w:rsidRPr="00B97560">
        <w:t xml:space="preserve"> </w:t>
      </w:r>
      <w:r>
        <w:t>section 32</w:t>
      </w:r>
      <w:r w:rsidRPr="00B97560">
        <w:t xml:space="preserve"> of the </w:t>
      </w:r>
      <w:r w:rsidRPr="00B97560">
        <w:rPr>
          <w:i/>
        </w:rPr>
        <w:t>Financial Management and Accountability Act 1997</w:t>
      </w:r>
      <w:r w:rsidRPr="00B97560">
        <w:t xml:space="preserve"> (FMA Act). </w:t>
      </w:r>
      <w:r>
        <w:t>A</w:t>
      </w:r>
      <w:r w:rsidRPr="00B97560">
        <w:t xml:space="preserve">mendments to appropriations are as specified in </w:t>
      </w:r>
      <w:r>
        <w:t xml:space="preserve">the following table. The appropriation </w:t>
      </w:r>
      <w:r w:rsidRPr="00B97560">
        <w:t xml:space="preserve">item </w:t>
      </w:r>
      <w:r>
        <w:t>(</w:t>
      </w:r>
      <w:r w:rsidRPr="00B97560">
        <w:t>listed in Column 1</w:t>
      </w:r>
      <w:r>
        <w:t>)</w:t>
      </w:r>
      <w:r w:rsidRPr="00B97560">
        <w:t xml:space="preserve"> for the </w:t>
      </w:r>
      <w:r>
        <w:t>Agency</w:t>
      </w:r>
      <w:r w:rsidRPr="00B97560">
        <w:t xml:space="preserve"> </w:t>
      </w:r>
      <w:r>
        <w:t xml:space="preserve">(listed in </w:t>
      </w:r>
      <w:r w:rsidRPr="00B97560">
        <w:t>Column 2</w:t>
      </w:r>
      <w:r>
        <w:t xml:space="preserve">) is </w:t>
      </w:r>
      <w:r w:rsidRPr="00B97560">
        <w:t xml:space="preserve">amended by the </w:t>
      </w:r>
      <w:r>
        <w:t xml:space="preserve">relevant </w:t>
      </w:r>
      <w:r w:rsidRPr="00B97560">
        <w:t xml:space="preserve">amount </w:t>
      </w:r>
      <w:r>
        <w:t>(</w:t>
      </w:r>
      <w:r w:rsidRPr="00B97560">
        <w:t>listed in Column 3</w:t>
      </w:r>
      <w:r>
        <w:t>)</w:t>
      </w:r>
      <w:r w:rsidRPr="00B97560">
        <w:t>.</w:t>
      </w:r>
      <w:r>
        <w:t xml:space="preserve"> </w:t>
      </w:r>
      <w:r>
        <w:br/>
        <w:t>A positive amount in Column 3 is an increase in the appropriation and a negative amount is a decrease in the appropriation.</w:t>
      </w:r>
    </w:p>
    <w:p w:rsidR="006403E1" w:rsidRPr="00040D9A" w:rsidRDefault="006403E1" w:rsidP="000403E3">
      <w:pPr>
        <w:pStyle w:val="ItemHead"/>
        <w:ind w:left="990" w:firstLine="0"/>
        <w:rPr>
          <w:rFonts w:ascii="Times New Roman" w:hAnsi="Times New Roman"/>
          <w:b w:val="0"/>
          <w:sz w:val="22"/>
          <w:szCs w:val="22"/>
        </w:rPr>
      </w:pPr>
      <w:r w:rsidRPr="00040D9A">
        <w:rPr>
          <w:rFonts w:ascii="Times New Roman" w:hAnsi="Times New Roman"/>
          <w:sz w:val="22"/>
          <w:szCs w:val="22"/>
        </w:rPr>
        <w:t xml:space="preserve">Table </w:t>
      </w:r>
      <w:r>
        <w:rPr>
          <w:rFonts w:ascii="Times New Roman" w:hAnsi="Times New Roman"/>
          <w:sz w:val="22"/>
          <w:szCs w:val="22"/>
        </w:rPr>
        <w:t>1</w:t>
      </w:r>
    </w:p>
    <w:p w:rsidR="006403E1" w:rsidRPr="00AF371C" w:rsidRDefault="006403E1" w:rsidP="000403E3"/>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3109"/>
        <w:gridCol w:w="2697"/>
        <w:gridCol w:w="1559"/>
      </w:tblGrid>
      <w:tr w:rsidR="006403E1" w:rsidRPr="006F4315" w:rsidTr="00783D6F">
        <w:trPr>
          <w:tblHeader/>
        </w:trPr>
        <w:tc>
          <w:tcPr>
            <w:tcW w:w="8079" w:type="dxa"/>
            <w:gridSpan w:val="4"/>
            <w:tcBorders>
              <w:top w:val="single" w:sz="12" w:space="0" w:color="auto"/>
              <w:bottom w:val="single" w:sz="6" w:space="0" w:color="auto"/>
            </w:tcBorders>
          </w:tcPr>
          <w:p w:rsidR="006403E1" w:rsidRDefault="006403E1" w:rsidP="00783D6F">
            <w:pPr>
              <w:pStyle w:val="TableHeading"/>
            </w:pPr>
            <w:r>
              <w:t>Amendment of appropriations</w:t>
            </w:r>
          </w:p>
        </w:tc>
      </w:tr>
      <w:tr w:rsidR="006403E1" w:rsidRPr="006F4315" w:rsidTr="00783D6F">
        <w:trPr>
          <w:tblHeader/>
        </w:trPr>
        <w:tc>
          <w:tcPr>
            <w:tcW w:w="714" w:type="dxa"/>
            <w:tcBorders>
              <w:top w:val="single" w:sz="6" w:space="0" w:color="auto"/>
              <w:bottom w:val="single" w:sz="6" w:space="0" w:color="auto"/>
            </w:tcBorders>
          </w:tcPr>
          <w:p w:rsidR="006403E1" w:rsidRDefault="006403E1" w:rsidP="00783D6F">
            <w:pPr>
              <w:pStyle w:val="TableHeading"/>
            </w:pPr>
          </w:p>
        </w:tc>
        <w:tc>
          <w:tcPr>
            <w:tcW w:w="3109" w:type="dxa"/>
            <w:tcBorders>
              <w:top w:val="single" w:sz="6" w:space="0" w:color="auto"/>
              <w:bottom w:val="single" w:sz="6" w:space="0" w:color="auto"/>
            </w:tcBorders>
          </w:tcPr>
          <w:p w:rsidR="006403E1" w:rsidRDefault="006403E1" w:rsidP="00783D6F">
            <w:pPr>
              <w:pStyle w:val="TableHeading"/>
            </w:pPr>
            <w:r>
              <w:t>Column 1</w:t>
            </w:r>
          </w:p>
        </w:tc>
        <w:tc>
          <w:tcPr>
            <w:tcW w:w="2697" w:type="dxa"/>
            <w:tcBorders>
              <w:top w:val="single" w:sz="6" w:space="0" w:color="auto"/>
              <w:bottom w:val="single" w:sz="6" w:space="0" w:color="auto"/>
            </w:tcBorders>
          </w:tcPr>
          <w:p w:rsidR="006403E1" w:rsidRDefault="006403E1" w:rsidP="00783D6F">
            <w:pPr>
              <w:pStyle w:val="TableHeading"/>
            </w:pPr>
            <w:r>
              <w:t>Column 2</w:t>
            </w:r>
          </w:p>
        </w:tc>
        <w:tc>
          <w:tcPr>
            <w:tcW w:w="1559" w:type="dxa"/>
            <w:tcBorders>
              <w:top w:val="single" w:sz="6" w:space="0" w:color="auto"/>
              <w:bottom w:val="single" w:sz="6" w:space="0" w:color="auto"/>
            </w:tcBorders>
          </w:tcPr>
          <w:p w:rsidR="006403E1" w:rsidRDefault="006403E1" w:rsidP="00783D6F">
            <w:pPr>
              <w:pStyle w:val="TableHeading"/>
            </w:pPr>
            <w:r>
              <w:t>Column 3</w:t>
            </w:r>
          </w:p>
        </w:tc>
      </w:tr>
      <w:tr w:rsidR="006403E1" w:rsidRPr="006F4315" w:rsidTr="00783D6F">
        <w:trPr>
          <w:tblHeader/>
        </w:trPr>
        <w:tc>
          <w:tcPr>
            <w:tcW w:w="714" w:type="dxa"/>
            <w:tcBorders>
              <w:top w:val="single" w:sz="6" w:space="0" w:color="auto"/>
              <w:bottom w:val="single" w:sz="12" w:space="0" w:color="auto"/>
            </w:tcBorders>
          </w:tcPr>
          <w:p w:rsidR="006403E1" w:rsidRDefault="006403E1" w:rsidP="00783D6F">
            <w:pPr>
              <w:pStyle w:val="TableHeading"/>
            </w:pPr>
            <w:r>
              <w:t>Item</w:t>
            </w:r>
          </w:p>
        </w:tc>
        <w:tc>
          <w:tcPr>
            <w:tcW w:w="3109" w:type="dxa"/>
            <w:tcBorders>
              <w:top w:val="single" w:sz="6" w:space="0" w:color="auto"/>
              <w:bottom w:val="single" w:sz="12" w:space="0" w:color="auto"/>
            </w:tcBorders>
          </w:tcPr>
          <w:p w:rsidR="006403E1" w:rsidRDefault="006403E1" w:rsidP="00783D6F">
            <w:pPr>
              <w:pStyle w:val="TableHeading"/>
            </w:pPr>
            <w:r>
              <w:t>Appropriation item</w:t>
            </w:r>
          </w:p>
        </w:tc>
        <w:tc>
          <w:tcPr>
            <w:tcW w:w="2697" w:type="dxa"/>
            <w:tcBorders>
              <w:top w:val="single" w:sz="6" w:space="0" w:color="auto"/>
              <w:bottom w:val="single" w:sz="12" w:space="0" w:color="auto"/>
            </w:tcBorders>
          </w:tcPr>
          <w:p w:rsidR="006403E1" w:rsidRDefault="006403E1" w:rsidP="00783D6F">
            <w:pPr>
              <w:pStyle w:val="TableHeading"/>
            </w:pPr>
            <w:r>
              <w:t>Agency</w:t>
            </w:r>
          </w:p>
        </w:tc>
        <w:tc>
          <w:tcPr>
            <w:tcW w:w="1559" w:type="dxa"/>
            <w:tcBorders>
              <w:top w:val="single" w:sz="6" w:space="0" w:color="auto"/>
              <w:bottom w:val="single" w:sz="12" w:space="0" w:color="auto"/>
            </w:tcBorders>
          </w:tcPr>
          <w:p w:rsidR="006403E1" w:rsidRDefault="006403E1" w:rsidP="00783D6F">
            <w:pPr>
              <w:pStyle w:val="TableHeading"/>
              <w:jc w:val="right"/>
            </w:pPr>
            <w:r>
              <w:t>Amount $</w:t>
            </w:r>
          </w:p>
        </w:tc>
      </w:tr>
      <w:tr w:rsidR="006403E1" w:rsidRPr="0066736E" w:rsidTr="000403E3">
        <w:tc>
          <w:tcPr>
            <w:tcW w:w="714" w:type="dxa"/>
          </w:tcPr>
          <w:p w:rsidR="006403E1" w:rsidRPr="0066736E" w:rsidRDefault="006403E1" w:rsidP="00783D6F">
            <w:pPr>
              <w:pStyle w:val="Tabletext"/>
            </w:pPr>
            <w:r w:rsidRPr="0066736E">
              <w:t>1</w:t>
            </w:r>
          </w:p>
        </w:tc>
        <w:tc>
          <w:tcPr>
            <w:tcW w:w="3109" w:type="dxa"/>
          </w:tcPr>
          <w:p w:rsidR="006403E1" w:rsidRPr="0066736E" w:rsidRDefault="006403E1" w:rsidP="001030AF">
            <w:pPr>
              <w:pStyle w:val="Tabletext"/>
            </w:pPr>
            <w:r w:rsidRPr="0066736E">
              <w:t>Other departmental item (Equity Injections)</w:t>
            </w:r>
          </w:p>
        </w:tc>
        <w:tc>
          <w:tcPr>
            <w:tcW w:w="2697" w:type="dxa"/>
          </w:tcPr>
          <w:p w:rsidR="006403E1" w:rsidRPr="0066736E" w:rsidRDefault="006403E1" w:rsidP="00783D6F">
            <w:pPr>
              <w:pStyle w:val="Tabletext"/>
            </w:pPr>
            <w:r w:rsidRPr="0066736E">
              <w:t>Department of Industry, Innovation, Climate Change, Science, Research and Tertiary Education</w:t>
            </w:r>
          </w:p>
        </w:tc>
        <w:tc>
          <w:tcPr>
            <w:tcW w:w="1559" w:type="dxa"/>
          </w:tcPr>
          <w:p w:rsidR="006403E1" w:rsidRPr="0066736E" w:rsidRDefault="006403E1" w:rsidP="00783D6F">
            <w:pPr>
              <w:pStyle w:val="Tabletext"/>
              <w:jc w:val="right"/>
            </w:pPr>
            <w:r w:rsidRPr="0066736E">
              <w:t>+470,644.66</w:t>
            </w:r>
          </w:p>
        </w:tc>
      </w:tr>
      <w:tr w:rsidR="006403E1" w:rsidRPr="0066736E" w:rsidTr="001030AF">
        <w:tc>
          <w:tcPr>
            <w:tcW w:w="714" w:type="dxa"/>
          </w:tcPr>
          <w:p w:rsidR="006403E1" w:rsidRPr="0066736E" w:rsidRDefault="006403E1" w:rsidP="00783D6F">
            <w:pPr>
              <w:pStyle w:val="Tabletext"/>
            </w:pPr>
            <w:r w:rsidRPr="0066736E">
              <w:t>2</w:t>
            </w:r>
          </w:p>
        </w:tc>
        <w:tc>
          <w:tcPr>
            <w:tcW w:w="3109" w:type="dxa"/>
          </w:tcPr>
          <w:p w:rsidR="006403E1" w:rsidRPr="0066736E" w:rsidRDefault="006403E1" w:rsidP="00783D6F">
            <w:pPr>
              <w:pStyle w:val="Tabletext"/>
            </w:pPr>
            <w:r w:rsidRPr="0066736E">
              <w:t>Other departmental item (Equity Injections)</w:t>
            </w:r>
          </w:p>
        </w:tc>
        <w:tc>
          <w:tcPr>
            <w:tcW w:w="2697" w:type="dxa"/>
          </w:tcPr>
          <w:p w:rsidR="006403E1" w:rsidRPr="0066736E" w:rsidRDefault="006403E1" w:rsidP="00783D6F">
            <w:pPr>
              <w:pStyle w:val="Tabletext"/>
            </w:pPr>
            <w:r w:rsidRPr="0066736E">
              <w:t>Department of Resources, Energy and Tourism</w:t>
            </w:r>
          </w:p>
        </w:tc>
        <w:tc>
          <w:tcPr>
            <w:tcW w:w="1559" w:type="dxa"/>
          </w:tcPr>
          <w:p w:rsidR="006403E1" w:rsidRPr="0066736E" w:rsidRDefault="006403E1" w:rsidP="00783D6F">
            <w:pPr>
              <w:pStyle w:val="Tabletext"/>
              <w:jc w:val="right"/>
            </w:pPr>
            <w:r w:rsidRPr="0066736E">
              <w:t>+369,355.34</w:t>
            </w:r>
          </w:p>
        </w:tc>
      </w:tr>
      <w:tr w:rsidR="006403E1" w:rsidRPr="006F4315" w:rsidTr="00783D6F">
        <w:tc>
          <w:tcPr>
            <w:tcW w:w="714" w:type="dxa"/>
            <w:tcBorders>
              <w:bottom w:val="single" w:sz="12" w:space="0" w:color="auto"/>
            </w:tcBorders>
          </w:tcPr>
          <w:p w:rsidR="006403E1" w:rsidRDefault="006403E1" w:rsidP="00783D6F">
            <w:pPr>
              <w:pStyle w:val="Tabletext"/>
            </w:pPr>
            <w:r>
              <w:t>3</w:t>
            </w:r>
          </w:p>
        </w:tc>
        <w:tc>
          <w:tcPr>
            <w:tcW w:w="3109" w:type="dxa"/>
            <w:tcBorders>
              <w:bottom w:val="single" w:sz="12" w:space="0" w:color="auto"/>
            </w:tcBorders>
          </w:tcPr>
          <w:p w:rsidR="006403E1" w:rsidRDefault="006403E1" w:rsidP="00783D6F">
            <w:pPr>
              <w:pStyle w:val="Tabletext"/>
            </w:pPr>
            <w:r>
              <w:t>Other departmental item (Equity Injections)</w:t>
            </w:r>
          </w:p>
        </w:tc>
        <w:tc>
          <w:tcPr>
            <w:tcW w:w="2697" w:type="dxa"/>
            <w:tcBorders>
              <w:bottom w:val="single" w:sz="12" w:space="0" w:color="auto"/>
            </w:tcBorders>
          </w:tcPr>
          <w:p w:rsidR="006403E1" w:rsidRDefault="006403E1" w:rsidP="00783D6F">
            <w:pPr>
              <w:pStyle w:val="Tabletext"/>
            </w:pPr>
            <w:r>
              <w:t>Department of Climate Change and Energy Efficiency</w:t>
            </w:r>
          </w:p>
        </w:tc>
        <w:tc>
          <w:tcPr>
            <w:tcW w:w="1559" w:type="dxa"/>
            <w:tcBorders>
              <w:bottom w:val="single" w:sz="12" w:space="0" w:color="auto"/>
            </w:tcBorders>
          </w:tcPr>
          <w:p w:rsidR="006403E1" w:rsidRPr="00AF371C" w:rsidRDefault="006403E1" w:rsidP="001030AF">
            <w:pPr>
              <w:pStyle w:val="Tabletext"/>
              <w:jc w:val="right"/>
            </w:pPr>
            <w:r w:rsidRPr="00AF371C">
              <w:t>-</w:t>
            </w:r>
            <w:r>
              <w:t>840,000.00</w:t>
            </w:r>
          </w:p>
        </w:tc>
      </w:tr>
    </w:tbl>
    <w:p w:rsidR="006403E1" w:rsidRDefault="006403E1" w:rsidP="000403E3">
      <w:pPr>
        <w:pStyle w:val="notetext"/>
      </w:pPr>
      <w:r w:rsidRPr="00D02B43">
        <w:t xml:space="preserve">Note: </w:t>
      </w:r>
      <w:r w:rsidRPr="00D02B43">
        <w:tab/>
        <w:t xml:space="preserve">Section 32 of the FMA Act enables the Finance Minister to determine that Schedules to Appropriation Acts are amended in relation to a transfer of functions between Agencies. A determination under section 32 of the FMA Act cannot result in a change to the total amount appropriated. </w:t>
      </w:r>
      <w:r w:rsidRPr="002835A6">
        <w:rPr>
          <w:i/>
        </w:rPr>
        <w:t>FMA Act Determination 2013/05 — Section 32 (Transfer of Functions from DCCEE to DIICCSRTE and DRET)</w:t>
      </w:r>
      <w:r w:rsidRPr="00D02B43">
        <w:t xml:space="preserve"> affects this Act</w:t>
      </w:r>
      <w:r>
        <w:t xml:space="preserve"> </w:t>
      </w:r>
      <w:r w:rsidRPr="00D02B43">
        <w:t>in a specified way to result in no change to the total amount appropriated.</w:t>
      </w:r>
    </w:p>
    <w:p w:rsidR="006403E1" w:rsidRDefault="006403E1" w:rsidP="001030AF">
      <w:pPr>
        <w:pStyle w:val="notetext"/>
      </w:pPr>
      <w:r>
        <w:tab/>
        <w:t xml:space="preserve">As a result of amendments to the </w:t>
      </w:r>
      <w:r>
        <w:rPr>
          <w:i/>
        </w:rPr>
        <w:t>Administrative Arrangements Order</w:t>
      </w:r>
      <w:r>
        <w:t xml:space="preserve">, made on 14 December 2011, the former Department of Innovation, Industry, Science and Research (DIISR) was renamed the Department of Industry, Innovation, Science, Research and Tertiary Education (DIISRTE). </w:t>
      </w:r>
    </w:p>
    <w:p w:rsidR="002945B6" w:rsidRDefault="006403E1" w:rsidP="001030AF">
      <w:pPr>
        <w:pStyle w:val="notetext"/>
        <w:ind w:firstLine="0"/>
      </w:pPr>
      <w:r>
        <w:t xml:space="preserve">Subsequently, amendments to the </w:t>
      </w:r>
      <w:r>
        <w:rPr>
          <w:i/>
        </w:rPr>
        <w:t>Administrative Arrangements Order</w:t>
      </w:r>
      <w:r>
        <w:t xml:space="preserve">, made on 25 March 2013, renamed DIISRTE the </w:t>
      </w:r>
      <w:r w:rsidRPr="007374FD">
        <w:rPr>
          <w:szCs w:val="18"/>
        </w:rPr>
        <w:t>Department of Industry, Innovation, Climate Change, Science, Research and Tertiary Education</w:t>
      </w:r>
      <w:r>
        <w:t xml:space="preserve"> (DIICCSRTE). </w:t>
      </w:r>
    </w:p>
    <w:p w:rsidR="002945B6" w:rsidRDefault="002945B6">
      <w:pPr>
        <w:spacing w:line="240" w:lineRule="auto"/>
        <w:rPr>
          <w:rFonts w:eastAsia="Times New Roman"/>
          <w:sz w:val="18"/>
          <w:lang w:eastAsia="en-AU"/>
        </w:rPr>
      </w:pPr>
      <w:r>
        <w:br w:type="page"/>
      </w:r>
    </w:p>
    <w:p w:rsidR="006403E1" w:rsidRPr="00F3113A" w:rsidRDefault="006403E1" w:rsidP="000403E3">
      <w:pPr>
        <w:pStyle w:val="A1S"/>
        <w:spacing w:before="240" w:line="240" w:lineRule="auto"/>
        <w:ind w:left="426" w:hanging="426"/>
        <w:rPr>
          <w:bCs/>
        </w:rPr>
      </w:pPr>
      <w:r>
        <w:rPr>
          <w:bCs/>
        </w:rPr>
        <w:t>2</w:t>
      </w:r>
      <w:r>
        <w:rPr>
          <w:bCs/>
        </w:rPr>
        <w:tab/>
        <w:t xml:space="preserve">Schedule 2, </w:t>
      </w:r>
      <w:r w:rsidRPr="00335BCD">
        <w:rPr>
          <w:bCs/>
        </w:rPr>
        <w:t>Climate Change and Energy Efficiency portfolio, after the Department of Climate Change and Energy Efficiency table</w:t>
      </w:r>
      <w:r>
        <w:rPr>
          <w:bCs/>
        </w:rPr>
        <w:t>, after Note 3</w:t>
      </w:r>
    </w:p>
    <w:p w:rsidR="006403E1" w:rsidRPr="00AF371C" w:rsidRDefault="006403E1" w:rsidP="000403E3">
      <w:pPr>
        <w:pStyle w:val="Item"/>
      </w:pPr>
      <w:r w:rsidRPr="0060183A">
        <w:t>Insert</w:t>
      </w:r>
      <w:r>
        <w:t>:</w:t>
      </w:r>
    </w:p>
    <w:p w:rsidR="006403E1" w:rsidRPr="00630276" w:rsidRDefault="006403E1" w:rsidP="000403E3">
      <w:pPr>
        <w:pStyle w:val="notetext"/>
        <w:rPr>
          <w:szCs w:val="18"/>
        </w:rPr>
      </w:pPr>
      <w:r w:rsidRPr="00630276">
        <w:rPr>
          <w:szCs w:val="18"/>
        </w:rPr>
        <w:t>Note 4:</w:t>
      </w:r>
      <w:r w:rsidRPr="00630276">
        <w:rPr>
          <w:szCs w:val="18"/>
        </w:rPr>
        <w:tab/>
      </w:r>
      <w:r w:rsidRPr="00630276">
        <w:rPr>
          <w:i/>
          <w:szCs w:val="18"/>
        </w:rPr>
        <w:t>FMA Act Determination 2013/05 — Section 32 (Transfer of Functions from DCCEE to DIICCSRTE and DRET)</w:t>
      </w:r>
      <w:r w:rsidRPr="00630276">
        <w:rPr>
          <w:szCs w:val="18"/>
        </w:rPr>
        <w:t xml:space="preserve"> reduced the other departmental item (Equity Injections)</w:t>
      </w:r>
      <w:r w:rsidRPr="00630276" w:rsidDel="007F010D">
        <w:rPr>
          <w:szCs w:val="18"/>
        </w:rPr>
        <w:t xml:space="preserve"> </w:t>
      </w:r>
      <w:r w:rsidRPr="00630276">
        <w:rPr>
          <w:szCs w:val="18"/>
        </w:rPr>
        <w:t xml:space="preserve">for the Department of Climate Change and Energy Efficiency (DCCEE) in accordance with Table 1 at the end of Schedule 2 to this Act. </w:t>
      </w:r>
    </w:p>
    <w:p w:rsidR="006403E1" w:rsidRPr="00630276" w:rsidRDefault="006403E1" w:rsidP="00B70938">
      <w:pPr>
        <w:pStyle w:val="notetext"/>
        <w:ind w:firstLine="0"/>
        <w:rPr>
          <w:szCs w:val="18"/>
        </w:rPr>
      </w:pPr>
      <w:r w:rsidRPr="00630276">
        <w:rPr>
          <w:szCs w:val="18"/>
        </w:rPr>
        <w:t xml:space="preserve">These changes were made to implement the amendments to the </w:t>
      </w:r>
      <w:r w:rsidRPr="002835A6">
        <w:rPr>
          <w:i/>
          <w:szCs w:val="18"/>
        </w:rPr>
        <w:t xml:space="preserve">Administrative Arrangements Order </w:t>
      </w:r>
      <w:r w:rsidRPr="00630276">
        <w:rPr>
          <w:szCs w:val="18"/>
        </w:rPr>
        <w:t>made on 25 March 2013. Functions of the former DCCEE were transferred:</w:t>
      </w:r>
    </w:p>
    <w:p w:rsidR="006403E1" w:rsidRPr="00630276" w:rsidRDefault="006403E1" w:rsidP="00B70938">
      <w:pPr>
        <w:pStyle w:val="Notepara0"/>
        <w:numPr>
          <w:ilvl w:val="0"/>
          <w:numId w:val="25"/>
        </w:numPr>
        <w:tabs>
          <w:tab w:val="left" w:pos="1276"/>
        </w:tabs>
        <w:spacing w:before="120" w:after="100" w:afterAutospacing="1" w:line="240" w:lineRule="auto"/>
        <w:ind w:left="2552" w:hanging="425"/>
        <w:jc w:val="left"/>
        <w:rPr>
          <w:sz w:val="18"/>
          <w:szCs w:val="18"/>
        </w:rPr>
      </w:pPr>
      <w:r w:rsidRPr="00630276">
        <w:rPr>
          <w:sz w:val="18"/>
          <w:szCs w:val="18"/>
        </w:rPr>
        <w:t xml:space="preserve">in relation to climate change, to </w:t>
      </w:r>
      <w:r w:rsidR="00F737C9">
        <w:rPr>
          <w:sz w:val="18"/>
          <w:szCs w:val="18"/>
        </w:rPr>
        <w:t xml:space="preserve">the </w:t>
      </w:r>
      <w:r w:rsidRPr="00630276">
        <w:rPr>
          <w:sz w:val="18"/>
          <w:szCs w:val="18"/>
        </w:rPr>
        <w:t>Department of Industry, Innovation, Climate Change, Science, Research and Tertiary Education; and</w:t>
      </w:r>
    </w:p>
    <w:p w:rsidR="006403E1" w:rsidRDefault="006403E1" w:rsidP="0090498B">
      <w:pPr>
        <w:pStyle w:val="Notepara0"/>
        <w:numPr>
          <w:ilvl w:val="0"/>
          <w:numId w:val="25"/>
        </w:numPr>
        <w:tabs>
          <w:tab w:val="left" w:pos="709"/>
        </w:tabs>
        <w:spacing w:before="120" w:after="100" w:afterAutospacing="1" w:line="240" w:lineRule="auto"/>
        <w:ind w:left="2552" w:hanging="425"/>
        <w:jc w:val="left"/>
        <w:rPr>
          <w:sz w:val="18"/>
          <w:szCs w:val="18"/>
        </w:rPr>
      </w:pPr>
      <w:proofErr w:type="gramStart"/>
      <w:r w:rsidRPr="00630276">
        <w:rPr>
          <w:sz w:val="18"/>
          <w:szCs w:val="18"/>
        </w:rPr>
        <w:t>in</w:t>
      </w:r>
      <w:proofErr w:type="gramEnd"/>
      <w:r w:rsidRPr="00630276">
        <w:rPr>
          <w:sz w:val="18"/>
          <w:szCs w:val="18"/>
        </w:rPr>
        <w:t xml:space="preserve"> relation to energy efficiency, to</w:t>
      </w:r>
      <w:r w:rsidR="00F737C9">
        <w:rPr>
          <w:sz w:val="18"/>
          <w:szCs w:val="18"/>
        </w:rPr>
        <w:t xml:space="preserve"> the</w:t>
      </w:r>
      <w:r w:rsidRPr="00630276">
        <w:rPr>
          <w:sz w:val="18"/>
          <w:szCs w:val="18"/>
        </w:rPr>
        <w:t xml:space="preserve"> Department of Resources, Energy and Tourism.</w:t>
      </w:r>
    </w:p>
    <w:p w:rsidR="006403E1" w:rsidRPr="0066736E" w:rsidRDefault="006403E1" w:rsidP="00F02D2D">
      <w:pPr>
        <w:pStyle w:val="A1S"/>
        <w:spacing w:before="240" w:line="240" w:lineRule="auto"/>
        <w:ind w:left="426" w:hanging="426"/>
        <w:rPr>
          <w:bCs/>
        </w:rPr>
      </w:pPr>
      <w:r w:rsidRPr="0066736E">
        <w:rPr>
          <w:bCs/>
        </w:rPr>
        <w:t>3</w:t>
      </w:r>
      <w:r w:rsidRPr="0066736E">
        <w:rPr>
          <w:bCs/>
        </w:rPr>
        <w:tab/>
        <w:t xml:space="preserve">Schedule 2, </w:t>
      </w:r>
      <w:r w:rsidR="00F737C9">
        <w:rPr>
          <w:bCs/>
        </w:rPr>
        <w:t xml:space="preserve">Innovation, </w:t>
      </w:r>
      <w:r w:rsidRPr="0066736E">
        <w:rPr>
          <w:bCs/>
        </w:rPr>
        <w:t>Industry, Science</w:t>
      </w:r>
      <w:r w:rsidR="00F737C9">
        <w:rPr>
          <w:bCs/>
        </w:rPr>
        <w:t xml:space="preserve"> and</w:t>
      </w:r>
      <w:r w:rsidR="00F737C9" w:rsidRPr="0066736E">
        <w:rPr>
          <w:bCs/>
        </w:rPr>
        <w:t xml:space="preserve"> </w:t>
      </w:r>
      <w:r w:rsidRPr="0066736E">
        <w:rPr>
          <w:bCs/>
        </w:rPr>
        <w:t xml:space="preserve">Research portfolio, </w:t>
      </w:r>
      <w:r w:rsidR="00C744F8">
        <w:rPr>
          <w:bCs/>
        </w:rPr>
        <w:t xml:space="preserve">after the </w:t>
      </w:r>
      <w:r w:rsidRPr="0066736E">
        <w:rPr>
          <w:bCs/>
        </w:rPr>
        <w:t xml:space="preserve">Department of </w:t>
      </w:r>
      <w:r w:rsidR="00F737C9">
        <w:rPr>
          <w:bCs/>
        </w:rPr>
        <w:t xml:space="preserve">Innovation, </w:t>
      </w:r>
      <w:r w:rsidRPr="0066736E">
        <w:rPr>
          <w:bCs/>
        </w:rPr>
        <w:t>Industry, Science</w:t>
      </w:r>
      <w:r w:rsidR="00F737C9">
        <w:rPr>
          <w:bCs/>
        </w:rPr>
        <w:t xml:space="preserve"> and</w:t>
      </w:r>
      <w:r w:rsidR="00F737C9" w:rsidRPr="0066736E">
        <w:rPr>
          <w:bCs/>
        </w:rPr>
        <w:t xml:space="preserve"> </w:t>
      </w:r>
      <w:r w:rsidRPr="0066736E">
        <w:rPr>
          <w:bCs/>
        </w:rPr>
        <w:t>Research table</w:t>
      </w:r>
    </w:p>
    <w:p w:rsidR="006403E1" w:rsidRPr="0066736E" w:rsidRDefault="006403E1" w:rsidP="00F02D2D">
      <w:pPr>
        <w:pStyle w:val="Item"/>
      </w:pPr>
      <w:r w:rsidRPr="0066736E">
        <w:t>Insert:</w:t>
      </w:r>
    </w:p>
    <w:p w:rsidR="006403E1" w:rsidRPr="0066736E" w:rsidRDefault="006403E1" w:rsidP="00F02D2D">
      <w:pPr>
        <w:pStyle w:val="notetext"/>
        <w:rPr>
          <w:szCs w:val="18"/>
        </w:rPr>
      </w:pPr>
      <w:r w:rsidRPr="0066736E">
        <w:t>Note </w:t>
      </w:r>
      <w:r w:rsidR="00F737C9">
        <w:t>1</w:t>
      </w:r>
      <w:r w:rsidRPr="0066736E">
        <w:t>:</w:t>
      </w:r>
      <w:r w:rsidRPr="0066736E">
        <w:tab/>
      </w:r>
      <w:r w:rsidRPr="0066736E">
        <w:rPr>
          <w:i/>
          <w:szCs w:val="18"/>
        </w:rPr>
        <w:t>FMA Act Determination 2013/05 — Section 32 (Transfer of Functions from DCCEE to DIICCSRTE and DRET)</w:t>
      </w:r>
      <w:r w:rsidRPr="0066736E">
        <w:rPr>
          <w:szCs w:val="18"/>
        </w:rPr>
        <w:t xml:space="preserve"> increased the other departmental item (Equity Injections) for the Department of Industry, Innovation, Climate Change, Science, Research and Tertiary Education (DIICCSRTE) in accordance with Table 1 at the end of Schedule 2 to this Act.</w:t>
      </w:r>
    </w:p>
    <w:p w:rsidR="006403E1" w:rsidRPr="0066736E" w:rsidRDefault="006403E1" w:rsidP="00F02D2D">
      <w:pPr>
        <w:pStyle w:val="notemargin"/>
        <w:spacing w:line="240" w:lineRule="auto"/>
        <w:ind w:left="1985" w:firstLine="0"/>
        <w:rPr>
          <w:szCs w:val="18"/>
        </w:rPr>
      </w:pPr>
      <w:r w:rsidRPr="0066736E">
        <w:rPr>
          <w:szCs w:val="18"/>
        </w:rPr>
        <w:t xml:space="preserve">These changes were made to implement the amendments to the </w:t>
      </w:r>
      <w:r w:rsidRPr="0066736E">
        <w:rPr>
          <w:i/>
          <w:szCs w:val="18"/>
        </w:rPr>
        <w:t>Administrative Arrangements Order</w:t>
      </w:r>
      <w:r w:rsidRPr="0066736E">
        <w:rPr>
          <w:szCs w:val="18"/>
        </w:rPr>
        <w:t xml:space="preserve"> made on 25 March 2013. Functions of the former Department of Climate Change and Energy Efficiency in relation to climate change were transferred to DIICCSRTE. </w:t>
      </w:r>
    </w:p>
    <w:p w:rsidR="006403E1" w:rsidRDefault="006403E1" w:rsidP="0066736E">
      <w:pPr>
        <w:pStyle w:val="notetext"/>
        <w:ind w:firstLine="0"/>
      </w:pPr>
      <w:r w:rsidRPr="0066736E">
        <w:t xml:space="preserve">As a result of amendments to the </w:t>
      </w:r>
      <w:r w:rsidRPr="0066736E">
        <w:rPr>
          <w:i/>
        </w:rPr>
        <w:t>Administrative Arrangements Order</w:t>
      </w:r>
      <w:r w:rsidRPr="0066736E">
        <w:t>, made on</w:t>
      </w:r>
      <w:r>
        <w:t xml:space="preserve"> 14 December 2011, the former Department of Innovation, Industry, Science and Research (DIISR) was renamed the Department of Industry, Innovation, Science, Research and Tertiary Education (DIISRTE). </w:t>
      </w:r>
    </w:p>
    <w:p w:rsidR="006403E1" w:rsidRPr="007374FD" w:rsidRDefault="006403E1" w:rsidP="0066736E">
      <w:pPr>
        <w:pStyle w:val="notemargin"/>
        <w:spacing w:line="240" w:lineRule="auto"/>
        <w:ind w:left="1985" w:firstLine="0"/>
        <w:rPr>
          <w:szCs w:val="18"/>
        </w:rPr>
      </w:pPr>
      <w:r>
        <w:t xml:space="preserve">Subsequently, amendments to the </w:t>
      </w:r>
      <w:r>
        <w:rPr>
          <w:i/>
        </w:rPr>
        <w:t>Administrative Arrangements Order</w:t>
      </w:r>
      <w:r>
        <w:t xml:space="preserve">, made on 25 March 2013, renamed DIISRTE </w:t>
      </w:r>
      <w:r w:rsidR="007C371F">
        <w:t xml:space="preserve">to </w:t>
      </w:r>
      <w:r>
        <w:t xml:space="preserve">DIICCSRTE. </w:t>
      </w:r>
    </w:p>
    <w:p w:rsidR="006403E1" w:rsidRPr="0066736E" w:rsidRDefault="006403E1" w:rsidP="0066736E">
      <w:pPr>
        <w:pStyle w:val="Item"/>
        <w:ind w:left="426" w:hanging="426"/>
      </w:pPr>
      <w:r w:rsidRPr="0066736E">
        <w:rPr>
          <w:rFonts w:ascii="Arial" w:hAnsi="Arial"/>
          <w:b/>
          <w:bCs/>
          <w:sz w:val="24"/>
          <w:szCs w:val="24"/>
        </w:rPr>
        <w:t>4</w:t>
      </w:r>
      <w:r w:rsidRPr="0066736E">
        <w:rPr>
          <w:rFonts w:ascii="Arial" w:hAnsi="Arial"/>
          <w:b/>
          <w:bCs/>
          <w:sz w:val="24"/>
          <w:szCs w:val="24"/>
        </w:rPr>
        <w:tab/>
        <w:t>Schedule 2, Resources, Energy and Tourism portfolio, after the Department of Resources, Energy and Tourism table</w:t>
      </w:r>
      <w:r>
        <w:rPr>
          <w:bCs/>
          <w:highlight w:val="yellow"/>
        </w:rPr>
        <w:br/>
      </w:r>
      <w:proofErr w:type="gramStart"/>
      <w:r w:rsidRPr="0066736E">
        <w:t>Insert</w:t>
      </w:r>
      <w:proofErr w:type="gramEnd"/>
      <w:r w:rsidRPr="0066736E">
        <w:t>:</w:t>
      </w:r>
    </w:p>
    <w:p w:rsidR="006403E1" w:rsidRPr="00D81032" w:rsidRDefault="006403E1" w:rsidP="00F02D2D">
      <w:pPr>
        <w:pStyle w:val="notetext"/>
        <w:rPr>
          <w:szCs w:val="18"/>
        </w:rPr>
      </w:pPr>
      <w:r w:rsidRPr="00D81032">
        <w:rPr>
          <w:szCs w:val="18"/>
        </w:rPr>
        <w:t>Note </w:t>
      </w:r>
      <w:r w:rsidR="00F737C9">
        <w:rPr>
          <w:szCs w:val="18"/>
        </w:rPr>
        <w:t>1</w:t>
      </w:r>
      <w:r w:rsidRPr="00D81032">
        <w:rPr>
          <w:szCs w:val="18"/>
        </w:rPr>
        <w:t>:</w:t>
      </w:r>
      <w:r w:rsidRPr="00D81032">
        <w:rPr>
          <w:szCs w:val="18"/>
        </w:rPr>
        <w:tab/>
      </w:r>
      <w:r w:rsidRPr="00D81032">
        <w:rPr>
          <w:i/>
          <w:szCs w:val="18"/>
        </w:rPr>
        <w:t>FMA Act Determination 2013/05 — Section 32 (Transfer of Functions from DCCEE to DIICCSRTE and DRET)</w:t>
      </w:r>
      <w:r w:rsidRPr="00D81032">
        <w:rPr>
          <w:szCs w:val="18"/>
        </w:rPr>
        <w:t xml:space="preserve"> increased the other departmental item (Equity Injections) for the Department of Resources, Energy and Tourism (DRET) in accordance with Table 1 at the end of Schedule 2 to this Act.</w:t>
      </w:r>
    </w:p>
    <w:p w:rsidR="006403E1" w:rsidRPr="00D81032" w:rsidRDefault="006403E1" w:rsidP="00F02D2D">
      <w:pPr>
        <w:pStyle w:val="notemargin"/>
        <w:tabs>
          <w:tab w:val="clear" w:pos="709"/>
          <w:tab w:val="left" w:pos="1985"/>
        </w:tabs>
        <w:spacing w:before="120" w:line="240" w:lineRule="auto"/>
        <w:ind w:left="1985" w:firstLine="0"/>
        <w:rPr>
          <w:szCs w:val="18"/>
        </w:rPr>
      </w:pPr>
      <w:r w:rsidRPr="00D81032">
        <w:rPr>
          <w:szCs w:val="18"/>
        </w:rPr>
        <w:t xml:space="preserve">These changes were made to implement the amendments to the </w:t>
      </w:r>
      <w:r w:rsidRPr="00D81032">
        <w:rPr>
          <w:i/>
          <w:szCs w:val="18"/>
        </w:rPr>
        <w:t>Administrative Arrangements Order</w:t>
      </w:r>
      <w:r w:rsidRPr="00D81032">
        <w:rPr>
          <w:szCs w:val="18"/>
        </w:rPr>
        <w:t xml:space="preserve"> made on 25 March 2013. Functions of the former Department of Climate Change and Energy Efficiency in relation to energy efficiency were transferred to DRET.</w:t>
      </w:r>
    </w:p>
    <w:p w:rsidR="006E3AAC" w:rsidRDefault="006E3AAC" w:rsidP="0081484C">
      <w:pPr>
        <w:pStyle w:val="notemargin"/>
        <w:tabs>
          <w:tab w:val="clear" w:pos="709"/>
          <w:tab w:val="left" w:pos="1985"/>
        </w:tabs>
        <w:spacing w:before="120" w:line="240" w:lineRule="auto"/>
        <w:ind w:left="1985" w:hanging="1985"/>
        <w:rPr>
          <w:rFonts w:ascii="Arial" w:hAnsi="Arial"/>
          <w:b/>
          <w:kern w:val="28"/>
          <w:sz w:val="32"/>
        </w:rPr>
      </w:pPr>
    </w:p>
    <w:p w:rsidR="006E3AAC" w:rsidRDefault="006E3AAC" w:rsidP="0081484C">
      <w:pPr>
        <w:pStyle w:val="notemargin"/>
        <w:tabs>
          <w:tab w:val="clear" w:pos="709"/>
          <w:tab w:val="left" w:pos="1985"/>
        </w:tabs>
        <w:spacing w:before="120" w:line="240" w:lineRule="auto"/>
        <w:ind w:left="1985" w:hanging="1985"/>
        <w:rPr>
          <w:rFonts w:ascii="Arial" w:hAnsi="Arial"/>
          <w:b/>
          <w:kern w:val="28"/>
          <w:sz w:val="32"/>
        </w:rPr>
      </w:pPr>
    </w:p>
    <w:p w:rsidR="006E3AAC" w:rsidRDefault="006E3AAC" w:rsidP="0081484C">
      <w:pPr>
        <w:pStyle w:val="notemargin"/>
        <w:tabs>
          <w:tab w:val="clear" w:pos="709"/>
          <w:tab w:val="left" w:pos="1985"/>
        </w:tabs>
        <w:spacing w:before="120" w:line="240" w:lineRule="auto"/>
        <w:ind w:left="1985" w:hanging="1985"/>
        <w:rPr>
          <w:rFonts w:ascii="Arial" w:hAnsi="Arial"/>
          <w:b/>
          <w:kern w:val="28"/>
          <w:sz w:val="32"/>
        </w:rPr>
      </w:pPr>
    </w:p>
    <w:p w:rsidR="006E3AAC" w:rsidRDefault="006E3AAC" w:rsidP="0081484C">
      <w:pPr>
        <w:pStyle w:val="notemargin"/>
        <w:tabs>
          <w:tab w:val="clear" w:pos="709"/>
          <w:tab w:val="left" w:pos="1985"/>
        </w:tabs>
        <w:spacing w:before="120" w:line="240" w:lineRule="auto"/>
        <w:ind w:left="1985" w:hanging="1985"/>
        <w:rPr>
          <w:rFonts w:ascii="Arial" w:hAnsi="Arial"/>
          <w:b/>
          <w:kern w:val="28"/>
          <w:sz w:val="32"/>
        </w:rPr>
      </w:pPr>
    </w:p>
    <w:p w:rsidR="006E3AAC" w:rsidRDefault="006E3AAC" w:rsidP="0081484C">
      <w:pPr>
        <w:pStyle w:val="notemargin"/>
        <w:tabs>
          <w:tab w:val="clear" w:pos="709"/>
          <w:tab w:val="left" w:pos="1985"/>
        </w:tabs>
        <w:spacing w:before="120" w:line="240" w:lineRule="auto"/>
        <w:ind w:left="1985" w:hanging="1985"/>
        <w:rPr>
          <w:rFonts w:ascii="Arial" w:hAnsi="Arial"/>
          <w:b/>
          <w:kern w:val="28"/>
          <w:sz w:val="32"/>
        </w:rPr>
      </w:pPr>
    </w:p>
    <w:p w:rsidR="006E3AAC" w:rsidRDefault="006E3AAC" w:rsidP="0081484C">
      <w:pPr>
        <w:pStyle w:val="notemargin"/>
        <w:tabs>
          <w:tab w:val="clear" w:pos="709"/>
          <w:tab w:val="left" w:pos="1985"/>
        </w:tabs>
        <w:spacing w:before="120" w:line="240" w:lineRule="auto"/>
        <w:ind w:left="1985" w:hanging="1985"/>
        <w:rPr>
          <w:rFonts w:ascii="Arial" w:hAnsi="Arial"/>
          <w:b/>
          <w:kern w:val="28"/>
          <w:sz w:val="32"/>
        </w:rPr>
      </w:pPr>
    </w:p>
    <w:p w:rsidR="006E3AAC" w:rsidRDefault="006E3AAC" w:rsidP="0081484C">
      <w:pPr>
        <w:pStyle w:val="notemargin"/>
        <w:tabs>
          <w:tab w:val="clear" w:pos="709"/>
          <w:tab w:val="left" w:pos="1985"/>
        </w:tabs>
        <w:spacing w:before="120" w:line="240" w:lineRule="auto"/>
        <w:ind w:left="1985" w:hanging="1985"/>
        <w:rPr>
          <w:rFonts w:ascii="Arial" w:hAnsi="Arial"/>
          <w:b/>
          <w:kern w:val="28"/>
          <w:sz w:val="32"/>
        </w:rPr>
      </w:pPr>
    </w:p>
    <w:p w:rsidR="006E3AAC" w:rsidRDefault="006E3AAC" w:rsidP="0081484C">
      <w:pPr>
        <w:pStyle w:val="notemargin"/>
        <w:tabs>
          <w:tab w:val="clear" w:pos="709"/>
          <w:tab w:val="left" w:pos="1985"/>
        </w:tabs>
        <w:spacing w:before="120" w:line="240" w:lineRule="auto"/>
        <w:ind w:left="1985" w:hanging="1985"/>
        <w:rPr>
          <w:rFonts w:ascii="Arial" w:hAnsi="Arial"/>
          <w:b/>
          <w:kern w:val="28"/>
          <w:sz w:val="32"/>
        </w:rPr>
      </w:pPr>
    </w:p>
    <w:p w:rsidR="006403E1" w:rsidRPr="000806FC" w:rsidRDefault="006403E1" w:rsidP="0081484C">
      <w:pPr>
        <w:pStyle w:val="notemargin"/>
        <w:tabs>
          <w:tab w:val="clear" w:pos="709"/>
          <w:tab w:val="left" w:pos="1985"/>
        </w:tabs>
        <w:spacing w:before="120" w:line="240" w:lineRule="auto"/>
        <w:ind w:left="1985" w:hanging="1985"/>
        <w:rPr>
          <w:rFonts w:ascii="Arial" w:hAnsi="Arial"/>
          <w:b/>
          <w:kern w:val="28"/>
          <w:sz w:val="32"/>
        </w:rPr>
      </w:pPr>
      <w:r w:rsidRPr="000806FC">
        <w:rPr>
          <w:rFonts w:ascii="Arial" w:hAnsi="Arial"/>
          <w:b/>
          <w:kern w:val="28"/>
          <w:sz w:val="32"/>
        </w:rPr>
        <w:t xml:space="preserve">Schedule </w:t>
      </w:r>
      <w:r>
        <w:rPr>
          <w:rFonts w:ascii="Arial" w:hAnsi="Arial"/>
          <w:b/>
          <w:kern w:val="28"/>
          <w:sz w:val="32"/>
        </w:rPr>
        <w:t>6</w:t>
      </w:r>
      <w:r w:rsidRPr="000806FC">
        <w:rPr>
          <w:rFonts w:ascii="Arial" w:hAnsi="Arial"/>
          <w:b/>
          <w:kern w:val="28"/>
          <w:sz w:val="32"/>
        </w:rPr>
        <w:tab/>
        <w:t>Amendment of Appropriation Act (No. </w:t>
      </w:r>
      <w:r>
        <w:rPr>
          <w:rFonts w:ascii="Arial" w:hAnsi="Arial"/>
          <w:b/>
          <w:kern w:val="28"/>
          <w:sz w:val="32"/>
        </w:rPr>
        <w:t>3</w:t>
      </w:r>
      <w:r w:rsidRPr="000806FC">
        <w:rPr>
          <w:rFonts w:ascii="Arial" w:hAnsi="Arial"/>
          <w:b/>
          <w:kern w:val="28"/>
          <w:sz w:val="32"/>
        </w:rPr>
        <w:t>) 2011</w:t>
      </w:r>
      <w:r w:rsidRPr="000806FC">
        <w:rPr>
          <w:rFonts w:ascii="Arial" w:hAnsi="Arial"/>
          <w:b/>
          <w:kern w:val="28"/>
          <w:sz w:val="32"/>
        </w:rPr>
        <w:noBreakHyphen/>
        <w:t>2012</w:t>
      </w:r>
    </w:p>
    <w:p w:rsidR="006403E1" w:rsidRDefault="006403E1" w:rsidP="004C1EC8">
      <w:pPr>
        <w:pStyle w:val="A1S"/>
        <w:spacing w:before="240" w:line="240" w:lineRule="auto"/>
        <w:ind w:left="426" w:hanging="426"/>
        <w:rPr>
          <w:bCs/>
        </w:rPr>
      </w:pPr>
      <w:r w:rsidRPr="00F3113A">
        <w:rPr>
          <w:bCs/>
        </w:rPr>
        <w:t>1</w:t>
      </w:r>
      <w:r>
        <w:rPr>
          <w:bCs/>
        </w:rPr>
        <w:tab/>
      </w:r>
      <w:proofErr w:type="gramStart"/>
      <w:r>
        <w:rPr>
          <w:bCs/>
        </w:rPr>
        <w:t>At</w:t>
      </w:r>
      <w:proofErr w:type="gramEnd"/>
      <w:r>
        <w:rPr>
          <w:bCs/>
        </w:rPr>
        <w:t xml:space="preserve"> the end of Schedule 1, on a new page</w:t>
      </w:r>
    </w:p>
    <w:p w:rsidR="006403E1" w:rsidRDefault="006403E1" w:rsidP="004C1EC8">
      <w:pPr>
        <w:rPr>
          <w:lang w:eastAsia="en-AU"/>
        </w:rPr>
      </w:pPr>
    </w:p>
    <w:p w:rsidR="006403E1" w:rsidRDefault="006403E1" w:rsidP="004C1EC8">
      <w:pPr>
        <w:rPr>
          <w:lang w:eastAsia="en-AU"/>
        </w:rPr>
      </w:pPr>
      <w:r>
        <w:rPr>
          <w:lang w:eastAsia="en-AU"/>
        </w:rPr>
        <w:tab/>
        <w:t>Insert:</w:t>
      </w:r>
    </w:p>
    <w:p w:rsidR="006403E1" w:rsidRDefault="006403E1" w:rsidP="004C1EC8">
      <w:pPr>
        <w:rPr>
          <w:rFonts w:ascii="Arial" w:hAnsi="Arial" w:cs="Arial"/>
          <w:b/>
          <w:sz w:val="32"/>
          <w:szCs w:val="32"/>
          <w:lang w:eastAsia="en-AU"/>
        </w:rPr>
      </w:pPr>
      <w:r w:rsidRPr="00D02B43">
        <w:rPr>
          <w:rFonts w:ascii="Arial" w:hAnsi="Arial" w:cs="Arial"/>
          <w:b/>
          <w:sz w:val="32"/>
          <w:szCs w:val="32"/>
          <w:lang w:eastAsia="en-AU"/>
        </w:rPr>
        <w:t xml:space="preserve">Amendment of Schedule </w:t>
      </w:r>
      <w:r>
        <w:rPr>
          <w:rFonts w:ascii="Arial" w:hAnsi="Arial" w:cs="Arial"/>
          <w:b/>
          <w:sz w:val="32"/>
          <w:szCs w:val="32"/>
          <w:lang w:eastAsia="en-AU"/>
        </w:rPr>
        <w:t>1</w:t>
      </w:r>
      <w:r w:rsidRPr="00D02B43">
        <w:rPr>
          <w:rFonts w:ascii="Arial" w:hAnsi="Arial" w:cs="Arial"/>
          <w:b/>
          <w:sz w:val="32"/>
          <w:szCs w:val="32"/>
          <w:lang w:eastAsia="en-AU"/>
        </w:rPr>
        <w:t xml:space="preserve"> arising from Determination(s) under section 32 of the Financial Management and Accountability Act 1997</w:t>
      </w:r>
    </w:p>
    <w:p w:rsidR="006403E1" w:rsidRPr="001030AF" w:rsidRDefault="006403E1" w:rsidP="001030AF">
      <w:pPr>
        <w:pStyle w:val="ItemHead"/>
        <w:ind w:left="1276" w:hanging="362"/>
      </w:pPr>
      <w:r w:rsidRPr="001030AF">
        <w:t>1</w:t>
      </w:r>
      <w:r w:rsidRPr="001030AF">
        <w:tab/>
      </w:r>
      <w:r>
        <w:t>FMA Act Determination 2013/05 — Section 32 (Transfer of Functions from DCCEE to DIICCSRTE and DRET</w:t>
      </w:r>
      <w:r w:rsidRPr="00B97560">
        <w:t>)</w:t>
      </w:r>
    </w:p>
    <w:p w:rsidR="006403E1" w:rsidRDefault="006403E1" w:rsidP="004C1EC8">
      <w:pPr>
        <w:pStyle w:val="Item"/>
        <w:ind w:left="990"/>
      </w:pPr>
      <w:r w:rsidRPr="00B97560">
        <w:t xml:space="preserve">Schedule 1 of this Act is amended </w:t>
      </w:r>
      <w:r>
        <w:t>in accordance with</w:t>
      </w:r>
      <w:r w:rsidRPr="00B97560">
        <w:t xml:space="preserve"> </w:t>
      </w:r>
      <w:r>
        <w:t>section 32</w:t>
      </w:r>
      <w:r w:rsidRPr="00B97560">
        <w:t xml:space="preserve"> of the </w:t>
      </w:r>
      <w:r w:rsidRPr="00B97560">
        <w:rPr>
          <w:i/>
        </w:rPr>
        <w:t>Financial Management and Accountability Act 1997</w:t>
      </w:r>
      <w:r w:rsidRPr="00B97560">
        <w:t xml:space="preserve"> (FMA Act). </w:t>
      </w:r>
      <w:r>
        <w:t>A</w:t>
      </w:r>
      <w:r w:rsidRPr="00B97560">
        <w:t xml:space="preserve">mendments to appropriations are as specified in </w:t>
      </w:r>
      <w:r>
        <w:t xml:space="preserve">the following table. The appropriation </w:t>
      </w:r>
      <w:r w:rsidRPr="00B97560">
        <w:t xml:space="preserve">item </w:t>
      </w:r>
      <w:r>
        <w:t>(</w:t>
      </w:r>
      <w:r w:rsidRPr="00B97560">
        <w:t>listed in Column 1</w:t>
      </w:r>
      <w:r>
        <w:t>)</w:t>
      </w:r>
      <w:r w:rsidRPr="00B97560">
        <w:t xml:space="preserve"> for the </w:t>
      </w:r>
      <w:r>
        <w:t>Agency</w:t>
      </w:r>
      <w:r w:rsidRPr="00B97560">
        <w:t xml:space="preserve"> </w:t>
      </w:r>
      <w:r>
        <w:t xml:space="preserve">(listed in </w:t>
      </w:r>
      <w:r w:rsidRPr="00B97560">
        <w:t>Column 2</w:t>
      </w:r>
      <w:r>
        <w:t xml:space="preserve">) is </w:t>
      </w:r>
      <w:r w:rsidRPr="00B97560">
        <w:t xml:space="preserve">amended by the </w:t>
      </w:r>
      <w:r>
        <w:t xml:space="preserve">relevant </w:t>
      </w:r>
      <w:r w:rsidRPr="00B97560">
        <w:t xml:space="preserve">amount </w:t>
      </w:r>
      <w:r>
        <w:t>(</w:t>
      </w:r>
      <w:r w:rsidRPr="00B97560">
        <w:t>listed in Column 3</w:t>
      </w:r>
      <w:r>
        <w:t>)</w:t>
      </w:r>
      <w:r w:rsidRPr="00B97560">
        <w:t>.</w:t>
      </w:r>
      <w:r>
        <w:t xml:space="preserve"> </w:t>
      </w:r>
      <w:r>
        <w:br/>
        <w:t>A positive amount in Column 3 is an increase in the appropriation and a negative amount is a decrease in the appropriation.</w:t>
      </w:r>
    </w:p>
    <w:p w:rsidR="006403E1" w:rsidRPr="00040D9A" w:rsidRDefault="006403E1" w:rsidP="004C1EC8">
      <w:pPr>
        <w:pStyle w:val="ItemHead"/>
        <w:ind w:left="990" w:firstLine="0"/>
        <w:rPr>
          <w:rFonts w:ascii="Times New Roman" w:hAnsi="Times New Roman"/>
          <w:b w:val="0"/>
          <w:sz w:val="22"/>
          <w:szCs w:val="22"/>
        </w:rPr>
      </w:pPr>
      <w:r w:rsidRPr="00040D9A">
        <w:rPr>
          <w:rFonts w:ascii="Times New Roman" w:hAnsi="Times New Roman"/>
          <w:sz w:val="22"/>
          <w:szCs w:val="22"/>
        </w:rPr>
        <w:t xml:space="preserve">Table </w:t>
      </w:r>
      <w:r>
        <w:rPr>
          <w:rFonts w:ascii="Times New Roman" w:hAnsi="Times New Roman"/>
          <w:sz w:val="22"/>
          <w:szCs w:val="22"/>
        </w:rPr>
        <w:t>1</w:t>
      </w:r>
    </w:p>
    <w:p w:rsidR="006403E1" w:rsidRPr="00AF371C" w:rsidRDefault="006403E1" w:rsidP="004C1EC8"/>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3109"/>
        <w:gridCol w:w="2697"/>
        <w:gridCol w:w="1559"/>
      </w:tblGrid>
      <w:tr w:rsidR="006403E1" w:rsidRPr="006F4315" w:rsidTr="00824D82">
        <w:trPr>
          <w:tblHeader/>
        </w:trPr>
        <w:tc>
          <w:tcPr>
            <w:tcW w:w="8079" w:type="dxa"/>
            <w:gridSpan w:val="4"/>
            <w:tcBorders>
              <w:top w:val="single" w:sz="12" w:space="0" w:color="auto"/>
              <w:bottom w:val="single" w:sz="6" w:space="0" w:color="auto"/>
            </w:tcBorders>
          </w:tcPr>
          <w:p w:rsidR="006403E1" w:rsidRDefault="006403E1" w:rsidP="00824D82">
            <w:pPr>
              <w:pStyle w:val="TableHeading"/>
            </w:pPr>
            <w:r>
              <w:t>Amendment of appropriations</w:t>
            </w:r>
          </w:p>
        </w:tc>
      </w:tr>
      <w:tr w:rsidR="006403E1" w:rsidRPr="006F4315" w:rsidTr="00824D82">
        <w:trPr>
          <w:tblHeader/>
        </w:trPr>
        <w:tc>
          <w:tcPr>
            <w:tcW w:w="714" w:type="dxa"/>
            <w:tcBorders>
              <w:top w:val="single" w:sz="6" w:space="0" w:color="auto"/>
              <w:bottom w:val="single" w:sz="6" w:space="0" w:color="auto"/>
            </w:tcBorders>
          </w:tcPr>
          <w:p w:rsidR="006403E1" w:rsidRDefault="006403E1" w:rsidP="00824D82">
            <w:pPr>
              <w:pStyle w:val="TableHeading"/>
            </w:pPr>
          </w:p>
        </w:tc>
        <w:tc>
          <w:tcPr>
            <w:tcW w:w="3109" w:type="dxa"/>
            <w:tcBorders>
              <w:top w:val="single" w:sz="6" w:space="0" w:color="auto"/>
              <w:bottom w:val="single" w:sz="6" w:space="0" w:color="auto"/>
            </w:tcBorders>
          </w:tcPr>
          <w:p w:rsidR="006403E1" w:rsidRDefault="006403E1" w:rsidP="00824D82">
            <w:pPr>
              <w:pStyle w:val="TableHeading"/>
            </w:pPr>
            <w:r>
              <w:t>Column 1</w:t>
            </w:r>
          </w:p>
        </w:tc>
        <w:tc>
          <w:tcPr>
            <w:tcW w:w="2697" w:type="dxa"/>
            <w:tcBorders>
              <w:top w:val="single" w:sz="6" w:space="0" w:color="auto"/>
              <w:bottom w:val="single" w:sz="6" w:space="0" w:color="auto"/>
            </w:tcBorders>
          </w:tcPr>
          <w:p w:rsidR="006403E1" w:rsidRDefault="006403E1" w:rsidP="00824D82">
            <w:pPr>
              <w:pStyle w:val="TableHeading"/>
            </w:pPr>
            <w:r>
              <w:t>Column 2</w:t>
            </w:r>
          </w:p>
        </w:tc>
        <w:tc>
          <w:tcPr>
            <w:tcW w:w="1559" w:type="dxa"/>
            <w:tcBorders>
              <w:top w:val="single" w:sz="6" w:space="0" w:color="auto"/>
              <w:bottom w:val="single" w:sz="6" w:space="0" w:color="auto"/>
            </w:tcBorders>
          </w:tcPr>
          <w:p w:rsidR="006403E1" w:rsidRDefault="006403E1" w:rsidP="00824D82">
            <w:pPr>
              <w:pStyle w:val="TableHeading"/>
            </w:pPr>
            <w:r>
              <w:t>Column 3</w:t>
            </w:r>
          </w:p>
        </w:tc>
      </w:tr>
      <w:tr w:rsidR="006403E1" w:rsidRPr="006F4315" w:rsidTr="0081484C">
        <w:trPr>
          <w:tblHeader/>
        </w:trPr>
        <w:tc>
          <w:tcPr>
            <w:tcW w:w="714" w:type="dxa"/>
            <w:tcBorders>
              <w:top w:val="single" w:sz="6" w:space="0" w:color="auto"/>
              <w:bottom w:val="single" w:sz="12" w:space="0" w:color="auto"/>
            </w:tcBorders>
          </w:tcPr>
          <w:p w:rsidR="006403E1" w:rsidRDefault="006403E1" w:rsidP="00824D82">
            <w:pPr>
              <w:pStyle w:val="TableHeading"/>
            </w:pPr>
            <w:r>
              <w:t>Item</w:t>
            </w:r>
          </w:p>
        </w:tc>
        <w:tc>
          <w:tcPr>
            <w:tcW w:w="3109" w:type="dxa"/>
            <w:tcBorders>
              <w:top w:val="single" w:sz="6" w:space="0" w:color="auto"/>
              <w:bottom w:val="single" w:sz="12" w:space="0" w:color="auto"/>
            </w:tcBorders>
          </w:tcPr>
          <w:p w:rsidR="006403E1" w:rsidRDefault="006403E1" w:rsidP="00824D82">
            <w:pPr>
              <w:pStyle w:val="TableHeading"/>
            </w:pPr>
            <w:r>
              <w:t>Appropriation item</w:t>
            </w:r>
          </w:p>
        </w:tc>
        <w:tc>
          <w:tcPr>
            <w:tcW w:w="2697" w:type="dxa"/>
            <w:tcBorders>
              <w:top w:val="single" w:sz="6" w:space="0" w:color="auto"/>
              <w:bottom w:val="single" w:sz="12" w:space="0" w:color="auto"/>
            </w:tcBorders>
          </w:tcPr>
          <w:p w:rsidR="006403E1" w:rsidRDefault="006403E1" w:rsidP="00824D82">
            <w:pPr>
              <w:pStyle w:val="TableHeading"/>
            </w:pPr>
            <w:r>
              <w:t>Agency</w:t>
            </w:r>
          </w:p>
        </w:tc>
        <w:tc>
          <w:tcPr>
            <w:tcW w:w="1559" w:type="dxa"/>
            <w:tcBorders>
              <w:top w:val="single" w:sz="6" w:space="0" w:color="auto"/>
              <w:bottom w:val="single" w:sz="12" w:space="0" w:color="auto"/>
            </w:tcBorders>
          </w:tcPr>
          <w:p w:rsidR="006403E1" w:rsidRDefault="006403E1" w:rsidP="00824D82">
            <w:pPr>
              <w:pStyle w:val="TableHeading"/>
              <w:jc w:val="right"/>
            </w:pPr>
            <w:r>
              <w:t>Amount $</w:t>
            </w:r>
          </w:p>
        </w:tc>
      </w:tr>
      <w:tr w:rsidR="006403E1" w:rsidRPr="006F4315" w:rsidTr="0081484C">
        <w:tc>
          <w:tcPr>
            <w:tcW w:w="714" w:type="dxa"/>
            <w:tcBorders>
              <w:top w:val="single" w:sz="12" w:space="0" w:color="auto"/>
            </w:tcBorders>
          </w:tcPr>
          <w:p w:rsidR="006403E1" w:rsidRDefault="006403E1" w:rsidP="00824D82">
            <w:pPr>
              <w:pStyle w:val="Tabletext"/>
            </w:pPr>
            <w:r>
              <w:t>1</w:t>
            </w:r>
          </w:p>
        </w:tc>
        <w:tc>
          <w:tcPr>
            <w:tcW w:w="3109" w:type="dxa"/>
            <w:tcBorders>
              <w:top w:val="single" w:sz="12" w:space="0" w:color="auto"/>
            </w:tcBorders>
          </w:tcPr>
          <w:p w:rsidR="006403E1" w:rsidRDefault="006403E1" w:rsidP="001C7A04">
            <w:pPr>
              <w:pStyle w:val="Tabletext"/>
              <w:keepNext/>
              <w:keepLines/>
            </w:pPr>
            <w:r>
              <w:t>Administered item, Outcome 4</w:t>
            </w:r>
          </w:p>
          <w:p w:rsidR="006403E1" w:rsidRDefault="006403E1" w:rsidP="0081484C">
            <w:pPr>
              <w:pStyle w:val="Tabletext"/>
            </w:pPr>
          </w:p>
        </w:tc>
        <w:tc>
          <w:tcPr>
            <w:tcW w:w="2697" w:type="dxa"/>
            <w:tcBorders>
              <w:top w:val="single" w:sz="12" w:space="0" w:color="auto"/>
            </w:tcBorders>
          </w:tcPr>
          <w:p w:rsidR="006403E1" w:rsidRDefault="006403E1" w:rsidP="00824D82">
            <w:pPr>
              <w:pStyle w:val="Tabletext"/>
            </w:pPr>
            <w:r w:rsidRPr="003C3092">
              <w:t>Department of Industry, Innovation, Climate Change, Science, Research and Tertiary Education</w:t>
            </w:r>
          </w:p>
        </w:tc>
        <w:tc>
          <w:tcPr>
            <w:tcW w:w="1559" w:type="dxa"/>
            <w:tcBorders>
              <w:top w:val="single" w:sz="12" w:space="0" w:color="auto"/>
            </w:tcBorders>
          </w:tcPr>
          <w:p w:rsidR="006403E1" w:rsidRDefault="006403E1" w:rsidP="0081484C">
            <w:pPr>
              <w:pStyle w:val="Tabletext"/>
              <w:jc w:val="right"/>
            </w:pPr>
            <w:r w:rsidRPr="00AF371C">
              <w:t>+</w:t>
            </w:r>
            <w:r>
              <w:t>1,173,964.63</w:t>
            </w:r>
          </w:p>
        </w:tc>
      </w:tr>
      <w:tr w:rsidR="006403E1" w:rsidRPr="006F4315" w:rsidTr="0081484C">
        <w:tc>
          <w:tcPr>
            <w:tcW w:w="714" w:type="dxa"/>
          </w:tcPr>
          <w:p w:rsidR="006403E1" w:rsidRDefault="006403E1" w:rsidP="00824D82">
            <w:pPr>
              <w:pStyle w:val="Tabletext"/>
            </w:pPr>
            <w:r>
              <w:t>2</w:t>
            </w:r>
          </w:p>
        </w:tc>
        <w:tc>
          <w:tcPr>
            <w:tcW w:w="3109" w:type="dxa"/>
          </w:tcPr>
          <w:p w:rsidR="006403E1" w:rsidRDefault="006403E1" w:rsidP="001C7A04">
            <w:pPr>
              <w:pStyle w:val="Tabletext"/>
              <w:keepNext/>
              <w:keepLines/>
            </w:pPr>
            <w:r>
              <w:t>Administered item, Outcome 1</w:t>
            </w:r>
          </w:p>
          <w:p w:rsidR="006403E1" w:rsidRDefault="006403E1" w:rsidP="0081484C">
            <w:pPr>
              <w:pStyle w:val="Tabletext"/>
              <w:keepNext/>
              <w:keepLines/>
            </w:pPr>
          </w:p>
        </w:tc>
        <w:tc>
          <w:tcPr>
            <w:tcW w:w="2697" w:type="dxa"/>
          </w:tcPr>
          <w:p w:rsidR="006403E1" w:rsidRPr="003C3092" w:rsidRDefault="006403E1" w:rsidP="00824D82">
            <w:pPr>
              <w:pStyle w:val="Tabletext"/>
            </w:pPr>
            <w:r w:rsidRPr="004E5756">
              <w:t>Department of</w:t>
            </w:r>
            <w:r>
              <w:t xml:space="preserve"> Resources, Energy and Tourism</w:t>
            </w:r>
          </w:p>
        </w:tc>
        <w:tc>
          <w:tcPr>
            <w:tcW w:w="1559" w:type="dxa"/>
          </w:tcPr>
          <w:p w:rsidR="006403E1" w:rsidRPr="00AF371C" w:rsidRDefault="006403E1" w:rsidP="0081484C">
            <w:pPr>
              <w:pStyle w:val="Tabletext"/>
              <w:jc w:val="right"/>
            </w:pPr>
            <w:r>
              <w:t>+27,909,028.85</w:t>
            </w:r>
          </w:p>
        </w:tc>
      </w:tr>
      <w:tr w:rsidR="006403E1" w:rsidRPr="006F4315" w:rsidTr="00824D82">
        <w:tc>
          <w:tcPr>
            <w:tcW w:w="714" w:type="dxa"/>
            <w:tcBorders>
              <w:bottom w:val="single" w:sz="12" w:space="0" w:color="auto"/>
            </w:tcBorders>
          </w:tcPr>
          <w:p w:rsidR="006403E1" w:rsidRPr="00AF371C" w:rsidRDefault="006403E1" w:rsidP="00824D82">
            <w:pPr>
              <w:pStyle w:val="Tabletext"/>
            </w:pPr>
            <w:r>
              <w:t>3</w:t>
            </w:r>
          </w:p>
        </w:tc>
        <w:tc>
          <w:tcPr>
            <w:tcW w:w="3109" w:type="dxa"/>
            <w:tcBorders>
              <w:bottom w:val="single" w:sz="12" w:space="0" w:color="auto"/>
            </w:tcBorders>
          </w:tcPr>
          <w:p w:rsidR="006403E1" w:rsidRPr="00AF371C" w:rsidRDefault="006403E1" w:rsidP="001C7A04">
            <w:pPr>
              <w:pStyle w:val="Tabletext"/>
            </w:pPr>
            <w:r>
              <w:t>Administered item, Outcome 1</w:t>
            </w:r>
          </w:p>
          <w:p w:rsidR="006403E1" w:rsidRPr="00AF371C" w:rsidRDefault="006403E1" w:rsidP="0081484C">
            <w:pPr>
              <w:pStyle w:val="Tabletext"/>
            </w:pPr>
          </w:p>
        </w:tc>
        <w:tc>
          <w:tcPr>
            <w:tcW w:w="2697" w:type="dxa"/>
            <w:tcBorders>
              <w:bottom w:val="single" w:sz="12" w:space="0" w:color="auto"/>
            </w:tcBorders>
          </w:tcPr>
          <w:p w:rsidR="006403E1" w:rsidRPr="00AF371C" w:rsidRDefault="006403E1" w:rsidP="00824D82">
            <w:pPr>
              <w:pStyle w:val="Tabletext"/>
            </w:pPr>
            <w:r>
              <w:t>Department of Climate Change and Energy Efficiency</w:t>
            </w:r>
          </w:p>
        </w:tc>
        <w:tc>
          <w:tcPr>
            <w:tcW w:w="1559" w:type="dxa"/>
            <w:tcBorders>
              <w:bottom w:val="single" w:sz="12" w:space="0" w:color="auto"/>
            </w:tcBorders>
          </w:tcPr>
          <w:p w:rsidR="006403E1" w:rsidRDefault="006403E1" w:rsidP="0081484C">
            <w:pPr>
              <w:pStyle w:val="Tabletext"/>
              <w:jc w:val="right"/>
            </w:pPr>
            <w:r w:rsidRPr="00AF371C">
              <w:t>-</w:t>
            </w:r>
            <w:r>
              <w:t>29,082,993.48</w:t>
            </w:r>
          </w:p>
        </w:tc>
      </w:tr>
    </w:tbl>
    <w:p w:rsidR="006403E1" w:rsidRDefault="006403E1" w:rsidP="004C1EC8">
      <w:pPr>
        <w:pStyle w:val="notetext"/>
      </w:pPr>
      <w:r w:rsidRPr="00D02B43">
        <w:t xml:space="preserve">Note: </w:t>
      </w:r>
      <w:r w:rsidRPr="00D02B43">
        <w:tab/>
        <w:t xml:space="preserve">Section 32 of the FMA Act enables the Finance Minister to determine that Schedules to Appropriation Acts are amended in relation to a transfer of functions between Agencies. A determination under section 32 of the FMA Act cannot result in a change to the total amount appropriated. </w:t>
      </w:r>
      <w:r w:rsidRPr="002835A6">
        <w:rPr>
          <w:i/>
        </w:rPr>
        <w:t>FMA Act Determination 2013/05 — Section 32 (Transfer of Functions from DCCEE to DIICCSRTE and DRET)</w:t>
      </w:r>
      <w:r w:rsidRPr="00D02B43">
        <w:t xml:space="preserve"> affects this Act</w:t>
      </w:r>
      <w:r>
        <w:t xml:space="preserve"> </w:t>
      </w:r>
      <w:r w:rsidRPr="00D02B43">
        <w:t>in a specified way to result in no change to the total amount appropriated.</w:t>
      </w:r>
    </w:p>
    <w:p w:rsidR="006403E1" w:rsidRDefault="006403E1" w:rsidP="001B58AD">
      <w:pPr>
        <w:pStyle w:val="notetext"/>
        <w:ind w:firstLine="0"/>
      </w:pPr>
      <w:r>
        <w:t xml:space="preserve">As a result of amendments to the </w:t>
      </w:r>
      <w:r>
        <w:rPr>
          <w:i/>
        </w:rPr>
        <w:t>Administrative Arrangements Order</w:t>
      </w:r>
      <w:r>
        <w:t xml:space="preserve">, made on 25 March 2013, the </w:t>
      </w:r>
      <w:r w:rsidRPr="007374FD">
        <w:rPr>
          <w:szCs w:val="18"/>
        </w:rPr>
        <w:t>Department of Industry, Innovation, Science, Research and Tertiary Education</w:t>
      </w:r>
      <w:r>
        <w:t xml:space="preserve"> (DIISRTE) was renamed the </w:t>
      </w:r>
      <w:r w:rsidRPr="00201A76">
        <w:t>Department of Industry, Innovation, Climate Change, Science, Research and Tertiary Education</w:t>
      </w:r>
      <w:r>
        <w:t xml:space="preserve"> (DIICCSRTE).</w:t>
      </w:r>
    </w:p>
    <w:p w:rsidR="00165DEF" w:rsidRDefault="00165DEF">
      <w:pPr>
        <w:spacing w:line="240" w:lineRule="auto"/>
        <w:rPr>
          <w:rFonts w:ascii="Arial" w:eastAsia="Times New Roman" w:hAnsi="Arial"/>
          <w:b/>
          <w:bCs/>
          <w:sz w:val="24"/>
          <w:szCs w:val="24"/>
          <w:lang w:eastAsia="en-AU"/>
        </w:rPr>
      </w:pPr>
      <w:r>
        <w:rPr>
          <w:bCs/>
        </w:rPr>
        <w:br w:type="page"/>
      </w:r>
    </w:p>
    <w:p w:rsidR="006403E1" w:rsidRPr="00F3113A" w:rsidRDefault="006403E1" w:rsidP="004C1EC8">
      <w:pPr>
        <w:pStyle w:val="A1S"/>
        <w:spacing w:before="240" w:line="240" w:lineRule="auto"/>
        <w:ind w:left="426" w:hanging="426"/>
        <w:rPr>
          <w:bCs/>
        </w:rPr>
      </w:pPr>
      <w:r>
        <w:rPr>
          <w:bCs/>
        </w:rPr>
        <w:t>2</w:t>
      </w:r>
      <w:r>
        <w:rPr>
          <w:bCs/>
        </w:rPr>
        <w:tab/>
        <w:t xml:space="preserve">Schedule 1, </w:t>
      </w:r>
      <w:r w:rsidRPr="00335BCD">
        <w:rPr>
          <w:bCs/>
        </w:rPr>
        <w:t>Climate Change and Energy Efficiency portfolio, after the Department of Climate Change and Energy Efficiency table</w:t>
      </w:r>
    </w:p>
    <w:p w:rsidR="006403E1" w:rsidRPr="00AF371C" w:rsidRDefault="006403E1" w:rsidP="004C1EC8">
      <w:pPr>
        <w:pStyle w:val="Item"/>
      </w:pPr>
      <w:r w:rsidRPr="0060183A">
        <w:t>Insert</w:t>
      </w:r>
      <w:r>
        <w:t>:</w:t>
      </w:r>
    </w:p>
    <w:p w:rsidR="006403E1" w:rsidRPr="003A1BB7" w:rsidRDefault="006403E1" w:rsidP="004C1EC8">
      <w:pPr>
        <w:pStyle w:val="notetext"/>
        <w:rPr>
          <w:szCs w:val="18"/>
        </w:rPr>
      </w:pPr>
      <w:r w:rsidRPr="003A1BB7">
        <w:rPr>
          <w:szCs w:val="18"/>
        </w:rPr>
        <w:t>Note 1:</w:t>
      </w:r>
      <w:r w:rsidRPr="003A1BB7">
        <w:rPr>
          <w:szCs w:val="18"/>
        </w:rPr>
        <w:tab/>
      </w:r>
      <w:r w:rsidRPr="003A1BB7">
        <w:rPr>
          <w:i/>
          <w:szCs w:val="18"/>
        </w:rPr>
        <w:t>FMA Act Determination 2013/05 — Section 32 (Transfer of Functions from DCCEE to DIICCSRTE and DRET)</w:t>
      </w:r>
      <w:r w:rsidRPr="003A1BB7">
        <w:rPr>
          <w:szCs w:val="18"/>
        </w:rPr>
        <w:t xml:space="preserve"> reduced the administered item</w:t>
      </w:r>
      <w:r w:rsidRPr="003A1BB7" w:rsidDel="007F010D">
        <w:rPr>
          <w:szCs w:val="18"/>
        </w:rPr>
        <w:t xml:space="preserve"> </w:t>
      </w:r>
      <w:r w:rsidRPr="003A1BB7">
        <w:rPr>
          <w:szCs w:val="18"/>
        </w:rPr>
        <w:t xml:space="preserve">for Outcome 1 for the former Department of Climate Change and Energy Efficiency (DCCEE) in accordance with Table 1 at the end of Schedule 1 to this Act. </w:t>
      </w:r>
    </w:p>
    <w:p w:rsidR="006403E1" w:rsidRPr="003A1BB7" w:rsidRDefault="006403E1" w:rsidP="00630276">
      <w:pPr>
        <w:pStyle w:val="notetext"/>
        <w:ind w:firstLine="0"/>
        <w:rPr>
          <w:szCs w:val="18"/>
        </w:rPr>
      </w:pPr>
      <w:r w:rsidRPr="003A1BB7">
        <w:rPr>
          <w:szCs w:val="18"/>
        </w:rPr>
        <w:t xml:space="preserve">These changes were made to implement the amendments to the </w:t>
      </w:r>
      <w:r w:rsidRPr="003A1BB7">
        <w:rPr>
          <w:i/>
          <w:szCs w:val="18"/>
        </w:rPr>
        <w:t>Administrative Arrangements Order</w:t>
      </w:r>
      <w:r w:rsidRPr="003A1BB7">
        <w:rPr>
          <w:szCs w:val="18"/>
        </w:rPr>
        <w:t xml:space="preserve"> made on 25 March 2013. Functions of the former DCCEE were transferred:</w:t>
      </w:r>
    </w:p>
    <w:p w:rsidR="006403E1" w:rsidRPr="003A1BB7" w:rsidRDefault="006403E1" w:rsidP="00630276">
      <w:pPr>
        <w:pStyle w:val="Notepara0"/>
        <w:numPr>
          <w:ilvl w:val="0"/>
          <w:numId w:val="29"/>
        </w:numPr>
        <w:tabs>
          <w:tab w:val="left" w:pos="1276"/>
        </w:tabs>
        <w:spacing w:before="120" w:after="100" w:afterAutospacing="1" w:line="240" w:lineRule="auto"/>
        <w:ind w:left="2410" w:hanging="425"/>
        <w:jc w:val="left"/>
        <w:rPr>
          <w:sz w:val="18"/>
          <w:szCs w:val="18"/>
        </w:rPr>
      </w:pPr>
      <w:r w:rsidRPr="003A1BB7">
        <w:rPr>
          <w:sz w:val="18"/>
          <w:szCs w:val="18"/>
        </w:rPr>
        <w:t xml:space="preserve">in relation to climate change, to </w:t>
      </w:r>
      <w:r w:rsidR="003F2173">
        <w:rPr>
          <w:sz w:val="18"/>
          <w:szCs w:val="18"/>
        </w:rPr>
        <w:t xml:space="preserve">the </w:t>
      </w:r>
      <w:r w:rsidRPr="003A1BB7">
        <w:rPr>
          <w:sz w:val="18"/>
          <w:szCs w:val="18"/>
        </w:rPr>
        <w:t>Department of Industry, Innovation, Climate Change, Science, Research and Tertiary Education; and</w:t>
      </w:r>
    </w:p>
    <w:p w:rsidR="006403E1" w:rsidRPr="003A1BB7" w:rsidRDefault="006403E1" w:rsidP="00630276">
      <w:pPr>
        <w:pStyle w:val="Notepara0"/>
        <w:numPr>
          <w:ilvl w:val="0"/>
          <w:numId w:val="29"/>
        </w:numPr>
        <w:tabs>
          <w:tab w:val="left" w:pos="709"/>
        </w:tabs>
        <w:spacing w:before="120" w:after="100" w:afterAutospacing="1" w:line="240" w:lineRule="auto"/>
        <w:ind w:left="2410" w:hanging="425"/>
        <w:jc w:val="left"/>
        <w:rPr>
          <w:sz w:val="18"/>
          <w:szCs w:val="18"/>
        </w:rPr>
      </w:pPr>
      <w:proofErr w:type="gramStart"/>
      <w:r w:rsidRPr="003A1BB7">
        <w:rPr>
          <w:sz w:val="18"/>
          <w:szCs w:val="18"/>
        </w:rPr>
        <w:t>in</w:t>
      </w:r>
      <w:proofErr w:type="gramEnd"/>
      <w:r w:rsidRPr="003A1BB7">
        <w:rPr>
          <w:sz w:val="18"/>
          <w:szCs w:val="18"/>
        </w:rPr>
        <w:t xml:space="preserve"> relation to energy efficiency, to</w:t>
      </w:r>
      <w:r w:rsidR="003F2173">
        <w:rPr>
          <w:sz w:val="18"/>
          <w:szCs w:val="18"/>
        </w:rPr>
        <w:t xml:space="preserve"> the</w:t>
      </w:r>
      <w:r w:rsidRPr="003A1BB7">
        <w:rPr>
          <w:sz w:val="18"/>
          <w:szCs w:val="18"/>
        </w:rPr>
        <w:t xml:space="preserve"> Department of Resources, Energy and Tourism.</w:t>
      </w:r>
    </w:p>
    <w:p w:rsidR="006403E1" w:rsidRPr="00783D6F" w:rsidRDefault="006403E1" w:rsidP="00275FAA">
      <w:pPr>
        <w:pStyle w:val="A1S"/>
        <w:spacing w:before="240" w:line="240" w:lineRule="auto"/>
        <w:ind w:left="426" w:hanging="426"/>
        <w:rPr>
          <w:bCs/>
        </w:rPr>
      </w:pPr>
      <w:r>
        <w:rPr>
          <w:bCs/>
        </w:rPr>
        <w:t>3</w:t>
      </w:r>
      <w:r>
        <w:rPr>
          <w:bCs/>
        </w:rPr>
        <w:tab/>
        <w:t>Schedule 1, Industry, Innovation, Science, Research and Tertiary Education</w:t>
      </w:r>
      <w:r w:rsidRPr="00E7285F">
        <w:rPr>
          <w:bCs/>
        </w:rPr>
        <w:t xml:space="preserve"> portfolio, </w:t>
      </w:r>
      <w:r>
        <w:rPr>
          <w:bCs/>
        </w:rPr>
        <w:t xml:space="preserve">Department of Industry, Innovation, Science, Research and Tertiary Education </w:t>
      </w:r>
      <w:r w:rsidRPr="00E7285F">
        <w:rPr>
          <w:bCs/>
        </w:rPr>
        <w:t>tabl</w:t>
      </w:r>
      <w:r>
        <w:rPr>
          <w:bCs/>
        </w:rPr>
        <w:t>e</w:t>
      </w:r>
      <w:r w:rsidRPr="00783D6F">
        <w:rPr>
          <w:bCs/>
        </w:rPr>
        <w:t xml:space="preserve"> between</w:t>
      </w:r>
      <w:r>
        <w:rPr>
          <w:bCs/>
        </w:rPr>
        <w:t xml:space="preserve"> the row for</w:t>
      </w:r>
      <w:r w:rsidRPr="00783D6F">
        <w:rPr>
          <w:bCs/>
        </w:rPr>
        <w:t xml:space="preserve"> “Outcome </w:t>
      </w:r>
      <w:r>
        <w:rPr>
          <w:bCs/>
        </w:rPr>
        <w:t xml:space="preserve">1 - </w:t>
      </w:r>
      <w:r>
        <w:t xml:space="preserve">The sustainable development and growth of Australian industry </w:t>
      </w:r>
      <w:r>
        <w:noBreakHyphen/>
        <w:t xml:space="preserve"> particularly the manufacturing, services and small business sectors </w:t>
      </w:r>
      <w:r>
        <w:noBreakHyphen/>
        <w:t xml:space="preserve"> by encouraging businesses to innovate, collaborate and commercialise ideas, and by delivering business advice, assistance and services</w:t>
      </w:r>
      <w:r w:rsidRPr="00783D6F">
        <w:rPr>
          <w:bCs/>
        </w:rPr>
        <w:t>” and</w:t>
      </w:r>
      <w:r>
        <w:rPr>
          <w:bCs/>
        </w:rPr>
        <w:t xml:space="preserve"> the row for</w:t>
      </w:r>
      <w:r w:rsidRPr="00783D6F">
        <w:rPr>
          <w:bCs/>
        </w:rPr>
        <w:t xml:space="preserve"> “Total: </w:t>
      </w:r>
      <w:r>
        <w:rPr>
          <w:bCs/>
        </w:rPr>
        <w:t>Department of Industry, Innovation, Science, Research and Tertiary Education</w:t>
      </w:r>
      <w:r w:rsidRPr="00783D6F">
        <w:rPr>
          <w:bCs/>
        </w:rPr>
        <w:t>”</w:t>
      </w:r>
    </w:p>
    <w:p w:rsidR="006403E1" w:rsidRDefault="006403E1" w:rsidP="00275FAA">
      <w:pPr>
        <w:pStyle w:val="Item"/>
      </w:pPr>
      <w:r>
        <w:t>Insert a new row:</w:t>
      </w:r>
    </w:p>
    <w:tbl>
      <w:tblPr>
        <w:tblW w:w="7031" w:type="dxa"/>
        <w:tblInd w:w="1023" w:type="dxa"/>
        <w:tblLayout w:type="fixed"/>
        <w:tblCellMar>
          <w:left w:w="30" w:type="dxa"/>
          <w:right w:w="30" w:type="dxa"/>
        </w:tblCellMar>
        <w:tblLook w:val="0000"/>
      </w:tblPr>
      <w:tblGrid>
        <w:gridCol w:w="3612"/>
        <w:gridCol w:w="1168"/>
        <w:gridCol w:w="1083"/>
        <w:gridCol w:w="1168"/>
      </w:tblGrid>
      <w:tr w:rsidR="00D81032" w:rsidTr="00D81032">
        <w:tc>
          <w:tcPr>
            <w:tcW w:w="3612" w:type="dxa"/>
            <w:vMerge w:val="restart"/>
          </w:tcPr>
          <w:p w:rsidR="00D81032" w:rsidRDefault="00D81032" w:rsidP="00D81032">
            <w:pPr>
              <w:pStyle w:val="FinTableLeftBold"/>
              <w:keepNext/>
            </w:pPr>
          </w:p>
          <w:p w:rsidR="00D81032" w:rsidRPr="003965A8" w:rsidRDefault="00D81032" w:rsidP="00D81032">
            <w:pPr>
              <w:pStyle w:val="FinTableLeftBold"/>
              <w:keepNext/>
            </w:pPr>
            <w:r w:rsidRPr="003965A8">
              <w:t>Outcome 4 –</w:t>
            </w:r>
          </w:p>
          <w:p w:rsidR="00D81032" w:rsidRDefault="00D81032" w:rsidP="00D81032">
            <w:pPr>
              <w:pStyle w:val="FinTableLeftIndent"/>
              <w:keepNext/>
            </w:pPr>
            <w:r w:rsidRPr="000806FC">
              <w:t>Reduction of Australia’s greenhouse gas emissions, adaptation to the impacts of climate change, and negotiation of an effective global solution, through the development and implementation of a national response to climate change; and bilateral, regional and multilateral engagement internationally</w:t>
            </w:r>
          </w:p>
        </w:tc>
        <w:tc>
          <w:tcPr>
            <w:tcW w:w="1168" w:type="dxa"/>
          </w:tcPr>
          <w:p w:rsidR="00D81032" w:rsidRDefault="00D81032" w:rsidP="00D81032">
            <w:pPr>
              <w:pStyle w:val="FinTableRight"/>
              <w:keepNext/>
            </w:pPr>
          </w:p>
        </w:tc>
        <w:tc>
          <w:tcPr>
            <w:tcW w:w="1083" w:type="dxa"/>
          </w:tcPr>
          <w:p w:rsidR="00D81032" w:rsidRDefault="00D81032" w:rsidP="00D81032">
            <w:pPr>
              <w:pStyle w:val="FinTableRight"/>
              <w:keepNext/>
            </w:pPr>
          </w:p>
          <w:p w:rsidR="00D81032" w:rsidRDefault="00D81032" w:rsidP="00D81032">
            <w:pPr>
              <w:pStyle w:val="FinTableRight"/>
              <w:keepNext/>
            </w:pPr>
          </w:p>
        </w:tc>
        <w:tc>
          <w:tcPr>
            <w:tcW w:w="1168" w:type="dxa"/>
          </w:tcPr>
          <w:p w:rsidR="00D81032" w:rsidRDefault="00D81032" w:rsidP="00D81032">
            <w:pPr>
              <w:pStyle w:val="FinTableRight"/>
              <w:keepNext/>
            </w:pPr>
          </w:p>
        </w:tc>
      </w:tr>
      <w:tr w:rsidR="00D81032" w:rsidTr="00D81032">
        <w:tc>
          <w:tcPr>
            <w:tcW w:w="3612" w:type="dxa"/>
            <w:vMerge/>
          </w:tcPr>
          <w:p w:rsidR="00D81032" w:rsidRDefault="00D81032" w:rsidP="00D81032">
            <w:pPr>
              <w:pStyle w:val="FinTableRight"/>
              <w:keepNext/>
            </w:pPr>
          </w:p>
        </w:tc>
        <w:tc>
          <w:tcPr>
            <w:tcW w:w="1168" w:type="dxa"/>
          </w:tcPr>
          <w:p w:rsidR="00D81032" w:rsidRDefault="003400EA" w:rsidP="00D81032">
            <w:pPr>
              <w:pStyle w:val="FinTableRightBold"/>
              <w:keepNext/>
            </w:pPr>
            <w:r>
              <w:t>0</w:t>
            </w:r>
          </w:p>
        </w:tc>
        <w:tc>
          <w:tcPr>
            <w:tcW w:w="1083" w:type="dxa"/>
          </w:tcPr>
          <w:p w:rsidR="00D81032" w:rsidRPr="00956E09" w:rsidRDefault="003400EA" w:rsidP="00D81032">
            <w:pPr>
              <w:pStyle w:val="FinTableRightBold"/>
              <w:keepNext/>
            </w:pPr>
            <w:r w:rsidRPr="00956E09">
              <w:t>0</w:t>
            </w:r>
          </w:p>
        </w:tc>
        <w:tc>
          <w:tcPr>
            <w:tcW w:w="1168" w:type="dxa"/>
          </w:tcPr>
          <w:p w:rsidR="00D81032" w:rsidRDefault="003400EA" w:rsidP="00D81032">
            <w:pPr>
              <w:pStyle w:val="FinTableRightBold"/>
              <w:keepNext/>
            </w:pPr>
            <w:r>
              <w:t>0</w:t>
            </w:r>
          </w:p>
        </w:tc>
      </w:tr>
      <w:tr w:rsidR="00D81032" w:rsidTr="00D81032">
        <w:tc>
          <w:tcPr>
            <w:tcW w:w="3612" w:type="dxa"/>
            <w:vMerge/>
          </w:tcPr>
          <w:p w:rsidR="00D81032" w:rsidRDefault="00D81032" w:rsidP="00D81032">
            <w:pPr>
              <w:pStyle w:val="FinTableLeftIndent"/>
              <w:keepNext/>
            </w:pPr>
          </w:p>
        </w:tc>
        <w:tc>
          <w:tcPr>
            <w:tcW w:w="1168" w:type="dxa"/>
          </w:tcPr>
          <w:p w:rsidR="00D81032" w:rsidRDefault="003400EA" w:rsidP="00D81032">
            <w:pPr>
              <w:pStyle w:val="FinTableRightItalic"/>
              <w:keepNext/>
            </w:pPr>
            <w:r>
              <w:t>0</w:t>
            </w:r>
          </w:p>
        </w:tc>
        <w:tc>
          <w:tcPr>
            <w:tcW w:w="1083" w:type="dxa"/>
          </w:tcPr>
          <w:p w:rsidR="00D81032" w:rsidRDefault="003400EA" w:rsidP="00D81032">
            <w:pPr>
              <w:pStyle w:val="FinTableRightItalic"/>
              <w:keepNext/>
            </w:pPr>
            <w:r>
              <w:t>0</w:t>
            </w:r>
          </w:p>
        </w:tc>
        <w:tc>
          <w:tcPr>
            <w:tcW w:w="1168" w:type="dxa"/>
          </w:tcPr>
          <w:p w:rsidR="00D81032" w:rsidRDefault="003400EA" w:rsidP="00D81032">
            <w:pPr>
              <w:pStyle w:val="FinTableRightItalic"/>
              <w:keepNext/>
            </w:pPr>
            <w:r>
              <w:t>0</w:t>
            </w:r>
          </w:p>
        </w:tc>
      </w:tr>
      <w:tr w:rsidR="00D81032" w:rsidTr="00D81032">
        <w:tc>
          <w:tcPr>
            <w:tcW w:w="3612" w:type="dxa"/>
            <w:vMerge/>
          </w:tcPr>
          <w:p w:rsidR="00D81032" w:rsidRDefault="00D81032" w:rsidP="00D81032">
            <w:pPr>
              <w:pStyle w:val="FinTableRightPlain"/>
              <w:keepNext/>
            </w:pPr>
          </w:p>
        </w:tc>
        <w:tc>
          <w:tcPr>
            <w:tcW w:w="1168" w:type="dxa"/>
          </w:tcPr>
          <w:p w:rsidR="00D81032" w:rsidRDefault="00CB0F09" w:rsidP="00D81032">
            <w:pPr>
              <w:pStyle w:val="FinTableRightPlain"/>
              <w:keepNext/>
            </w:pPr>
            <w:r>
              <w:t>0</w:t>
            </w:r>
          </w:p>
        </w:tc>
        <w:tc>
          <w:tcPr>
            <w:tcW w:w="1083" w:type="dxa"/>
          </w:tcPr>
          <w:p w:rsidR="00D81032" w:rsidRDefault="00CB0F09" w:rsidP="00D81032">
            <w:pPr>
              <w:pStyle w:val="FinTableRightPlain"/>
              <w:keepNext/>
            </w:pPr>
            <w:r>
              <w:t>0</w:t>
            </w:r>
          </w:p>
          <w:p w:rsidR="00D81032" w:rsidRDefault="00D81032" w:rsidP="00D81032">
            <w:pPr>
              <w:pStyle w:val="FinTableRightPlain"/>
              <w:keepNext/>
            </w:pPr>
          </w:p>
          <w:p w:rsidR="00D81032" w:rsidRDefault="00D81032" w:rsidP="00D81032">
            <w:pPr>
              <w:pStyle w:val="FinTableRightPlain"/>
              <w:keepNext/>
            </w:pPr>
          </w:p>
          <w:p w:rsidR="00D81032" w:rsidRDefault="00D81032" w:rsidP="00D81032">
            <w:pPr>
              <w:pStyle w:val="FinTableRightPlain"/>
              <w:keepNext/>
            </w:pPr>
          </w:p>
          <w:p w:rsidR="00D81032" w:rsidRPr="002327E7" w:rsidRDefault="00D81032" w:rsidP="00D81032">
            <w:pPr>
              <w:pStyle w:val="FinTableRightBold"/>
              <w:keepNext/>
              <w:rPr>
                <w:b w:val="0"/>
              </w:rPr>
            </w:pPr>
          </w:p>
        </w:tc>
        <w:tc>
          <w:tcPr>
            <w:tcW w:w="1168" w:type="dxa"/>
          </w:tcPr>
          <w:p w:rsidR="00D81032" w:rsidRDefault="00CB0F09" w:rsidP="00D81032">
            <w:pPr>
              <w:pStyle w:val="FinTableRightPlain"/>
              <w:keepNext/>
            </w:pPr>
            <w:r>
              <w:t>0</w:t>
            </w:r>
          </w:p>
        </w:tc>
      </w:tr>
    </w:tbl>
    <w:p w:rsidR="006403E1" w:rsidRPr="00F3113A" w:rsidRDefault="006403E1" w:rsidP="004C1EC8">
      <w:pPr>
        <w:pStyle w:val="A1S"/>
        <w:spacing w:before="240" w:line="240" w:lineRule="auto"/>
        <w:ind w:left="426" w:hanging="426"/>
        <w:rPr>
          <w:bCs/>
        </w:rPr>
      </w:pPr>
      <w:r>
        <w:rPr>
          <w:bCs/>
        </w:rPr>
        <w:t>4</w:t>
      </w:r>
      <w:r>
        <w:rPr>
          <w:bCs/>
        </w:rPr>
        <w:tab/>
        <w:t>Schedule 1, Industry, Innovation, Science, Research and Tertiary Education</w:t>
      </w:r>
      <w:r w:rsidRPr="00E7285F">
        <w:rPr>
          <w:bCs/>
        </w:rPr>
        <w:t xml:space="preserve"> portfolio, </w:t>
      </w:r>
      <w:r w:rsidR="00C744F8">
        <w:rPr>
          <w:bCs/>
        </w:rPr>
        <w:t xml:space="preserve">after the </w:t>
      </w:r>
      <w:r>
        <w:rPr>
          <w:bCs/>
        </w:rPr>
        <w:t xml:space="preserve">Department of Industry, Innovation, Science, Research and Tertiary Education </w:t>
      </w:r>
      <w:r w:rsidRPr="00E7285F">
        <w:rPr>
          <w:bCs/>
        </w:rPr>
        <w:t>tabl</w:t>
      </w:r>
      <w:r>
        <w:rPr>
          <w:bCs/>
        </w:rPr>
        <w:t>e</w:t>
      </w:r>
    </w:p>
    <w:p w:rsidR="006403E1" w:rsidRPr="00AF371C" w:rsidRDefault="006403E1" w:rsidP="004C1EC8">
      <w:pPr>
        <w:pStyle w:val="Item"/>
      </w:pPr>
      <w:r w:rsidRPr="00AF371C">
        <w:t>Insert</w:t>
      </w:r>
      <w:r>
        <w:t>:</w:t>
      </w:r>
    </w:p>
    <w:p w:rsidR="006403E1" w:rsidRDefault="006403E1" w:rsidP="004C1EC8">
      <w:pPr>
        <w:pStyle w:val="notetext"/>
        <w:rPr>
          <w:szCs w:val="18"/>
        </w:rPr>
      </w:pPr>
      <w:r w:rsidRPr="00AF371C">
        <w:t>Note </w:t>
      </w:r>
      <w:r>
        <w:t>1</w:t>
      </w:r>
      <w:r w:rsidRPr="00AF371C">
        <w:t>:</w:t>
      </w:r>
      <w:r>
        <w:tab/>
      </w:r>
      <w:r>
        <w:rPr>
          <w:i/>
          <w:szCs w:val="18"/>
        </w:rPr>
        <w:t>FMA Act Determination 2013/05</w:t>
      </w:r>
      <w:r w:rsidRPr="00A50789">
        <w:rPr>
          <w:i/>
          <w:szCs w:val="18"/>
        </w:rPr>
        <w:t xml:space="preserve"> — Section 32 (Transfer of Functions from </w:t>
      </w:r>
      <w:r>
        <w:rPr>
          <w:i/>
          <w:szCs w:val="18"/>
        </w:rPr>
        <w:t xml:space="preserve">DCCEE to </w:t>
      </w:r>
      <w:r w:rsidRPr="00335BCD">
        <w:rPr>
          <w:i/>
          <w:szCs w:val="18"/>
        </w:rPr>
        <w:t>DIICCSRTE and DRET</w:t>
      </w:r>
      <w:r w:rsidRPr="00A50789">
        <w:rPr>
          <w:i/>
          <w:szCs w:val="18"/>
        </w:rPr>
        <w:t>)</w:t>
      </w:r>
      <w:r w:rsidRPr="00A50789">
        <w:rPr>
          <w:szCs w:val="18"/>
        </w:rPr>
        <w:t xml:space="preserve"> </w:t>
      </w:r>
      <w:r>
        <w:rPr>
          <w:szCs w:val="18"/>
        </w:rPr>
        <w:t>increased</w:t>
      </w:r>
      <w:r w:rsidRPr="00A50789">
        <w:rPr>
          <w:szCs w:val="18"/>
        </w:rPr>
        <w:t xml:space="preserve"> the </w:t>
      </w:r>
      <w:r>
        <w:rPr>
          <w:szCs w:val="18"/>
        </w:rPr>
        <w:t xml:space="preserve">administered </w:t>
      </w:r>
      <w:r w:rsidRPr="00A50789">
        <w:rPr>
          <w:szCs w:val="18"/>
        </w:rPr>
        <w:t>item</w:t>
      </w:r>
      <w:r>
        <w:rPr>
          <w:szCs w:val="18"/>
        </w:rPr>
        <w:t xml:space="preserve"> for Outcome 4 for the </w:t>
      </w:r>
      <w:r w:rsidRPr="00AE0CAA">
        <w:rPr>
          <w:szCs w:val="18"/>
        </w:rPr>
        <w:t>Department of Industry, Innovation, Climate Change, Science, Research and Tertiary Education (DIICCSRTE)</w:t>
      </w:r>
      <w:r>
        <w:rPr>
          <w:szCs w:val="18"/>
        </w:rPr>
        <w:t xml:space="preserve"> in accordance with Table 1</w:t>
      </w:r>
      <w:r w:rsidRPr="00A50789">
        <w:rPr>
          <w:szCs w:val="18"/>
        </w:rPr>
        <w:t xml:space="preserve"> </w:t>
      </w:r>
      <w:r>
        <w:rPr>
          <w:szCs w:val="18"/>
        </w:rPr>
        <w:t>at the end of</w:t>
      </w:r>
      <w:r w:rsidRPr="00A50789">
        <w:rPr>
          <w:szCs w:val="18"/>
        </w:rPr>
        <w:t xml:space="preserve"> Schedule </w:t>
      </w:r>
      <w:r>
        <w:rPr>
          <w:szCs w:val="18"/>
        </w:rPr>
        <w:t>1</w:t>
      </w:r>
      <w:r w:rsidRPr="00A50789">
        <w:rPr>
          <w:szCs w:val="18"/>
        </w:rPr>
        <w:t xml:space="preserve"> to this Act.</w:t>
      </w:r>
    </w:p>
    <w:p w:rsidR="006403E1" w:rsidRDefault="006403E1" w:rsidP="00E2218B">
      <w:pPr>
        <w:pStyle w:val="notemargin"/>
        <w:spacing w:line="240" w:lineRule="auto"/>
        <w:ind w:left="1985" w:firstLine="0"/>
        <w:rPr>
          <w:szCs w:val="18"/>
        </w:rPr>
      </w:pPr>
      <w:r w:rsidRPr="007374FD">
        <w:rPr>
          <w:szCs w:val="18"/>
        </w:rPr>
        <w:t xml:space="preserve">These changes were made to implement the amendments to the </w:t>
      </w:r>
      <w:r w:rsidRPr="007374FD">
        <w:rPr>
          <w:i/>
          <w:szCs w:val="18"/>
        </w:rPr>
        <w:t>Administrative Arrangements Order</w:t>
      </w:r>
      <w:r w:rsidRPr="007374FD">
        <w:rPr>
          <w:szCs w:val="18"/>
        </w:rPr>
        <w:t xml:space="preserve"> made on 25 March 2013. Functions of the former Department of Climate Change and Energy Efficiency in relation to climate change were transferred to DIICCSRTE. </w:t>
      </w:r>
    </w:p>
    <w:p w:rsidR="006403E1" w:rsidRDefault="006403E1" w:rsidP="00E2218B">
      <w:pPr>
        <w:pStyle w:val="notemargin"/>
        <w:spacing w:line="240" w:lineRule="auto"/>
        <w:ind w:left="1985" w:firstLine="0"/>
      </w:pPr>
      <w:r>
        <w:t xml:space="preserve">As a result of amendments to the </w:t>
      </w:r>
      <w:r>
        <w:rPr>
          <w:i/>
        </w:rPr>
        <w:t>Administrative Arrangements Order</w:t>
      </w:r>
      <w:r>
        <w:t xml:space="preserve">, made on 25 March 2013, the </w:t>
      </w:r>
      <w:r w:rsidRPr="007374FD">
        <w:rPr>
          <w:szCs w:val="18"/>
        </w:rPr>
        <w:t>Department of Industry, Innovation, Science, Research and Tertiary Education</w:t>
      </w:r>
      <w:r>
        <w:t xml:space="preserve"> (DIISRTE) was renamed DIICCSRTE. </w:t>
      </w:r>
    </w:p>
    <w:p w:rsidR="00A334E6" w:rsidRDefault="00A334E6" w:rsidP="00764180">
      <w:pPr>
        <w:pStyle w:val="A1S"/>
        <w:spacing w:before="240" w:line="240" w:lineRule="auto"/>
        <w:ind w:left="426" w:hanging="426"/>
        <w:rPr>
          <w:bCs/>
        </w:rPr>
      </w:pPr>
    </w:p>
    <w:p w:rsidR="00A334E6" w:rsidRPr="00A334E6" w:rsidRDefault="00A334E6" w:rsidP="00A334E6">
      <w:pPr>
        <w:rPr>
          <w:lang w:eastAsia="en-AU"/>
        </w:rPr>
      </w:pPr>
    </w:p>
    <w:p w:rsidR="00A334E6" w:rsidRDefault="00A334E6">
      <w:pPr>
        <w:spacing w:line="240" w:lineRule="auto"/>
        <w:rPr>
          <w:rFonts w:ascii="Arial" w:eastAsia="Times New Roman" w:hAnsi="Arial"/>
          <w:b/>
          <w:bCs/>
          <w:sz w:val="24"/>
          <w:szCs w:val="24"/>
          <w:lang w:eastAsia="en-AU"/>
        </w:rPr>
      </w:pPr>
      <w:r>
        <w:rPr>
          <w:bCs/>
        </w:rPr>
        <w:br w:type="page"/>
      </w:r>
    </w:p>
    <w:p w:rsidR="006403E1" w:rsidRDefault="006403E1" w:rsidP="00764180">
      <w:pPr>
        <w:pStyle w:val="A1S"/>
        <w:spacing w:before="240" w:line="240" w:lineRule="auto"/>
        <w:ind w:left="426" w:hanging="426"/>
        <w:rPr>
          <w:bCs/>
        </w:rPr>
      </w:pPr>
      <w:r>
        <w:rPr>
          <w:bCs/>
        </w:rPr>
        <w:t>5</w:t>
      </w:r>
      <w:r>
        <w:rPr>
          <w:bCs/>
        </w:rPr>
        <w:tab/>
        <w:t>Schedule 1, Resources, Energy and Tourism</w:t>
      </w:r>
      <w:r w:rsidRPr="00E7285F">
        <w:rPr>
          <w:bCs/>
        </w:rPr>
        <w:t xml:space="preserve"> portfolio, </w:t>
      </w:r>
      <w:r w:rsidR="00B8253B">
        <w:rPr>
          <w:bCs/>
        </w:rPr>
        <w:t xml:space="preserve">after the </w:t>
      </w:r>
      <w:r>
        <w:rPr>
          <w:bCs/>
        </w:rPr>
        <w:t>Department of Resources, Energy and Tourism table</w:t>
      </w:r>
    </w:p>
    <w:p w:rsidR="006403E1" w:rsidRDefault="006403E1" w:rsidP="00F02D2D">
      <w:pPr>
        <w:pStyle w:val="Item"/>
      </w:pPr>
      <w:r w:rsidRPr="00F52AD0">
        <w:t>Omit</w:t>
      </w:r>
      <w:r>
        <w:t xml:space="preserve"> the table and insert:</w:t>
      </w:r>
    </w:p>
    <w:tbl>
      <w:tblPr>
        <w:tblW w:w="9102" w:type="dxa"/>
        <w:tblLayout w:type="fixed"/>
        <w:tblCellMar>
          <w:left w:w="30" w:type="dxa"/>
          <w:right w:w="30" w:type="dxa"/>
        </w:tblCellMar>
        <w:tblLook w:val="0000"/>
      </w:tblPr>
      <w:tblGrid>
        <w:gridCol w:w="3612"/>
        <w:gridCol w:w="1805"/>
        <w:gridCol w:w="1843"/>
        <w:gridCol w:w="1842"/>
      </w:tblGrid>
      <w:tr w:rsidR="006403E1" w:rsidTr="00F02D2D">
        <w:trPr>
          <w:tblHeader/>
        </w:trPr>
        <w:tc>
          <w:tcPr>
            <w:tcW w:w="9102" w:type="dxa"/>
            <w:gridSpan w:val="4"/>
          </w:tcPr>
          <w:p w:rsidR="006403E1" w:rsidRDefault="006403E1" w:rsidP="00F02D2D">
            <w:pPr>
              <w:pStyle w:val="FinTableHeadingCenteredBold"/>
            </w:pPr>
            <w:r>
              <w:t>Resources, Energy and Tourism PORTFOLIO</w:t>
            </w:r>
          </w:p>
          <w:p w:rsidR="006403E1" w:rsidRPr="0038616B" w:rsidRDefault="006403E1" w:rsidP="00F02D2D">
            <w:pPr>
              <w:pStyle w:val="KeyLight"/>
              <w:rPr>
                <w:b/>
              </w:rPr>
            </w:pPr>
            <w:r w:rsidRPr="0038616B">
              <w:rPr>
                <w:b/>
              </w:rPr>
              <w:t>Additional Appropriation (bold figures)—2011-2012</w:t>
            </w:r>
          </w:p>
          <w:p w:rsidR="006403E1" w:rsidRPr="0056750D" w:rsidRDefault="006403E1" w:rsidP="0038616B">
            <w:pPr>
              <w:pStyle w:val="KeyLight"/>
              <w:rPr>
                <w:i/>
                <w:sz w:val="15"/>
                <w:szCs w:val="15"/>
              </w:rPr>
            </w:pPr>
            <w:r>
              <w:rPr>
                <w:i/>
                <w:sz w:val="15"/>
                <w:szCs w:val="15"/>
              </w:rPr>
              <w:t>Budget</w:t>
            </w:r>
            <w:r w:rsidRPr="0056750D">
              <w:rPr>
                <w:i/>
                <w:sz w:val="15"/>
                <w:szCs w:val="15"/>
              </w:rPr>
              <w:t xml:space="preserve"> Appropriation (italic figures)—201</w:t>
            </w:r>
            <w:r>
              <w:rPr>
                <w:i/>
                <w:sz w:val="15"/>
                <w:szCs w:val="15"/>
              </w:rPr>
              <w:t>1</w:t>
            </w:r>
            <w:r w:rsidRPr="0056750D">
              <w:rPr>
                <w:i/>
                <w:sz w:val="15"/>
                <w:szCs w:val="15"/>
              </w:rPr>
              <w:noBreakHyphen/>
              <w:t>201</w:t>
            </w:r>
            <w:r>
              <w:rPr>
                <w:i/>
                <w:sz w:val="15"/>
                <w:szCs w:val="15"/>
              </w:rPr>
              <w:t>2</w:t>
            </w:r>
          </w:p>
          <w:p w:rsidR="006403E1" w:rsidRDefault="006403E1" w:rsidP="00F02D2D">
            <w:pPr>
              <w:pStyle w:val="KeyLight"/>
            </w:pPr>
            <w:r>
              <w:t>Actual Available Appropriation (plain figures)—2010</w:t>
            </w:r>
            <w:r>
              <w:noBreakHyphen/>
              <w:t>2011</w:t>
            </w:r>
          </w:p>
          <w:p w:rsidR="006403E1" w:rsidRDefault="006403E1" w:rsidP="0038616B">
            <w:pPr>
              <w:pStyle w:val="KeyLight"/>
            </w:pPr>
          </w:p>
        </w:tc>
      </w:tr>
      <w:tr w:rsidR="006403E1" w:rsidTr="00F02D2D">
        <w:trPr>
          <w:trHeight w:val="190"/>
          <w:tblHeader/>
        </w:trPr>
        <w:tc>
          <w:tcPr>
            <w:tcW w:w="3612" w:type="dxa"/>
            <w:tcBorders>
              <w:top w:val="single" w:sz="2" w:space="0" w:color="auto"/>
            </w:tcBorders>
            <w:vAlign w:val="center"/>
          </w:tcPr>
          <w:p w:rsidR="006403E1" w:rsidRDefault="006403E1" w:rsidP="00F02D2D">
            <w:pPr>
              <w:pStyle w:val="FinTableRight"/>
            </w:pPr>
          </w:p>
        </w:tc>
        <w:tc>
          <w:tcPr>
            <w:tcW w:w="1805" w:type="dxa"/>
            <w:tcBorders>
              <w:top w:val="single" w:sz="2" w:space="0" w:color="auto"/>
            </w:tcBorders>
            <w:vAlign w:val="center"/>
          </w:tcPr>
          <w:p w:rsidR="006403E1" w:rsidRDefault="006403E1" w:rsidP="00F02D2D">
            <w:pPr>
              <w:pStyle w:val="FinTableRight"/>
            </w:pPr>
            <w:r>
              <w:t>Departmental</w:t>
            </w:r>
          </w:p>
        </w:tc>
        <w:tc>
          <w:tcPr>
            <w:tcW w:w="1843" w:type="dxa"/>
            <w:tcBorders>
              <w:top w:val="single" w:sz="2" w:space="0" w:color="auto"/>
            </w:tcBorders>
            <w:vAlign w:val="center"/>
          </w:tcPr>
          <w:p w:rsidR="006403E1" w:rsidRDefault="006403E1" w:rsidP="00F02D2D">
            <w:pPr>
              <w:pStyle w:val="FinTableRight"/>
            </w:pPr>
            <w:r>
              <w:t>Administered</w:t>
            </w:r>
          </w:p>
        </w:tc>
        <w:tc>
          <w:tcPr>
            <w:tcW w:w="1842" w:type="dxa"/>
            <w:tcBorders>
              <w:top w:val="single" w:sz="2" w:space="0" w:color="auto"/>
            </w:tcBorders>
            <w:vAlign w:val="center"/>
          </w:tcPr>
          <w:p w:rsidR="006403E1" w:rsidRDefault="006403E1" w:rsidP="00F02D2D">
            <w:pPr>
              <w:pStyle w:val="FinTableRight"/>
            </w:pPr>
            <w:r>
              <w:t>Total</w:t>
            </w:r>
          </w:p>
        </w:tc>
      </w:tr>
      <w:tr w:rsidR="006403E1" w:rsidTr="00F02D2D">
        <w:trPr>
          <w:tblHeader/>
        </w:trPr>
        <w:tc>
          <w:tcPr>
            <w:tcW w:w="3612" w:type="dxa"/>
            <w:tcBorders>
              <w:top w:val="single" w:sz="2" w:space="0" w:color="auto"/>
            </w:tcBorders>
          </w:tcPr>
          <w:p w:rsidR="006403E1" w:rsidRDefault="006403E1" w:rsidP="00F02D2D">
            <w:pPr>
              <w:pStyle w:val="FinTableRight"/>
            </w:pPr>
          </w:p>
        </w:tc>
        <w:tc>
          <w:tcPr>
            <w:tcW w:w="1805" w:type="dxa"/>
            <w:tcBorders>
              <w:top w:val="single" w:sz="2" w:space="0" w:color="auto"/>
            </w:tcBorders>
          </w:tcPr>
          <w:p w:rsidR="006403E1" w:rsidRDefault="006403E1" w:rsidP="00F02D2D">
            <w:pPr>
              <w:pStyle w:val="FinTableRight"/>
            </w:pPr>
            <w:r>
              <w:t>$'000</w:t>
            </w:r>
          </w:p>
        </w:tc>
        <w:tc>
          <w:tcPr>
            <w:tcW w:w="1843" w:type="dxa"/>
            <w:tcBorders>
              <w:top w:val="single" w:sz="2" w:space="0" w:color="auto"/>
            </w:tcBorders>
          </w:tcPr>
          <w:p w:rsidR="006403E1" w:rsidRDefault="006403E1" w:rsidP="00F02D2D">
            <w:pPr>
              <w:pStyle w:val="FinTableRight"/>
            </w:pPr>
            <w:r>
              <w:t>$'000</w:t>
            </w:r>
          </w:p>
        </w:tc>
        <w:tc>
          <w:tcPr>
            <w:tcW w:w="1842" w:type="dxa"/>
            <w:tcBorders>
              <w:top w:val="single" w:sz="2" w:space="0" w:color="auto"/>
            </w:tcBorders>
          </w:tcPr>
          <w:p w:rsidR="006403E1" w:rsidRDefault="006403E1" w:rsidP="00F02D2D">
            <w:pPr>
              <w:pStyle w:val="FinTableRight"/>
            </w:pPr>
            <w:r>
              <w:t>$’000</w:t>
            </w:r>
          </w:p>
        </w:tc>
      </w:tr>
      <w:tr w:rsidR="006403E1" w:rsidTr="00F02D2D">
        <w:tc>
          <w:tcPr>
            <w:tcW w:w="3612" w:type="dxa"/>
          </w:tcPr>
          <w:p w:rsidR="006403E1" w:rsidRDefault="006403E1" w:rsidP="00F02D2D">
            <w:pPr>
              <w:pStyle w:val="FinTableLeftBold"/>
            </w:pPr>
            <w:r>
              <w:t>DEPARTMENT OF RESOURCES, ENERGY AND TOURISM</w:t>
            </w:r>
          </w:p>
        </w:tc>
        <w:tc>
          <w:tcPr>
            <w:tcW w:w="1805" w:type="dxa"/>
          </w:tcPr>
          <w:p w:rsidR="006403E1" w:rsidRDefault="006403E1" w:rsidP="00F02D2D">
            <w:pPr>
              <w:pStyle w:val="FinTableRight"/>
            </w:pPr>
          </w:p>
        </w:tc>
        <w:tc>
          <w:tcPr>
            <w:tcW w:w="1843" w:type="dxa"/>
          </w:tcPr>
          <w:p w:rsidR="006403E1" w:rsidRDefault="006403E1" w:rsidP="00F02D2D">
            <w:pPr>
              <w:pStyle w:val="FinTableRight"/>
            </w:pPr>
          </w:p>
        </w:tc>
        <w:tc>
          <w:tcPr>
            <w:tcW w:w="1842" w:type="dxa"/>
          </w:tcPr>
          <w:p w:rsidR="006403E1" w:rsidRDefault="006403E1" w:rsidP="00F02D2D">
            <w:pPr>
              <w:pStyle w:val="FinTableRight"/>
            </w:pPr>
          </w:p>
        </w:tc>
      </w:tr>
      <w:tr w:rsidR="006403E1" w:rsidTr="00F02D2D">
        <w:tc>
          <w:tcPr>
            <w:tcW w:w="3612" w:type="dxa"/>
            <w:vMerge w:val="restart"/>
          </w:tcPr>
          <w:p w:rsidR="006403E1" w:rsidRDefault="006403E1" w:rsidP="00F02D2D">
            <w:pPr>
              <w:pStyle w:val="FinTableLeftBold"/>
            </w:pPr>
            <w:r>
              <w:t xml:space="preserve">Outcome 1 </w:t>
            </w:r>
            <w:r>
              <w:noBreakHyphen/>
              <w:t xml:space="preserve"> </w:t>
            </w:r>
          </w:p>
          <w:p w:rsidR="006403E1" w:rsidRDefault="006403E1" w:rsidP="006E3AAC">
            <w:pPr>
              <w:pStyle w:val="FinTableLeftIndent"/>
            </w:pPr>
            <w:r>
              <w:t xml:space="preserve">The improved strength, competitiveness and sustainability of the Resources, Energy and Tourism industries to enhance Australia’s prosperity through implementation of government policy and programs (including to perform the activities indicated in the Portfolio Budget Statements </w:t>
            </w:r>
            <w:r w:rsidR="00D200E6">
              <w:t xml:space="preserve">and Portfolio Additional Estimates Statements </w:t>
            </w:r>
            <w:r>
              <w:t>for 2011-2012</w:t>
            </w:r>
            <w:r w:rsidR="006E3AAC">
              <w:t xml:space="preserve"> </w:t>
            </w:r>
            <w:r>
              <w:t>of the Department of Climate Change and Energy Efficiency as being activities in respect of Outcome 1 for that Department)</w:t>
            </w:r>
          </w:p>
        </w:tc>
        <w:tc>
          <w:tcPr>
            <w:tcW w:w="1805" w:type="dxa"/>
          </w:tcPr>
          <w:p w:rsidR="006403E1" w:rsidRDefault="006403E1" w:rsidP="00F02D2D">
            <w:pPr>
              <w:pStyle w:val="FinTableRight"/>
            </w:pPr>
          </w:p>
        </w:tc>
        <w:tc>
          <w:tcPr>
            <w:tcW w:w="1843" w:type="dxa"/>
          </w:tcPr>
          <w:p w:rsidR="006403E1" w:rsidRDefault="006403E1" w:rsidP="00F02D2D">
            <w:pPr>
              <w:pStyle w:val="FinTableRight"/>
            </w:pPr>
          </w:p>
        </w:tc>
        <w:tc>
          <w:tcPr>
            <w:tcW w:w="1842" w:type="dxa"/>
          </w:tcPr>
          <w:p w:rsidR="006403E1" w:rsidRDefault="006403E1" w:rsidP="00F02D2D">
            <w:pPr>
              <w:pStyle w:val="FinTableRight"/>
            </w:pPr>
          </w:p>
        </w:tc>
      </w:tr>
      <w:tr w:rsidR="006403E1" w:rsidTr="00F02D2D">
        <w:tc>
          <w:tcPr>
            <w:tcW w:w="3612" w:type="dxa"/>
            <w:vMerge/>
          </w:tcPr>
          <w:p w:rsidR="006403E1" w:rsidRDefault="006403E1" w:rsidP="00F02D2D">
            <w:pPr>
              <w:pStyle w:val="FinTableLeftIndent"/>
            </w:pPr>
          </w:p>
        </w:tc>
        <w:tc>
          <w:tcPr>
            <w:tcW w:w="1805" w:type="dxa"/>
          </w:tcPr>
          <w:p w:rsidR="006403E1" w:rsidRPr="00F02D2D" w:rsidRDefault="006403E1" w:rsidP="00F02D2D">
            <w:pPr>
              <w:pStyle w:val="FinTableRight"/>
              <w:rPr>
                <w:b/>
              </w:rPr>
            </w:pPr>
            <w:r w:rsidRPr="00F02D2D">
              <w:rPr>
                <w:b/>
              </w:rPr>
              <w:t>13,613</w:t>
            </w:r>
          </w:p>
        </w:tc>
        <w:tc>
          <w:tcPr>
            <w:tcW w:w="1843" w:type="dxa"/>
          </w:tcPr>
          <w:p w:rsidR="006403E1" w:rsidRPr="00F02D2D" w:rsidRDefault="006403E1" w:rsidP="00F02D2D">
            <w:pPr>
              <w:pStyle w:val="FinTableRight"/>
              <w:rPr>
                <w:b/>
              </w:rPr>
            </w:pPr>
            <w:r w:rsidRPr="00F02D2D">
              <w:rPr>
                <w:b/>
              </w:rPr>
              <w:t>296,735</w:t>
            </w:r>
          </w:p>
        </w:tc>
        <w:tc>
          <w:tcPr>
            <w:tcW w:w="1842" w:type="dxa"/>
          </w:tcPr>
          <w:p w:rsidR="006403E1" w:rsidRPr="00F02D2D" w:rsidRDefault="006403E1" w:rsidP="00F02D2D">
            <w:pPr>
              <w:pStyle w:val="FinTableRight"/>
              <w:rPr>
                <w:b/>
              </w:rPr>
            </w:pPr>
            <w:r w:rsidRPr="00F02D2D">
              <w:rPr>
                <w:b/>
              </w:rPr>
              <w:t>310,348</w:t>
            </w:r>
          </w:p>
        </w:tc>
      </w:tr>
      <w:tr w:rsidR="006403E1" w:rsidTr="00F02D2D">
        <w:tc>
          <w:tcPr>
            <w:tcW w:w="3612" w:type="dxa"/>
            <w:vMerge/>
          </w:tcPr>
          <w:p w:rsidR="006403E1" w:rsidRDefault="006403E1" w:rsidP="00F02D2D">
            <w:pPr>
              <w:pStyle w:val="FinTableRight"/>
            </w:pPr>
          </w:p>
        </w:tc>
        <w:tc>
          <w:tcPr>
            <w:tcW w:w="1805" w:type="dxa"/>
          </w:tcPr>
          <w:p w:rsidR="006403E1" w:rsidRDefault="006403E1" w:rsidP="00F02D2D">
            <w:pPr>
              <w:pStyle w:val="FinTableRightItalic"/>
            </w:pPr>
            <w:r>
              <w:t>100,432</w:t>
            </w:r>
          </w:p>
        </w:tc>
        <w:tc>
          <w:tcPr>
            <w:tcW w:w="1843" w:type="dxa"/>
          </w:tcPr>
          <w:p w:rsidR="006403E1" w:rsidRDefault="006403E1" w:rsidP="00F02D2D">
            <w:pPr>
              <w:pStyle w:val="FinTableRightItalic"/>
            </w:pPr>
            <w:r>
              <w:t>690,006</w:t>
            </w:r>
          </w:p>
        </w:tc>
        <w:tc>
          <w:tcPr>
            <w:tcW w:w="1842" w:type="dxa"/>
          </w:tcPr>
          <w:p w:rsidR="006403E1" w:rsidRDefault="006403E1" w:rsidP="00F02D2D">
            <w:pPr>
              <w:pStyle w:val="FinTableRightItalic"/>
            </w:pPr>
            <w:r>
              <w:t>790,438</w:t>
            </w:r>
          </w:p>
        </w:tc>
      </w:tr>
      <w:tr w:rsidR="006403E1" w:rsidTr="00F02D2D">
        <w:tc>
          <w:tcPr>
            <w:tcW w:w="3612" w:type="dxa"/>
            <w:vMerge/>
          </w:tcPr>
          <w:p w:rsidR="006403E1" w:rsidRDefault="006403E1" w:rsidP="00F02D2D">
            <w:pPr>
              <w:pStyle w:val="FinTableRight"/>
            </w:pPr>
          </w:p>
        </w:tc>
        <w:tc>
          <w:tcPr>
            <w:tcW w:w="1805" w:type="dxa"/>
          </w:tcPr>
          <w:p w:rsidR="006403E1" w:rsidRPr="00F02D2D" w:rsidRDefault="006403E1" w:rsidP="00F02D2D">
            <w:pPr>
              <w:pStyle w:val="FinTableRightItalic"/>
              <w:rPr>
                <w:i w:val="0"/>
                <w:sz w:val="16"/>
                <w:szCs w:val="16"/>
              </w:rPr>
            </w:pPr>
            <w:r w:rsidRPr="00F02D2D">
              <w:rPr>
                <w:i w:val="0"/>
                <w:sz w:val="16"/>
                <w:szCs w:val="16"/>
              </w:rPr>
              <w:t>84,661</w:t>
            </w:r>
          </w:p>
        </w:tc>
        <w:tc>
          <w:tcPr>
            <w:tcW w:w="1843" w:type="dxa"/>
          </w:tcPr>
          <w:p w:rsidR="006403E1" w:rsidRPr="00F02D2D" w:rsidRDefault="006403E1" w:rsidP="00F02D2D">
            <w:pPr>
              <w:pStyle w:val="FinTableRightItalic"/>
              <w:rPr>
                <w:i w:val="0"/>
                <w:sz w:val="16"/>
                <w:szCs w:val="16"/>
              </w:rPr>
            </w:pPr>
            <w:r w:rsidRPr="00F02D2D">
              <w:rPr>
                <w:i w:val="0"/>
                <w:sz w:val="16"/>
                <w:szCs w:val="16"/>
              </w:rPr>
              <w:t>665,571</w:t>
            </w:r>
          </w:p>
        </w:tc>
        <w:tc>
          <w:tcPr>
            <w:tcW w:w="1842" w:type="dxa"/>
          </w:tcPr>
          <w:p w:rsidR="006403E1" w:rsidRPr="00F02D2D" w:rsidRDefault="006403E1" w:rsidP="00F02D2D">
            <w:pPr>
              <w:pStyle w:val="FinTableRightItalic"/>
              <w:rPr>
                <w:i w:val="0"/>
                <w:sz w:val="16"/>
                <w:szCs w:val="16"/>
              </w:rPr>
            </w:pPr>
            <w:r w:rsidRPr="00F02D2D">
              <w:rPr>
                <w:i w:val="0"/>
                <w:sz w:val="16"/>
                <w:szCs w:val="16"/>
              </w:rPr>
              <w:t>750,232</w:t>
            </w:r>
          </w:p>
        </w:tc>
      </w:tr>
      <w:tr w:rsidR="006403E1" w:rsidTr="00F02D2D">
        <w:tc>
          <w:tcPr>
            <w:tcW w:w="3612" w:type="dxa"/>
          </w:tcPr>
          <w:p w:rsidR="006403E1" w:rsidRDefault="006403E1" w:rsidP="00F02D2D">
            <w:pPr>
              <w:pStyle w:val="FinTableSpacerRow"/>
            </w:pPr>
          </w:p>
        </w:tc>
        <w:tc>
          <w:tcPr>
            <w:tcW w:w="1805" w:type="dxa"/>
          </w:tcPr>
          <w:p w:rsidR="006403E1" w:rsidRDefault="006403E1" w:rsidP="00F02D2D">
            <w:pPr>
              <w:pStyle w:val="FinTableSpacerRow"/>
            </w:pPr>
          </w:p>
        </w:tc>
        <w:tc>
          <w:tcPr>
            <w:tcW w:w="1843" w:type="dxa"/>
          </w:tcPr>
          <w:p w:rsidR="006403E1" w:rsidRDefault="006403E1" w:rsidP="00F02D2D">
            <w:pPr>
              <w:pStyle w:val="FinTableSpacerRow"/>
            </w:pPr>
          </w:p>
        </w:tc>
        <w:tc>
          <w:tcPr>
            <w:tcW w:w="1842" w:type="dxa"/>
          </w:tcPr>
          <w:p w:rsidR="006403E1" w:rsidRDefault="006403E1" w:rsidP="00F02D2D">
            <w:pPr>
              <w:pStyle w:val="FinTableSpacerRow"/>
            </w:pPr>
          </w:p>
        </w:tc>
      </w:tr>
      <w:tr w:rsidR="006403E1" w:rsidTr="00F02D2D">
        <w:tc>
          <w:tcPr>
            <w:tcW w:w="3612" w:type="dxa"/>
            <w:vMerge w:val="restart"/>
            <w:tcBorders>
              <w:top w:val="single" w:sz="2" w:space="0" w:color="auto"/>
            </w:tcBorders>
          </w:tcPr>
          <w:p w:rsidR="006403E1" w:rsidRDefault="006403E1" w:rsidP="00F02D2D">
            <w:pPr>
              <w:pStyle w:val="FinTableLeftBoldHanging"/>
            </w:pPr>
            <w:r>
              <w:t>Total: Department of Resources, Energy and Tourism</w:t>
            </w:r>
          </w:p>
        </w:tc>
        <w:tc>
          <w:tcPr>
            <w:tcW w:w="1805" w:type="dxa"/>
            <w:tcBorders>
              <w:top w:val="single" w:sz="2" w:space="0" w:color="auto"/>
            </w:tcBorders>
          </w:tcPr>
          <w:p w:rsidR="006403E1" w:rsidRPr="0056750D" w:rsidRDefault="006403E1" w:rsidP="00F02D2D">
            <w:pPr>
              <w:pStyle w:val="FinTableRightBold"/>
            </w:pPr>
            <w:r>
              <w:t>13,613</w:t>
            </w:r>
          </w:p>
        </w:tc>
        <w:tc>
          <w:tcPr>
            <w:tcW w:w="1843" w:type="dxa"/>
            <w:tcBorders>
              <w:top w:val="single" w:sz="2" w:space="0" w:color="auto"/>
            </w:tcBorders>
          </w:tcPr>
          <w:p w:rsidR="006403E1" w:rsidRDefault="006403E1" w:rsidP="00F02D2D">
            <w:pPr>
              <w:pStyle w:val="FinTableRightBold"/>
            </w:pPr>
            <w:r>
              <w:t>296,735</w:t>
            </w:r>
          </w:p>
        </w:tc>
        <w:tc>
          <w:tcPr>
            <w:tcW w:w="1842" w:type="dxa"/>
            <w:tcBorders>
              <w:top w:val="single" w:sz="2" w:space="0" w:color="auto"/>
            </w:tcBorders>
          </w:tcPr>
          <w:p w:rsidR="006403E1" w:rsidRDefault="006403E1" w:rsidP="00F02D2D">
            <w:pPr>
              <w:pStyle w:val="FinTableRightBold"/>
            </w:pPr>
            <w:r>
              <w:t>310,348</w:t>
            </w:r>
          </w:p>
        </w:tc>
      </w:tr>
      <w:tr w:rsidR="006403E1" w:rsidTr="00F02D2D">
        <w:tc>
          <w:tcPr>
            <w:tcW w:w="3612" w:type="dxa"/>
            <w:vMerge/>
            <w:tcBorders>
              <w:bottom w:val="single" w:sz="2" w:space="0" w:color="auto"/>
            </w:tcBorders>
          </w:tcPr>
          <w:p w:rsidR="006403E1" w:rsidRDefault="006403E1" w:rsidP="00F02D2D">
            <w:pPr>
              <w:pStyle w:val="FinTableLeftBoldHanging"/>
            </w:pPr>
          </w:p>
        </w:tc>
        <w:tc>
          <w:tcPr>
            <w:tcW w:w="1805" w:type="dxa"/>
            <w:tcBorders>
              <w:bottom w:val="single" w:sz="2" w:space="0" w:color="auto"/>
            </w:tcBorders>
          </w:tcPr>
          <w:p w:rsidR="006403E1" w:rsidRDefault="006403E1" w:rsidP="00F02D2D">
            <w:pPr>
              <w:pStyle w:val="FinTableRightItalic"/>
            </w:pPr>
          </w:p>
        </w:tc>
        <w:tc>
          <w:tcPr>
            <w:tcW w:w="1843" w:type="dxa"/>
            <w:tcBorders>
              <w:bottom w:val="single" w:sz="2" w:space="0" w:color="auto"/>
            </w:tcBorders>
          </w:tcPr>
          <w:p w:rsidR="006403E1" w:rsidRDefault="006403E1" w:rsidP="00F02D2D">
            <w:pPr>
              <w:pStyle w:val="FinTableRightItalic"/>
            </w:pPr>
          </w:p>
        </w:tc>
        <w:tc>
          <w:tcPr>
            <w:tcW w:w="1842" w:type="dxa"/>
            <w:tcBorders>
              <w:bottom w:val="single" w:sz="2" w:space="0" w:color="auto"/>
            </w:tcBorders>
          </w:tcPr>
          <w:p w:rsidR="006403E1" w:rsidRDefault="006403E1" w:rsidP="00F02D2D">
            <w:pPr>
              <w:pStyle w:val="FinTableRightItalic"/>
            </w:pPr>
          </w:p>
        </w:tc>
      </w:tr>
    </w:tbl>
    <w:p w:rsidR="006403E1" w:rsidRPr="00F3113A" w:rsidRDefault="006403E1" w:rsidP="00F02D2D">
      <w:pPr>
        <w:pStyle w:val="A1S"/>
        <w:spacing w:before="240" w:line="240" w:lineRule="auto"/>
        <w:ind w:left="426" w:hanging="426"/>
        <w:rPr>
          <w:bCs/>
        </w:rPr>
      </w:pPr>
      <w:r>
        <w:rPr>
          <w:bCs/>
        </w:rPr>
        <w:t>6</w:t>
      </w:r>
      <w:r>
        <w:rPr>
          <w:bCs/>
        </w:rPr>
        <w:tab/>
        <w:t xml:space="preserve">Schedule 1, </w:t>
      </w:r>
      <w:r>
        <w:t>Resources, Energy and Tourism</w:t>
      </w:r>
      <w:r w:rsidRPr="00E7285F">
        <w:rPr>
          <w:bCs/>
        </w:rPr>
        <w:t xml:space="preserve"> portfolio</w:t>
      </w:r>
      <w:r w:rsidRPr="00402FD4">
        <w:t xml:space="preserve">, after the </w:t>
      </w:r>
      <w:r>
        <w:rPr>
          <w:bCs/>
        </w:rPr>
        <w:t xml:space="preserve">Department of </w:t>
      </w:r>
      <w:r>
        <w:t>Resources, Energy and Tourism</w:t>
      </w:r>
      <w:r w:rsidRPr="00E7285F">
        <w:rPr>
          <w:bCs/>
        </w:rPr>
        <w:t xml:space="preserve"> </w:t>
      </w:r>
      <w:r w:rsidRPr="00402FD4">
        <w:t>table</w:t>
      </w:r>
    </w:p>
    <w:p w:rsidR="006403E1" w:rsidRPr="00AF371C" w:rsidRDefault="006403E1" w:rsidP="00F02D2D">
      <w:pPr>
        <w:pStyle w:val="Item"/>
      </w:pPr>
      <w:r w:rsidRPr="00AF371C">
        <w:t>Insert</w:t>
      </w:r>
      <w:r>
        <w:t>:</w:t>
      </w:r>
    </w:p>
    <w:p w:rsidR="006403E1" w:rsidRPr="008069F2" w:rsidRDefault="006403E1" w:rsidP="00F02D2D">
      <w:pPr>
        <w:pStyle w:val="notetext"/>
        <w:rPr>
          <w:szCs w:val="18"/>
        </w:rPr>
      </w:pPr>
      <w:r w:rsidRPr="008069F2">
        <w:rPr>
          <w:szCs w:val="18"/>
        </w:rPr>
        <w:t>Note 1:</w:t>
      </w:r>
      <w:r w:rsidRPr="008069F2">
        <w:rPr>
          <w:szCs w:val="18"/>
        </w:rPr>
        <w:tab/>
      </w:r>
      <w:r w:rsidRPr="008069F2">
        <w:rPr>
          <w:i/>
          <w:szCs w:val="18"/>
        </w:rPr>
        <w:t>FMA Act Determination 2013/05 — Section 32 (Transfer of Functions from DCCEE to DIICCSRTE and DRET)</w:t>
      </w:r>
      <w:r w:rsidRPr="008069F2">
        <w:rPr>
          <w:szCs w:val="18"/>
        </w:rPr>
        <w:t xml:space="preserve"> increased the departmental item</w:t>
      </w:r>
      <w:r w:rsidRPr="008069F2" w:rsidDel="007F010D">
        <w:rPr>
          <w:szCs w:val="18"/>
        </w:rPr>
        <w:t xml:space="preserve"> </w:t>
      </w:r>
      <w:r w:rsidRPr="008069F2">
        <w:rPr>
          <w:szCs w:val="18"/>
        </w:rPr>
        <w:t>for the Department of Resources, Energy and Tourism (DRET) in accordance with Table 1 at the end of Schedule 1 to this Act.</w:t>
      </w:r>
    </w:p>
    <w:p w:rsidR="006403E1" w:rsidRPr="008069F2" w:rsidRDefault="006403E1" w:rsidP="00F02D2D">
      <w:pPr>
        <w:pStyle w:val="notemargin"/>
        <w:tabs>
          <w:tab w:val="clear" w:pos="709"/>
          <w:tab w:val="left" w:pos="1985"/>
        </w:tabs>
        <w:spacing w:before="120" w:line="240" w:lineRule="auto"/>
        <w:ind w:left="1985" w:firstLine="0"/>
        <w:rPr>
          <w:szCs w:val="18"/>
        </w:rPr>
      </w:pPr>
      <w:r w:rsidRPr="008069F2">
        <w:rPr>
          <w:szCs w:val="18"/>
        </w:rPr>
        <w:t xml:space="preserve">These changes were made to implement the amendments to the </w:t>
      </w:r>
      <w:r w:rsidRPr="008069F2">
        <w:rPr>
          <w:i/>
          <w:szCs w:val="18"/>
        </w:rPr>
        <w:t>Administrative Arrangements Order</w:t>
      </w:r>
      <w:r w:rsidRPr="008069F2">
        <w:rPr>
          <w:szCs w:val="18"/>
        </w:rPr>
        <w:t xml:space="preserve"> made on 25 March 2013. Functions of the former Department of Climate Change and Energy Efficiency in relation to energy efficiency were transferred to DRET.</w:t>
      </w:r>
    </w:p>
    <w:p w:rsidR="006403E1" w:rsidRDefault="006403E1" w:rsidP="004C1EC8">
      <w:pPr>
        <w:pStyle w:val="notemargin"/>
        <w:spacing w:line="240" w:lineRule="auto"/>
        <w:ind w:left="1134" w:firstLine="0"/>
        <w:rPr>
          <w:szCs w:val="18"/>
        </w:rPr>
      </w:pPr>
    </w:p>
    <w:p w:rsidR="00F514EA" w:rsidRDefault="00F514EA" w:rsidP="000E2B70">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E2B70">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E2B70">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E2B70">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E2B70">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E2B70">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E2B70">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E2B70">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E2B70">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E2B70">
      <w:pPr>
        <w:pStyle w:val="notemargin"/>
        <w:tabs>
          <w:tab w:val="clear" w:pos="709"/>
          <w:tab w:val="left" w:pos="1985"/>
        </w:tabs>
        <w:spacing w:before="120" w:line="240" w:lineRule="auto"/>
        <w:ind w:left="1985" w:hanging="1985"/>
        <w:rPr>
          <w:rFonts w:ascii="Arial" w:hAnsi="Arial"/>
          <w:b/>
          <w:kern w:val="28"/>
          <w:sz w:val="32"/>
        </w:rPr>
      </w:pPr>
    </w:p>
    <w:p w:rsidR="006403E1" w:rsidRDefault="006403E1" w:rsidP="000E2B70">
      <w:pPr>
        <w:pStyle w:val="notemargin"/>
        <w:tabs>
          <w:tab w:val="clear" w:pos="709"/>
          <w:tab w:val="left" w:pos="1985"/>
        </w:tabs>
        <w:spacing w:before="120" w:line="240" w:lineRule="auto"/>
        <w:ind w:left="1985" w:hanging="1985"/>
      </w:pPr>
      <w:r w:rsidRPr="0007504F">
        <w:rPr>
          <w:rFonts w:ascii="Arial" w:hAnsi="Arial"/>
          <w:b/>
          <w:kern w:val="28"/>
          <w:sz w:val="32"/>
        </w:rPr>
        <w:t>Schedule 7</w:t>
      </w:r>
      <w:r w:rsidRPr="0007504F">
        <w:rPr>
          <w:rFonts w:ascii="Arial" w:hAnsi="Arial"/>
          <w:b/>
          <w:kern w:val="28"/>
          <w:sz w:val="32"/>
        </w:rPr>
        <w:tab/>
        <w:t>Amendment of Appropriation Act (No. 2) 2010</w:t>
      </w:r>
      <w:r w:rsidRPr="0007504F">
        <w:rPr>
          <w:rFonts w:ascii="Arial" w:hAnsi="Arial"/>
          <w:b/>
          <w:kern w:val="28"/>
          <w:sz w:val="32"/>
        </w:rPr>
        <w:noBreakHyphen/>
        <w:t>2011</w:t>
      </w:r>
    </w:p>
    <w:p w:rsidR="006403E1" w:rsidRDefault="006403E1" w:rsidP="00443DBB">
      <w:pPr>
        <w:pStyle w:val="A1S"/>
        <w:spacing w:before="240" w:line="240" w:lineRule="auto"/>
        <w:ind w:left="426" w:hanging="426"/>
        <w:rPr>
          <w:bCs/>
        </w:rPr>
      </w:pPr>
      <w:r w:rsidRPr="00F3113A">
        <w:rPr>
          <w:bCs/>
        </w:rPr>
        <w:t>1</w:t>
      </w:r>
      <w:r>
        <w:rPr>
          <w:bCs/>
        </w:rPr>
        <w:tab/>
      </w:r>
      <w:proofErr w:type="gramStart"/>
      <w:r>
        <w:rPr>
          <w:bCs/>
        </w:rPr>
        <w:t>At</w:t>
      </w:r>
      <w:proofErr w:type="gramEnd"/>
      <w:r>
        <w:rPr>
          <w:bCs/>
        </w:rPr>
        <w:t xml:space="preserve"> the end of Schedule 2, on a new page</w:t>
      </w:r>
    </w:p>
    <w:p w:rsidR="006403E1" w:rsidRDefault="006403E1" w:rsidP="00443DBB">
      <w:pPr>
        <w:rPr>
          <w:lang w:eastAsia="en-AU"/>
        </w:rPr>
      </w:pPr>
    </w:p>
    <w:p w:rsidR="006403E1" w:rsidRDefault="006403E1" w:rsidP="00443DBB">
      <w:pPr>
        <w:rPr>
          <w:lang w:eastAsia="en-AU"/>
        </w:rPr>
      </w:pPr>
      <w:r>
        <w:rPr>
          <w:lang w:eastAsia="en-AU"/>
        </w:rPr>
        <w:tab/>
        <w:t>Insert:</w:t>
      </w:r>
    </w:p>
    <w:p w:rsidR="006403E1" w:rsidRDefault="006403E1" w:rsidP="00443DBB">
      <w:pPr>
        <w:rPr>
          <w:rFonts w:ascii="Arial" w:hAnsi="Arial" w:cs="Arial"/>
          <w:b/>
          <w:sz w:val="32"/>
          <w:szCs w:val="32"/>
          <w:lang w:eastAsia="en-AU"/>
        </w:rPr>
      </w:pPr>
      <w:r w:rsidRPr="00D02B43">
        <w:rPr>
          <w:rFonts w:ascii="Arial" w:hAnsi="Arial" w:cs="Arial"/>
          <w:b/>
          <w:sz w:val="32"/>
          <w:szCs w:val="32"/>
          <w:lang w:eastAsia="en-AU"/>
        </w:rPr>
        <w:t>Amendment of Schedule 2 arising from Determination(s) under section 32 of the Financial Management and Accountability Act 1997</w:t>
      </w:r>
    </w:p>
    <w:p w:rsidR="006403E1" w:rsidRPr="001030AF" w:rsidRDefault="006403E1" w:rsidP="001030AF">
      <w:pPr>
        <w:pStyle w:val="ItemHead"/>
        <w:ind w:left="1276" w:hanging="362"/>
      </w:pPr>
      <w:r w:rsidRPr="001030AF">
        <w:t>1</w:t>
      </w:r>
      <w:r w:rsidRPr="001030AF">
        <w:tab/>
      </w:r>
      <w:r>
        <w:t>FMA Act Determination 2013/05 — Section 32 (Transfer of Functions from DCCEE to DIICCSRTE and DRET</w:t>
      </w:r>
      <w:r w:rsidRPr="00B97560">
        <w:t>)</w:t>
      </w:r>
    </w:p>
    <w:p w:rsidR="006403E1" w:rsidRDefault="006403E1" w:rsidP="00443DBB">
      <w:pPr>
        <w:pStyle w:val="Item"/>
        <w:ind w:left="990"/>
      </w:pPr>
      <w:r w:rsidRPr="00B97560">
        <w:t xml:space="preserve">Schedule </w:t>
      </w:r>
      <w:r>
        <w:t>2</w:t>
      </w:r>
      <w:r w:rsidRPr="00B97560">
        <w:t xml:space="preserve"> of this Act is amended </w:t>
      </w:r>
      <w:r>
        <w:t>in accordance with</w:t>
      </w:r>
      <w:r w:rsidRPr="00B97560">
        <w:t xml:space="preserve"> </w:t>
      </w:r>
      <w:r>
        <w:t>section 32</w:t>
      </w:r>
      <w:r w:rsidRPr="00B97560">
        <w:t xml:space="preserve"> of the </w:t>
      </w:r>
      <w:r w:rsidRPr="00B97560">
        <w:rPr>
          <w:i/>
        </w:rPr>
        <w:t>Financial Management and Accountability Act 1997</w:t>
      </w:r>
      <w:r w:rsidRPr="00B97560">
        <w:t xml:space="preserve"> (FMA Act). </w:t>
      </w:r>
      <w:r>
        <w:t>A</w:t>
      </w:r>
      <w:r w:rsidRPr="00B97560">
        <w:t xml:space="preserve">mendments to appropriations are as specified in </w:t>
      </w:r>
      <w:r>
        <w:t xml:space="preserve">the following table. The appropriation </w:t>
      </w:r>
      <w:r w:rsidRPr="00B97560">
        <w:t xml:space="preserve">item </w:t>
      </w:r>
      <w:r>
        <w:t>(</w:t>
      </w:r>
      <w:r w:rsidRPr="00B97560">
        <w:t>listed in Column 1</w:t>
      </w:r>
      <w:r>
        <w:t>)</w:t>
      </w:r>
      <w:r w:rsidRPr="00B97560">
        <w:t xml:space="preserve"> for the </w:t>
      </w:r>
      <w:r>
        <w:t>Agency</w:t>
      </w:r>
      <w:r w:rsidRPr="00B97560">
        <w:t xml:space="preserve"> </w:t>
      </w:r>
      <w:r>
        <w:t xml:space="preserve">(listed in </w:t>
      </w:r>
      <w:r w:rsidRPr="00B97560">
        <w:t>Column 2</w:t>
      </w:r>
      <w:r>
        <w:t xml:space="preserve">) is </w:t>
      </w:r>
      <w:r w:rsidRPr="00B97560">
        <w:t xml:space="preserve">amended by the </w:t>
      </w:r>
      <w:r>
        <w:t xml:space="preserve">relevant </w:t>
      </w:r>
      <w:r w:rsidRPr="00B97560">
        <w:t xml:space="preserve">amount </w:t>
      </w:r>
      <w:r>
        <w:t>(</w:t>
      </w:r>
      <w:r w:rsidRPr="00B97560">
        <w:t>listed in Column 3</w:t>
      </w:r>
      <w:r>
        <w:t>)</w:t>
      </w:r>
      <w:r w:rsidRPr="00B97560">
        <w:t>.</w:t>
      </w:r>
      <w:r>
        <w:t xml:space="preserve"> </w:t>
      </w:r>
      <w:r>
        <w:br/>
        <w:t>A positive amount in Column 3 is an increase in the appropriation and a negative amount is a decrease in the appropriation.</w:t>
      </w:r>
    </w:p>
    <w:p w:rsidR="006403E1" w:rsidRPr="00040D9A" w:rsidRDefault="006403E1" w:rsidP="00A63474">
      <w:pPr>
        <w:pStyle w:val="ItemHead"/>
        <w:keepNext/>
        <w:ind w:left="990" w:firstLine="0"/>
        <w:rPr>
          <w:rFonts w:ascii="Times New Roman" w:hAnsi="Times New Roman"/>
          <w:b w:val="0"/>
          <w:sz w:val="22"/>
          <w:szCs w:val="22"/>
        </w:rPr>
      </w:pPr>
      <w:r w:rsidRPr="00040D9A">
        <w:rPr>
          <w:rFonts w:ascii="Times New Roman" w:hAnsi="Times New Roman"/>
          <w:sz w:val="22"/>
          <w:szCs w:val="22"/>
        </w:rPr>
        <w:t xml:space="preserve">Table </w:t>
      </w:r>
      <w:r>
        <w:rPr>
          <w:rFonts w:ascii="Times New Roman" w:hAnsi="Times New Roman"/>
          <w:sz w:val="22"/>
          <w:szCs w:val="22"/>
        </w:rPr>
        <w:t>1</w:t>
      </w:r>
    </w:p>
    <w:p w:rsidR="006403E1" w:rsidRPr="00AF371C" w:rsidRDefault="006403E1" w:rsidP="00A63474">
      <w:pPr>
        <w:keepNext/>
        <w:keepLines/>
      </w:pPr>
    </w:p>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3109"/>
        <w:gridCol w:w="2697"/>
        <w:gridCol w:w="1559"/>
      </w:tblGrid>
      <w:tr w:rsidR="006403E1" w:rsidRPr="006F4315" w:rsidTr="00824D82">
        <w:trPr>
          <w:tblHeader/>
        </w:trPr>
        <w:tc>
          <w:tcPr>
            <w:tcW w:w="8079" w:type="dxa"/>
            <w:gridSpan w:val="4"/>
            <w:tcBorders>
              <w:top w:val="single" w:sz="12" w:space="0" w:color="auto"/>
              <w:bottom w:val="single" w:sz="6" w:space="0" w:color="auto"/>
            </w:tcBorders>
          </w:tcPr>
          <w:p w:rsidR="006403E1" w:rsidRDefault="006403E1" w:rsidP="00A63474">
            <w:pPr>
              <w:pStyle w:val="TableHeading"/>
              <w:keepNext/>
              <w:keepLines/>
            </w:pPr>
            <w:r>
              <w:t>Amendment of appropriations</w:t>
            </w:r>
          </w:p>
        </w:tc>
      </w:tr>
      <w:tr w:rsidR="006403E1" w:rsidRPr="006F4315" w:rsidTr="00824D82">
        <w:trPr>
          <w:tblHeader/>
        </w:trPr>
        <w:tc>
          <w:tcPr>
            <w:tcW w:w="714" w:type="dxa"/>
            <w:tcBorders>
              <w:top w:val="single" w:sz="6" w:space="0" w:color="auto"/>
              <w:bottom w:val="single" w:sz="6" w:space="0" w:color="auto"/>
            </w:tcBorders>
          </w:tcPr>
          <w:p w:rsidR="006403E1" w:rsidRDefault="006403E1" w:rsidP="00A63474">
            <w:pPr>
              <w:pStyle w:val="TableHeading"/>
              <w:keepNext/>
              <w:keepLines/>
            </w:pPr>
          </w:p>
        </w:tc>
        <w:tc>
          <w:tcPr>
            <w:tcW w:w="3109" w:type="dxa"/>
            <w:tcBorders>
              <w:top w:val="single" w:sz="6" w:space="0" w:color="auto"/>
              <w:bottom w:val="single" w:sz="6" w:space="0" w:color="auto"/>
            </w:tcBorders>
          </w:tcPr>
          <w:p w:rsidR="006403E1" w:rsidRDefault="006403E1" w:rsidP="00A63474">
            <w:pPr>
              <w:pStyle w:val="TableHeading"/>
              <w:keepNext/>
              <w:keepLines/>
            </w:pPr>
            <w:r>
              <w:t>Column 1</w:t>
            </w:r>
          </w:p>
        </w:tc>
        <w:tc>
          <w:tcPr>
            <w:tcW w:w="2697" w:type="dxa"/>
            <w:tcBorders>
              <w:top w:val="single" w:sz="6" w:space="0" w:color="auto"/>
              <w:bottom w:val="single" w:sz="6" w:space="0" w:color="auto"/>
            </w:tcBorders>
          </w:tcPr>
          <w:p w:rsidR="006403E1" w:rsidRDefault="006403E1" w:rsidP="00A63474">
            <w:pPr>
              <w:pStyle w:val="TableHeading"/>
              <w:keepNext/>
              <w:keepLines/>
            </w:pPr>
            <w:r>
              <w:t>Column 2</w:t>
            </w:r>
          </w:p>
        </w:tc>
        <w:tc>
          <w:tcPr>
            <w:tcW w:w="1559" w:type="dxa"/>
            <w:tcBorders>
              <w:top w:val="single" w:sz="6" w:space="0" w:color="auto"/>
              <w:bottom w:val="single" w:sz="6" w:space="0" w:color="auto"/>
            </w:tcBorders>
          </w:tcPr>
          <w:p w:rsidR="006403E1" w:rsidRDefault="006403E1" w:rsidP="00A63474">
            <w:pPr>
              <w:pStyle w:val="TableHeading"/>
              <w:keepNext/>
              <w:keepLines/>
            </w:pPr>
            <w:r>
              <w:t>Column 3</w:t>
            </w:r>
          </w:p>
        </w:tc>
      </w:tr>
      <w:tr w:rsidR="006403E1" w:rsidRPr="006F4315" w:rsidTr="00824D82">
        <w:trPr>
          <w:tblHeader/>
        </w:trPr>
        <w:tc>
          <w:tcPr>
            <w:tcW w:w="714" w:type="dxa"/>
            <w:tcBorders>
              <w:top w:val="single" w:sz="6" w:space="0" w:color="auto"/>
              <w:bottom w:val="single" w:sz="12" w:space="0" w:color="auto"/>
            </w:tcBorders>
          </w:tcPr>
          <w:p w:rsidR="006403E1" w:rsidRDefault="006403E1" w:rsidP="00A63474">
            <w:pPr>
              <w:pStyle w:val="TableHeading"/>
              <w:keepNext/>
              <w:keepLines/>
            </w:pPr>
            <w:r>
              <w:t>Item</w:t>
            </w:r>
          </w:p>
        </w:tc>
        <w:tc>
          <w:tcPr>
            <w:tcW w:w="3109" w:type="dxa"/>
            <w:tcBorders>
              <w:top w:val="single" w:sz="6" w:space="0" w:color="auto"/>
              <w:bottom w:val="single" w:sz="12" w:space="0" w:color="auto"/>
            </w:tcBorders>
          </w:tcPr>
          <w:p w:rsidR="006403E1" w:rsidRDefault="006403E1" w:rsidP="00A63474">
            <w:pPr>
              <w:pStyle w:val="TableHeading"/>
              <w:keepNext/>
              <w:keepLines/>
            </w:pPr>
            <w:r>
              <w:t>Appropriation item</w:t>
            </w:r>
          </w:p>
        </w:tc>
        <w:tc>
          <w:tcPr>
            <w:tcW w:w="2697" w:type="dxa"/>
            <w:tcBorders>
              <w:top w:val="single" w:sz="6" w:space="0" w:color="auto"/>
              <w:bottom w:val="single" w:sz="12" w:space="0" w:color="auto"/>
            </w:tcBorders>
          </w:tcPr>
          <w:p w:rsidR="006403E1" w:rsidRDefault="006403E1" w:rsidP="00A63474">
            <w:pPr>
              <w:pStyle w:val="TableHeading"/>
              <w:keepNext/>
              <w:keepLines/>
            </w:pPr>
            <w:r>
              <w:t>Agency</w:t>
            </w:r>
          </w:p>
        </w:tc>
        <w:tc>
          <w:tcPr>
            <w:tcW w:w="1559" w:type="dxa"/>
            <w:tcBorders>
              <w:top w:val="single" w:sz="6" w:space="0" w:color="auto"/>
              <w:bottom w:val="single" w:sz="12" w:space="0" w:color="auto"/>
            </w:tcBorders>
          </w:tcPr>
          <w:p w:rsidR="006403E1" w:rsidRDefault="006403E1" w:rsidP="00A63474">
            <w:pPr>
              <w:pStyle w:val="TableHeading"/>
              <w:keepNext/>
              <w:keepLines/>
              <w:jc w:val="right"/>
            </w:pPr>
            <w:r>
              <w:t>Amount $</w:t>
            </w:r>
          </w:p>
        </w:tc>
      </w:tr>
      <w:tr w:rsidR="006403E1" w:rsidRPr="006F4315" w:rsidTr="00A63474">
        <w:tc>
          <w:tcPr>
            <w:tcW w:w="714" w:type="dxa"/>
          </w:tcPr>
          <w:p w:rsidR="006403E1" w:rsidRPr="00AF371C" w:rsidRDefault="006403E1" w:rsidP="00A63474">
            <w:pPr>
              <w:pStyle w:val="Tabletext"/>
              <w:keepNext/>
              <w:keepLines/>
            </w:pPr>
            <w:r>
              <w:t>1</w:t>
            </w:r>
          </w:p>
        </w:tc>
        <w:tc>
          <w:tcPr>
            <w:tcW w:w="3109" w:type="dxa"/>
          </w:tcPr>
          <w:p w:rsidR="006403E1" w:rsidRPr="00AF371C" w:rsidRDefault="006403E1" w:rsidP="00A63474">
            <w:pPr>
              <w:pStyle w:val="Tabletext"/>
              <w:keepNext/>
              <w:keepLines/>
            </w:pPr>
            <w:r>
              <w:t>Other departmental item (Equity Injections)</w:t>
            </w:r>
          </w:p>
        </w:tc>
        <w:tc>
          <w:tcPr>
            <w:tcW w:w="2697" w:type="dxa"/>
          </w:tcPr>
          <w:p w:rsidR="006403E1" w:rsidRDefault="006403E1" w:rsidP="00A63474">
            <w:pPr>
              <w:pStyle w:val="Tabletext"/>
            </w:pPr>
            <w:r w:rsidRPr="003C3092">
              <w:t>Department of Industry, Innovation, Climate Change, Science, Research and Tertiary Education</w:t>
            </w:r>
          </w:p>
        </w:tc>
        <w:tc>
          <w:tcPr>
            <w:tcW w:w="1559" w:type="dxa"/>
          </w:tcPr>
          <w:p w:rsidR="006403E1" w:rsidRDefault="006403E1" w:rsidP="00053152">
            <w:pPr>
              <w:pStyle w:val="Tabletext"/>
              <w:keepNext/>
              <w:keepLines/>
              <w:jc w:val="right"/>
            </w:pPr>
            <w:r>
              <w:t>+</w:t>
            </w:r>
            <w:r w:rsidR="00053152">
              <w:t>644,793.15</w:t>
            </w:r>
          </w:p>
        </w:tc>
      </w:tr>
      <w:tr w:rsidR="006403E1" w:rsidRPr="006F4315" w:rsidTr="00A63474">
        <w:tc>
          <w:tcPr>
            <w:tcW w:w="714" w:type="dxa"/>
          </w:tcPr>
          <w:p w:rsidR="006403E1" w:rsidRDefault="006403E1" w:rsidP="00A63474">
            <w:pPr>
              <w:pStyle w:val="Tabletext"/>
              <w:keepNext/>
              <w:keepLines/>
            </w:pPr>
            <w:r>
              <w:t>2</w:t>
            </w:r>
          </w:p>
        </w:tc>
        <w:tc>
          <w:tcPr>
            <w:tcW w:w="3109" w:type="dxa"/>
          </w:tcPr>
          <w:p w:rsidR="006403E1" w:rsidRDefault="006403E1" w:rsidP="00A63474">
            <w:pPr>
              <w:pStyle w:val="Tabletext"/>
              <w:keepNext/>
              <w:keepLines/>
            </w:pPr>
            <w:r>
              <w:t>Other departmental item (Equity Injections)</w:t>
            </w:r>
          </w:p>
        </w:tc>
        <w:tc>
          <w:tcPr>
            <w:tcW w:w="2697" w:type="dxa"/>
          </w:tcPr>
          <w:p w:rsidR="006403E1" w:rsidRPr="003C3092" w:rsidRDefault="006403E1" w:rsidP="00A63474">
            <w:pPr>
              <w:pStyle w:val="Tabletext"/>
            </w:pPr>
            <w:r w:rsidRPr="004E5756">
              <w:t>Department of</w:t>
            </w:r>
            <w:r>
              <w:t xml:space="preserve"> Resources, Energy and Tourism</w:t>
            </w:r>
          </w:p>
        </w:tc>
        <w:tc>
          <w:tcPr>
            <w:tcW w:w="1559" w:type="dxa"/>
          </w:tcPr>
          <w:p w:rsidR="006403E1" w:rsidRPr="00AF371C" w:rsidRDefault="006403E1" w:rsidP="00A63474">
            <w:pPr>
              <w:pStyle w:val="Tabletext"/>
              <w:keepNext/>
              <w:keepLines/>
              <w:jc w:val="right"/>
            </w:pPr>
            <w:r>
              <w:t>+506,024.65</w:t>
            </w:r>
          </w:p>
        </w:tc>
      </w:tr>
      <w:tr w:rsidR="006403E1" w:rsidRPr="006F4315" w:rsidTr="00824D82">
        <w:tc>
          <w:tcPr>
            <w:tcW w:w="714" w:type="dxa"/>
            <w:tcBorders>
              <w:bottom w:val="single" w:sz="12" w:space="0" w:color="auto"/>
            </w:tcBorders>
          </w:tcPr>
          <w:p w:rsidR="006403E1" w:rsidRDefault="006403E1" w:rsidP="00A63474">
            <w:pPr>
              <w:pStyle w:val="Tabletext"/>
              <w:keepNext/>
              <w:keepLines/>
            </w:pPr>
            <w:r>
              <w:t>3</w:t>
            </w:r>
          </w:p>
        </w:tc>
        <w:tc>
          <w:tcPr>
            <w:tcW w:w="3109" w:type="dxa"/>
            <w:tcBorders>
              <w:bottom w:val="single" w:sz="12" w:space="0" w:color="auto"/>
            </w:tcBorders>
          </w:tcPr>
          <w:p w:rsidR="006403E1" w:rsidRDefault="006403E1" w:rsidP="00A63474">
            <w:pPr>
              <w:pStyle w:val="Tabletext"/>
              <w:keepNext/>
              <w:keepLines/>
            </w:pPr>
            <w:r>
              <w:t>Other departmental item (Equity Injections)</w:t>
            </w:r>
          </w:p>
        </w:tc>
        <w:tc>
          <w:tcPr>
            <w:tcW w:w="2697" w:type="dxa"/>
            <w:tcBorders>
              <w:bottom w:val="single" w:sz="12" w:space="0" w:color="auto"/>
            </w:tcBorders>
          </w:tcPr>
          <w:p w:rsidR="006403E1" w:rsidRPr="00AF371C" w:rsidRDefault="006403E1" w:rsidP="00A63474">
            <w:pPr>
              <w:pStyle w:val="Tabletext"/>
              <w:keepNext/>
              <w:keepLines/>
            </w:pPr>
            <w:r>
              <w:t>Department of Climate Change and Energy Efficiency</w:t>
            </w:r>
          </w:p>
        </w:tc>
        <w:tc>
          <w:tcPr>
            <w:tcW w:w="1559" w:type="dxa"/>
            <w:tcBorders>
              <w:bottom w:val="single" w:sz="12" w:space="0" w:color="auto"/>
            </w:tcBorders>
          </w:tcPr>
          <w:p w:rsidR="006403E1" w:rsidRDefault="006403E1" w:rsidP="00A63474">
            <w:pPr>
              <w:pStyle w:val="Tabletext"/>
              <w:keepNext/>
              <w:keepLines/>
              <w:jc w:val="right"/>
            </w:pPr>
            <w:r w:rsidRPr="00AF371C">
              <w:t>-</w:t>
            </w:r>
            <w:r>
              <w:t>1,150,817.80</w:t>
            </w:r>
          </w:p>
        </w:tc>
      </w:tr>
    </w:tbl>
    <w:p w:rsidR="006403E1" w:rsidRDefault="006403E1" w:rsidP="00443DBB">
      <w:pPr>
        <w:pStyle w:val="notetext"/>
      </w:pPr>
      <w:r w:rsidRPr="00D02B43">
        <w:t xml:space="preserve">Note: </w:t>
      </w:r>
      <w:r w:rsidRPr="00D02B43">
        <w:tab/>
        <w:t xml:space="preserve">Section 32 of the FMA Act enables the Finance Minister to determine that Schedules to Appropriation Acts are amended in relation to a transfer of functions between Agencies. A determination under section 32 of the FMA Act cannot result in a change to the total amount appropriated. </w:t>
      </w:r>
      <w:r w:rsidRPr="00FF09D8">
        <w:rPr>
          <w:i/>
        </w:rPr>
        <w:t>FMA Act Determination 2013/05 — Section 32 (Transfer of Functions from DCCEE to DIICCSRTE and DRET)</w:t>
      </w:r>
      <w:r w:rsidRPr="00D02B43">
        <w:t xml:space="preserve"> affects this Act</w:t>
      </w:r>
      <w:r w:rsidR="00F9151E">
        <w:t xml:space="preserve"> </w:t>
      </w:r>
      <w:r w:rsidRPr="00D02B43">
        <w:t>in a specified way to result in no change to the total amount appropriated.</w:t>
      </w:r>
    </w:p>
    <w:p w:rsidR="006403E1" w:rsidRDefault="006403E1" w:rsidP="00FF09D8">
      <w:pPr>
        <w:pStyle w:val="notetext"/>
      </w:pPr>
      <w:r>
        <w:tab/>
        <w:t xml:space="preserve">As a result of amendments to the </w:t>
      </w:r>
      <w:r>
        <w:rPr>
          <w:i/>
        </w:rPr>
        <w:t>Administrative Arrangements Order</w:t>
      </w:r>
      <w:r>
        <w:t xml:space="preserve">, made on 14 December 2011, the former Department of Innovation, Industry, Science and Research (DIISR) was renamed the Department of Industry, Innovation, Science, Research and Tertiary Education (DIISRTE). </w:t>
      </w:r>
    </w:p>
    <w:p w:rsidR="006403E1" w:rsidRDefault="006403E1" w:rsidP="00FF09D8">
      <w:pPr>
        <w:pStyle w:val="notetext"/>
        <w:ind w:firstLine="0"/>
      </w:pPr>
      <w:r>
        <w:t xml:space="preserve">Subsequently, amendments to the </w:t>
      </w:r>
      <w:r>
        <w:rPr>
          <w:i/>
        </w:rPr>
        <w:t>Administrative Arrangements Order</w:t>
      </w:r>
      <w:r>
        <w:t xml:space="preserve">, made on 25 March 2013, renamed DIISRTE the </w:t>
      </w:r>
      <w:r w:rsidRPr="007374FD">
        <w:rPr>
          <w:szCs w:val="18"/>
        </w:rPr>
        <w:t>Department of Industry, Innovation, Climate Change, Science, Research and Tertiary Education</w:t>
      </w:r>
      <w:r>
        <w:t xml:space="preserve"> (DIICCSRTE). </w:t>
      </w:r>
    </w:p>
    <w:p w:rsidR="006403E1" w:rsidRPr="00F3113A" w:rsidRDefault="006403E1" w:rsidP="00443DBB">
      <w:pPr>
        <w:pStyle w:val="A1S"/>
        <w:spacing w:before="240" w:line="240" w:lineRule="auto"/>
        <w:ind w:left="426" w:hanging="426"/>
        <w:rPr>
          <w:bCs/>
        </w:rPr>
      </w:pPr>
      <w:r>
        <w:rPr>
          <w:bCs/>
        </w:rPr>
        <w:t>2</w:t>
      </w:r>
      <w:r>
        <w:rPr>
          <w:bCs/>
        </w:rPr>
        <w:tab/>
        <w:t xml:space="preserve">Schedule 2, </w:t>
      </w:r>
      <w:r w:rsidRPr="00335BCD">
        <w:rPr>
          <w:bCs/>
        </w:rPr>
        <w:t>Climate Change and Energy Efficiency portfolio, after the Department of Climate Change and Energy Efficiency table</w:t>
      </w:r>
    </w:p>
    <w:p w:rsidR="006403E1" w:rsidRPr="00AF371C" w:rsidRDefault="006403E1" w:rsidP="00443DBB">
      <w:pPr>
        <w:pStyle w:val="Item"/>
      </w:pPr>
      <w:r w:rsidRPr="0060183A">
        <w:t>Insert</w:t>
      </w:r>
      <w:r>
        <w:t>:</w:t>
      </w:r>
    </w:p>
    <w:p w:rsidR="006403E1" w:rsidRPr="00C4063F" w:rsidRDefault="006403E1" w:rsidP="00443DBB">
      <w:pPr>
        <w:pStyle w:val="notetext"/>
        <w:rPr>
          <w:szCs w:val="18"/>
        </w:rPr>
      </w:pPr>
      <w:r w:rsidRPr="00C4063F">
        <w:rPr>
          <w:szCs w:val="18"/>
        </w:rPr>
        <w:t>Note 1:</w:t>
      </w:r>
      <w:r w:rsidRPr="00C4063F">
        <w:rPr>
          <w:szCs w:val="18"/>
        </w:rPr>
        <w:tab/>
      </w:r>
      <w:r w:rsidRPr="00C4063F">
        <w:rPr>
          <w:i/>
          <w:szCs w:val="18"/>
        </w:rPr>
        <w:t>FMA Act Determination 2013/05 — Section 32 (Transfer of Functions from DCCEE to DIICCSRTE and DRET)</w:t>
      </w:r>
      <w:r w:rsidRPr="00C4063F">
        <w:rPr>
          <w:szCs w:val="18"/>
        </w:rPr>
        <w:t xml:space="preserve"> reduced the other departmental item (Equity Injections) for the Department of Climate Change and Energy Efficiency (DCCEE) in accordance with Table 1 at the end of Schedule 2 to this Act. </w:t>
      </w:r>
    </w:p>
    <w:p w:rsidR="006403E1" w:rsidRPr="00C4063F" w:rsidRDefault="006403E1" w:rsidP="00FF09D8">
      <w:pPr>
        <w:pStyle w:val="notetext"/>
        <w:ind w:firstLine="0"/>
        <w:rPr>
          <w:szCs w:val="18"/>
        </w:rPr>
      </w:pPr>
      <w:r w:rsidRPr="00C4063F">
        <w:rPr>
          <w:szCs w:val="18"/>
        </w:rPr>
        <w:t xml:space="preserve">These changes were made to implement the amendments to the </w:t>
      </w:r>
      <w:r w:rsidRPr="00C4063F">
        <w:rPr>
          <w:i/>
          <w:szCs w:val="18"/>
        </w:rPr>
        <w:t>Administrative Arrangements Order</w:t>
      </w:r>
      <w:r w:rsidRPr="00C4063F">
        <w:rPr>
          <w:szCs w:val="18"/>
        </w:rPr>
        <w:t xml:space="preserve"> made on 25 March 2013. Functions of the former DCCEE were transferred:</w:t>
      </w:r>
    </w:p>
    <w:p w:rsidR="006403E1" w:rsidRPr="00C4063F" w:rsidRDefault="006403E1" w:rsidP="00FF09D8">
      <w:pPr>
        <w:pStyle w:val="Notepara0"/>
        <w:numPr>
          <w:ilvl w:val="0"/>
          <w:numId w:val="26"/>
        </w:numPr>
        <w:tabs>
          <w:tab w:val="left" w:pos="1276"/>
        </w:tabs>
        <w:spacing w:before="120" w:after="100" w:afterAutospacing="1" w:line="240" w:lineRule="auto"/>
        <w:ind w:left="2552" w:hanging="567"/>
        <w:jc w:val="left"/>
        <w:rPr>
          <w:sz w:val="18"/>
          <w:szCs w:val="18"/>
        </w:rPr>
      </w:pPr>
      <w:r w:rsidRPr="00C4063F">
        <w:rPr>
          <w:sz w:val="18"/>
          <w:szCs w:val="18"/>
        </w:rPr>
        <w:t xml:space="preserve">in relation to climate change, to </w:t>
      </w:r>
      <w:r w:rsidR="009A10DC">
        <w:rPr>
          <w:sz w:val="18"/>
          <w:szCs w:val="18"/>
        </w:rPr>
        <w:t xml:space="preserve">the </w:t>
      </w:r>
      <w:r w:rsidRPr="00C4063F">
        <w:rPr>
          <w:sz w:val="18"/>
          <w:szCs w:val="18"/>
        </w:rPr>
        <w:t>Department of Industry, Innovation, Climate Change, Science, Research and Tertiary Education; and</w:t>
      </w:r>
    </w:p>
    <w:p w:rsidR="006403E1" w:rsidRPr="00C4063F" w:rsidRDefault="006403E1" w:rsidP="00FF09D8">
      <w:pPr>
        <w:pStyle w:val="Notepara0"/>
        <w:numPr>
          <w:ilvl w:val="0"/>
          <w:numId w:val="26"/>
        </w:numPr>
        <w:tabs>
          <w:tab w:val="left" w:pos="709"/>
        </w:tabs>
        <w:spacing w:before="120" w:after="100" w:afterAutospacing="1" w:line="240" w:lineRule="auto"/>
        <w:ind w:left="2552" w:hanging="567"/>
        <w:jc w:val="left"/>
        <w:rPr>
          <w:sz w:val="18"/>
          <w:szCs w:val="18"/>
        </w:rPr>
      </w:pPr>
      <w:proofErr w:type="gramStart"/>
      <w:r w:rsidRPr="00C4063F">
        <w:rPr>
          <w:sz w:val="18"/>
          <w:szCs w:val="18"/>
        </w:rPr>
        <w:t>in</w:t>
      </w:r>
      <w:proofErr w:type="gramEnd"/>
      <w:r w:rsidRPr="00C4063F">
        <w:rPr>
          <w:sz w:val="18"/>
          <w:szCs w:val="18"/>
        </w:rPr>
        <w:t xml:space="preserve"> relation to energy efficiency, to </w:t>
      </w:r>
      <w:r w:rsidR="009A10DC">
        <w:rPr>
          <w:sz w:val="18"/>
          <w:szCs w:val="18"/>
        </w:rPr>
        <w:t xml:space="preserve">the </w:t>
      </w:r>
      <w:r w:rsidRPr="00C4063F">
        <w:rPr>
          <w:sz w:val="18"/>
          <w:szCs w:val="18"/>
        </w:rPr>
        <w:t>Department of Resources, Energy and Tourism.</w:t>
      </w:r>
    </w:p>
    <w:p w:rsidR="006403E1" w:rsidRPr="0066736E" w:rsidRDefault="006403E1" w:rsidP="00FF09D8">
      <w:pPr>
        <w:pStyle w:val="A1S"/>
        <w:spacing w:before="240" w:line="240" w:lineRule="auto"/>
        <w:ind w:left="426" w:hanging="426"/>
        <w:rPr>
          <w:bCs/>
        </w:rPr>
      </w:pPr>
      <w:r w:rsidRPr="0066736E">
        <w:rPr>
          <w:bCs/>
        </w:rPr>
        <w:t>3</w:t>
      </w:r>
      <w:r w:rsidRPr="0066736E">
        <w:rPr>
          <w:bCs/>
        </w:rPr>
        <w:tab/>
        <w:t>Schedule 2, Innovation, Industry, Science</w:t>
      </w:r>
      <w:r>
        <w:rPr>
          <w:bCs/>
        </w:rPr>
        <w:t xml:space="preserve"> and</w:t>
      </w:r>
      <w:r w:rsidRPr="0066736E">
        <w:rPr>
          <w:bCs/>
        </w:rPr>
        <w:t xml:space="preserve"> Research portfolio, </w:t>
      </w:r>
      <w:r>
        <w:rPr>
          <w:bCs/>
        </w:rPr>
        <w:t xml:space="preserve">after the </w:t>
      </w:r>
      <w:r w:rsidRPr="0066736E">
        <w:rPr>
          <w:bCs/>
        </w:rPr>
        <w:t>Department of Innovation, Industry, Science</w:t>
      </w:r>
      <w:r>
        <w:rPr>
          <w:bCs/>
        </w:rPr>
        <w:t xml:space="preserve"> and</w:t>
      </w:r>
      <w:r w:rsidRPr="0066736E">
        <w:rPr>
          <w:bCs/>
        </w:rPr>
        <w:t xml:space="preserve"> Research table</w:t>
      </w:r>
    </w:p>
    <w:p w:rsidR="006403E1" w:rsidRPr="0066736E" w:rsidRDefault="006403E1" w:rsidP="00FF09D8">
      <w:pPr>
        <w:pStyle w:val="Item"/>
      </w:pPr>
      <w:r w:rsidRPr="0066736E">
        <w:t>Insert:</w:t>
      </w:r>
    </w:p>
    <w:p w:rsidR="006403E1" w:rsidRPr="0066736E" w:rsidRDefault="006403E1" w:rsidP="00FF09D8">
      <w:pPr>
        <w:pStyle w:val="notetext"/>
        <w:rPr>
          <w:szCs w:val="18"/>
        </w:rPr>
      </w:pPr>
      <w:r w:rsidRPr="0066736E">
        <w:t>Note </w:t>
      </w:r>
      <w:r>
        <w:t>1</w:t>
      </w:r>
      <w:r w:rsidRPr="0066736E">
        <w:t>:</w:t>
      </w:r>
      <w:r w:rsidRPr="0066736E">
        <w:tab/>
      </w:r>
      <w:r w:rsidRPr="0066736E">
        <w:rPr>
          <w:i/>
          <w:szCs w:val="18"/>
        </w:rPr>
        <w:t>FMA Act Determination 2013/05 — Section 32 (Transfer of Functions from DCCEE to DIICCSRTE and DRET)</w:t>
      </w:r>
      <w:r w:rsidRPr="0066736E">
        <w:rPr>
          <w:szCs w:val="18"/>
        </w:rPr>
        <w:t xml:space="preserve"> increased the other departmental item (Equity Injections) for the Department of Industry, Innovation, Climate Change, Science, Research and Tertiary Education (DIICCSRTE) in accordance with Table 1 at the end of Schedule 2 to this Act.</w:t>
      </w:r>
    </w:p>
    <w:p w:rsidR="006403E1" w:rsidRPr="0066736E" w:rsidRDefault="006403E1" w:rsidP="00FF09D8">
      <w:pPr>
        <w:pStyle w:val="notemargin"/>
        <w:spacing w:line="240" w:lineRule="auto"/>
        <w:ind w:left="1985" w:firstLine="0"/>
        <w:rPr>
          <w:szCs w:val="18"/>
        </w:rPr>
      </w:pPr>
      <w:r w:rsidRPr="0066736E">
        <w:rPr>
          <w:szCs w:val="18"/>
        </w:rPr>
        <w:t xml:space="preserve">These changes were made to implement the amendments to the </w:t>
      </w:r>
      <w:r w:rsidRPr="0066736E">
        <w:rPr>
          <w:i/>
          <w:szCs w:val="18"/>
        </w:rPr>
        <w:t>Administrative Arrangements Order</w:t>
      </w:r>
      <w:r w:rsidRPr="0066736E">
        <w:rPr>
          <w:szCs w:val="18"/>
        </w:rPr>
        <w:t xml:space="preserve"> made on 25 March 2013. Functions of the former Department of Climate Change and Energy Efficiency in relation to climate change were transferred to DIICCSRTE. </w:t>
      </w:r>
    </w:p>
    <w:p w:rsidR="006403E1" w:rsidRDefault="006403E1" w:rsidP="00FF09D8">
      <w:pPr>
        <w:pStyle w:val="notetext"/>
        <w:ind w:firstLine="0"/>
      </w:pPr>
      <w:r w:rsidRPr="0066736E">
        <w:t xml:space="preserve">As a result of amendments to the </w:t>
      </w:r>
      <w:r w:rsidRPr="0066736E">
        <w:rPr>
          <w:i/>
        </w:rPr>
        <w:t>Administrative Arrangements Order</w:t>
      </w:r>
      <w:r w:rsidRPr="0066736E">
        <w:t>, made on</w:t>
      </w:r>
      <w:r>
        <w:t xml:space="preserve"> 14 December 2011, the former Department of Innovation, Industry, Science and Research (DIISR) was renamed the Department of Industry, Innovation, Science, Research and Tertiary Education (DIISRTE). </w:t>
      </w:r>
    </w:p>
    <w:p w:rsidR="006403E1" w:rsidRPr="007374FD" w:rsidRDefault="006403E1" w:rsidP="00FF09D8">
      <w:pPr>
        <w:pStyle w:val="notemargin"/>
        <w:spacing w:line="240" w:lineRule="auto"/>
        <w:ind w:left="1985" w:firstLine="0"/>
        <w:rPr>
          <w:szCs w:val="18"/>
        </w:rPr>
      </w:pPr>
      <w:r>
        <w:t xml:space="preserve">Subsequently, amendments to the </w:t>
      </w:r>
      <w:r>
        <w:rPr>
          <w:i/>
        </w:rPr>
        <w:t>Administrative Arrangements Order</w:t>
      </w:r>
      <w:r>
        <w:t xml:space="preserve">, made on 25 March 2013, renamed DIISRTE </w:t>
      </w:r>
      <w:r w:rsidR="009A10DC">
        <w:t xml:space="preserve">to </w:t>
      </w:r>
      <w:r>
        <w:t>DIICCSRTE.</w:t>
      </w:r>
    </w:p>
    <w:p w:rsidR="006403E1" w:rsidRPr="0066736E" w:rsidRDefault="006403E1" w:rsidP="00FF09D8">
      <w:pPr>
        <w:pStyle w:val="Item"/>
        <w:ind w:left="426" w:hanging="426"/>
      </w:pPr>
      <w:r w:rsidRPr="0066736E">
        <w:rPr>
          <w:rFonts w:ascii="Arial" w:hAnsi="Arial"/>
          <w:b/>
          <w:bCs/>
          <w:sz w:val="24"/>
          <w:szCs w:val="24"/>
        </w:rPr>
        <w:t>4</w:t>
      </w:r>
      <w:r w:rsidRPr="0066736E">
        <w:rPr>
          <w:rFonts w:ascii="Arial" w:hAnsi="Arial"/>
          <w:b/>
          <w:bCs/>
          <w:sz w:val="24"/>
          <w:szCs w:val="24"/>
        </w:rPr>
        <w:tab/>
        <w:t>Schedule 2, Resources, Energy and Tourism portfolio, after the Department of Resources, Energy and Tourism table</w:t>
      </w:r>
      <w:r>
        <w:rPr>
          <w:bCs/>
          <w:highlight w:val="yellow"/>
        </w:rPr>
        <w:br/>
      </w:r>
      <w:proofErr w:type="gramStart"/>
      <w:r w:rsidRPr="0066736E">
        <w:t>Insert</w:t>
      </w:r>
      <w:proofErr w:type="gramEnd"/>
      <w:r w:rsidRPr="0066736E">
        <w:t>:</w:t>
      </w:r>
    </w:p>
    <w:p w:rsidR="006403E1" w:rsidRPr="00C4063F" w:rsidRDefault="006403E1" w:rsidP="00FF09D8">
      <w:pPr>
        <w:pStyle w:val="notetext"/>
        <w:rPr>
          <w:szCs w:val="18"/>
        </w:rPr>
      </w:pPr>
      <w:r w:rsidRPr="00C4063F">
        <w:rPr>
          <w:szCs w:val="18"/>
        </w:rPr>
        <w:t>Note </w:t>
      </w:r>
      <w:r>
        <w:rPr>
          <w:szCs w:val="18"/>
        </w:rPr>
        <w:t>1</w:t>
      </w:r>
      <w:r w:rsidRPr="00C4063F">
        <w:rPr>
          <w:szCs w:val="18"/>
        </w:rPr>
        <w:t>:</w:t>
      </w:r>
      <w:r w:rsidRPr="00C4063F">
        <w:rPr>
          <w:szCs w:val="18"/>
        </w:rPr>
        <w:tab/>
      </w:r>
      <w:r w:rsidRPr="00C4063F">
        <w:rPr>
          <w:i/>
          <w:szCs w:val="18"/>
        </w:rPr>
        <w:t>FMA Act Determination 2013/05 — Section 32 (Transfer of Functions from DCCEE to DIICCSRTE and DRET)</w:t>
      </w:r>
      <w:r w:rsidRPr="00C4063F">
        <w:rPr>
          <w:szCs w:val="18"/>
        </w:rPr>
        <w:t xml:space="preserve"> increased the other departmental item (Equity Injections) for the Department of Resources, Energy and Tourism (DRET) in accordance with Table 1 at the end of Schedule 2 to this Act.</w:t>
      </w:r>
    </w:p>
    <w:p w:rsidR="006403E1" w:rsidRPr="00C4063F" w:rsidRDefault="006403E1" w:rsidP="0007504F">
      <w:pPr>
        <w:pStyle w:val="notemargin"/>
        <w:tabs>
          <w:tab w:val="clear" w:pos="709"/>
          <w:tab w:val="left" w:pos="1985"/>
        </w:tabs>
        <w:spacing w:before="120" w:line="240" w:lineRule="auto"/>
        <w:ind w:left="1985" w:firstLine="0"/>
        <w:rPr>
          <w:szCs w:val="18"/>
        </w:rPr>
      </w:pPr>
      <w:r w:rsidRPr="00C4063F">
        <w:rPr>
          <w:szCs w:val="18"/>
        </w:rPr>
        <w:t xml:space="preserve">These changes were made to implement the amendments to the </w:t>
      </w:r>
      <w:r w:rsidRPr="00C4063F">
        <w:rPr>
          <w:i/>
          <w:szCs w:val="18"/>
        </w:rPr>
        <w:t>Administrative Arrangements Order</w:t>
      </w:r>
      <w:r w:rsidRPr="00C4063F">
        <w:rPr>
          <w:szCs w:val="18"/>
        </w:rPr>
        <w:t xml:space="preserve"> made on 25 March 2013. Functions of the former Department of Climate Change and Energy Efficiency in relation to energy efficiency were transferred to DRET.</w:t>
      </w:r>
    </w:p>
    <w:p w:rsidR="00F514EA" w:rsidRDefault="00F514EA" w:rsidP="0007504F">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7504F">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7504F">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7504F">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7504F">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7504F">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7504F">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7504F">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7504F">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7504F">
      <w:pPr>
        <w:pStyle w:val="notemargin"/>
        <w:tabs>
          <w:tab w:val="clear" w:pos="709"/>
          <w:tab w:val="left" w:pos="1985"/>
        </w:tabs>
        <w:spacing w:before="120" w:line="240" w:lineRule="auto"/>
        <w:ind w:left="1985" w:hanging="1985"/>
        <w:rPr>
          <w:rFonts w:ascii="Arial" w:hAnsi="Arial"/>
          <w:b/>
          <w:kern w:val="28"/>
          <w:sz w:val="32"/>
        </w:rPr>
      </w:pPr>
    </w:p>
    <w:p w:rsidR="00F514EA" w:rsidRDefault="00F514EA" w:rsidP="0007504F">
      <w:pPr>
        <w:pStyle w:val="notemargin"/>
        <w:tabs>
          <w:tab w:val="clear" w:pos="709"/>
          <w:tab w:val="left" w:pos="1985"/>
        </w:tabs>
        <w:spacing w:before="120" w:line="240" w:lineRule="auto"/>
        <w:ind w:left="1985" w:hanging="1985"/>
        <w:rPr>
          <w:rFonts w:ascii="Arial" w:hAnsi="Arial"/>
          <w:b/>
          <w:kern w:val="28"/>
          <w:sz w:val="32"/>
        </w:rPr>
      </w:pPr>
    </w:p>
    <w:p w:rsidR="006403E1" w:rsidRPr="002835A6" w:rsidRDefault="006403E1" w:rsidP="0007504F">
      <w:pPr>
        <w:pStyle w:val="notemargin"/>
        <w:tabs>
          <w:tab w:val="clear" w:pos="709"/>
          <w:tab w:val="left" w:pos="1985"/>
        </w:tabs>
        <w:spacing w:before="120" w:line="240" w:lineRule="auto"/>
        <w:ind w:left="1985" w:hanging="1985"/>
        <w:rPr>
          <w:rFonts w:ascii="Arial" w:hAnsi="Arial"/>
          <w:b/>
          <w:kern w:val="28"/>
          <w:sz w:val="32"/>
        </w:rPr>
      </w:pPr>
      <w:r w:rsidRPr="002835A6">
        <w:rPr>
          <w:rFonts w:ascii="Arial" w:hAnsi="Arial"/>
          <w:b/>
          <w:kern w:val="28"/>
          <w:sz w:val="32"/>
        </w:rPr>
        <w:t>Schedule 8</w:t>
      </w:r>
      <w:r w:rsidRPr="002835A6">
        <w:rPr>
          <w:rFonts w:ascii="Arial" w:hAnsi="Arial"/>
          <w:b/>
          <w:kern w:val="28"/>
          <w:sz w:val="32"/>
        </w:rPr>
        <w:tab/>
        <w:t>Amendment of Appropriation Act (No. 4) 2010</w:t>
      </w:r>
      <w:r w:rsidRPr="002835A6">
        <w:rPr>
          <w:rFonts w:ascii="Arial" w:hAnsi="Arial"/>
          <w:b/>
          <w:kern w:val="28"/>
          <w:sz w:val="32"/>
        </w:rPr>
        <w:noBreakHyphen/>
        <w:t>2011</w:t>
      </w:r>
    </w:p>
    <w:p w:rsidR="006403E1" w:rsidRDefault="006403E1" w:rsidP="002E302D">
      <w:pPr>
        <w:pStyle w:val="A1S"/>
        <w:spacing w:before="240" w:line="240" w:lineRule="auto"/>
        <w:ind w:left="426" w:hanging="426"/>
        <w:rPr>
          <w:bCs/>
        </w:rPr>
      </w:pPr>
      <w:r w:rsidRPr="00F3113A">
        <w:rPr>
          <w:bCs/>
        </w:rPr>
        <w:t>1</w:t>
      </w:r>
      <w:r>
        <w:rPr>
          <w:bCs/>
        </w:rPr>
        <w:tab/>
      </w:r>
      <w:proofErr w:type="gramStart"/>
      <w:r>
        <w:rPr>
          <w:bCs/>
        </w:rPr>
        <w:t>At</w:t>
      </w:r>
      <w:proofErr w:type="gramEnd"/>
      <w:r>
        <w:rPr>
          <w:bCs/>
        </w:rPr>
        <w:t xml:space="preserve"> the end of Schedule 2, on a new page</w:t>
      </w:r>
    </w:p>
    <w:p w:rsidR="0063130E" w:rsidRDefault="0063130E" w:rsidP="002E302D">
      <w:pPr>
        <w:rPr>
          <w:lang w:eastAsia="en-AU"/>
        </w:rPr>
      </w:pPr>
    </w:p>
    <w:p w:rsidR="006403E1" w:rsidRDefault="006403E1" w:rsidP="002E302D">
      <w:pPr>
        <w:rPr>
          <w:lang w:eastAsia="en-AU"/>
        </w:rPr>
      </w:pPr>
      <w:r>
        <w:rPr>
          <w:lang w:eastAsia="en-AU"/>
        </w:rPr>
        <w:tab/>
        <w:t>Insert:</w:t>
      </w:r>
    </w:p>
    <w:p w:rsidR="006403E1" w:rsidRDefault="006403E1" w:rsidP="002E302D">
      <w:pPr>
        <w:rPr>
          <w:rFonts w:ascii="Arial" w:hAnsi="Arial" w:cs="Arial"/>
          <w:b/>
          <w:sz w:val="32"/>
          <w:szCs w:val="32"/>
          <w:lang w:eastAsia="en-AU"/>
        </w:rPr>
      </w:pPr>
      <w:r w:rsidRPr="00D02B43">
        <w:rPr>
          <w:rFonts w:ascii="Arial" w:hAnsi="Arial" w:cs="Arial"/>
          <w:b/>
          <w:sz w:val="32"/>
          <w:szCs w:val="32"/>
          <w:lang w:eastAsia="en-AU"/>
        </w:rPr>
        <w:t>Amendment of Schedule 2 arising from Determination(s) under section 32 of the Financial Management and Accountability Act 1997</w:t>
      </w:r>
    </w:p>
    <w:p w:rsidR="006403E1" w:rsidRPr="001030AF" w:rsidRDefault="006403E1" w:rsidP="001030AF">
      <w:pPr>
        <w:pStyle w:val="ItemHead"/>
        <w:ind w:left="1276" w:hanging="362"/>
      </w:pPr>
      <w:r w:rsidRPr="001030AF">
        <w:t>1</w:t>
      </w:r>
      <w:r w:rsidRPr="001030AF">
        <w:tab/>
      </w:r>
      <w:r>
        <w:t>FMA Act Determination 2013/05 — Section 32 (Transfer of Functions from DCCEE to DIICCSRTE and DRET</w:t>
      </w:r>
      <w:r w:rsidRPr="00B97560">
        <w:t>)</w:t>
      </w:r>
    </w:p>
    <w:p w:rsidR="006403E1" w:rsidRDefault="006403E1" w:rsidP="002E302D">
      <w:pPr>
        <w:pStyle w:val="Item"/>
        <w:ind w:left="990"/>
      </w:pPr>
      <w:r w:rsidRPr="00B97560">
        <w:t xml:space="preserve">Schedule </w:t>
      </w:r>
      <w:r>
        <w:t>2</w:t>
      </w:r>
      <w:r w:rsidRPr="00B97560">
        <w:t xml:space="preserve"> of this Act is amended </w:t>
      </w:r>
      <w:r>
        <w:t>in accordance with</w:t>
      </w:r>
      <w:r w:rsidRPr="00B97560">
        <w:t xml:space="preserve"> </w:t>
      </w:r>
      <w:r>
        <w:t>section 32</w:t>
      </w:r>
      <w:r w:rsidRPr="00B97560">
        <w:t xml:space="preserve"> of the </w:t>
      </w:r>
      <w:r w:rsidRPr="00B97560">
        <w:rPr>
          <w:i/>
        </w:rPr>
        <w:t>Financial Management and Accountability Act 1997</w:t>
      </w:r>
      <w:r w:rsidRPr="00B97560">
        <w:t xml:space="preserve"> (FMA Act). </w:t>
      </w:r>
      <w:r>
        <w:t>A</w:t>
      </w:r>
      <w:r w:rsidRPr="00B97560">
        <w:t xml:space="preserve">mendments to appropriations are as specified in </w:t>
      </w:r>
      <w:r>
        <w:t xml:space="preserve">the following table. The appropriation </w:t>
      </w:r>
      <w:r w:rsidRPr="00B97560">
        <w:t xml:space="preserve">item </w:t>
      </w:r>
      <w:r>
        <w:t>(</w:t>
      </w:r>
      <w:r w:rsidRPr="00B97560">
        <w:t>listed in Column 1</w:t>
      </w:r>
      <w:r>
        <w:t>)</w:t>
      </w:r>
      <w:r w:rsidRPr="00B97560">
        <w:t xml:space="preserve"> for the </w:t>
      </w:r>
      <w:r>
        <w:t>Agency</w:t>
      </w:r>
      <w:r w:rsidRPr="00B97560">
        <w:t xml:space="preserve"> </w:t>
      </w:r>
      <w:r>
        <w:t xml:space="preserve">(listed in </w:t>
      </w:r>
      <w:r w:rsidRPr="00B97560">
        <w:t>Column 2</w:t>
      </w:r>
      <w:r>
        <w:t xml:space="preserve">) is </w:t>
      </w:r>
      <w:r w:rsidRPr="00B97560">
        <w:t xml:space="preserve">amended by the </w:t>
      </w:r>
      <w:r>
        <w:t xml:space="preserve">relevant </w:t>
      </w:r>
      <w:r w:rsidRPr="00B97560">
        <w:t xml:space="preserve">amount </w:t>
      </w:r>
      <w:r>
        <w:t>(</w:t>
      </w:r>
      <w:r w:rsidRPr="00B97560">
        <w:t>listed in Column 3</w:t>
      </w:r>
      <w:r>
        <w:t>)</w:t>
      </w:r>
      <w:r w:rsidRPr="00B97560">
        <w:t>.</w:t>
      </w:r>
      <w:r>
        <w:t xml:space="preserve"> </w:t>
      </w:r>
      <w:r>
        <w:br/>
        <w:t>A positive amount in Column 3 is an increase in the appropriation and a negative amount is a decrease in the appropriation.</w:t>
      </w:r>
    </w:p>
    <w:p w:rsidR="006403E1" w:rsidRPr="00040D9A" w:rsidRDefault="006403E1" w:rsidP="002E302D">
      <w:pPr>
        <w:pStyle w:val="ItemHead"/>
        <w:ind w:left="990" w:firstLine="0"/>
        <w:rPr>
          <w:rFonts w:ascii="Times New Roman" w:hAnsi="Times New Roman"/>
          <w:b w:val="0"/>
          <w:sz w:val="22"/>
          <w:szCs w:val="22"/>
        </w:rPr>
      </w:pPr>
      <w:r w:rsidRPr="00040D9A">
        <w:rPr>
          <w:rFonts w:ascii="Times New Roman" w:hAnsi="Times New Roman"/>
          <w:sz w:val="22"/>
          <w:szCs w:val="22"/>
        </w:rPr>
        <w:t xml:space="preserve">Table </w:t>
      </w:r>
      <w:r>
        <w:rPr>
          <w:rFonts w:ascii="Times New Roman" w:hAnsi="Times New Roman"/>
          <w:sz w:val="22"/>
          <w:szCs w:val="22"/>
        </w:rPr>
        <w:t>1</w:t>
      </w:r>
    </w:p>
    <w:p w:rsidR="006403E1" w:rsidRPr="00AF371C" w:rsidRDefault="006403E1" w:rsidP="002E302D"/>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3109"/>
        <w:gridCol w:w="2697"/>
        <w:gridCol w:w="1559"/>
      </w:tblGrid>
      <w:tr w:rsidR="006403E1" w:rsidRPr="006F4315" w:rsidTr="00824D82">
        <w:trPr>
          <w:tblHeader/>
        </w:trPr>
        <w:tc>
          <w:tcPr>
            <w:tcW w:w="8079" w:type="dxa"/>
            <w:gridSpan w:val="4"/>
            <w:tcBorders>
              <w:top w:val="single" w:sz="12" w:space="0" w:color="auto"/>
              <w:bottom w:val="single" w:sz="6" w:space="0" w:color="auto"/>
            </w:tcBorders>
          </w:tcPr>
          <w:p w:rsidR="006403E1" w:rsidRDefault="006403E1" w:rsidP="00824D82">
            <w:pPr>
              <w:pStyle w:val="TableHeading"/>
            </w:pPr>
            <w:r>
              <w:t>Amendment of appropriations</w:t>
            </w:r>
          </w:p>
        </w:tc>
      </w:tr>
      <w:tr w:rsidR="006403E1" w:rsidRPr="006F4315" w:rsidTr="00824D82">
        <w:trPr>
          <w:tblHeader/>
        </w:trPr>
        <w:tc>
          <w:tcPr>
            <w:tcW w:w="714" w:type="dxa"/>
            <w:tcBorders>
              <w:top w:val="single" w:sz="6" w:space="0" w:color="auto"/>
              <w:bottom w:val="single" w:sz="6" w:space="0" w:color="auto"/>
            </w:tcBorders>
          </w:tcPr>
          <w:p w:rsidR="006403E1" w:rsidRDefault="006403E1" w:rsidP="00824D82">
            <w:pPr>
              <w:pStyle w:val="TableHeading"/>
            </w:pPr>
          </w:p>
        </w:tc>
        <w:tc>
          <w:tcPr>
            <w:tcW w:w="3109" w:type="dxa"/>
            <w:tcBorders>
              <w:top w:val="single" w:sz="6" w:space="0" w:color="auto"/>
              <w:bottom w:val="single" w:sz="6" w:space="0" w:color="auto"/>
            </w:tcBorders>
          </w:tcPr>
          <w:p w:rsidR="006403E1" w:rsidRDefault="006403E1" w:rsidP="00824D82">
            <w:pPr>
              <w:pStyle w:val="TableHeading"/>
            </w:pPr>
            <w:r>
              <w:t>Column 1</w:t>
            </w:r>
          </w:p>
        </w:tc>
        <w:tc>
          <w:tcPr>
            <w:tcW w:w="2697" w:type="dxa"/>
            <w:tcBorders>
              <w:top w:val="single" w:sz="6" w:space="0" w:color="auto"/>
              <w:bottom w:val="single" w:sz="6" w:space="0" w:color="auto"/>
            </w:tcBorders>
          </w:tcPr>
          <w:p w:rsidR="006403E1" w:rsidRDefault="006403E1" w:rsidP="00824D82">
            <w:pPr>
              <w:pStyle w:val="TableHeading"/>
            </w:pPr>
            <w:r>
              <w:t>Column 2</w:t>
            </w:r>
          </w:p>
        </w:tc>
        <w:tc>
          <w:tcPr>
            <w:tcW w:w="1559" w:type="dxa"/>
            <w:tcBorders>
              <w:top w:val="single" w:sz="6" w:space="0" w:color="auto"/>
              <w:bottom w:val="single" w:sz="6" w:space="0" w:color="auto"/>
            </w:tcBorders>
          </w:tcPr>
          <w:p w:rsidR="006403E1" w:rsidRDefault="006403E1" w:rsidP="00824D82">
            <w:pPr>
              <w:pStyle w:val="TableHeading"/>
            </w:pPr>
            <w:r>
              <w:t>Column 3</w:t>
            </w:r>
          </w:p>
        </w:tc>
      </w:tr>
      <w:tr w:rsidR="006403E1" w:rsidRPr="006F4315" w:rsidTr="00824D82">
        <w:trPr>
          <w:tblHeader/>
        </w:trPr>
        <w:tc>
          <w:tcPr>
            <w:tcW w:w="714" w:type="dxa"/>
            <w:tcBorders>
              <w:top w:val="single" w:sz="6" w:space="0" w:color="auto"/>
              <w:bottom w:val="single" w:sz="12" w:space="0" w:color="auto"/>
            </w:tcBorders>
          </w:tcPr>
          <w:p w:rsidR="006403E1" w:rsidRDefault="006403E1" w:rsidP="00824D82">
            <w:pPr>
              <w:pStyle w:val="TableHeading"/>
            </w:pPr>
            <w:r>
              <w:t>Item</w:t>
            </w:r>
          </w:p>
        </w:tc>
        <w:tc>
          <w:tcPr>
            <w:tcW w:w="3109" w:type="dxa"/>
            <w:tcBorders>
              <w:top w:val="single" w:sz="6" w:space="0" w:color="auto"/>
              <w:bottom w:val="single" w:sz="12" w:space="0" w:color="auto"/>
            </w:tcBorders>
          </w:tcPr>
          <w:p w:rsidR="006403E1" w:rsidRDefault="006403E1" w:rsidP="00824D82">
            <w:pPr>
              <w:pStyle w:val="TableHeading"/>
            </w:pPr>
            <w:r>
              <w:t>Appropriation item</w:t>
            </w:r>
          </w:p>
        </w:tc>
        <w:tc>
          <w:tcPr>
            <w:tcW w:w="2697" w:type="dxa"/>
            <w:tcBorders>
              <w:top w:val="single" w:sz="6" w:space="0" w:color="auto"/>
              <w:bottom w:val="single" w:sz="12" w:space="0" w:color="auto"/>
            </w:tcBorders>
          </w:tcPr>
          <w:p w:rsidR="006403E1" w:rsidRDefault="006403E1" w:rsidP="00824D82">
            <w:pPr>
              <w:pStyle w:val="TableHeading"/>
            </w:pPr>
            <w:r>
              <w:t>Agency</w:t>
            </w:r>
          </w:p>
        </w:tc>
        <w:tc>
          <w:tcPr>
            <w:tcW w:w="1559" w:type="dxa"/>
            <w:tcBorders>
              <w:top w:val="single" w:sz="6" w:space="0" w:color="auto"/>
              <w:bottom w:val="single" w:sz="12" w:space="0" w:color="auto"/>
            </w:tcBorders>
          </w:tcPr>
          <w:p w:rsidR="006403E1" w:rsidRDefault="006403E1" w:rsidP="00824D82">
            <w:pPr>
              <w:pStyle w:val="TableHeading"/>
              <w:jc w:val="right"/>
            </w:pPr>
            <w:r>
              <w:t>Amount $</w:t>
            </w:r>
          </w:p>
        </w:tc>
      </w:tr>
      <w:tr w:rsidR="00053152" w:rsidRPr="006F4315" w:rsidTr="0007504F">
        <w:tc>
          <w:tcPr>
            <w:tcW w:w="714" w:type="dxa"/>
          </w:tcPr>
          <w:p w:rsidR="00053152" w:rsidRDefault="00053152" w:rsidP="00824D82">
            <w:pPr>
              <w:pStyle w:val="Tabletext"/>
            </w:pPr>
            <w:r>
              <w:t>1</w:t>
            </w:r>
          </w:p>
        </w:tc>
        <w:tc>
          <w:tcPr>
            <w:tcW w:w="3109" w:type="dxa"/>
          </w:tcPr>
          <w:p w:rsidR="00053152" w:rsidRPr="00AF371C" w:rsidRDefault="00053152" w:rsidP="00053152">
            <w:pPr>
              <w:pStyle w:val="Tabletext"/>
              <w:keepNext/>
              <w:keepLines/>
            </w:pPr>
            <w:r>
              <w:t>Other departmental item (Equity Injections)</w:t>
            </w:r>
          </w:p>
        </w:tc>
        <w:tc>
          <w:tcPr>
            <w:tcW w:w="2697" w:type="dxa"/>
          </w:tcPr>
          <w:p w:rsidR="00053152" w:rsidRDefault="00053152" w:rsidP="00053152">
            <w:pPr>
              <w:pStyle w:val="Tabletext"/>
            </w:pPr>
            <w:r w:rsidRPr="003C3092">
              <w:t>Department of Industry, Innovation, Climate Change, Science, Research and Tertiary Education</w:t>
            </w:r>
          </w:p>
        </w:tc>
        <w:tc>
          <w:tcPr>
            <w:tcW w:w="1559" w:type="dxa"/>
          </w:tcPr>
          <w:p w:rsidR="00053152" w:rsidRDefault="008421DC" w:rsidP="002E302D">
            <w:pPr>
              <w:pStyle w:val="Tabletext"/>
              <w:jc w:val="right"/>
            </w:pPr>
            <w:r>
              <w:t>+196,101.94</w:t>
            </w:r>
          </w:p>
        </w:tc>
      </w:tr>
      <w:tr w:rsidR="00053152" w:rsidRPr="006F4315" w:rsidTr="0007504F">
        <w:tc>
          <w:tcPr>
            <w:tcW w:w="714" w:type="dxa"/>
          </w:tcPr>
          <w:p w:rsidR="00053152" w:rsidRPr="00AF371C" w:rsidRDefault="00053152" w:rsidP="00824D82">
            <w:pPr>
              <w:pStyle w:val="Tabletext"/>
            </w:pPr>
            <w:r>
              <w:t>2</w:t>
            </w:r>
          </w:p>
        </w:tc>
        <w:tc>
          <w:tcPr>
            <w:tcW w:w="3109" w:type="dxa"/>
          </w:tcPr>
          <w:p w:rsidR="00053152" w:rsidRPr="00AF371C" w:rsidRDefault="00053152" w:rsidP="0007504F">
            <w:pPr>
              <w:pStyle w:val="Tabletext"/>
            </w:pPr>
            <w:r>
              <w:t>Other departmental item (Equity Injections)</w:t>
            </w:r>
          </w:p>
        </w:tc>
        <w:tc>
          <w:tcPr>
            <w:tcW w:w="2697" w:type="dxa"/>
          </w:tcPr>
          <w:p w:rsidR="00053152" w:rsidRPr="00AF371C" w:rsidRDefault="00053152" w:rsidP="00824D82">
            <w:pPr>
              <w:pStyle w:val="Tabletext"/>
            </w:pPr>
            <w:r w:rsidRPr="004E5756">
              <w:t>Department of</w:t>
            </w:r>
            <w:r>
              <w:t xml:space="preserve"> Resources, Energy and Tourism</w:t>
            </w:r>
          </w:p>
        </w:tc>
        <w:tc>
          <w:tcPr>
            <w:tcW w:w="1559" w:type="dxa"/>
          </w:tcPr>
          <w:p w:rsidR="00053152" w:rsidRDefault="00053152" w:rsidP="002E302D">
            <w:pPr>
              <w:pStyle w:val="Tabletext"/>
              <w:jc w:val="right"/>
            </w:pPr>
            <w:r>
              <w:t>+153,898.06</w:t>
            </w:r>
          </w:p>
        </w:tc>
      </w:tr>
      <w:tr w:rsidR="00053152" w:rsidRPr="006F4315" w:rsidTr="00824D82">
        <w:tc>
          <w:tcPr>
            <w:tcW w:w="714" w:type="dxa"/>
            <w:tcBorders>
              <w:bottom w:val="single" w:sz="12" w:space="0" w:color="auto"/>
            </w:tcBorders>
          </w:tcPr>
          <w:p w:rsidR="00053152" w:rsidRDefault="00053152" w:rsidP="00824D82">
            <w:pPr>
              <w:pStyle w:val="Tabletext"/>
            </w:pPr>
            <w:r>
              <w:t>3</w:t>
            </w:r>
          </w:p>
        </w:tc>
        <w:tc>
          <w:tcPr>
            <w:tcW w:w="3109" w:type="dxa"/>
            <w:tcBorders>
              <w:bottom w:val="single" w:sz="12" w:space="0" w:color="auto"/>
            </w:tcBorders>
          </w:tcPr>
          <w:p w:rsidR="00053152" w:rsidRDefault="00053152" w:rsidP="00824D82">
            <w:pPr>
              <w:pStyle w:val="Tabletext"/>
            </w:pPr>
            <w:r>
              <w:t>Other departmental item (Equity Injections)</w:t>
            </w:r>
          </w:p>
        </w:tc>
        <w:tc>
          <w:tcPr>
            <w:tcW w:w="2697" w:type="dxa"/>
            <w:tcBorders>
              <w:bottom w:val="single" w:sz="12" w:space="0" w:color="auto"/>
            </w:tcBorders>
          </w:tcPr>
          <w:p w:rsidR="00053152" w:rsidRPr="00AF371C" w:rsidRDefault="00053152" w:rsidP="00C4063F">
            <w:pPr>
              <w:pStyle w:val="Tabletext"/>
            </w:pPr>
            <w:r>
              <w:t>Department of Climate Change and Energy Efficiency</w:t>
            </w:r>
          </w:p>
        </w:tc>
        <w:tc>
          <w:tcPr>
            <w:tcW w:w="1559" w:type="dxa"/>
            <w:tcBorders>
              <w:bottom w:val="single" w:sz="12" w:space="0" w:color="auto"/>
            </w:tcBorders>
          </w:tcPr>
          <w:p w:rsidR="00053152" w:rsidRDefault="00053152" w:rsidP="00C4063F">
            <w:pPr>
              <w:pStyle w:val="Tabletext"/>
              <w:jc w:val="right"/>
            </w:pPr>
            <w:r w:rsidRPr="00AF371C">
              <w:t>-</w:t>
            </w:r>
            <w:r>
              <w:t>350,000.00</w:t>
            </w:r>
          </w:p>
        </w:tc>
      </w:tr>
    </w:tbl>
    <w:p w:rsidR="006403E1" w:rsidRDefault="006403E1" w:rsidP="002E302D">
      <w:pPr>
        <w:pStyle w:val="notetext"/>
      </w:pPr>
      <w:r w:rsidRPr="00D02B43">
        <w:t xml:space="preserve">Note: </w:t>
      </w:r>
      <w:r w:rsidRPr="00D02B43">
        <w:tab/>
        <w:t xml:space="preserve">Section 32 of the FMA Act enables the Finance Minister to determine that Schedules to Appropriation Acts are amended in relation to a transfer of functions between Agencies. A determination under section 32 of the FMA Act cannot result in a change to the total amount appropriated. </w:t>
      </w:r>
      <w:r w:rsidRPr="002835A6">
        <w:rPr>
          <w:i/>
        </w:rPr>
        <w:t>FMA Act Determination 2013/05 — Section 32 (Transfer of Functions from DCCEE to DIICCSRTE and DRET)</w:t>
      </w:r>
      <w:r w:rsidRPr="00D02B43">
        <w:t xml:space="preserve"> affects this Act</w:t>
      </w:r>
      <w:r>
        <w:t xml:space="preserve"> </w:t>
      </w:r>
      <w:r w:rsidRPr="00D02B43">
        <w:t>in a specified way to result in no change to the total amount appropriated.</w:t>
      </w:r>
    </w:p>
    <w:p w:rsidR="006403E1" w:rsidRPr="00F3113A" w:rsidRDefault="006403E1" w:rsidP="002E302D">
      <w:pPr>
        <w:pStyle w:val="A1S"/>
        <w:spacing w:before="240" w:line="240" w:lineRule="auto"/>
        <w:ind w:left="426" w:hanging="426"/>
        <w:rPr>
          <w:bCs/>
        </w:rPr>
      </w:pPr>
      <w:r>
        <w:rPr>
          <w:bCs/>
        </w:rPr>
        <w:t>2</w:t>
      </w:r>
      <w:r>
        <w:rPr>
          <w:bCs/>
        </w:rPr>
        <w:tab/>
        <w:t xml:space="preserve">Schedule 2, </w:t>
      </w:r>
      <w:r w:rsidRPr="00335BCD">
        <w:rPr>
          <w:bCs/>
        </w:rPr>
        <w:t>Climate Change and Energy Efficiency portfolio, after the Department of Climate Change and Energy Efficiency table</w:t>
      </w:r>
    </w:p>
    <w:p w:rsidR="006403E1" w:rsidRPr="00AF371C" w:rsidRDefault="006403E1" w:rsidP="002E302D">
      <w:pPr>
        <w:pStyle w:val="Item"/>
      </w:pPr>
      <w:r w:rsidRPr="0060183A">
        <w:t>Insert</w:t>
      </w:r>
      <w:r>
        <w:t>:</w:t>
      </w:r>
    </w:p>
    <w:p w:rsidR="006403E1" w:rsidRPr="002835A6" w:rsidRDefault="006403E1" w:rsidP="002E302D">
      <w:pPr>
        <w:pStyle w:val="notetext"/>
        <w:rPr>
          <w:szCs w:val="18"/>
        </w:rPr>
      </w:pPr>
      <w:r w:rsidRPr="002835A6">
        <w:rPr>
          <w:szCs w:val="18"/>
        </w:rPr>
        <w:t>Note 1:</w:t>
      </w:r>
      <w:r w:rsidRPr="002835A6">
        <w:rPr>
          <w:szCs w:val="18"/>
        </w:rPr>
        <w:tab/>
      </w:r>
      <w:r w:rsidRPr="002835A6">
        <w:rPr>
          <w:i/>
          <w:szCs w:val="18"/>
        </w:rPr>
        <w:t>FMA Act Determination 2013/05 — Section 32 (Transfer of Functions from DCCEE to DIICCSRTE and DRET)</w:t>
      </w:r>
      <w:r w:rsidRPr="002835A6">
        <w:rPr>
          <w:szCs w:val="18"/>
        </w:rPr>
        <w:t xml:space="preserve"> reduced the other departmental </w:t>
      </w:r>
      <w:r w:rsidR="001F115E" w:rsidRPr="002835A6">
        <w:rPr>
          <w:szCs w:val="18"/>
        </w:rPr>
        <w:t xml:space="preserve">item </w:t>
      </w:r>
      <w:r w:rsidRPr="002835A6">
        <w:rPr>
          <w:szCs w:val="18"/>
        </w:rPr>
        <w:t xml:space="preserve">(Equity Injections) for the Department of Climate Change and Energy Efficiency (DCCEE) in accordance with Table 1 at the end of Schedule 2 to this Act. </w:t>
      </w:r>
    </w:p>
    <w:p w:rsidR="006403E1" w:rsidRPr="002835A6" w:rsidRDefault="006403E1" w:rsidP="002835A6">
      <w:pPr>
        <w:pStyle w:val="notetext"/>
        <w:ind w:firstLine="0"/>
        <w:rPr>
          <w:szCs w:val="18"/>
        </w:rPr>
      </w:pPr>
      <w:r w:rsidRPr="002835A6">
        <w:rPr>
          <w:szCs w:val="18"/>
        </w:rPr>
        <w:t xml:space="preserve">These changes were made to implement the amendments to the </w:t>
      </w:r>
      <w:r w:rsidRPr="002835A6">
        <w:rPr>
          <w:i/>
          <w:szCs w:val="18"/>
        </w:rPr>
        <w:t>Administrative Arrangements Order</w:t>
      </w:r>
      <w:r w:rsidRPr="002835A6">
        <w:rPr>
          <w:szCs w:val="18"/>
        </w:rPr>
        <w:t xml:space="preserve"> made on 25 March 2013. Functions of the former DCCEE were transferred:</w:t>
      </w:r>
    </w:p>
    <w:p w:rsidR="006403E1" w:rsidRPr="002835A6" w:rsidRDefault="006403E1" w:rsidP="002835A6">
      <w:pPr>
        <w:pStyle w:val="Notepara0"/>
        <w:numPr>
          <w:ilvl w:val="0"/>
          <w:numId w:val="27"/>
        </w:numPr>
        <w:tabs>
          <w:tab w:val="left" w:pos="1276"/>
        </w:tabs>
        <w:spacing w:before="120" w:after="100" w:afterAutospacing="1" w:line="240" w:lineRule="auto"/>
        <w:ind w:left="2552" w:hanging="426"/>
        <w:jc w:val="left"/>
        <w:rPr>
          <w:sz w:val="18"/>
          <w:szCs w:val="18"/>
        </w:rPr>
      </w:pPr>
      <w:r w:rsidRPr="002835A6">
        <w:rPr>
          <w:sz w:val="18"/>
          <w:szCs w:val="18"/>
        </w:rPr>
        <w:t>in relation to climate change, to</w:t>
      </w:r>
      <w:r w:rsidR="009A10DC">
        <w:rPr>
          <w:sz w:val="18"/>
          <w:szCs w:val="18"/>
        </w:rPr>
        <w:t xml:space="preserve"> the</w:t>
      </w:r>
      <w:r w:rsidRPr="002835A6">
        <w:rPr>
          <w:sz w:val="18"/>
          <w:szCs w:val="18"/>
        </w:rPr>
        <w:t xml:space="preserve"> Department of Industry, Innovation, Climate Change, Science, Research and Tertiary Education; and</w:t>
      </w:r>
    </w:p>
    <w:p w:rsidR="006403E1" w:rsidRDefault="006403E1" w:rsidP="002835A6">
      <w:pPr>
        <w:pStyle w:val="Notepara0"/>
        <w:numPr>
          <w:ilvl w:val="0"/>
          <w:numId w:val="27"/>
        </w:numPr>
        <w:tabs>
          <w:tab w:val="left" w:pos="709"/>
        </w:tabs>
        <w:spacing w:before="120" w:after="100" w:afterAutospacing="1" w:line="240" w:lineRule="auto"/>
        <w:ind w:left="2552" w:hanging="426"/>
        <w:jc w:val="left"/>
        <w:rPr>
          <w:sz w:val="18"/>
          <w:szCs w:val="18"/>
        </w:rPr>
      </w:pPr>
      <w:proofErr w:type="gramStart"/>
      <w:r w:rsidRPr="002835A6">
        <w:rPr>
          <w:sz w:val="18"/>
          <w:szCs w:val="18"/>
        </w:rPr>
        <w:t>in</w:t>
      </w:r>
      <w:proofErr w:type="gramEnd"/>
      <w:r w:rsidRPr="002835A6">
        <w:rPr>
          <w:sz w:val="18"/>
          <w:szCs w:val="18"/>
        </w:rPr>
        <w:t xml:space="preserve"> relation to energy efficiency, to</w:t>
      </w:r>
      <w:r w:rsidR="009A10DC">
        <w:rPr>
          <w:sz w:val="18"/>
          <w:szCs w:val="18"/>
        </w:rPr>
        <w:t xml:space="preserve"> the</w:t>
      </w:r>
      <w:r w:rsidRPr="002835A6">
        <w:rPr>
          <w:sz w:val="18"/>
          <w:szCs w:val="18"/>
        </w:rPr>
        <w:t xml:space="preserve"> Department of Resources, Energy and Tourism.</w:t>
      </w:r>
    </w:p>
    <w:p w:rsidR="00956E09" w:rsidRPr="00783D6F" w:rsidRDefault="00956E09" w:rsidP="00956E09">
      <w:pPr>
        <w:pStyle w:val="A1S"/>
        <w:spacing w:before="240" w:line="240" w:lineRule="auto"/>
        <w:ind w:left="426" w:hanging="426"/>
        <w:rPr>
          <w:bCs/>
        </w:rPr>
      </w:pPr>
      <w:r>
        <w:rPr>
          <w:bCs/>
        </w:rPr>
        <w:t>3</w:t>
      </w:r>
      <w:r>
        <w:rPr>
          <w:bCs/>
        </w:rPr>
        <w:tab/>
      </w:r>
      <w:r w:rsidRPr="00783D6F">
        <w:rPr>
          <w:bCs/>
        </w:rPr>
        <w:t xml:space="preserve">Schedule </w:t>
      </w:r>
      <w:r>
        <w:rPr>
          <w:bCs/>
        </w:rPr>
        <w:t>2</w:t>
      </w:r>
      <w:r w:rsidRPr="00783D6F">
        <w:rPr>
          <w:bCs/>
        </w:rPr>
        <w:t xml:space="preserve">, </w:t>
      </w:r>
      <w:r>
        <w:rPr>
          <w:bCs/>
        </w:rPr>
        <w:t xml:space="preserve">Innovation, Industry, Science and Research </w:t>
      </w:r>
      <w:r w:rsidRPr="00E7285F">
        <w:rPr>
          <w:bCs/>
        </w:rPr>
        <w:t>portfolio</w:t>
      </w:r>
      <w:r w:rsidRPr="00783D6F">
        <w:rPr>
          <w:bCs/>
        </w:rPr>
        <w:t xml:space="preserve">, </w:t>
      </w:r>
      <w:r w:rsidR="00876FF7">
        <w:rPr>
          <w:bCs/>
        </w:rPr>
        <w:t>D</w:t>
      </w:r>
      <w:r>
        <w:rPr>
          <w:bCs/>
        </w:rPr>
        <w:t xml:space="preserve">epartment of Innovation, Industry, Science and Research </w:t>
      </w:r>
      <w:r w:rsidRPr="00E7285F">
        <w:rPr>
          <w:bCs/>
        </w:rPr>
        <w:t>tabl</w:t>
      </w:r>
      <w:r>
        <w:rPr>
          <w:bCs/>
        </w:rPr>
        <w:t>e</w:t>
      </w:r>
      <w:r w:rsidRPr="00783D6F">
        <w:rPr>
          <w:bCs/>
        </w:rPr>
        <w:t xml:space="preserve">, between </w:t>
      </w:r>
      <w:r w:rsidR="00A37EAC">
        <w:rPr>
          <w:bCs/>
        </w:rPr>
        <w:t>the row for “Non-operating” and the</w:t>
      </w:r>
      <w:r>
        <w:rPr>
          <w:bCs/>
        </w:rPr>
        <w:t xml:space="preserve"> row for </w:t>
      </w:r>
      <w:r w:rsidR="00A37EAC">
        <w:rPr>
          <w:bCs/>
        </w:rPr>
        <w:t>“</w:t>
      </w:r>
      <w:r>
        <w:rPr>
          <w:bCs/>
        </w:rPr>
        <w:t>Administered Assets and Liabilities</w:t>
      </w:r>
      <w:r w:rsidR="00A37EAC">
        <w:rPr>
          <w:bCs/>
        </w:rPr>
        <w:t>”</w:t>
      </w:r>
      <w:r w:rsidR="00691BAA">
        <w:rPr>
          <w:bCs/>
        </w:rPr>
        <w:t xml:space="preserve"> </w:t>
      </w:r>
    </w:p>
    <w:p w:rsidR="00956E09" w:rsidRDefault="00956E09" w:rsidP="00956E09">
      <w:pPr>
        <w:autoSpaceDE w:val="0"/>
        <w:autoSpaceDN w:val="0"/>
        <w:adjustRightInd w:val="0"/>
        <w:spacing w:line="240" w:lineRule="auto"/>
        <w:rPr>
          <w:rFonts w:ascii="Arial" w:hAnsi="Arial" w:cs="Arial"/>
          <w:sz w:val="16"/>
          <w:szCs w:val="16"/>
          <w:lang w:eastAsia="en-AU"/>
        </w:rPr>
      </w:pPr>
    </w:p>
    <w:p w:rsidR="00956E09" w:rsidRDefault="00956E09" w:rsidP="00956E09">
      <w:pPr>
        <w:pStyle w:val="Item"/>
      </w:pPr>
      <w:r>
        <w:t>Insert a new row as follows:</w:t>
      </w:r>
    </w:p>
    <w:tbl>
      <w:tblPr>
        <w:tblW w:w="7031" w:type="dxa"/>
        <w:tblInd w:w="1023" w:type="dxa"/>
        <w:tblLayout w:type="fixed"/>
        <w:tblCellMar>
          <w:left w:w="30" w:type="dxa"/>
          <w:right w:w="30" w:type="dxa"/>
        </w:tblCellMar>
        <w:tblLook w:val="0000"/>
      </w:tblPr>
      <w:tblGrid>
        <w:gridCol w:w="3612"/>
        <w:gridCol w:w="1168"/>
        <w:gridCol w:w="1083"/>
        <w:gridCol w:w="1168"/>
      </w:tblGrid>
      <w:tr w:rsidR="00691BAA" w:rsidTr="00956E09">
        <w:tc>
          <w:tcPr>
            <w:tcW w:w="3612" w:type="dxa"/>
          </w:tcPr>
          <w:p w:rsidR="00691BAA" w:rsidRDefault="00691BAA" w:rsidP="00691BAA">
            <w:pPr>
              <w:pStyle w:val="FinTableLeftIndent"/>
            </w:pPr>
            <w:r>
              <w:t>Equity Injections</w:t>
            </w:r>
          </w:p>
        </w:tc>
        <w:tc>
          <w:tcPr>
            <w:tcW w:w="1168" w:type="dxa"/>
          </w:tcPr>
          <w:p w:rsidR="00691BAA" w:rsidRDefault="00691BAA" w:rsidP="00691BAA">
            <w:pPr>
              <w:pStyle w:val="FinTableRight"/>
            </w:pPr>
          </w:p>
        </w:tc>
        <w:tc>
          <w:tcPr>
            <w:tcW w:w="1083" w:type="dxa"/>
          </w:tcPr>
          <w:p w:rsidR="00691BAA" w:rsidRDefault="00691BAA" w:rsidP="00691BAA">
            <w:pPr>
              <w:pStyle w:val="FinTableRight"/>
            </w:pPr>
          </w:p>
        </w:tc>
        <w:tc>
          <w:tcPr>
            <w:tcW w:w="1168" w:type="dxa"/>
          </w:tcPr>
          <w:p w:rsidR="00691BAA" w:rsidRPr="00C70B5D" w:rsidRDefault="00691BAA" w:rsidP="00691BAA">
            <w:pPr>
              <w:pStyle w:val="FinTableRight"/>
              <w:rPr>
                <w:b/>
              </w:rPr>
            </w:pPr>
            <w:r w:rsidRPr="00C70B5D">
              <w:rPr>
                <w:b/>
              </w:rPr>
              <w:t>0</w:t>
            </w:r>
          </w:p>
        </w:tc>
      </w:tr>
      <w:tr w:rsidR="00691BAA" w:rsidTr="00956E09">
        <w:tc>
          <w:tcPr>
            <w:tcW w:w="3612" w:type="dxa"/>
          </w:tcPr>
          <w:p w:rsidR="00691BAA" w:rsidRDefault="00691BAA" w:rsidP="00691BAA">
            <w:pPr>
              <w:pStyle w:val="FinTableRight"/>
            </w:pPr>
          </w:p>
        </w:tc>
        <w:tc>
          <w:tcPr>
            <w:tcW w:w="1168" w:type="dxa"/>
          </w:tcPr>
          <w:p w:rsidR="00691BAA" w:rsidRDefault="00691BAA" w:rsidP="00691BAA">
            <w:pPr>
              <w:pStyle w:val="FinTableRight"/>
            </w:pPr>
          </w:p>
        </w:tc>
        <w:tc>
          <w:tcPr>
            <w:tcW w:w="1083" w:type="dxa"/>
          </w:tcPr>
          <w:p w:rsidR="00691BAA" w:rsidRDefault="00691BAA" w:rsidP="00691BAA">
            <w:pPr>
              <w:pStyle w:val="FinTableRight"/>
            </w:pPr>
          </w:p>
        </w:tc>
        <w:tc>
          <w:tcPr>
            <w:tcW w:w="1168" w:type="dxa"/>
          </w:tcPr>
          <w:p w:rsidR="00691BAA" w:rsidRDefault="00691BAA" w:rsidP="00691BAA">
            <w:pPr>
              <w:pStyle w:val="FinTableRightItalic"/>
            </w:pPr>
            <w:r>
              <w:t>0</w:t>
            </w:r>
          </w:p>
        </w:tc>
      </w:tr>
      <w:tr w:rsidR="00C70B5D" w:rsidRPr="001003FC" w:rsidTr="00956E09">
        <w:tc>
          <w:tcPr>
            <w:tcW w:w="3612" w:type="dxa"/>
          </w:tcPr>
          <w:p w:rsidR="00C70B5D" w:rsidRDefault="00C70B5D" w:rsidP="00691BAA">
            <w:pPr>
              <w:pStyle w:val="FinTableRight"/>
            </w:pPr>
          </w:p>
        </w:tc>
        <w:tc>
          <w:tcPr>
            <w:tcW w:w="1168" w:type="dxa"/>
          </w:tcPr>
          <w:p w:rsidR="00C70B5D" w:rsidRDefault="00C70B5D" w:rsidP="00691BAA">
            <w:pPr>
              <w:pStyle w:val="FinTableRight"/>
            </w:pPr>
          </w:p>
        </w:tc>
        <w:tc>
          <w:tcPr>
            <w:tcW w:w="1083" w:type="dxa"/>
          </w:tcPr>
          <w:p w:rsidR="00C70B5D" w:rsidRDefault="00C70B5D" w:rsidP="00691BAA">
            <w:pPr>
              <w:pStyle w:val="FinTableRight"/>
            </w:pPr>
          </w:p>
        </w:tc>
        <w:tc>
          <w:tcPr>
            <w:tcW w:w="1168" w:type="dxa"/>
          </w:tcPr>
          <w:p w:rsidR="00C70B5D" w:rsidRPr="001003FC" w:rsidRDefault="00C70B5D" w:rsidP="00691BAA">
            <w:pPr>
              <w:pStyle w:val="FinTableRightItalic"/>
              <w:rPr>
                <w:i w:val="0"/>
                <w:sz w:val="16"/>
                <w:szCs w:val="16"/>
              </w:rPr>
            </w:pPr>
            <w:r w:rsidRPr="001003FC">
              <w:rPr>
                <w:i w:val="0"/>
                <w:sz w:val="16"/>
                <w:szCs w:val="16"/>
              </w:rPr>
              <w:t>0</w:t>
            </w:r>
          </w:p>
        </w:tc>
      </w:tr>
    </w:tbl>
    <w:p w:rsidR="000712E5" w:rsidRPr="0066736E" w:rsidRDefault="00C12B65" w:rsidP="000712E5">
      <w:pPr>
        <w:pStyle w:val="A1S"/>
        <w:spacing w:before="240" w:line="240" w:lineRule="auto"/>
        <w:ind w:left="426" w:hanging="426"/>
        <w:rPr>
          <w:bCs/>
        </w:rPr>
      </w:pPr>
      <w:r>
        <w:rPr>
          <w:bCs/>
        </w:rPr>
        <w:t>4</w:t>
      </w:r>
      <w:r w:rsidR="000712E5" w:rsidRPr="0066736E">
        <w:rPr>
          <w:bCs/>
        </w:rPr>
        <w:tab/>
        <w:t>Schedule 2, Innovation, Industry, Science</w:t>
      </w:r>
      <w:r w:rsidR="000712E5">
        <w:rPr>
          <w:bCs/>
        </w:rPr>
        <w:t xml:space="preserve"> and</w:t>
      </w:r>
      <w:r w:rsidR="000712E5" w:rsidRPr="0066736E">
        <w:rPr>
          <w:bCs/>
        </w:rPr>
        <w:t xml:space="preserve"> Research portfolio, </w:t>
      </w:r>
      <w:r w:rsidR="000712E5">
        <w:rPr>
          <w:bCs/>
        </w:rPr>
        <w:t xml:space="preserve">after the </w:t>
      </w:r>
      <w:r w:rsidR="000712E5" w:rsidRPr="0066736E">
        <w:rPr>
          <w:bCs/>
        </w:rPr>
        <w:t>Department of Innovation, Industry, Science</w:t>
      </w:r>
      <w:r w:rsidR="000712E5">
        <w:rPr>
          <w:bCs/>
        </w:rPr>
        <w:t xml:space="preserve"> and</w:t>
      </w:r>
      <w:r w:rsidR="000712E5" w:rsidRPr="0066736E">
        <w:rPr>
          <w:bCs/>
        </w:rPr>
        <w:t xml:space="preserve"> Research table</w:t>
      </w:r>
    </w:p>
    <w:p w:rsidR="000712E5" w:rsidRPr="0066736E" w:rsidRDefault="000712E5" w:rsidP="000712E5">
      <w:pPr>
        <w:pStyle w:val="Item"/>
      </w:pPr>
      <w:r w:rsidRPr="0066736E">
        <w:t>Insert:</w:t>
      </w:r>
    </w:p>
    <w:p w:rsidR="000712E5" w:rsidRPr="0066736E" w:rsidRDefault="000712E5" w:rsidP="000712E5">
      <w:pPr>
        <w:pStyle w:val="notetext"/>
        <w:rPr>
          <w:szCs w:val="18"/>
        </w:rPr>
      </w:pPr>
      <w:r w:rsidRPr="0066736E">
        <w:t>Note </w:t>
      </w:r>
      <w:r>
        <w:t>1</w:t>
      </w:r>
      <w:r w:rsidRPr="0066736E">
        <w:t>:</w:t>
      </w:r>
      <w:r w:rsidRPr="0066736E">
        <w:tab/>
      </w:r>
      <w:r w:rsidRPr="0066736E">
        <w:rPr>
          <w:i/>
          <w:szCs w:val="18"/>
        </w:rPr>
        <w:t>FMA Act Determination 2013/05 — Section 32 (Transfer of Functions from DCCEE to DIICCSRTE and DRET)</w:t>
      </w:r>
      <w:r w:rsidRPr="0066736E">
        <w:rPr>
          <w:szCs w:val="18"/>
        </w:rPr>
        <w:t xml:space="preserve"> increased the other departmental item (Equity Injections) for the Department of Industry, Innovation, Climate Change, Science, Research and Tertiary Education (DIICCSRTE) in accordance with Table 1 at the end of Schedule 2 to this Act.</w:t>
      </w:r>
    </w:p>
    <w:p w:rsidR="000712E5" w:rsidRPr="0066736E" w:rsidRDefault="000712E5" w:rsidP="000712E5">
      <w:pPr>
        <w:pStyle w:val="notemargin"/>
        <w:spacing w:line="240" w:lineRule="auto"/>
        <w:ind w:left="1985" w:firstLine="0"/>
        <w:rPr>
          <w:szCs w:val="18"/>
        </w:rPr>
      </w:pPr>
      <w:r w:rsidRPr="0066736E">
        <w:rPr>
          <w:szCs w:val="18"/>
        </w:rPr>
        <w:t xml:space="preserve">These changes were made to implement the amendments to the </w:t>
      </w:r>
      <w:r w:rsidRPr="0066736E">
        <w:rPr>
          <w:i/>
          <w:szCs w:val="18"/>
        </w:rPr>
        <w:t>Administrative Arrangements Order</w:t>
      </w:r>
      <w:r w:rsidRPr="0066736E">
        <w:rPr>
          <w:szCs w:val="18"/>
        </w:rPr>
        <w:t xml:space="preserve"> made on 25 March 2013. Functions of the former Department of Climate Change and Energy Efficiency in relation to climate change were transferred to DIICCSRTE. </w:t>
      </w:r>
    </w:p>
    <w:p w:rsidR="000712E5" w:rsidRDefault="000712E5" w:rsidP="000712E5">
      <w:pPr>
        <w:pStyle w:val="notetext"/>
        <w:ind w:firstLine="0"/>
      </w:pPr>
      <w:r w:rsidRPr="0066736E">
        <w:t xml:space="preserve">As a result of amendments to the </w:t>
      </w:r>
      <w:r w:rsidRPr="0066736E">
        <w:rPr>
          <w:i/>
        </w:rPr>
        <w:t>Administrative Arrangements Order</w:t>
      </w:r>
      <w:r w:rsidRPr="0066736E">
        <w:t>, made on</w:t>
      </w:r>
      <w:r>
        <w:t xml:space="preserve"> 14 December 2011, the former Department of Innovation, Industry, Science and Research (DIISR) was renamed the Department of Industry, Innovation, Science, Research and Tertiary Education (DIISRTE). </w:t>
      </w:r>
    </w:p>
    <w:p w:rsidR="000712E5" w:rsidRPr="007374FD" w:rsidRDefault="000712E5" w:rsidP="000712E5">
      <w:pPr>
        <w:pStyle w:val="notemargin"/>
        <w:spacing w:line="240" w:lineRule="auto"/>
        <w:ind w:left="1985" w:firstLine="0"/>
        <w:rPr>
          <w:szCs w:val="18"/>
        </w:rPr>
      </w:pPr>
      <w:r>
        <w:t xml:space="preserve">Subsequently, amendments to the </w:t>
      </w:r>
      <w:r>
        <w:rPr>
          <w:i/>
        </w:rPr>
        <w:t>Administrative Arrangements Order</w:t>
      </w:r>
      <w:r>
        <w:t>, made on 25 March 2013, renamed DIISRTE</w:t>
      </w:r>
      <w:r w:rsidR="007C371F">
        <w:t xml:space="preserve"> to</w:t>
      </w:r>
      <w:r>
        <w:t xml:space="preserve"> DIICCSRTE.</w:t>
      </w:r>
    </w:p>
    <w:p w:rsidR="006403E1" w:rsidRPr="0066736E" w:rsidRDefault="00876FF7" w:rsidP="00C4063F">
      <w:pPr>
        <w:pStyle w:val="Item"/>
        <w:ind w:left="426" w:hanging="426"/>
      </w:pPr>
      <w:r>
        <w:rPr>
          <w:rFonts w:ascii="Arial" w:hAnsi="Arial"/>
          <w:b/>
          <w:bCs/>
          <w:sz w:val="24"/>
          <w:szCs w:val="24"/>
        </w:rPr>
        <w:t>5</w:t>
      </w:r>
      <w:r w:rsidR="006403E1" w:rsidRPr="0066736E">
        <w:rPr>
          <w:rFonts w:ascii="Arial" w:hAnsi="Arial"/>
          <w:b/>
          <w:bCs/>
          <w:sz w:val="24"/>
          <w:szCs w:val="24"/>
        </w:rPr>
        <w:tab/>
        <w:t>Schedule 2, Resources, Energy and Tourism portfolio, after the Department of Resources, Energy and Tourism table</w:t>
      </w:r>
      <w:r w:rsidR="006403E1">
        <w:rPr>
          <w:bCs/>
          <w:highlight w:val="yellow"/>
        </w:rPr>
        <w:br/>
      </w:r>
      <w:proofErr w:type="gramStart"/>
      <w:r w:rsidR="006403E1" w:rsidRPr="0066736E">
        <w:t>Insert</w:t>
      </w:r>
      <w:proofErr w:type="gramEnd"/>
      <w:r w:rsidR="006403E1" w:rsidRPr="0066736E">
        <w:t>:</w:t>
      </w:r>
    </w:p>
    <w:p w:rsidR="006403E1" w:rsidRPr="00C4063F" w:rsidRDefault="006403E1" w:rsidP="00C4063F">
      <w:pPr>
        <w:pStyle w:val="notetext"/>
        <w:rPr>
          <w:szCs w:val="18"/>
        </w:rPr>
      </w:pPr>
      <w:r w:rsidRPr="00C4063F">
        <w:rPr>
          <w:szCs w:val="18"/>
        </w:rPr>
        <w:t>Note </w:t>
      </w:r>
      <w:r>
        <w:rPr>
          <w:szCs w:val="18"/>
        </w:rPr>
        <w:t>1</w:t>
      </w:r>
      <w:r w:rsidRPr="00C4063F">
        <w:rPr>
          <w:szCs w:val="18"/>
        </w:rPr>
        <w:t>:</w:t>
      </w:r>
      <w:r w:rsidRPr="00C4063F">
        <w:rPr>
          <w:szCs w:val="18"/>
        </w:rPr>
        <w:tab/>
      </w:r>
      <w:r w:rsidRPr="00C4063F">
        <w:rPr>
          <w:i/>
          <w:szCs w:val="18"/>
        </w:rPr>
        <w:t>FMA Act Determination 2013/05 — Section 32 (Transfer of Functions from DCCEE to DIICCSRTE and DRET)</w:t>
      </w:r>
      <w:r w:rsidRPr="00C4063F">
        <w:rPr>
          <w:szCs w:val="18"/>
        </w:rPr>
        <w:t xml:space="preserve"> increased the other departmental item (Equity Injections) for the Department of Resources, Energy and Tourism (DRET) in accordance with Table 1 at the end of Schedule 2 to this Act.</w:t>
      </w:r>
    </w:p>
    <w:p w:rsidR="006403E1" w:rsidRPr="00C4063F" w:rsidRDefault="006403E1" w:rsidP="00C4063F">
      <w:pPr>
        <w:pStyle w:val="notemargin"/>
        <w:tabs>
          <w:tab w:val="clear" w:pos="709"/>
          <w:tab w:val="left" w:pos="1985"/>
        </w:tabs>
        <w:spacing w:before="120" w:line="240" w:lineRule="auto"/>
        <w:ind w:left="1985" w:firstLine="0"/>
        <w:rPr>
          <w:szCs w:val="18"/>
        </w:rPr>
      </w:pPr>
      <w:r w:rsidRPr="00C4063F">
        <w:rPr>
          <w:szCs w:val="18"/>
        </w:rPr>
        <w:t xml:space="preserve">These changes were made to implement the amendments to the </w:t>
      </w:r>
      <w:r w:rsidRPr="00C4063F">
        <w:rPr>
          <w:i/>
          <w:szCs w:val="18"/>
        </w:rPr>
        <w:t>Administrative Arrangements Order</w:t>
      </w:r>
      <w:r w:rsidRPr="00C4063F">
        <w:rPr>
          <w:szCs w:val="18"/>
        </w:rPr>
        <w:t xml:space="preserve"> made on 25 March 2013. Functions of the former Department of Climate Change and Energy Efficiency in relation to energy efficiency were transferred to DRET.</w:t>
      </w:r>
    </w:p>
    <w:p w:rsidR="006403E1" w:rsidRPr="00D02B43" w:rsidRDefault="006403E1" w:rsidP="00D02B43">
      <w:pPr>
        <w:pStyle w:val="notetext"/>
      </w:pPr>
    </w:p>
    <w:sectPr w:rsidR="006403E1" w:rsidRPr="00D02B43" w:rsidSect="004479A0">
      <w:footerReference w:type="even" r:id="rId9"/>
      <w:footerReference w:type="default" r:id="rId10"/>
      <w:pgSz w:w="11907" w:h="16839"/>
      <w:pgMar w:top="1361" w:right="1347" w:bottom="1361"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8F2" w:rsidRDefault="008708F2" w:rsidP="008E17F3">
      <w:pPr>
        <w:spacing w:line="240" w:lineRule="auto"/>
      </w:pPr>
      <w:r>
        <w:separator/>
      </w:r>
    </w:p>
  </w:endnote>
  <w:endnote w:type="continuationSeparator" w:id="0">
    <w:p w:rsidR="008708F2" w:rsidRDefault="008708F2" w:rsidP="008E17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F2" w:rsidRDefault="00CF08B5" w:rsidP="008E17F3">
    <w:pPr>
      <w:pStyle w:val="Footer"/>
      <w:framePr w:wrap="around" w:vAnchor="text" w:hAnchor="margin" w:xAlign="right" w:y="1"/>
      <w:rPr>
        <w:rStyle w:val="PageNumber"/>
      </w:rPr>
    </w:pPr>
    <w:r>
      <w:rPr>
        <w:rStyle w:val="PageNumber"/>
      </w:rPr>
      <w:fldChar w:fldCharType="begin"/>
    </w:r>
    <w:r w:rsidR="008708F2">
      <w:rPr>
        <w:rStyle w:val="PageNumber"/>
      </w:rPr>
      <w:instrText xml:space="preserve">PAGE  </w:instrText>
    </w:r>
    <w:r>
      <w:rPr>
        <w:rStyle w:val="PageNumber"/>
      </w:rPr>
      <w:fldChar w:fldCharType="separate"/>
    </w:r>
    <w:r w:rsidR="008708F2">
      <w:rPr>
        <w:rStyle w:val="PageNumber"/>
        <w:noProof/>
      </w:rPr>
      <w:t>4</w:t>
    </w:r>
    <w:r>
      <w:rPr>
        <w:rStyle w:val="PageNumber"/>
      </w:rPr>
      <w:fldChar w:fldCharType="end"/>
    </w:r>
  </w:p>
  <w:p w:rsidR="008708F2" w:rsidRDefault="008708F2" w:rsidP="008E17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F2" w:rsidRPr="00B750AF" w:rsidRDefault="008708F2" w:rsidP="00B750AF">
    <w:pPr>
      <w:pStyle w:val="Footer"/>
      <w:jc w:val="right"/>
    </w:pPr>
    <w:r w:rsidRPr="002173CB">
      <w:t xml:space="preserve">Page </w:t>
    </w:r>
    <w:fldSimple w:instr=" PAGE ">
      <w:r w:rsidR="00D8027A">
        <w:rPr>
          <w:noProof/>
        </w:rPr>
        <w:t>19</w:t>
      </w:r>
    </w:fldSimple>
    <w:r w:rsidRPr="002173CB">
      <w:t xml:space="preserve"> of </w:t>
    </w:r>
    <w:fldSimple w:instr=" NUMPAGES  ">
      <w:r w:rsidR="00D8027A">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8F2" w:rsidRDefault="008708F2" w:rsidP="008E17F3">
      <w:pPr>
        <w:spacing w:line="240" w:lineRule="auto"/>
      </w:pPr>
      <w:r>
        <w:separator/>
      </w:r>
    </w:p>
  </w:footnote>
  <w:footnote w:type="continuationSeparator" w:id="0">
    <w:p w:rsidR="008708F2" w:rsidRDefault="008708F2" w:rsidP="008E17F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0EC2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057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9D4CA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7C02D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73840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88B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260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4C1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DA47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9C4520"/>
    <w:lvl w:ilvl="0">
      <w:start w:val="1"/>
      <w:numFmt w:val="bullet"/>
      <w:lvlText w:val=""/>
      <w:lvlJc w:val="left"/>
      <w:pPr>
        <w:tabs>
          <w:tab w:val="num" w:pos="360"/>
        </w:tabs>
        <w:ind w:left="360" w:hanging="360"/>
      </w:pPr>
      <w:rPr>
        <w:rFonts w:ascii="Symbol" w:hAnsi="Symbol" w:hint="default"/>
      </w:rPr>
    </w:lvl>
  </w:abstractNum>
  <w:abstractNum w:abstractNumId="10">
    <w:nsid w:val="019D1A28"/>
    <w:multiLevelType w:val="hybridMultilevel"/>
    <w:tmpl w:val="28B05524"/>
    <w:lvl w:ilvl="0" w:tplc="9DB017FA">
      <w:start w:val="1"/>
      <w:numFmt w:val="lowerLetter"/>
      <w:lvlText w:val="(%1)"/>
      <w:lvlJc w:val="left"/>
      <w:pPr>
        <w:ind w:left="2480" w:hanging="360"/>
      </w:pPr>
      <w:rPr>
        <w:rFonts w:cs="Times New Roman" w:hint="default"/>
      </w:rPr>
    </w:lvl>
    <w:lvl w:ilvl="1" w:tplc="0C090019">
      <w:start w:val="1"/>
      <w:numFmt w:val="lowerLetter"/>
      <w:lvlText w:val="%2."/>
      <w:lvlJc w:val="left"/>
      <w:pPr>
        <w:ind w:left="3200" w:hanging="360"/>
      </w:pPr>
      <w:rPr>
        <w:rFonts w:cs="Times New Roman"/>
      </w:rPr>
    </w:lvl>
    <w:lvl w:ilvl="2" w:tplc="0C09001B" w:tentative="1">
      <w:start w:val="1"/>
      <w:numFmt w:val="lowerRoman"/>
      <w:lvlText w:val="%3."/>
      <w:lvlJc w:val="right"/>
      <w:pPr>
        <w:ind w:left="3920" w:hanging="180"/>
      </w:pPr>
      <w:rPr>
        <w:rFonts w:cs="Times New Roman"/>
      </w:rPr>
    </w:lvl>
    <w:lvl w:ilvl="3" w:tplc="0C09000F" w:tentative="1">
      <w:start w:val="1"/>
      <w:numFmt w:val="decimal"/>
      <w:lvlText w:val="%4."/>
      <w:lvlJc w:val="left"/>
      <w:pPr>
        <w:ind w:left="4640" w:hanging="360"/>
      </w:pPr>
      <w:rPr>
        <w:rFonts w:cs="Times New Roman"/>
      </w:rPr>
    </w:lvl>
    <w:lvl w:ilvl="4" w:tplc="0C090019" w:tentative="1">
      <w:start w:val="1"/>
      <w:numFmt w:val="lowerLetter"/>
      <w:lvlText w:val="%5."/>
      <w:lvlJc w:val="left"/>
      <w:pPr>
        <w:ind w:left="5360" w:hanging="360"/>
      </w:pPr>
      <w:rPr>
        <w:rFonts w:cs="Times New Roman"/>
      </w:rPr>
    </w:lvl>
    <w:lvl w:ilvl="5" w:tplc="0C09001B" w:tentative="1">
      <w:start w:val="1"/>
      <w:numFmt w:val="lowerRoman"/>
      <w:lvlText w:val="%6."/>
      <w:lvlJc w:val="right"/>
      <w:pPr>
        <w:ind w:left="6080" w:hanging="180"/>
      </w:pPr>
      <w:rPr>
        <w:rFonts w:cs="Times New Roman"/>
      </w:rPr>
    </w:lvl>
    <w:lvl w:ilvl="6" w:tplc="0C09000F" w:tentative="1">
      <w:start w:val="1"/>
      <w:numFmt w:val="decimal"/>
      <w:lvlText w:val="%7."/>
      <w:lvlJc w:val="left"/>
      <w:pPr>
        <w:ind w:left="6800" w:hanging="360"/>
      </w:pPr>
      <w:rPr>
        <w:rFonts w:cs="Times New Roman"/>
      </w:rPr>
    </w:lvl>
    <w:lvl w:ilvl="7" w:tplc="0C090019" w:tentative="1">
      <w:start w:val="1"/>
      <w:numFmt w:val="lowerLetter"/>
      <w:lvlText w:val="%8."/>
      <w:lvlJc w:val="left"/>
      <w:pPr>
        <w:ind w:left="7520" w:hanging="360"/>
      </w:pPr>
      <w:rPr>
        <w:rFonts w:cs="Times New Roman"/>
      </w:rPr>
    </w:lvl>
    <w:lvl w:ilvl="8" w:tplc="0C09001B" w:tentative="1">
      <w:start w:val="1"/>
      <w:numFmt w:val="lowerRoman"/>
      <w:lvlText w:val="%9."/>
      <w:lvlJc w:val="right"/>
      <w:pPr>
        <w:ind w:left="8240" w:hanging="180"/>
      </w:pPr>
      <w:rPr>
        <w:rFonts w:cs="Times New Roman"/>
      </w:rPr>
    </w:lvl>
  </w:abstractNum>
  <w:abstractNum w:abstractNumId="11">
    <w:nsid w:val="19B60031"/>
    <w:multiLevelType w:val="hybridMultilevel"/>
    <w:tmpl w:val="28B05524"/>
    <w:lvl w:ilvl="0" w:tplc="9DB017FA">
      <w:start w:val="1"/>
      <w:numFmt w:val="lowerLetter"/>
      <w:lvlText w:val="(%1)"/>
      <w:lvlJc w:val="left"/>
      <w:pPr>
        <w:ind w:left="1664" w:hanging="360"/>
      </w:pPr>
      <w:rPr>
        <w:rFonts w:cs="Times New Roman" w:hint="default"/>
      </w:rPr>
    </w:lvl>
    <w:lvl w:ilvl="1" w:tplc="0C090019">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25B71896"/>
    <w:multiLevelType w:val="hybridMultilevel"/>
    <w:tmpl w:val="28B05524"/>
    <w:lvl w:ilvl="0" w:tplc="9DB017FA">
      <w:start w:val="1"/>
      <w:numFmt w:val="lowerLetter"/>
      <w:lvlText w:val="(%1)"/>
      <w:lvlJc w:val="left"/>
      <w:pPr>
        <w:ind w:left="2480" w:hanging="360"/>
      </w:pPr>
      <w:rPr>
        <w:rFonts w:cs="Times New Roman" w:hint="default"/>
      </w:rPr>
    </w:lvl>
    <w:lvl w:ilvl="1" w:tplc="0C090019">
      <w:start w:val="1"/>
      <w:numFmt w:val="lowerLetter"/>
      <w:lvlText w:val="%2."/>
      <w:lvlJc w:val="left"/>
      <w:pPr>
        <w:ind w:left="3200" w:hanging="360"/>
      </w:pPr>
      <w:rPr>
        <w:rFonts w:cs="Times New Roman"/>
      </w:rPr>
    </w:lvl>
    <w:lvl w:ilvl="2" w:tplc="0C09001B" w:tentative="1">
      <w:start w:val="1"/>
      <w:numFmt w:val="lowerRoman"/>
      <w:lvlText w:val="%3."/>
      <w:lvlJc w:val="right"/>
      <w:pPr>
        <w:ind w:left="3920" w:hanging="180"/>
      </w:pPr>
      <w:rPr>
        <w:rFonts w:cs="Times New Roman"/>
      </w:rPr>
    </w:lvl>
    <w:lvl w:ilvl="3" w:tplc="0C09000F" w:tentative="1">
      <w:start w:val="1"/>
      <w:numFmt w:val="decimal"/>
      <w:lvlText w:val="%4."/>
      <w:lvlJc w:val="left"/>
      <w:pPr>
        <w:ind w:left="4640" w:hanging="360"/>
      </w:pPr>
      <w:rPr>
        <w:rFonts w:cs="Times New Roman"/>
      </w:rPr>
    </w:lvl>
    <w:lvl w:ilvl="4" w:tplc="0C090019" w:tentative="1">
      <w:start w:val="1"/>
      <w:numFmt w:val="lowerLetter"/>
      <w:lvlText w:val="%5."/>
      <w:lvlJc w:val="left"/>
      <w:pPr>
        <w:ind w:left="5360" w:hanging="360"/>
      </w:pPr>
      <w:rPr>
        <w:rFonts w:cs="Times New Roman"/>
      </w:rPr>
    </w:lvl>
    <w:lvl w:ilvl="5" w:tplc="0C09001B" w:tentative="1">
      <w:start w:val="1"/>
      <w:numFmt w:val="lowerRoman"/>
      <w:lvlText w:val="%6."/>
      <w:lvlJc w:val="right"/>
      <w:pPr>
        <w:ind w:left="6080" w:hanging="180"/>
      </w:pPr>
      <w:rPr>
        <w:rFonts w:cs="Times New Roman"/>
      </w:rPr>
    </w:lvl>
    <w:lvl w:ilvl="6" w:tplc="0C09000F" w:tentative="1">
      <w:start w:val="1"/>
      <w:numFmt w:val="decimal"/>
      <w:lvlText w:val="%7."/>
      <w:lvlJc w:val="left"/>
      <w:pPr>
        <w:ind w:left="6800" w:hanging="360"/>
      </w:pPr>
      <w:rPr>
        <w:rFonts w:cs="Times New Roman"/>
      </w:rPr>
    </w:lvl>
    <w:lvl w:ilvl="7" w:tplc="0C090019" w:tentative="1">
      <w:start w:val="1"/>
      <w:numFmt w:val="lowerLetter"/>
      <w:lvlText w:val="%8."/>
      <w:lvlJc w:val="left"/>
      <w:pPr>
        <w:ind w:left="7520" w:hanging="360"/>
      </w:pPr>
      <w:rPr>
        <w:rFonts w:cs="Times New Roman"/>
      </w:rPr>
    </w:lvl>
    <w:lvl w:ilvl="8" w:tplc="0C09001B" w:tentative="1">
      <w:start w:val="1"/>
      <w:numFmt w:val="lowerRoman"/>
      <w:lvlText w:val="%9."/>
      <w:lvlJc w:val="right"/>
      <w:pPr>
        <w:ind w:left="8240" w:hanging="180"/>
      </w:pPr>
      <w:rPr>
        <w:rFonts w:cs="Times New Roman"/>
      </w:rPr>
    </w:lvl>
  </w:abstractNum>
  <w:abstractNum w:abstractNumId="14">
    <w:nsid w:val="2E6D3F57"/>
    <w:multiLevelType w:val="hybridMultilevel"/>
    <w:tmpl w:val="97586F6A"/>
    <w:lvl w:ilvl="0" w:tplc="A6848C5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6020B8"/>
    <w:multiLevelType w:val="hybridMultilevel"/>
    <w:tmpl w:val="28B05524"/>
    <w:lvl w:ilvl="0" w:tplc="9DB017FA">
      <w:start w:val="1"/>
      <w:numFmt w:val="lowerLetter"/>
      <w:lvlText w:val="(%1)"/>
      <w:lvlJc w:val="left"/>
      <w:pPr>
        <w:ind w:left="2480" w:hanging="360"/>
      </w:pPr>
      <w:rPr>
        <w:rFonts w:cs="Times New Roman" w:hint="default"/>
      </w:rPr>
    </w:lvl>
    <w:lvl w:ilvl="1" w:tplc="0C090019">
      <w:start w:val="1"/>
      <w:numFmt w:val="lowerLetter"/>
      <w:lvlText w:val="%2."/>
      <w:lvlJc w:val="left"/>
      <w:pPr>
        <w:ind w:left="3200" w:hanging="360"/>
      </w:pPr>
      <w:rPr>
        <w:rFonts w:cs="Times New Roman"/>
      </w:rPr>
    </w:lvl>
    <w:lvl w:ilvl="2" w:tplc="0C09001B" w:tentative="1">
      <w:start w:val="1"/>
      <w:numFmt w:val="lowerRoman"/>
      <w:lvlText w:val="%3."/>
      <w:lvlJc w:val="right"/>
      <w:pPr>
        <w:ind w:left="3920" w:hanging="180"/>
      </w:pPr>
      <w:rPr>
        <w:rFonts w:cs="Times New Roman"/>
      </w:rPr>
    </w:lvl>
    <w:lvl w:ilvl="3" w:tplc="0C09000F" w:tentative="1">
      <w:start w:val="1"/>
      <w:numFmt w:val="decimal"/>
      <w:lvlText w:val="%4."/>
      <w:lvlJc w:val="left"/>
      <w:pPr>
        <w:ind w:left="4640" w:hanging="360"/>
      </w:pPr>
      <w:rPr>
        <w:rFonts w:cs="Times New Roman"/>
      </w:rPr>
    </w:lvl>
    <w:lvl w:ilvl="4" w:tplc="0C090019" w:tentative="1">
      <w:start w:val="1"/>
      <w:numFmt w:val="lowerLetter"/>
      <w:lvlText w:val="%5."/>
      <w:lvlJc w:val="left"/>
      <w:pPr>
        <w:ind w:left="5360" w:hanging="360"/>
      </w:pPr>
      <w:rPr>
        <w:rFonts w:cs="Times New Roman"/>
      </w:rPr>
    </w:lvl>
    <w:lvl w:ilvl="5" w:tplc="0C09001B" w:tentative="1">
      <w:start w:val="1"/>
      <w:numFmt w:val="lowerRoman"/>
      <w:lvlText w:val="%6."/>
      <w:lvlJc w:val="right"/>
      <w:pPr>
        <w:ind w:left="6080" w:hanging="180"/>
      </w:pPr>
      <w:rPr>
        <w:rFonts w:cs="Times New Roman"/>
      </w:rPr>
    </w:lvl>
    <w:lvl w:ilvl="6" w:tplc="0C09000F" w:tentative="1">
      <w:start w:val="1"/>
      <w:numFmt w:val="decimal"/>
      <w:lvlText w:val="%7."/>
      <w:lvlJc w:val="left"/>
      <w:pPr>
        <w:ind w:left="6800" w:hanging="360"/>
      </w:pPr>
      <w:rPr>
        <w:rFonts w:cs="Times New Roman"/>
      </w:rPr>
    </w:lvl>
    <w:lvl w:ilvl="7" w:tplc="0C090019" w:tentative="1">
      <w:start w:val="1"/>
      <w:numFmt w:val="lowerLetter"/>
      <w:lvlText w:val="%8."/>
      <w:lvlJc w:val="left"/>
      <w:pPr>
        <w:ind w:left="7520" w:hanging="360"/>
      </w:pPr>
      <w:rPr>
        <w:rFonts w:cs="Times New Roman"/>
      </w:rPr>
    </w:lvl>
    <w:lvl w:ilvl="8" w:tplc="0C09001B" w:tentative="1">
      <w:start w:val="1"/>
      <w:numFmt w:val="lowerRoman"/>
      <w:lvlText w:val="%9."/>
      <w:lvlJc w:val="right"/>
      <w:pPr>
        <w:ind w:left="8240" w:hanging="180"/>
      </w:pPr>
      <w:rPr>
        <w:rFonts w:cs="Times New Roman"/>
      </w:rPr>
    </w:lvl>
  </w:abstractNum>
  <w:abstractNum w:abstractNumId="16">
    <w:nsid w:val="3082235C"/>
    <w:multiLevelType w:val="hybridMultilevel"/>
    <w:tmpl w:val="78BE6B60"/>
    <w:lvl w:ilvl="0" w:tplc="0C09001B">
      <w:start w:val="1"/>
      <w:numFmt w:val="lowerRoman"/>
      <w:lvlText w:val="%1."/>
      <w:lvlJc w:val="right"/>
      <w:pPr>
        <w:ind w:left="2880" w:hanging="360"/>
      </w:pPr>
      <w:rPr>
        <w:rFonts w:cs="Times New Roman"/>
      </w:rPr>
    </w:lvl>
    <w:lvl w:ilvl="1" w:tplc="0C090019" w:tentative="1">
      <w:start w:val="1"/>
      <w:numFmt w:val="lowerLetter"/>
      <w:lvlText w:val="%2."/>
      <w:lvlJc w:val="left"/>
      <w:pPr>
        <w:ind w:left="3600" w:hanging="360"/>
      </w:pPr>
      <w:rPr>
        <w:rFonts w:cs="Times New Roman"/>
      </w:rPr>
    </w:lvl>
    <w:lvl w:ilvl="2" w:tplc="0C09001B" w:tentative="1">
      <w:start w:val="1"/>
      <w:numFmt w:val="lowerRoman"/>
      <w:lvlText w:val="%3."/>
      <w:lvlJc w:val="right"/>
      <w:pPr>
        <w:ind w:left="4320" w:hanging="180"/>
      </w:pPr>
      <w:rPr>
        <w:rFonts w:cs="Times New Roman"/>
      </w:rPr>
    </w:lvl>
    <w:lvl w:ilvl="3" w:tplc="0C09000F" w:tentative="1">
      <w:start w:val="1"/>
      <w:numFmt w:val="decimal"/>
      <w:lvlText w:val="%4."/>
      <w:lvlJc w:val="left"/>
      <w:pPr>
        <w:ind w:left="5040" w:hanging="360"/>
      </w:pPr>
      <w:rPr>
        <w:rFonts w:cs="Times New Roman"/>
      </w:rPr>
    </w:lvl>
    <w:lvl w:ilvl="4" w:tplc="0C090019" w:tentative="1">
      <w:start w:val="1"/>
      <w:numFmt w:val="lowerLetter"/>
      <w:lvlText w:val="%5."/>
      <w:lvlJc w:val="left"/>
      <w:pPr>
        <w:ind w:left="5760" w:hanging="360"/>
      </w:pPr>
      <w:rPr>
        <w:rFonts w:cs="Times New Roman"/>
      </w:rPr>
    </w:lvl>
    <w:lvl w:ilvl="5" w:tplc="0C09001B" w:tentative="1">
      <w:start w:val="1"/>
      <w:numFmt w:val="lowerRoman"/>
      <w:lvlText w:val="%6."/>
      <w:lvlJc w:val="right"/>
      <w:pPr>
        <w:ind w:left="6480" w:hanging="180"/>
      </w:pPr>
      <w:rPr>
        <w:rFonts w:cs="Times New Roman"/>
      </w:rPr>
    </w:lvl>
    <w:lvl w:ilvl="6" w:tplc="0C09000F" w:tentative="1">
      <w:start w:val="1"/>
      <w:numFmt w:val="decimal"/>
      <w:lvlText w:val="%7."/>
      <w:lvlJc w:val="left"/>
      <w:pPr>
        <w:ind w:left="7200" w:hanging="360"/>
      </w:pPr>
      <w:rPr>
        <w:rFonts w:cs="Times New Roman"/>
      </w:rPr>
    </w:lvl>
    <w:lvl w:ilvl="7" w:tplc="0C090019" w:tentative="1">
      <w:start w:val="1"/>
      <w:numFmt w:val="lowerLetter"/>
      <w:lvlText w:val="%8."/>
      <w:lvlJc w:val="left"/>
      <w:pPr>
        <w:ind w:left="7920" w:hanging="360"/>
      </w:pPr>
      <w:rPr>
        <w:rFonts w:cs="Times New Roman"/>
      </w:rPr>
    </w:lvl>
    <w:lvl w:ilvl="8" w:tplc="0C09001B" w:tentative="1">
      <w:start w:val="1"/>
      <w:numFmt w:val="lowerRoman"/>
      <w:lvlText w:val="%9."/>
      <w:lvlJc w:val="right"/>
      <w:pPr>
        <w:ind w:left="8640" w:hanging="180"/>
      </w:pPr>
      <w:rPr>
        <w:rFonts w:cs="Times New Roman"/>
      </w:rPr>
    </w:lvl>
  </w:abstractNum>
  <w:abstractNum w:abstractNumId="17">
    <w:nsid w:val="308B0159"/>
    <w:multiLevelType w:val="hybridMultilevel"/>
    <w:tmpl w:val="28B05524"/>
    <w:lvl w:ilvl="0" w:tplc="9DB017FA">
      <w:start w:val="1"/>
      <w:numFmt w:val="lowerLetter"/>
      <w:lvlText w:val="(%1)"/>
      <w:lvlJc w:val="left"/>
      <w:pPr>
        <w:ind w:left="2480" w:hanging="360"/>
      </w:pPr>
      <w:rPr>
        <w:rFonts w:cs="Times New Roman" w:hint="default"/>
      </w:rPr>
    </w:lvl>
    <w:lvl w:ilvl="1" w:tplc="0C090019">
      <w:start w:val="1"/>
      <w:numFmt w:val="lowerLetter"/>
      <w:lvlText w:val="%2."/>
      <w:lvlJc w:val="left"/>
      <w:pPr>
        <w:ind w:left="3200" w:hanging="360"/>
      </w:pPr>
      <w:rPr>
        <w:rFonts w:cs="Times New Roman"/>
      </w:rPr>
    </w:lvl>
    <w:lvl w:ilvl="2" w:tplc="0C09001B" w:tentative="1">
      <w:start w:val="1"/>
      <w:numFmt w:val="lowerRoman"/>
      <w:lvlText w:val="%3."/>
      <w:lvlJc w:val="right"/>
      <w:pPr>
        <w:ind w:left="3920" w:hanging="180"/>
      </w:pPr>
      <w:rPr>
        <w:rFonts w:cs="Times New Roman"/>
      </w:rPr>
    </w:lvl>
    <w:lvl w:ilvl="3" w:tplc="0C09000F" w:tentative="1">
      <w:start w:val="1"/>
      <w:numFmt w:val="decimal"/>
      <w:lvlText w:val="%4."/>
      <w:lvlJc w:val="left"/>
      <w:pPr>
        <w:ind w:left="4640" w:hanging="360"/>
      </w:pPr>
      <w:rPr>
        <w:rFonts w:cs="Times New Roman"/>
      </w:rPr>
    </w:lvl>
    <w:lvl w:ilvl="4" w:tplc="0C090019" w:tentative="1">
      <w:start w:val="1"/>
      <w:numFmt w:val="lowerLetter"/>
      <w:lvlText w:val="%5."/>
      <w:lvlJc w:val="left"/>
      <w:pPr>
        <w:ind w:left="5360" w:hanging="360"/>
      </w:pPr>
      <w:rPr>
        <w:rFonts w:cs="Times New Roman"/>
      </w:rPr>
    </w:lvl>
    <w:lvl w:ilvl="5" w:tplc="0C09001B" w:tentative="1">
      <w:start w:val="1"/>
      <w:numFmt w:val="lowerRoman"/>
      <w:lvlText w:val="%6."/>
      <w:lvlJc w:val="right"/>
      <w:pPr>
        <w:ind w:left="6080" w:hanging="180"/>
      </w:pPr>
      <w:rPr>
        <w:rFonts w:cs="Times New Roman"/>
      </w:rPr>
    </w:lvl>
    <w:lvl w:ilvl="6" w:tplc="0C09000F" w:tentative="1">
      <w:start w:val="1"/>
      <w:numFmt w:val="decimal"/>
      <w:lvlText w:val="%7."/>
      <w:lvlJc w:val="left"/>
      <w:pPr>
        <w:ind w:left="6800" w:hanging="360"/>
      </w:pPr>
      <w:rPr>
        <w:rFonts w:cs="Times New Roman"/>
      </w:rPr>
    </w:lvl>
    <w:lvl w:ilvl="7" w:tplc="0C090019" w:tentative="1">
      <w:start w:val="1"/>
      <w:numFmt w:val="lowerLetter"/>
      <w:lvlText w:val="%8."/>
      <w:lvlJc w:val="left"/>
      <w:pPr>
        <w:ind w:left="7520" w:hanging="360"/>
      </w:pPr>
      <w:rPr>
        <w:rFonts w:cs="Times New Roman"/>
      </w:rPr>
    </w:lvl>
    <w:lvl w:ilvl="8" w:tplc="0C09001B" w:tentative="1">
      <w:start w:val="1"/>
      <w:numFmt w:val="lowerRoman"/>
      <w:lvlText w:val="%9."/>
      <w:lvlJc w:val="right"/>
      <w:pPr>
        <w:ind w:left="8240" w:hanging="180"/>
      </w:pPr>
      <w:rPr>
        <w:rFonts w:cs="Times New Roman"/>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41633E10"/>
    <w:multiLevelType w:val="hybridMultilevel"/>
    <w:tmpl w:val="28B05524"/>
    <w:lvl w:ilvl="0" w:tplc="9DB017FA">
      <w:start w:val="1"/>
      <w:numFmt w:val="lowerLetter"/>
      <w:lvlText w:val="(%1)"/>
      <w:lvlJc w:val="left"/>
      <w:pPr>
        <w:ind w:left="2480" w:hanging="360"/>
      </w:pPr>
      <w:rPr>
        <w:rFonts w:cs="Times New Roman" w:hint="default"/>
      </w:rPr>
    </w:lvl>
    <w:lvl w:ilvl="1" w:tplc="0C090019">
      <w:start w:val="1"/>
      <w:numFmt w:val="lowerLetter"/>
      <w:lvlText w:val="%2."/>
      <w:lvlJc w:val="left"/>
      <w:pPr>
        <w:ind w:left="3200" w:hanging="360"/>
      </w:pPr>
      <w:rPr>
        <w:rFonts w:cs="Times New Roman"/>
      </w:rPr>
    </w:lvl>
    <w:lvl w:ilvl="2" w:tplc="0C09001B" w:tentative="1">
      <w:start w:val="1"/>
      <w:numFmt w:val="lowerRoman"/>
      <w:lvlText w:val="%3."/>
      <w:lvlJc w:val="right"/>
      <w:pPr>
        <w:ind w:left="3920" w:hanging="180"/>
      </w:pPr>
      <w:rPr>
        <w:rFonts w:cs="Times New Roman"/>
      </w:rPr>
    </w:lvl>
    <w:lvl w:ilvl="3" w:tplc="0C09000F" w:tentative="1">
      <w:start w:val="1"/>
      <w:numFmt w:val="decimal"/>
      <w:lvlText w:val="%4."/>
      <w:lvlJc w:val="left"/>
      <w:pPr>
        <w:ind w:left="4640" w:hanging="360"/>
      </w:pPr>
      <w:rPr>
        <w:rFonts w:cs="Times New Roman"/>
      </w:rPr>
    </w:lvl>
    <w:lvl w:ilvl="4" w:tplc="0C090019" w:tentative="1">
      <w:start w:val="1"/>
      <w:numFmt w:val="lowerLetter"/>
      <w:lvlText w:val="%5."/>
      <w:lvlJc w:val="left"/>
      <w:pPr>
        <w:ind w:left="5360" w:hanging="360"/>
      </w:pPr>
      <w:rPr>
        <w:rFonts w:cs="Times New Roman"/>
      </w:rPr>
    </w:lvl>
    <w:lvl w:ilvl="5" w:tplc="0C09001B" w:tentative="1">
      <w:start w:val="1"/>
      <w:numFmt w:val="lowerRoman"/>
      <w:lvlText w:val="%6."/>
      <w:lvlJc w:val="right"/>
      <w:pPr>
        <w:ind w:left="6080" w:hanging="180"/>
      </w:pPr>
      <w:rPr>
        <w:rFonts w:cs="Times New Roman"/>
      </w:rPr>
    </w:lvl>
    <w:lvl w:ilvl="6" w:tplc="0C09000F" w:tentative="1">
      <w:start w:val="1"/>
      <w:numFmt w:val="decimal"/>
      <w:lvlText w:val="%7."/>
      <w:lvlJc w:val="left"/>
      <w:pPr>
        <w:ind w:left="6800" w:hanging="360"/>
      </w:pPr>
      <w:rPr>
        <w:rFonts w:cs="Times New Roman"/>
      </w:rPr>
    </w:lvl>
    <w:lvl w:ilvl="7" w:tplc="0C090019" w:tentative="1">
      <w:start w:val="1"/>
      <w:numFmt w:val="lowerLetter"/>
      <w:lvlText w:val="%8."/>
      <w:lvlJc w:val="left"/>
      <w:pPr>
        <w:ind w:left="7520" w:hanging="360"/>
      </w:pPr>
      <w:rPr>
        <w:rFonts w:cs="Times New Roman"/>
      </w:rPr>
    </w:lvl>
    <w:lvl w:ilvl="8" w:tplc="0C09001B" w:tentative="1">
      <w:start w:val="1"/>
      <w:numFmt w:val="lowerRoman"/>
      <w:lvlText w:val="%9."/>
      <w:lvlJc w:val="right"/>
      <w:pPr>
        <w:ind w:left="8240" w:hanging="180"/>
      </w:pPr>
      <w:rPr>
        <w:rFonts w:cs="Times New Roman"/>
      </w:rPr>
    </w:lvl>
  </w:abstractNum>
  <w:abstractNum w:abstractNumId="20">
    <w:nsid w:val="490F19A6"/>
    <w:multiLevelType w:val="hybridMultilevel"/>
    <w:tmpl w:val="0F14DC62"/>
    <w:lvl w:ilvl="0" w:tplc="A32A0EEC">
      <w:start w:val="1"/>
      <w:numFmt w:val="decimal"/>
      <w:pStyle w:val="ScheduleClauseheading"/>
      <w:lvlText w:val="[%1]"/>
      <w:lvlJc w:val="left"/>
      <w:pPr>
        <w:ind w:left="502" w:hanging="360"/>
      </w:pPr>
      <w:rPr>
        <w:rFonts w:ascii="Arial" w:hAnsi="Arial"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51974579"/>
    <w:multiLevelType w:val="hybridMultilevel"/>
    <w:tmpl w:val="28B05524"/>
    <w:lvl w:ilvl="0" w:tplc="9DB017FA">
      <w:start w:val="1"/>
      <w:numFmt w:val="lowerLetter"/>
      <w:lvlText w:val="(%1)"/>
      <w:lvlJc w:val="left"/>
      <w:pPr>
        <w:ind w:left="2480" w:hanging="360"/>
      </w:pPr>
      <w:rPr>
        <w:rFonts w:cs="Times New Roman" w:hint="default"/>
      </w:rPr>
    </w:lvl>
    <w:lvl w:ilvl="1" w:tplc="0C090019">
      <w:start w:val="1"/>
      <w:numFmt w:val="lowerLetter"/>
      <w:lvlText w:val="%2."/>
      <w:lvlJc w:val="left"/>
      <w:pPr>
        <w:ind w:left="3200" w:hanging="360"/>
      </w:pPr>
      <w:rPr>
        <w:rFonts w:cs="Times New Roman"/>
      </w:rPr>
    </w:lvl>
    <w:lvl w:ilvl="2" w:tplc="0C09001B" w:tentative="1">
      <w:start w:val="1"/>
      <w:numFmt w:val="lowerRoman"/>
      <w:lvlText w:val="%3."/>
      <w:lvlJc w:val="right"/>
      <w:pPr>
        <w:ind w:left="3920" w:hanging="180"/>
      </w:pPr>
      <w:rPr>
        <w:rFonts w:cs="Times New Roman"/>
      </w:rPr>
    </w:lvl>
    <w:lvl w:ilvl="3" w:tplc="0C09000F" w:tentative="1">
      <w:start w:val="1"/>
      <w:numFmt w:val="decimal"/>
      <w:lvlText w:val="%4."/>
      <w:lvlJc w:val="left"/>
      <w:pPr>
        <w:ind w:left="4640" w:hanging="360"/>
      </w:pPr>
      <w:rPr>
        <w:rFonts w:cs="Times New Roman"/>
      </w:rPr>
    </w:lvl>
    <w:lvl w:ilvl="4" w:tplc="0C090019" w:tentative="1">
      <w:start w:val="1"/>
      <w:numFmt w:val="lowerLetter"/>
      <w:lvlText w:val="%5."/>
      <w:lvlJc w:val="left"/>
      <w:pPr>
        <w:ind w:left="5360" w:hanging="360"/>
      </w:pPr>
      <w:rPr>
        <w:rFonts w:cs="Times New Roman"/>
      </w:rPr>
    </w:lvl>
    <w:lvl w:ilvl="5" w:tplc="0C09001B" w:tentative="1">
      <w:start w:val="1"/>
      <w:numFmt w:val="lowerRoman"/>
      <w:lvlText w:val="%6."/>
      <w:lvlJc w:val="right"/>
      <w:pPr>
        <w:ind w:left="6080" w:hanging="180"/>
      </w:pPr>
      <w:rPr>
        <w:rFonts w:cs="Times New Roman"/>
      </w:rPr>
    </w:lvl>
    <w:lvl w:ilvl="6" w:tplc="0C09000F" w:tentative="1">
      <w:start w:val="1"/>
      <w:numFmt w:val="decimal"/>
      <w:lvlText w:val="%7."/>
      <w:lvlJc w:val="left"/>
      <w:pPr>
        <w:ind w:left="6800" w:hanging="360"/>
      </w:pPr>
      <w:rPr>
        <w:rFonts w:cs="Times New Roman"/>
      </w:rPr>
    </w:lvl>
    <w:lvl w:ilvl="7" w:tplc="0C090019" w:tentative="1">
      <w:start w:val="1"/>
      <w:numFmt w:val="lowerLetter"/>
      <w:lvlText w:val="%8."/>
      <w:lvlJc w:val="left"/>
      <w:pPr>
        <w:ind w:left="7520" w:hanging="360"/>
      </w:pPr>
      <w:rPr>
        <w:rFonts w:cs="Times New Roman"/>
      </w:rPr>
    </w:lvl>
    <w:lvl w:ilvl="8" w:tplc="0C09001B" w:tentative="1">
      <w:start w:val="1"/>
      <w:numFmt w:val="lowerRoman"/>
      <w:lvlText w:val="%9."/>
      <w:lvlJc w:val="right"/>
      <w:pPr>
        <w:ind w:left="8240" w:hanging="180"/>
      </w:pPr>
      <w:rPr>
        <w:rFonts w:cs="Times New Roman"/>
      </w:rPr>
    </w:lvl>
  </w:abstractNum>
  <w:abstractNum w:abstractNumId="22">
    <w:nsid w:val="52F42A24"/>
    <w:multiLevelType w:val="hybridMultilevel"/>
    <w:tmpl w:val="DCCADEF0"/>
    <w:lvl w:ilvl="0" w:tplc="A6848C58">
      <w:numFmt w:val="bullet"/>
      <w:lvlText w:val="•"/>
      <w:lvlJc w:val="left"/>
      <w:pPr>
        <w:ind w:left="2160" w:hanging="360"/>
      </w:pPr>
      <w:rPr>
        <w:rFonts w:ascii="Times New Roman" w:eastAsia="Times New Roman" w:hAnsi="Times New Roman"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nsid w:val="5FED4EA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6926173A"/>
    <w:multiLevelType w:val="hybridMultilevel"/>
    <w:tmpl w:val="28B05524"/>
    <w:lvl w:ilvl="0" w:tplc="9DB017FA">
      <w:start w:val="1"/>
      <w:numFmt w:val="lowerLetter"/>
      <w:lvlText w:val="(%1)"/>
      <w:lvlJc w:val="left"/>
      <w:pPr>
        <w:ind w:left="2480" w:hanging="360"/>
      </w:pPr>
      <w:rPr>
        <w:rFonts w:cs="Times New Roman" w:hint="default"/>
      </w:rPr>
    </w:lvl>
    <w:lvl w:ilvl="1" w:tplc="0C090019">
      <w:start w:val="1"/>
      <w:numFmt w:val="lowerLetter"/>
      <w:lvlText w:val="%2."/>
      <w:lvlJc w:val="left"/>
      <w:pPr>
        <w:ind w:left="3200" w:hanging="360"/>
      </w:pPr>
      <w:rPr>
        <w:rFonts w:cs="Times New Roman"/>
      </w:rPr>
    </w:lvl>
    <w:lvl w:ilvl="2" w:tplc="0C09001B" w:tentative="1">
      <w:start w:val="1"/>
      <w:numFmt w:val="lowerRoman"/>
      <w:lvlText w:val="%3."/>
      <w:lvlJc w:val="right"/>
      <w:pPr>
        <w:ind w:left="3920" w:hanging="180"/>
      </w:pPr>
      <w:rPr>
        <w:rFonts w:cs="Times New Roman"/>
      </w:rPr>
    </w:lvl>
    <w:lvl w:ilvl="3" w:tplc="0C09000F" w:tentative="1">
      <w:start w:val="1"/>
      <w:numFmt w:val="decimal"/>
      <w:lvlText w:val="%4."/>
      <w:lvlJc w:val="left"/>
      <w:pPr>
        <w:ind w:left="4640" w:hanging="360"/>
      </w:pPr>
      <w:rPr>
        <w:rFonts w:cs="Times New Roman"/>
      </w:rPr>
    </w:lvl>
    <w:lvl w:ilvl="4" w:tplc="0C090019" w:tentative="1">
      <w:start w:val="1"/>
      <w:numFmt w:val="lowerLetter"/>
      <w:lvlText w:val="%5."/>
      <w:lvlJc w:val="left"/>
      <w:pPr>
        <w:ind w:left="5360" w:hanging="360"/>
      </w:pPr>
      <w:rPr>
        <w:rFonts w:cs="Times New Roman"/>
      </w:rPr>
    </w:lvl>
    <w:lvl w:ilvl="5" w:tplc="0C09001B" w:tentative="1">
      <w:start w:val="1"/>
      <w:numFmt w:val="lowerRoman"/>
      <w:lvlText w:val="%6."/>
      <w:lvlJc w:val="right"/>
      <w:pPr>
        <w:ind w:left="6080" w:hanging="180"/>
      </w:pPr>
      <w:rPr>
        <w:rFonts w:cs="Times New Roman"/>
      </w:rPr>
    </w:lvl>
    <w:lvl w:ilvl="6" w:tplc="0C09000F" w:tentative="1">
      <w:start w:val="1"/>
      <w:numFmt w:val="decimal"/>
      <w:lvlText w:val="%7."/>
      <w:lvlJc w:val="left"/>
      <w:pPr>
        <w:ind w:left="6800" w:hanging="360"/>
      </w:pPr>
      <w:rPr>
        <w:rFonts w:cs="Times New Roman"/>
      </w:rPr>
    </w:lvl>
    <w:lvl w:ilvl="7" w:tplc="0C090019" w:tentative="1">
      <w:start w:val="1"/>
      <w:numFmt w:val="lowerLetter"/>
      <w:lvlText w:val="%8."/>
      <w:lvlJc w:val="left"/>
      <w:pPr>
        <w:ind w:left="7520" w:hanging="360"/>
      </w:pPr>
      <w:rPr>
        <w:rFonts w:cs="Times New Roman"/>
      </w:rPr>
    </w:lvl>
    <w:lvl w:ilvl="8" w:tplc="0C09001B" w:tentative="1">
      <w:start w:val="1"/>
      <w:numFmt w:val="lowerRoman"/>
      <w:lvlText w:val="%9."/>
      <w:lvlJc w:val="right"/>
      <w:pPr>
        <w:ind w:left="8240" w:hanging="180"/>
      </w:pPr>
      <w:rPr>
        <w:rFonts w:cs="Times New Roman"/>
      </w:rPr>
    </w:lvl>
  </w:abstractNum>
  <w:abstractNum w:abstractNumId="25">
    <w:nsid w:val="6C222119"/>
    <w:multiLevelType w:val="hybridMultilevel"/>
    <w:tmpl w:val="28B05524"/>
    <w:lvl w:ilvl="0" w:tplc="9DB017FA">
      <w:start w:val="1"/>
      <w:numFmt w:val="lowerLetter"/>
      <w:lvlText w:val="(%1)"/>
      <w:lvlJc w:val="left"/>
      <w:pPr>
        <w:ind w:left="2480" w:hanging="360"/>
      </w:pPr>
      <w:rPr>
        <w:rFonts w:cs="Times New Roman" w:hint="default"/>
      </w:rPr>
    </w:lvl>
    <w:lvl w:ilvl="1" w:tplc="0C090019">
      <w:start w:val="1"/>
      <w:numFmt w:val="lowerLetter"/>
      <w:lvlText w:val="%2."/>
      <w:lvlJc w:val="left"/>
      <w:pPr>
        <w:ind w:left="3200" w:hanging="360"/>
      </w:pPr>
      <w:rPr>
        <w:rFonts w:cs="Times New Roman"/>
      </w:rPr>
    </w:lvl>
    <w:lvl w:ilvl="2" w:tplc="0C09001B" w:tentative="1">
      <w:start w:val="1"/>
      <w:numFmt w:val="lowerRoman"/>
      <w:lvlText w:val="%3."/>
      <w:lvlJc w:val="right"/>
      <w:pPr>
        <w:ind w:left="3920" w:hanging="180"/>
      </w:pPr>
      <w:rPr>
        <w:rFonts w:cs="Times New Roman"/>
      </w:rPr>
    </w:lvl>
    <w:lvl w:ilvl="3" w:tplc="0C09000F" w:tentative="1">
      <w:start w:val="1"/>
      <w:numFmt w:val="decimal"/>
      <w:lvlText w:val="%4."/>
      <w:lvlJc w:val="left"/>
      <w:pPr>
        <w:ind w:left="4640" w:hanging="360"/>
      </w:pPr>
      <w:rPr>
        <w:rFonts w:cs="Times New Roman"/>
      </w:rPr>
    </w:lvl>
    <w:lvl w:ilvl="4" w:tplc="0C090019" w:tentative="1">
      <w:start w:val="1"/>
      <w:numFmt w:val="lowerLetter"/>
      <w:lvlText w:val="%5."/>
      <w:lvlJc w:val="left"/>
      <w:pPr>
        <w:ind w:left="5360" w:hanging="360"/>
      </w:pPr>
      <w:rPr>
        <w:rFonts w:cs="Times New Roman"/>
      </w:rPr>
    </w:lvl>
    <w:lvl w:ilvl="5" w:tplc="0C09001B" w:tentative="1">
      <w:start w:val="1"/>
      <w:numFmt w:val="lowerRoman"/>
      <w:lvlText w:val="%6."/>
      <w:lvlJc w:val="right"/>
      <w:pPr>
        <w:ind w:left="6080" w:hanging="180"/>
      </w:pPr>
      <w:rPr>
        <w:rFonts w:cs="Times New Roman"/>
      </w:rPr>
    </w:lvl>
    <w:lvl w:ilvl="6" w:tplc="0C09000F" w:tentative="1">
      <w:start w:val="1"/>
      <w:numFmt w:val="decimal"/>
      <w:lvlText w:val="%7."/>
      <w:lvlJc w:val="left"/>
      <w:pPr>
        <w:ind w:left="6800" w:hanging="360"/>
      </w:pPr>
      <w:rPr>
        <w:rFonts w:cs="Times New Roman"/>
      </w:rPr>
    </w:lvl>
    <w:lvl w:ilvl="7" w:tplc="0C090019" w:tentative="1">
      <w:start w:val="1"/>
      <w:numFmt w:val="lowerLetter"/>
      <w:lvlText w:val="%8."/>
      <w:lvlJc w:val="left"/>
      <w:pPr>
        <w:ind w:left="7520" w:hanging="360"/>
      </w:pPr>
      <w:rPr>
        <w:rFonts w:cs="Times New Roman"/>
      </w:rPr>
    </w:lvl>
    <w:lvl w:ilvl="8" w:tplc="0C09001B" w:tentative="1">
      <w:start w:val="1"/>
      <w:numFmt w:val="lowerRoman"/>
      <w:lvlText w:val="%9."/>
      <w:lvlJc w:val="right"/>
      <w:pPr>
        <w:ind w:left="8240" w:hanging="180"/>
      </w:pPr>
      <w:rPr>
        <w:rFonts w:cs="Times New Roman"/>
      </w:rPr>
    </w:lvl>
  </w:abstractNum>
  <w:abstractNum w:abstractNumId="26">
    <w:nsid w:val="6C7F1A45"/>
    <w:multiLevelType w:val="hybridMultilevel"/>
    <w:tmpl w:val="28B05524"/>
    <w:lvl w:ilvl="0" w:tplc="9DB017FA">
      <w:start w:val="1"/>
      <w:numFmt w:val="lowerLetter"/>
      <w:lvlText w:val="(%1)"/>
      <w:lvlJc w:val="left"/>
      <w:pPr>
        <w:ind w:left="2480" w:hanging="360"/>
      </w:pPr>
      <w:rPr>
        <w:rFonts w:cs="Times New Roman" w:hint="default"/>
      </w:rPr>
    </w:lvl>
    <w:lvl w:ilvl="1" w:tplc="0C090019">
      <w:start w:val="1"/>
      <w:numFmt w:val="lowerLetter"/>
      <w:lvlText w:val="%2."/>
      <w:lvlJc w:val="left"/>
      <w:pPr>
        <w:ind w:left="3200" w:hanging="360"/>
      </w:pPr>
      <w:rPr>
        <w:rFonts w:cs="Times New Roman"/>
      </w:rPr>
    </w:lvl>
    <w:lvl w:ilvl="2" w:tplc="0C09001B" w:tentative="1">
      <w:start w:val="1"/>
      <w:numFmt w:val="lowerRoman"/>
      <w:lvlText w:val="%3."/>
      <w:lvlJc w:val="right"/>
      <w:pPr>
        <w:ind w:left="3920" w:hanging="180"/>
      </w:pPr>
      <w:rPr>
        <w:rFonts w:cs="Times New Roman"/>
      </w:rPr>
    </w:lvl>
    <w:lvl w:ilvl="3" w:tplc="0C09000F" w:tentative="1">
      <w:start w:val="1"/>
      <w:numFmt w:val="decimal"/>
      <w:lvlText w:val="%4."/>
      <w:lvlJc w:val="left"/>
      <w:pPr>
        <w:ind w:left="4640" w:hanging="360"/>
      </w:pPr>
      <w:rPr>
        <w:rFonts w:cs="Times New Roman"/>
      </w:rPr>
    </w:lvl>
    <w:lvl w:ilvl="4" w:tplc="0C090019" w:tentative="1">
      <w:start w:val="1"/>
      <w:numFmt w:val="lowerLetter"/>
      <w:lvlText w:val="%5."/>
      <w:lvlJc w:val="left"/>
      <w:pPr>
        <w:ind w:left="5360" w:hanging="360"/>
      </w:pPr>
      <w:rPr>
        <w:rFonts w:cs="Times New Roman"/>
      </w:rPr>
    </w:lvl>
    <w:lvl w:ilvl="5" w:tplc="0C09001B" w:tentative="1">
      <w:start w:val="1"/>
      <w:numFmt w:val="lowerRoman"/>
      <w:lvlText w:val="%6."/>
      <w:lvlJc w:val="right"/>
      <w:pPr>
        <w:ind w:left="6080" w:hanging="180"/>
      </w:pPr>
      <w:rPr>
        <w:rFonts w:cs="Times New Roman"/>
      </w:rPr>
    </w:lvl>
    <w:lvl w:ilvl="6" w:tplc="0C09000F" w:tentative="1">
      <w:start w:val="1"/>
      <w:numFmt w:val="decimal"/>
      <w:lvlText w:val="%7."/>
      <w:lvlJc w:val="left"/>
      <w:pPr>
        <w:ind w:left="6800" w:hanging="360"/>
      </w:pPr>
      <w:rPr>
        <w:rFonts w:cs="Times New Roman"/>
      </w:rPr>
    </w:lvl>
    <w:lvl w:ilvl="7" w:tplc="0C090019" w:tentative="1">
      <w:start w:val="1"/>
      <w:numFmt w:val="lowerLetter"/>
      <w:lvlText w:val="%8."/>
      <w:lvlJc w:val="left"/>
      <w:pPr>
        <w:ind w:left="7520" w:hanging="360"/>
      </w:pPr>
      <w:rPr>
        <w:rFonts w:cs="Times New Roman"/>
      </w:rPr>
    </w:lvl>
    <w:lvl w:ilvl="8" w:tplc="0C09001B" w:tentative="1">
      <w:start w:val="1"/>
      <w:numFmt w:val="lowerRoman"/>
      <w:lvlText w:val="%9."/>
      <w:lvlJc w:val="right"/>
      <w:pPr>
        <w:ind w:left="8240" w:hanging="180"/>
      </w:pPr>
      <w:rPr>
        <w:rFonts w:cs="Times New Roman"/>
      </w:rPr>
    </w:lvl>
  </w:abstractNum>
  <w:abstractNum w:abstractNumId="27">
    <w:nsid w:val="70CD2DD6"/>
    <w:multiLevelType w:val="hybridMultilevel"/>
    <w:tmpl w:val="28B05524"/>
    <w:lvl w:ilvl="0" w:tplc="9DB017FA">
      <w:start w:val="1"/>
      <w:numFmt w:val="lowerLetter"/>
      <w:lvlText w:val="(%1)"/>
      <w:lvlJc w:val="left"/>
      <w:pPr>
        <w:ind w:left="1664" w:hanging="360"/>
      </w:pPr>
      <w:rPr>
        <w:rFonts w:cs="Times New Roman" w:hint="default"/>
      </w:rPr>
    </w:lvl>
    <w:lvl w:ilvl="1" w:tplc="0C090019">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28">
    <w:nsid w:val="710E6E14"/>
    <w:multiLevelType w:val="hybridMultilevel"/>
    <w:tmpl w:val="28B05524"/>
    <w:lvl w:ilvl="0" w:tplc="9DB017FA">
      <w:start w:val="1"/>
      <w:numFmt w:val="lowerLetter"/>
      <w:lvlText w:val="(%1)"/>
      <w:lvlJc w:val="left"/>
      <w:pPr>
        <w:ind w:left="2168" w:hanging="360"/>
      </w:pPr>
      <w:rPr>
        <w:rFonts w:cs="Times New Roman" w:hint="default"/>
      </w:rPr>
    </w:lvl>
    <w:lvl w:ilvl="1" w:tplc="0C090019">
      <w:start w:val="1"/>
      <w:numFmt w:val="lowerLetter"/>
      <w:lvlText w:val="%2."/>
      <w:lvlJc w:val="left"/>
      <w:pPr>
        <w:ind w:left="2888" w:hanging="360"/>
      </w:pPr>
      <w:rPr>
        <w:rFonts w:cs="Times New Roman"/>
      </w:rPr>
    </w:lvl>
    <w:lvl w:ilvl="2" w:tplc="0C09001B" w:tentative="1">
      <w:start w:val="1"/>
      <w:numFmt w:val="lowerRoman"/>
      <w:lvlText w:val="%3."/>
      <w:lvlJc w:val="right"/>
      <w:pPr>
        <w:ind w:left="3608" w:hanging="180"/>
      </w:pPr>
      <w:rPr>
        <w:rFonts w:cs="Times New Roman"/>
      </w:rPr>
    </w:lvl>
    <w:lvl w:ilvl="3" w:tplc="0C09000F" w:tentative="1">
      <w:start w:val="1"/>
      <w:numFmt w:val="decimal"/>
      <w:lvlText w:val="%4."/>
      <w:lvlJc w:val="left"/>
      <w:pPr>
        <w:ind w:left="4328" w:hanging="360"/>
      </w:pPr>
      <w:rPr>
        <w:rFonts w:cs="Times New Roman"/>
      </w:rPr>
    </w:lvl>
    <w:lvl w:ilvl="4" w:tplc="0C090019" w:tentative="1">
      <w:start w:val="1"/>
      <w:numFmt w:val="lowerLetter"/>
      <w:lvlText w:val="%5."/>
      <w:lvlJc w:val="left"/>
      <w:pPr>
        <w:ind w:left="5048" w:hanging="360"/>
      </w:pPr>
      <w:rPr>
        <w:rFonts w:cs="Times New Roman"/>
      </w:rPr>
    </w:lvl>
    <w:lvl w:ilvl="5" w:tplc="0C09001B" w:tentative="1">
      <w:start w:val="1"/>
      <w:numFmt w:val="lowerRoman"/>
      <w:lvlText w:val="%6."/>
      <w:lvlJc w:val="right"/>
      <w:pPr>
        <w:ind w:left="5768" w:hanging="180"/>
      </w:pPr>
      <w:rPr>
        <w:rFonts w:cs="Times New Roman"/>
      </w:rPr>
    </w:lvl>
    <w:lvl w:ilvl="6" w:tplc="0C09000F" w:tentative="1">
      <w:start w:val="1"/>
      <w:numFmt w:val="decimal"/>
      <w:lvlText w:val="%7."/>
      <w:lvlJc w:val="left"/>
      <w:pPr>
        <w:ind w:left="6488" w:hanging="360"/>
      </w:pPr>
      <w:rPr>
        <w:rFonts w:cs="Times New Roman"/>
      </w:rPr>
    </w:lvl>
    <w:lvl w:ilvl="7" w:tplc="0C090019" w:tentative="1">
      <w:start w:val="1"/>
      <w:numFmt w:val="lowerLetter"/>
      <w:lvlText w:val="%8."/>
      <w:lvlJc w:val="left"/>
      <w:pPr>
        <w:ind w:left="7208" w:hanging="360"/>
      </w:pPr>
      <w:rPr>
        <w:rFonts w:cs="Times New Roman"/>
      </w:rPr>
    </w:lvl>
    <w:lvl w:ilvl="8" w:tplc="0C09001B" w:tentative="1">
      <w:start w:val="1"/>
      <w:numFmt w:val="lowerRoman"/>
      <w:lvlText w:val="%9."/>
      <w:lvlJc w:val="right"/>
      <w:pPr>
        <w:ind w:left="7928"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12"/>
  </w:num>
  <w:num w:numId="14">
    <w:abstractNumId w:val="16"/>
  </w:num>
  <w:num w:numId="15">
    <w:abstractNumId w:val="14"/>
  </w:num>
  <w:num w:numId="16">
    <w:abstractNumId w:val="22"/>
  </w:num>
  <w:num w:numId="17">
    <w:abstractNumId w:val="28"/>
  </w:num>
  <w:num w:numId="18">
    <w:abstractNumId w:val="27"/>
  </w:num>
  <w:num w:numId="19">
    <w:abstractNumId w:val="11"/>
  </w:num>
  <w:num w:numId="20">
    <w:abstractNumId w:val="26"/>
  </w:num>
  <w:num w:numId="21">
    <w:abstractNumId w:val="15"/>
  </w:num>
  <w:num w:numId="22">
    <w:abstractNumId w:val="19"/>
  </w:num>
  <w:num w:numId="23">
    <w:abstractNumId w:val="25"/>
  </w:num>
  <w:num w:numId="24">
    <w:abstractNumId w:val="13"/>
  </w:num>
  <w:num w:numId="25">
    <w:abstractNumId w:val="21"/>
  </w:num>
  <w:num w:numId="26">
    <w:abstractNumId w:val="10"/>
  </w:num>
  <w:num w:numId="27">
    <w:abstractNumId w:val="24"/>
  </w:num>
  <w:num w:numId="28">
    <w:abstractNumId w:val="20"/>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02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77177"/>
    <w:rsid w:val="000058A4"/>
    <w:rsid w:val="00005B5E"/>
    <w:rsid w:val="00005D24"/>
    <w:rsid w:val="000136AF"/>
    <w:rsid w:val="0001724B"/>
    <w:rsid w:val="000224F1"/>
    <w:rsid w:val="00022B7E"/>
    <w:rsid w:val="0003241C"/>
    <w:rsid w:val="00036B0B"/>
    <w:rsid w:val="000403E3"/>
    <w:rsid w:val="00040D9A"/>
    <w:rsid w:val="000411E8"/>
    <w:rsid w:val="0004149A"/>
    <w:rsid w:val="00042987"/>
    <w:rsid w:val="00045367"/>
    <w:rsid w:val="00053152"/>
    <w:rsid w:val="00056743"/>
    <w:rsid w:val="000579B7"/>
    <w:rsid w:val="000614BF"/>
    <w:rsid w:val="000674A6"/>
    <w:rsid w:val="000712E5"/>
    <w:rsid w:val="0007504F"/>
    <w:rsid w:val="000806FC"/>
    <w:rsid w:val="00091408"/>
    <w:rsid w:val="000A0DBA"/>
    <w:rsid w:val="000B7D6D"/>
    <w:rsid w:val="000D05EF"/>
    <w:rsid w:val="000D6A43"/>
    <w:rsid w:val="000E2B70"/>
    <w:rsid w:val="000E7650"/>
    <w:rsid w:val="001003FC"/>
    <w:rsid w:val="001030AF"/>
    <w:rsid w:val="0010745C"/>
    <w:rsid w:val="0012326B"/>
    <w:rsid w:val="00123EE0"/>
    <w:rsid w:val="0014264A"/>
    <w:rsid w:val="001579F9"/>
    <w:rsid w:val="00163EBD"/>
    <w:rsid w:val="00165DEF"/>
    <w:rsid w:val="00166C2F"/>
    <w:rsid w:val="00173370"/>
    <w:rsid w:val="00175104"/>
    <w:rsid w:val="00177177"/>
    <w:rsid w:val="00186351"/>
    <w:rsid w:val="00192F6C"/>
    <w:rsid w:val="001939E1"/>
    <w:rsid w:val="00194A05"/>
    <w:rsid w:val="00195382"/>
    <w:rsid w:val="00196172"/>
    <w:rsid w:val="001A16EA"/>
    <w:rsid w:val="001B3C57"/>
    <w:rsid w:val="001B58AD"/>
    <w:rsid w:val="001C2C37"/>
    <w:rsid w:val="001C69C4"/>
    <w:rsid w:val="001C7A04"/>
    <w:rsid w:val="001D0F4A"/>
    <w:rsid w:val="001D612C"/>
    <w:rsid w:val="001E3590"/>
    <w:rsid w:val="001E7407"/>
    <w:rsid w:val="001F115E"/>
    <w:rsid w:val="00201A76"/>
    <w:rsid w:val="0021208A"/>
    <w:rsid w:val="002173CB"/>
    <w:rsid w:val="0022382C"/>
    <w:rsid w:val="002327E7"/>
    <w:rsid w:val="002376B6"/>
    <w:rsid w:val="002454CF"/>
    <w:rsid w:val="0024710B"/>
    <w:rsid w:val="0025103B"/>
    <w:rsid w:val="00253D1B"/>
    <w:rsid w:val="00254CA7"/>
    <w:rsid w:val="0027492F"/>
    <w:rsid w:val="00275FAA"/>
    <w:rsid w:val="002835A6"/>
    <w:rsid w:val="002945B6"/>
    <w:rsid w:val="00295FBA"/>
    <w:rsid w:val="002970D7"/>
    <w:rsid w:val="00297ECB"/>
    <w:rsid w:val="002A407F"/>
    <w:rsid w:val="002A43EB"/>
    <w:rsid w:val="002B1A13"/>
    <w:rsid w:val="002D043A"/>
    <w:rsid w:val="002D403B"/>
    <w:rsid w:val="002D6A8E"/>
    <w:rsid w:val="002E302D"/>
    <w:rsid w:val="002E68ED"/>
    <w:rsid w:val="00301379"/>
    <w:rsid w:val="00303D88"/>
    <w:rsid w:val="00306691"/>
    <w:rsid w:val="00311448"/>
    <w:rsid w:val="00312B16"/>
    <w:rsid w:val="003168C0"/>
    <w:rsid w:val="0032055B"/>
    <w:rsid w:val="00321ACD"/>
    <w:rsid w:val="00326619"/>
    <w:rsid w:val="00330CE5"/>
    <w:rsid w:val="0033506C"/>
    <w:rsid w:val="00335BCD"/>
    <w:rsid w:val="00336808"/>
    <w:rsid w:val="003400EA"/>
    <w:rsid w:val="003504E6"/>
    <w:rsid w:val="003522BE"/>
    <w:rsid w:val="00352B0F"/>
    <w:rsid w:val="0035489D"/>
    <w:rsid w:val="00360FB0"/>
    <w:rsid w:val="0038062F"/>
    <w:rsid w:val="003829CA"/>
    <w:rsid w:val="00383AB3"/>
    <w:rsid w:val="0038616B"/>
    <w:rsid w:val="0039154F"/>
    <w:rsid w:val="00392512"/>
    <w:rsid w:val="003942CA"/>
    <w:rsid w:val="003965A8"/>
    <w:rsid w:val="003A1BB7"/>
    <w:rsid w:val="003A6372"/>
    <w:rsid w:val="003B5735"/>
    <w:rsid w:val="003C07D0"/>
    <w:rsid w:val="003C3092"/>
    <w:rsid w:val="003D0BFE"/>
    <w:rsid w:val="003D15FD"/>
    <w:rsid w:val="003D4B13"/>
    <w:rsid w:val="003D5700"/>
    <w:rsid w:val="003F2173"/>
    <w:rsid w:val="003F4841"/>
    <w:rsid w:val="003F4EB3"/>
    <w:rsid w:val="0040173F"/>
    <w:rsid w:val="00402A8D"/>
    <w:rsid w:val="00402FD4"/>
    <w:rsid w:val="0041118F"/>
    <w:rsid w:val="004116CD"/>
    <w:rsid w:val="00412A27"/>
    <w:rsid w:val="0041662D"/>
    <w:rsid w:val="00416CE6"/>
    <w:rsid w:val="00424CA9"/>
    <w:rsid w:val="00436337"/>
    <w:rsid w:val="00437439"/>
    <w:rsid w:val="0044185A"/>
    <w:rsid w:val="00442140"/>
    <w:rsid w:val="0044291A"/>
    <w:rsid w:val="00443DBB"/>
    <w:rsid w:val="004479A0"/>
    <w:rsid w:val="004560FB"/>
    <w:rsid w:val="00457534"/>
    <w:rsid w:val="0046285A"/>
    <w:rsid w:val="004653F8"/>
    <w:rsid w:val="00490240"/>
    <w:rsid w:val="00495B48"/>
    <w:rsid w:val="00496F97"/>
    <w:rsid w:val="004A70CF"/>
    <w:rsid w:val="004C1EC8"/>
    <w:rsid w:val="004C6234"/>
    <w:rsid w:val="004D6B66"/>
    <w:rsid w:val="004E5756"/>
    <w:rsid w:val="004E68CD"/>
    <w:rsid w:val="004F24FA"/>
    <w:rsid w:val="0051370A"/>
    <w:rsid w:val="00513EA2"/>
    <w:rsid w:val="00516B8D"/>
    <w:rsid w:val="00523597"/>
    <w:rsid w:val="0052455C"/>
    <w:rsid w:val="00532065"/>
    <w:rsid w:val="005327A0"/>
    <w:rsid w:val="005328B9"/>
    <w:rsid w:val="00537FBC"/>
    <w:rsid w:val="00545B31"/>
    <w:rsid w:val="005542E1"/>
    <w:rsid w:val="00563D25"/>
    <w:rsid w:val="0056750D"/>
    <w:rsid w:val="00584811"/>
    <w:rsid w:val="005903AC"/>
    <w:rsid w:val="00594161"/>
    <w:rsid w:val="00594749"/>
    <w:rsid w:val="005959ED"/>
    <w:rsid w:val="005A5371"/>
    <w:rsid w:val="005A707D"/>
    <w:rsid w:val="005C0F57"/>
    <w:rsid w:val="005C3895"/>
    <w:rsid w:val="005D6D4B"/>
    <w:rsid w:val="005E01CE"/>
    <w:rsid w:val="005E4FFC"/>
    <w:rsid w:val="00600219"/>
    <w:rsid w:val="0060183A"/>
    <w:rsid w:val="00604AA2"/>
    <w:rsid w:val="00610FEB"/>
    <w:rsid w:val="00614A4A"/>
    <w:rsid w:val="006207A3"/>
    <w:rsid w:val="006210B2"/>
    <w:rsid w:val="00621A0D"/>
    <w:rsid w:val="00630276"/>
    <w:rsid w:val="006306EF"/>
    <w:rsid w:val="0063130E"/>
    <w:rsid w:val="00633FDB"/>
    <w:rsid w:val="00637E56"/>
    <w:rsid w:val="006403E1"/>
    <w:rsid w:val="006649F4"/>
    <w:rsid w:val="0066736E"/>
    <w:rsid w:val="0067189E"/>
    <w:rsid w:val="00677CC2"/>
    <w:rsid w:val="00680F77"/>
    <w:rsid w:val="00691BAA"/>
    <w:rsid w:val="0069207B"/>
    <w:rsid w:val="0069210A"/>
    <w:rsid w:val="00694731"/>
    <w:rsid w:val="006B323D"/>
    <w:rsid w:val="006B3A28"/>
    <w:rsid w:val="006C19F3"/>
    <w:rsid w:val="006C7F8C"/>
    <w:rsid w:val="006D740B"/>
    <w:rsid w:val="006E2E9F"/>
    <w:rsid w:val="006E3AAC"/>
    <w:rsid w:val="006E454C"/>
    <w:rsid w:val="006F4315"/>
    <w:rsid w:val="006F6D07"/>
    <w:rsid w:val="006F7FA5"/>
    <w:rsid w:val="007037C5"/>
    <w:rsid w:val="007047C5"/>
    <w:rsid w:val="007230E0"/>
    <w:rsid w:val="007276BC"/>
    <w:rsid w:val="00731E00"/>
    <w:rsid w:val="00733990"/>
    <w:rsid w:val="007374FD"/>
    <w:rsid w:val="00750124"/>
    <w:rsid w:val="00756A82"/>
    <w:rsid w:val="00760D3F"/>
    <w:rsid w:val="00762401"/>
    <w:rsid w:val="00764180"/>
    <w:rsid w:val="00766393"/>
    <w:rsid w:val="007715C9"/>
    <w:rsid w:val="00774EDD"/>
    <w:rsid w:val="00775007"/>
    <w:rsid w:val="007757EC"/>
    <w:rsid w:val="007817D9"/>
    <w:rsid w:val="00783BEA"/>
    <w:rsid w:val="00783D6F"/>
    <w:rsid w:val="00792FEC"/>
    <w:rsid w:val="007A58B6"/>
    <w:rsid w:val="007A7030"/>
    <w:rsid w:val="007B7C05"/>
    <w:rsid w:val="007C371F"/>
    <w:rsid w:val="007D0764"/>
    <w:rsid w:val="007E1D29"/>
    <w:rsid w:val="007F010D"/>
    <w:rsid w:val="007F3CA5"/>
    <w:rsid w:val="008001E2"/>
    <w:rsid w:val="008006B2"/>
    <w:rsid w:val="008069F2"/>
    <w:rsid w:val="00811417"/>
    <w:rsid w:val="0081484C"/>
    <w:rsid w:val="00820368"/>
    <w:rsid w:val="00821918"/>
    <w:rsid w:val="00824D82"/>
    <w:rsid w:val="008325DD"/>
    <w:rsid w:val="0083450A"/>
    <w:rsid w:val="008421DC"/>
    <w:rsid w:val="00843392"/>
    <w:rsid w:val="008516B3"/>
    <w:rsid w:val="0085253E"/>
    <w:rsid w:val="00854190"/>
    <w:rsid w:val="00856A31"/>
    <w:rsid w:val="008708F2"/>
    <w:rsid w:val="008754D0"/>
    <w:rsid w:val="00876FF7"/>
    <w:rsid w:val="00877D9F"/>
    <w:rsid w:val="00884477"/>
    <w:rsid w:val="008A66C2"/>
    <w:rsid w:val="008B2ACB"/>
    <w:rsid w:val="008B7102"/>
    <w:rsid w:val="008C1370"/>
    <w:rsid w:val="008C4A7A"/>
    <w:rsid w:val="008C603E"/>
    <w:rsid w:val="008C6112"/>
    <w:rsid w:val="008D3AC0"/>
    <w:rsid w:val="008D5E3D"/>
    <w:rsid w:val="008E17F3"/>
    <w:rsid w:val="008E3B8C"/>
    <w:rsid w:val="008F3C16"/>
    <w:rsid w:val="008F4AEE"/>
    <w:rsid w:val="00900B51"/>
    <w:rsid w:val="00903B65"/>
    <w:rsid w:val="0090498B"/>
    <w:rsid w:val="00927E55"/>
    <w:rsid w:val="00940734"/>
    <w:rsid w:val="0094622F"/>
    <w:rsid w:val="009508D0"/>
    <w:rsid w:val="00956E09"/>
    <w:rsid w:val="00967581"/>
    <w:rsid w:val="009759D8"/>
    <w:rsid w:val="00977C9F"/>
    <w:rsid w:val="009833D6"/>
    <w:rsid w:val="0098638B"/>
    <w:rsid w:val="0098779D"/>
    <w:rsid w:val="0099361B"/>
    <w:rsid w:val="009A10B1"/>
    <w:rsid w:val="009A10DC"/>
    <w:rsid w:val="009B79A1"/>
    <w:rsid w:val="009C2175"/>
    <w:rsid w:val="009E07B8"/>
    <w:rsid w:val="009F1FBF"/>
    <w:rsid w:val="00A03605"/>
    <w:rsid w:val="00A10043"/>
    <w:rsid w:val="00A1311C"/>
    <w:rsid w:val="00A217F4"/>
    <w:rsid w:val="00A231E2"/>
    <w:rsid w:val="00A23B85"/>
    <w:rsid w:val="00A23CA1"/>
    <w:rsid w:val="00A322EB"/>
    <w:rsid w:val="00A32914"/>
    <w:rsid w:val="00A334E6"/>
    <w:rsid w:val="00A37EAC"/>
    <w:rsid w:val="00A44ADA"/>
    <w:rsid w:val="00A50789"/>
    <w:rsid w:val="00A522D8"/>
    <w:rsid w:val="00A60FFA"/>
    <w:rsid w:val="00A62168"/>
    <w:rsid w:val="00A63474"/>
    <w:rsid w:val="00A64912"/>
    <w:rsid w:val="00A70A74"/>
    <w:rsid w:val="00A70CAF"/>
    <w:rsid w:val="00A71F79"/>
    <w:rsid w:val="00A75541"/>
    <w:rsid w:val="00A82983"/>
    <w:rsid w:val="00A94706"/>
    <w:rsid w:val="00AB5C8B"/>
    <w:rsid w:val="00AD236E"/>
    <w:rsid w:val="00AD5641"/>
    <w:rsid w:val="00AE0CAA"/>
    <w:rsid w:val="00AF35A3"/>
    <w:rsid w:val="00AF371C"/>
    <w:rsid w:val="00B02E1F"/>
    <w:rsid w:val="00B160E1"/>
    <w:rsid w:val="00B2256C"/>
    <w:rsid w:val="00B2414D"/>
    <w:rsid w:val="00B26120"/>
    <w:rsid w:val="00B33B3C"/>
    <w:rsid w:val="00B43995"/>
    <w:rsid w:val="00B50937"/>
    <w:rsid w:val="00B56407"/>
    <w:rsid w:val="00B56763"/>
    <w:rsid w:val="00B65185"/>
    <w:rsid w:val="00B70938"/>
    <w:rsid w:val="00B70A97"/>
    <w:rsid w:val="00B750AF"/>
    <w:rsid w:val="00B76C43"/>
    <w:rsid w:val="00B8253B"/>
    <w:rsid w:val="00B8776A"/>
    <w:rsid w:val="00B945F1"/>
    <w:rsid w:val="00B96FC8"/>
    <w:rsid w:val="00B97560"/>
    <w:rsid w:val="00BA03BE"/>
    <w:rsid w:val="00BB037C"/>
    <w:rsid w:val="00BB3C37"/>
    <w:rsid w:val="00BB7492"/>
    <w:rsid w:val="00BD16D7"/>
    <w:rsid w:val="00BD434E"/>
    <w:rsid w:val="00BD5543"/>
    <w:rsid w:val="00BD7B95"/>
    <w:rsid w:val="00BE1590"/>
    <w:rsid w:val="00BE6B9F"/>
    <w:rsid w:val="00BE719A"/>
    <w:rsid w:val="00BE720A"/>
    <w:rsid w:val="00BF2A01"/>
    <w:rsid w:val="00C05B8D"/>
    <w:rsid w:val="00C10DE9"/>
    <w:rsid w:val="00C12B65"/>
    <w:rsid w:val="00C14FCE"/>
    <w:rsid w:val="00C239AD"/>
    <w:rsid w:val="00C24E26"/>
    <w:rsid w:val="00C314EB"/>
    <w:rsid w:val="00C4063F"/>
    <w:rsid w:val="00C42BF8"/>
    <w:rsid w:val="00C4627E"/>
    <w:rsid w:val="00C466A4"/>
    <w:rsid w:val="00C50043"/>
    <w:rsid w:val="00C5028C"/>
    <w:rsid w:val="00C54DC4"/>
    <w:rsid w:val="00C559CF"/>
    <w:rsid w:val="00C61CDD"/>
    <w:rsid w:val="00C61DC5"/>
    <w:rsid w:val="00C70B5D"/>
    <w:rsid w:val="00C744F8"/>
    <w:rsid w:val="00C74893"/>
    <w:rsid w:val="00C7573B"/>
    <w:rsid w:val="00C83868"/>
    <w:rsid w:val="00C871CE"/>
    <w:rsid w:val="00CA7858"/>
    <w:rsid w:val="00CA79B9"/>
    <w:rsid w:val="00CB0F09"/>
    <w:rsid w:val="00CC132D"/>
    <w:rsid w:val="00CD0982"/>
    <w:rsid w:val="00CD1ABA"/>
    <w:rsid w:val="00CE1923"/>
    <w:rsid w:val="00CF08B5"/>
    <w:rsid w:val="00CF0BB2"/>
    <w:rsid w:val="00CF331C"/>
    <w:rsid w:val="00D02B43"/>
    <w:rsid w:val="00D045F0"/>
    <w:rsid w:val="00D077DC"/>
    <w:rsid w:val="00D13441"/>
    <w:rsid w:val="00D178E9"/>
    <w:rsid w:val="00D200E6"/>
    <w:rsid w:val="00D33D85"/>
    <w:rsid w:val="00D5407F"/>
    <w:rsid w:val="00D55CD1"/>
    <w:rsid w:val="00D61819"/>
    <w:rsid w:val="00D70DFB"/>
    <w:rsid w:val="00D766DF"/>
    <w:rsid w:val="00D8027A"/>
    <w:rsid w:val="00D80F8B"/>
    <w:rsid w:val="00D81032"/>
    <w:rsid w:val="00D8385F"/>
    <w:rsid w:val="00D926AC"/>
    <w:rsid w:val="00D95969"/>
    <w:rsid w:val="00DA0AEB"/>
    <w:rsid w:val="00DA7B55"/>
    <w:rsid w:val="00DA7D53"/>
    <w:rsid w:val="00DB3CFE"/>
    <w:rsid w:val="00DB43CF"/>
    <w:rsid w:val="00DC1731"/>
    <w:rsid w:val="00DC2996"/>
    <w:rsid w:val="00DC3329"/>
    <w:rsid w:val="00DC706D"/>
    <w:rsid w:val="00DD145C"/>
    <w:rsid w:val="00DE193F"/>
    <w:rsid w:val="00DF5525"/>
    <w:rsid w:val="00E01ED9"/>
    <w:rsid w:val="00E07AA0"/>
    <w:rsid w:val="00E139C2"/>
    <w:rsid w:val="00E1537A"/>
    <w:rsid w:val="00E2218B"/>
    <w:rsid w:val="00E24C66"/>
    <w:rsid w:val="00E26B0C"/>
    <w:rsid w:val="00E3472B"/>
    <w:rsid w:val="00E35517"/>
    <w:rsid w:val="00E3569A"/>
    <w:rsid w:val="00E410C5"/>
    <w:rsid w:val="00E458B9"/>
    <w:rsid w:val="00E54AA8"/>
    <w:rsid w:val="00E5751F"/>
    <w:rsid w:val="00E62369"/>
    <w:rsid w:val="00E65337"/>
    <w:rsid w:val="00E7285F"/>
    <w:rsid w:val="00E74DC7"/>
    <w:rsid w:val="00E76C26"/>
    <w:rsid w:val="00E77D59"/>
    <w:rsid w:val="00E84552"/>
    <w:rsid w:val="00E90905"/>
    <w:rsid w:val="00EB4F2C"/>
    <w:rsid w:val="00EC472A"/>
    <w:rsid w:val="00EC5544"/>
    <w:rsid w:val="00EC7BF1"/>
    <w:rsid w:val="00ED0C49"/>
    <w:rsid w:val="00ED7425"/>
    <w:rsid w:val="00ED7D29"/>
    <w:rsid w:val="00EE199C"/>
    <w:rsid w:val="00EE3AC8"/>
    <w:rsid w:val="00EF2E3A"/>
    <w:rsid w:val="00EF404D"/>
    <w:rsid w:val="00F01F58"/>
    <w:rsid w:val="00F02393"/>
    <w:rsid w:val="00F02D2D"/>
    <w:rsid w:val="00F04811"/>
    <w:rsid w:val="00F078DC"/>
    <w:rsid w:val="00F13373"/>
    <w:rsid w:val="00F16E23"/>
    <w:rsid w:val="00F205ED"/>
    <w:rsid w:val="00F23E5F"/>
    <w:rsid w:val="00F26A40"/>
    <w:rsid w:val="00F3113A"/>
    <w:rsid w:val="00F33DA4"/>
    <w:rsid w:val="00F35B94"/>
    <w:rsid w:val="00F51269"/>
    <w:rsid w:val="00F514EA"/>
    <w:rsid w:val="00F52AD0"/>
    <w:rsid w:val="00F538C2"/>
    <w:rsid w:val="00F737C9"/>
    <w:rsid w:val="00F7445A"/>
    <w:rsid w:val="00F9151E"/>
    <w:rsid w:val="00FA2E93"/>
    <w:rsid w:val="00FA540F"/>
    <w:rsid w:val="00FD10C5"/>
    <w:rsid w:val="00FD3A71"/>
    <w:rsid w:val="00FD4B5F"/>
    <w:rsid w:val="00FE31AA"/>
    <w:rsid w:val="00FE495E"/>
    <w:rsid w:val="00FE65F7"/>
    <w:rsid w:val="00FF09D8"/>
    <w:rsid w:val="00FF0C69"/>
    <w:rsid w:val="00FF347E"/>
    <w:rsid w:val="00FF3672"/>
    <w:rsid w:val="00FF67D8"/>
    <w:rsid w:val="00FF6DB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43"/>
    <w:pPr>
      <w:spacing w:line="260" w:lineRule="atLeast"/>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99"/>
    <w:rsid w:val="00A231E2"/>
  </w:style>
  <w:style w:type="paragraph" w:customStyle="1" w:styleId="OPCParaBase">
    <w:name w:val="OPCParaBase"/>
    <w:uiPriority w:val="99"/>
    <w:rsid w:val="00A231E2"/>
    <w:pPr>
      <w:spacing w:line="260" w:lineRule="atLeast"/>
    </w:pPr>
    <w:rPr>
      <w:rFonts w:eastAsia="Times New Roman"/>
      <w:szCs w:val="20"/>
    </w:rPr>
  </w:style>
  <w:style w:type="paragraph" w:customStyle="1" w:styleId="ShortT">
    <w:name w:val="ShortT"/>
    <w:basedOn w:val="OPCParaBase"/>
    <w:next w:val="Normal"/>
    <w:uiPriority w:val="99"/>
    <w:rsid w:val="00A231E2"/>
    <w:pPr>
      <w:spacing w:line="240" w:lineRule="auto"/>
    </w:pPr>
    <w:rPr>
      <w:b/>
      <w:sz w:val="40"/>
    </w:rPr>
  </w:style>
  <w:style w:type="paragraph" w:customStyle="1" w:styleId="ActHead1">
    <w:name w:val="ActHead 1"/>
    <w:aliases w:val="c"/>
    <w:basedOn w:val="OPCParaBase"/>
    <w:next w:val="Normal"/>
    <w:uiPriority w:val="99"/>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uiPriority w:val="99"/>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uiPriority w:val="99"/>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uiPriority w:val="99"/>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uiPriority w:val="99"/>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uiPriority w:val="99"/>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uiPriority w:val="99"/>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uiPriority w:val="99"/>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uiPriority w:val="99"/>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uiPriority w:val="99"/>
    <w:rsid w:val="00A231E2"/>
  </w:style>
  <w:style w:type="paragraph" w:customStyle="1" w:styleId="Blocks">
    <w:name w:val="Blocks"/>
    <w:aliases w:val="bb"/>
    <w:basedOn w:val="OPCParaBase"/>
    <w:uiPriority w:val="99"/>
    <w:rsid w:val="00A231E2"/>
    <w:pPr>
      <w:spacing w:line="240" w:lineRule="auto"/>
    </w:pPr>
    <w:rPr>
      <w:sz w:val="24"/>
    </w:rPr>
  </w:style>
  <w:style w:type="paragraph" w:customStyle="1" w:styleId="BoxText">
    <w:name w:val="BoxText"/>
    <w:aliases w:val="bt"/>
    <w:basedOn w:val="OPCParaBase"/>
    <w:uiPriority w:val="99"/>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uiPriority w:val="99"/>
    <w:rsid w:val="00A231E2"/>
    <w:rPr>
      <w:b/>
    </w:rPr>
  </w:style>
  <w:style w:type="paragraph" w:customStyle="1" w:styleId="BoxHeadItalic">
    <w:name w:val="BoxHeadItalic"/>
    <w:aliases w:val="bhi"/>
    <w:basedOn w:val="BoxText"/>
    <w:next w:val="Normal"/>
    <w:uiPriority w:val="99"/>
    <w:rsid w:val="00A231E2"/>
    <w:rPr>
      <w:i/>
    </w:rPr>
  </w:style>
  <w:style w:type="paragraph" w:customStyle="1" w:styleId="BoxList">
    <w:name w:val="BoxList"/>
    <w:aliases w:val="bl"/>
    <w:basedOn w:val="BoxText"/>
    <w:uiPriority w:val="99"/>
    <w:rsid w:val="00A231E2"/>
    <w:pPr>
      <w:ind w:left="1559" w:hanging="425"/>
    </w:pPr>
  </w:style>
  <w:style w:type="paragraph" w:customStyle="1" w:styleId="BoxNote">
    <w:name w:val="BoxNote"/>
    <w:aliases w:val="bn"/>
    <w:basedOn w:val="BoxText"/>
    <w:uiPriority w:val="99"/>
    <w:rsid w:val="00A231E2"/>
    <w:pPr>
      <w:tabs>
        <w:tab w:val="left" w:pos="1985"/>
      </w:tabs>
      <w:spacing w:before="122" w:line="198" w:lineRule="exact"/>
      <w:ind w:left="2948" w:hanging="1814"/>
    </w:pPr>
    <w:rPr>
      <w:sz w:val="18"/>
    </w:rPr>
  </w:style>
  <w:style w:type="paragraph" w:customStyle="1" w:styleId="BoxPara">
    <w:name w:val="BoxPara"/>
    <w:aliases w:val="bp"/>
    <w:basedOn w:val="BoxText"/>
    <w:uiPriority w:val="99"/>
    <w:rsid w:val="00A231E2"/>
    <w:pPr>
      <w:tabs>
        <w:tab w:val="right" w:pos="2268"/>
      </w:tabs>
      <w:ind w:left="2552" w:hanging="1418"/>
    </w:pPr>
  </w:style>
  <w:style w:type="paragraph" w:customStyle="1" w:styleId="BoxStep">
    <w:name w:val="BoxStep"/>
    <w:aliases w:val="bs"/>
    <w:basedOn w:val="BoxText"/>
    <w:uiPriority w:val="99"/>
    <w:rsid w:val="00A231E2"/>
    <w:pPr>
      <w:ind w:left="1985" w:hanging="851"/>
    </w:pPr>
  </w:style>
  <w:style w:type="character" w:customStyle="1" w:styleId="CharAmPartNo">
    <w:name w:val="CharAmPartNo"/>
    <w:basedOn w:val="OPCCharBase"/>
    <w:uiPriority w:val="99"/>
    <w:rsid w:val="00A231E2"/>
    <w:rPr>
      <w:rFonts w:cs="Times New Roman"/>
    </w:rPr>
  </w:style>
  <w:style w:type="character" w:customStyle="1" w:styleId="CharAmPartText">
    <w:name w:val="CharAmPartText"/>
    <w:basedOn w:val="OPCCharBase"/>
    <w:uiPriority w:val="99"/>
    <w:rsid w:val="00A231E2"/>
    <w:rPr>
      <w:rFonts w:cs="Times New Roman"/>
    </w:rPr>
  </w:style>
  <w:style w:type="character" w:customStyle="1" w:styleId="CharAmSchNo">
    <w:name w:val="CharAmSchNo"/>
    <w:basedOn w:val="OPCCharBase"/>
    <w:uiPriority w:val="99"/>
    <w:rsid w:val="00A231E2"/>
    <w:rPr>
      <w:rFonts w:cs="Times New Roman"/>
    </w:rPr>
  </w:style>
  <w:style w:type="character" w:customStyle="1" w:styleId="CharAmSchText">
    <w:name w:val="CharAmSchText"/>
    <w:basedOn w:val="OPCCharBase"/>
    <w:uiPriority w:val="99"/>
    <w:rsid w:val="00A231E2"/>
    <w:rPr>
      <w:rFonts w:cs="Times New Roman"/>
    </w:rPr>
  </w:style>
  <w:style w:type="character" w:customStyle="1" w:styleId="CharBoldItalic">
    <w:name w:val="CharBoldItalic"/>
    <w:uiPriority w:val="99"/>
    <w:rsid w:val="00A231E2"/>
    <w:rPr>
      <w:b/>
      <w:i/>
    </w:rPr>
  </w:style>
  <w:style w:type="character" w:customStyle="1" w:styleId="CharChapNo">
    <w:name w:val="CharChapNo"/>
    <w:basedOn w:val="OPCCharBase"/>
    <w:uiPriority w:val="99"/>
    <w:rsid w:val="00A231E2"/>
    <w:rPr>
      <w:rFonts w:cs="Times New Roman"/>
    </w:rPr>
  </w:style>
  <w:style w:type="character" w:customStyle="1" w:styleId="CharChapText">
    <w:name w:val="CharChapText"/>
    <w:basedOn w:val="OPCCharBase"/>
    <w:uiPriority w:val="99"/>
    <w:rsid w:val="00A231E2"/>
    <w:rPr>
      <w:rFonts w:cs="Times New Roman"/>
    </w:rPr>
  </w:style>
  <w:style w:type="character" w:customStyle="1" w:styleId="CharDivNo">
    <w:name w:val="CharDivNo"/>
    <w:basedOn w:val="OPCCharBase"/>
    <w:uiPriority w:val="99"/>
    <w:rsid w:val="00A231E2"/>
    <w:rPr>
      <w:rFonts w:cs="Times New Roman"/>
    </w:rPr>
  </w:style>
  <w:style w:type="character" w:customStyle="1" w:styleId="CharDivText">
    <w:name w:val="CharDivText"/>
    <w:basedOn w:val="OPCCharBase"/>
    <w:uiPriority w:val="99"/>
    <w:rsid w:val="00A231E2"/>
    <w:rPr>
      <w:rFonts w:cs="Times New Roman"/>
    </w:rPr>
  </w:style>
  <w:style w:type="character" w:customStyle="1" w:styleId="CharItalic">
    <w:name w:val="CharItalic"/>
    <w:uiPriority w:val="99"/>
    <w:rsid w:val="00A231E2"/>
    <w:rPr>
      <w:i/>
    </w:rPr>
  </w:style>
  <w:style w:type="character" w:customStyle="1" w:styleId="CharPartNo">
    <w:name w:val="CharPartNo"/>
    <w:basedOn w:val="OPCCharBase"/>
    <w:uiPriority w:val="99"/>
    <w:rsid w:val="00A231E2"/>
    <w:rPr>
      <w:rFonts w:cs="Times New Roman"/>
    </w:rPr>
  </w:style>
  <w:style w:type="character" w:customStyle="1" w:styleId="CharPartText">
    <w:name w:val="CharPartText"/>
    <w:basedOn w:val="OPCCharBase"/>
    <w:uiPriority w:val="99"/>
    <w:rsid w:val="00A231E2"/>
    <w:rPr>
      <w:rFonts w:cs="Times New Roman"/>
    </w:rPr>
  </w:style>
  <w:style w:type="character" w:customStyle="1" w:styleId="CharSectno">
    <w:name w:val="CharSectno"/>
    <w:basedOn w:val="OPCCharBase"/>
    <w:uiPriority w:val="99"/>
    <w:rsid w:val="00A231E2"/>
    <w:rPr>
      <w:rFonts w:cs="Times New Roman"/>
    </w:rPr>
  </w:style>
  <w:style w:type="character" w:customStyle="1" w:styleId="CharSubdNo">
    <w:name w:val="CharSubdNo"/>
    <w:basedOn w:val="OPCCharBase"/>
    <w:uiPriority w:val="99"/>
    <w:rsid w:val="00A231E2"/>
    <w:rPr>
      <w:rFonts w:cs="Times New Roman"/>
    </w:rPr>
  </w:style>
  <w:style w:type="character" w:customStyle="1" w:styleId="CharSubdText">
    <w:name w:val="CharSubdText"/>
    <w:basedOn w:val="OPCCharBase"/>
    <w:uiPriority w:val="99"/>
    <w:rsid w:val="00A231E2"/>
    <w:rPr>
      <w:rFonts w:cs="Times New Roman"/>
    </w:rPr>
  </w:style>
  <w:style w:type="paragraph" w:customStyle="1" w:styleId="CTA--">
    <w:name w:val="CTA --"/>
    <w:basedOn w:val="OPCParaBase"/>
    <w:next w:val="Normal"/>
    <w:uiPriority w:val="99"/>
    <w:rsid w:val="00166C2F"/>
    <w:pPr>
      <w:spacing w:before="60" w:line="240" w:lineRule="atLeast"/>
      <w:ind w:left="142" w:hanging="142"/>
    </w:pPr>
    <w:rPr>
      <w:sz w:val="20"/>
    </w:rPr>
  </w:style>
  <w:style w:type="paragraph" w:customStyle="1" w:styleId="CTA-">
    <w:name w:val="CTA -"/>
    <w:basedOn w:val="OPCParaBase"/>
    <w:uiPriority w:val="99"/>
    <w:rsid w:val="00677CC2"/>
    <w:pPr>
      <w:spacing w:before="60" w:line="240" w:lineRule="atLeast"/>
      <w:ind w:left="85" w:hanging="85"/>
    </w:pPr>
    <w:rPr>
      <w:sz w:val="20"/>
    </w:rPr>
  </w:style>
  <w:style w:type="paragraph" w:customStyle="1" w:styleId="CTA---">
    <w:name w:val="CTA ---"/>
    <w:basedOn w:val="OPCParaBase"/>
    <w:next w:val="Normal"/>
    <w:uiPriority w:val="99"/>
    <w:rsid w:val="00677CC2"/>
    <w:pPr>
      <w:spacing w:before="60" w:line="240" w:lineRule="atLeast"/>
      <w:ind w:left="198" w:hanging="198"/>
    </w:pPr>
    <w:rPr>
      <w:sz w:val="20"/>
    </w:rPr>
  </w:style>
  <w:style w:type="paragraph" w:customStyle="1" w:styleId="CTA----">
    <w:name w:val="CTA ----"/>
    <w:basedOn w:val="OPCParaBase"/>
    <w:next w:val="Normal"/>
    <w:uiPriority w:val="99"/>
    <w:rsid w:val="00677CC2"/>
    <w:pPr>
      <w:spacing w:before="60" w:line="240" w:lineRule="atLeast"/>
      <w:ind w:left="255" w:hanging="255"/>
    </w:pPr>
    <w:rPr>
      <w:sz w:val="20"/>
    </w:rPr>
  </w:style>
  <w:style w:type="paragraph" w:customStyle="1" w:styleId="CTA1a">
    <w:name w:val="CTA 1(a)"/>
    <w:basedOn w:val="OPCParaBase"/>
    <w:uiPriority w:val="99"/>
    <w:rsid w:val="00A70A74"/>
    <w:pPr>
      <w:tabs>
        <w:tab w:val="right" w:pos="414"/>
      </w:tabs>
      <w:spacing w:before="40" w:line="240" w:lineRule="atLeast"/>
      <w:ind w:left="675" w:hanging="675"/>
    </w:pPr>
    <w:rPr>
      <w:sz w:val="20"/>
    </w:rPr>
  </w:style>
  <w:style w:type="paragraph" w:customStyle="1" w:styleId="CTA1ai">
    <w:name w:val="CTA 1(a)(i)"/>
    <w:basedOn w:val="OPCParaBase"/>
    <w:uiPriority w:val="99"/>
    <w:rsid w:val="00A70A74"/>
    <w:pPr>
      <w:tabs>
        <w:tab w:val="right" w:pos="1004"/>
      </w:tabs>
      <w:spacing w:before="40" w:line="240" w:lineRule="atLeast"/>
      <w:ind w:left="1253" w:hanging="1253"/>
    </w:pPr>
    <w:rPr>
      <w:sz w:val="20"/>
    </w:rPr>
  </w:style>
  <w:style w:type="paragraph" w:customStyle="1" w:styleId="CTA2a">
    <w:name w:val="CTA 2(a)"/>
    <w:basedOn w:val="OPCParaBase"/>
    <w:uiPriority w:val="99"/>
    <w:rsid w:val="00297ECB"/>
    <w:pPr>
      <w:tabs>
        <w:tab w:val="right" w:pos="482"/>
      </w:tabs>
      <w:spacing w:before="40" w:line="240" w:lineRule="atLeast"/>
      <w:ind w:left="748" w:hanging="748"/>
    </w:pPr>
    <w:rPr>
      <w:sz w:val="20"/>
    </w:rPr>
  </w:style>
  <w:style w:type="paragraph" w:customStyle="1" w:styleId="CTA2ai">
    <w:name w:val="CTA 2(a)(i)"/>
    <w:basedOn w:val="OPCParaBase"/>
    <w:uiPriority w:val="99"/>
    <w:rsid w:val="00297ECB"/>
    <w:pPr>
      <w:tabs>
        <w:tab w:val="right" w:pos="1089"/>
      </w:tabs>
      <w:spacing w:before="40" w:line="240" w:lineRule="atLeast"/>
      <w:ind w:left="1327" w:hanging="1327"/>
    </w:pPr>
    <w:rPr>
      <w:sz w:val="20"/>
    </w:rPr>
  </w:style>
  <w:style w:type="paragraph" w:customStyle="1" w:styleId="CTA3a">
    <w:name w:val="CTA 3(a)"/>
    <w:basedOn w:val="OPCParaBase"/>
    <w:uiPriority w:val="99"/>
    <w:rsid w:val="00297ECB"/>
    <w:pPr>
      <w:tabs>
        <w:tab w:val="right" w:pos="556"/>
      </w:tabs>
      <w:spacing w:before="40" w:line="240" w:lineRule="atLeast"/>
      <w:ind w:left="805" w:hanging="805"/>
    </w:pPr>
    <w:rPr>
      <w:sz w:val="20"/>
    </w:rPr>
  </w:style>
  <w:style w:type="paragraph" w:customStyle="1" w:styleId="CTA3ai">
    <w:name w:val="CTA 3(a)(i)"/>
    <w:basedOn w:val="OPCParaBase"/>
    <w:uiPriority w:val="99"/>
    <w:rsid w:val="00297ECB"/>
    <w:pPr>
      <w:tabs>
        <w:tab w:val="right" w:pos="1140"/>
      </w:tabs>
      <w:spacing w:before="40" w:line="240" w:lineRule="atLeast"/>
      <w:ind w:left="1361" w:hanging="1361"/>
    </w:pPr>
    <w:rPr>
      <w:sz w:val="20"/>
    </w:rPr>
  </w:style>
  <w:style w:type="paragraph" w:customStyle="1" w:styleId="CTA4a">
    <w:name w:val="CTA 4(a)"/>
    <w:basedOn w:val="OPCParaBase"/>
    <w:uiPriority w:val="99"/>
    <w:rsid w:val="00297ECB"/>
    <w:pPr>
      <w:tabs>
        <w:tab w:val="right" w:pos="624"/>
      </w:tabs>
      <w:spacing w:before="40" w:line="240" w:lineRule="atLeast"/>
      <w:ind w:left="873" w:hanging="873"/>
    </w:pPr>
    <w:rPr>
      <w:sz w:val="20"/>
    </w:rPr>
  </w:style>
  <w:style w:type="paragraph" w:customStyle="1" w:styleId="CTA4ai">
    <w:name w:val="CTA 4(a)(i)"/>
    <w:basedOn w:val="OPCParaBase"/>
    <w:uiPriority w:val="99"/>
    <w:rsid w:val="00297ECB"/>
    <w:pPr>
      <w:tabs>
        <w:tab w:val="right" w:pos="1213"/>
      </w:tabs>
      <w:spacing w:before="40" w:line="240" w:lineRule="atLeast"/>
      <w:ind w:left="1452" w:hanging="1452"/>
    </w:pPr>
    <w:rPr>
      <w:sz w:val="20"/>
    </w:rPr>
  </w:style>
  <w:style w:type="paragraph" w:customStyle="1" w:styleId="CTACAPS">
    <w:name w:val="CTA CAPS"/>
    <w:basedOn w:val="OPCParaBase"/>
    <w:uiPriority w:val="99"/>
    <w:rsid w:val="00B33B3C"/>
    <w:pPr>
      <w:spacing w:before="60" w:line="240" w:lineRule="atLeast"/>
    </w:pPr>
    <w:rPr>
      <w:sz w:val="20"/>
    </w:rPr>
  </w:style>
  <w:style w:type="paragraph" w:customStyle="1" w:styleId="CTAright">
    <w:name w:val="CTA right"/>
    <w:basedOn w:val="OPCParaBase"/>
    <w:uiPriority w:val="99"/>
    <w:rsid w:val="00F04811"/>
    <w:pPr>
      <w:spacing w:before="60" w:line="240" w:lineRule="auto"/>
      <w:jc w:val="right"/>
    </w:pPr>
    <w:rPr>
      <w:sz w:val="20"/>
    </w:rPr>
  </w:style>
  <w:style w:type="paragraph" w:customStyle="1" w:styleId="subsection">
    <w:name w:val="subsection"/>
    <w:aliases w:val="ss"/>
    <w:basedOn w:val="OPCParaBase"/>
    <w:uiPriority w:val="99"/>
    <w:rsid w:val="00600219"/>
    <w:pPr>
      <w:tabs>
        <w:tab w:val="right" w:pos="1021"/>
      </w:tabs>
      <w:spacing w:before="180" w:line="240" w:lineRule="auto"/>
      <w:ind w:left="1134" w:hanging="1134"/>
    </w:pPr>
  </w:style>
  <w:style w:type="paragraph" w:customStyle="1" w:styleId="Definition">
    <w:name w:val="Definition"/>
    <w:aliases w:val="dd"/>
    <w:basedOn w:val="OPCParaBase"/>
    <w:uiPriority w:val="99"/>
    <w:rsid w:val="00600219"/>
    <w:pPr>
      <w:spacing w:before="180" w:line="240" w:lineRule="auto"/>
      <w:ind w:left="1134"/>
    </w:pPr>
  </w:style>
  <w:style w:type="paragraph" w:customStyle="1" w:styleId="ETAsubitem">
    <w:name w:val="ETA(subitem)"/>
    <w:basedOn w:val="OPCParaBase"/>
    <w:uiPriority w:val="99"/>
    <w:rsid w:val="007715C9"/>
    <w:pPr>
      <w:tabs>
        <w:tab w:val="right" w:pos="340"/>
      </w:tabs>
      <w:spacing w:before="60" w:line="240" w:lineRule="auto"/>
      <w:ind w:left="454" w:hanging="454"/>
    </w:pPr>
    <w:rPr>
      <w:sz w:val="20"/>
    </w:rPr>
  </w:style>
  <w:style w:type="paragraph" w:customStyle="1" w:styleId="ETApara">
    <w:name w:val="ETA(para)"/>
    <w:basedOn w:val="OPCParaBase"/>
    <w:uiPriority w:val="99"/>
    <w:rsid w:val="007715C9"/>
    <w:pPr>
      <w:tabs>
        <w:tab w:val="right" w:pos="754"/>
      </w:tabs>
      <w:spacing w:before="60" w:line="240" w:lineRule="auto"/>
      <w:ind w:left="828" w:hanging="828"/>
    </w:pPr>
    <w:rPr>
      <w:sz w:val="20"/>
    </w:rPr>
  </w:style>
  <w:style w:type="paragraph" w:customStyle="1" w:styleId="ETAsubpara">
    <w:name w:val="ETA(subpara)"/>
    <w:basedOn w:val="OPCParaBase"/>
    <w:uiPriority w:val="99"/>
    <w:rsid w:val="007715C9"/>
    <w:pPr>
      <w:tabs>
        <w:tab w:val="right" w:pos="1083"/>
      </w:tabs>
      <w:spacing w:before="60" w:line="240" w:lineRule="auto"/>
      <w:ind w:left="1191" w:hanging="1191"/>
    </w:pPr>
    <w:rPr>
      <w:sz w:val="20"/>
    </w:rPr>
  </w:style>
  <w:style w:type="paragraph" w:customStyle="1" w:styleId="ETAsub-subpara">
    <w:name w:val="ETA(sub-subpara)"/>
    <w:basedOn w:val="OPCParaBase"/>
    <w:uiPriority w:val="99"/>
    <w:rsid w:val="007715C9"/>
    <w:pPr>
      <w:tabs>
        <w:tab w:val="right" w:pos="1412"/>
      </w:tabs>
      <w:spacing w:before="60" w:line="240" w:lineRule="auto"/>
      <w:ind w:left="1525" w:hanging="1525"/>
    </w:pPr>
    <w:rPr>
      <w:sz w:val="20"/>
    </w:rPr>
  </w:style>
  <w:style w:type="paragraph" w:customStyle="1" w:styleId="Formula">
    <w:name w:val="Formula"/>
    <w:basedOn w:val="OPCParaBase"/>
    <w:uiPriority w:val="99"/>
    <w:rsid w:val="00BE720A"/>
    <w:pPr>
      <w:spacing w:line="240" w:lineRule="auto"/>
      <w:ind w:left="1134"/>
    </w:pPr>
    <w:rPr>
      <w:sz w:val="20"/>
    </w:rPr>
  </w:style>
  <w:style w:type="paragraph" w:styleId="Header">
    <w:name w:val="header"/>
    <w:basedOn w:val="OPCParaBase"/>
    <w:link w:val="HeaderChar"/>
    <w:uiPriority w:val="99"/>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locked/>
    <w:rsid w:val="001C69C4"/>
    <w:rPr>
      <w:rFonts w:eastAsia="Times New Roman" w:cs="Times New Roman"/>
      <w:sz w:val="16"/>
      <w:lang w:eastAsia="en-AU"/>
    </w:rPr>
  </w:style>
  <w:style w:type="paragraph" w:customStyle="1" w:styleId="House">
    <w:name w:val="House"/>
    <w:basedOn w:val="OPCParaBase"/>
    <w:uiPriority w:val="99"/>
    <w:rsid w:val="001C69C4"/>
    <w:pPr>
      <w:spacing w:line="240" w:lineRule="auto"/>
    </w:pPr>
    <w:rPr>
      <w:sz w:val="28"/>
    </w:rPr>
  </w:style>
  <w:style w:type="paragraph" w:customStyle="1" w:styleId="Item">
    <w:name w:val="Item"/>
    <w:aliases w:val="i"/>
    <w:basedOn w:val="OPCParaBase"/>
    <w:next w:val="ItemHead"/>
    <w:uiPriority w:val="99"/>
    <w:rsid w:val="00C42BF8"/>
    <w:pPr>
      <w:keepLines/>
      <w:spacing w:before="80" w:line="240" w:lineRule="auto"/>
      <w:ind w:left="709"/>
    </w:pPr>
  </w:style>
  <w:style w:type="paragraph" w:customStyle="1" w:styleId="ItemHead">
    <w:name w:val="ItemHead"/>
    <w:aliases w:val="ih"/>
    <w:basedOn w:val="OPCParaBase"/>
    <w:next w:val="Item"/>
    <w:uiPriority w:val="99"/>
    <w:rsid w:val="007757EC"/>
    <w:pPr>
      <w:keepLines/>
      <w:spacing w:before="220" w:line="240" w:lineRule="auto"/>
      <w:ind w:left="709" w:hanging="709"/>
    </w:pPr>
    <w:rPr>
      <w:rFonts w:ascii="Arial" w:hAnsi="Arial"/>
      <w:b/>
      <w:kern w:val="28"/>
      <w:sz w:val="24"/>
    </w:rPr>
  </w:style>
  <w:style w:type="paragraph" w:customStyle="1" w:styleId="LongT">
    <w:name w:val="LongT"/>
    <w:basedOn w:val="OPCParaBase"/>
    <w:uiPriority w:val="99"/>
    <w:rsid w:val="000D05EF"/>
    <w:pPr>
      <w:spacing w:line="240" w:lineRule="auto"/>
    </w:pPr>
    <w:rPr>
      <w:b/>
      <w:sz w:val="32"/>
    </w:rPr>
  </w:style>
  <w:style w:type="paragraph" w:customStyle="1" w:styleId="notedraft">
    <w:name w:val="note(draft)"/>
    <w:aliases w:val="nd"/>
    <w:basedOn w:val="OPCParaBase"/>
    <w:uiPriority w:val="99"/>
    <w:rsid w:val="000D05EF"/>
    <w:pPr>
      <w:spacing w:before="240" w:line="240" w:lineRule="auto"/>
      <w:ind w:left="284" w:hanging="284"/>
    </w:pPr>
    <w:rPr>
      <w:i/>
      <w:sz w:val="24"/>
    </w:rPr>
  </w:style>
  <w:style w:type="paragraph" w:customStyle="1" w:styleId="notemargin">
    <w:name w:val="note(margin)"/>
    <w:aliases w:val="nm"/>
    <w:basedOn w:val="OPCParaBase"/>
    <w:uiPriority w:val="99"/>
    <w:rsid w:val="000D05EF"/>
    <w:pPr>
      <w:tabs>
        <w:tab w:val="left" w:pos="709"/>
      </w:tabs>
      <w:spacing w:before="122" w:line="198" w:lineRule="exact"/>
      <w:ind w:left="709" w:hanging="709"/>
    </w:pPr>
    <w:rPr>
      <w:sz w:val="18"/>
    </w:rPr>
  </w:style>
  <w:style w:type="paragraph" w:customStyle="1" w:styleId="notepara">
    <w:name w:val="note(para)"/>
    <w:aliases w:val="na"/>
    <w:basedOn w:val="OPCParaBase"/>
    <w:uiPriority w:val="99"/>
    <w:rsid w:val="00F51269"/>
    <w:pPr>
      <w:spacing w:before="40" w:line="198" w:lineRule="exact"/>
      <w:ind w:left="2354" w:hanging="369"/>
    </w:pPr>
    <w:rPr>
      <w:sz w:val="18"/>
    </w:rPr>
  </w:style>
  <w:style w:type="paragraph" w:customStyle="1" w:styleId="noteParlAmend">
    <w:name w:val="note(ParlAmend)"/>
    <w:aliases w:val="npp"/>
    <w:basedOn w:val="OPCParaBase"/>
    <w:next w:val="ParlAmend"/>
    <w:uiPriority w:val="99"/>
    <w:rsid w:val="00594749"/>
    <w:pPr>
      <w:spacing w:line="240" w:lineRule="auto"/>
      <w:jc w:val="right"/>
    </w:pPr>
    <w:rPr>
      <w:rFonts w:ascii="Arial" w:hAnsi="Arial"/>
      <w:b/>
      <w:i/>
    </w:rPr>
  </w:style>
  <w:style w:type="paragraph" w:customStyle="1" w:styleId="notetext">
    <w:name w:val="note(text)"/>
    <w:aliases w:val="n"/>
    <w:basedOn w:val="OPCParaBase"/>
    <w:uiPriority w:val="99"/>
    <w:rsid w:val="00594749"/>
    <w:pPr>
      <w:spacing w:before="122" w:line="198" w:lineRule="exact"/>
      <w:ind w:left="1985" w:hanging="851"/>
    </w:pPr>
    <w:rPr>
      <w:sz w:val="18"/>
    </w:rPr>
  </w:style>
  <w:style w:type="paragraph" w:customStyle="1" w:styleId="Page1">
    <w:name w:val="Page1"/>
    <w:basedOn w:val="OPCParaBase"/>
    <w:uiPriority w:val="99"/>
    <w:rsid w:val="00195382"/>
    <w:pPr>
      <w:spacing w:before="5600" w:line="240" w:lineRule="auto"/>
    </w:pPr>
    <w:rPr>
      <w:b/>
      <w:sz w:val="32"/>
    </w:rPr>
  </w:style>
  <w:style w:type="paragraph" w:customStyle="1" w:styleId="PageBreak">
    <w:name w:val="PageBreak"/>
    <w:aliases w:val="pb"/>
    <w:basedOn w:val="OPCParaBase"/>
    <w:uiPriority w:val="99"/>
    <w:rsid w:val="00A64912"/>
    <w:pPr>
      <w:spacing w:line="240" w:lineRule="auto"/>
    </w:pPr>
    <w:rPr>
      <w:sz w:val="10"/>
    </w:rPr>
  </w:style>
  <w:style w:type="paragraph" w:customStyle="1" w:styleId="paragraphsub">
    <w:name w:val="paragraph(sub)"/>
    <w:aliases w:val="aa"/>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
    <w:basedOn w:val="OPCParaBase"/>
    <w:uiPriority w:val="99"/>
    <w:rsid w:val="00AD5641"/>
    <w:pPr>
      <w:tabs>
        <w:tab w:val="right" w:pos="2722"/>
      </w:tabs>
      <w:spacing w:before="40" w:line="240" w:lineRule="auto"/>
      <w:ind w:left="2835" w:hanging="2835"/>
    </w:pPr>
  </w:style>
  <w:style w:type="paragraph" w:customStyle="1" w:styleId="paragraph">
    <w:name w:val="paragraph"/>
    <w:aliases w:val="a"/>
    <w:basedOn w:val="OPCParaBase"/>
    <w:uiPriority w:val="99"/>
    <w:rsid w:val="00AD5641"/>
    <w:pPr>
      <w:tabs>
        <w:tab w:val="right" w:pos="1531"/>
      </w:tabs>
      <w:spacing w:before="40" w:line="240" w:lineRule="auto"/>
      <w:ind w:left="1644" w:hanging="1644"/>
    </w:pPr>
  </w:style>
  <w:style w:type="paragraph" w:customStyle="1" w:styleId="ParlAmend">
    <w:name w:val="ParlAmend"/>
    <w:aliases w:val="pp"/>
    <w:basedOn w:val="OPCParaBase"/>
    <w:uiPriority w:val="99"/>
    <w:rsid w:val="00AD5641"/>
    <w:pPr>
      <w:spacing w:before="240" w:line="240" w:lineRule="atLeast"/>
      <w:ind w:hanging="567"/>
    </w:pPr>
    <w:rPr>
      <w:sz w:val="24"/>
    </w:rPr>
  </w:style>
  <w:style w:type="paragraph" w:customStyle="1" w:styleId="Penalty">
    <w:name w:val="Penalty"/>
    <w:basedOn w:val="OPCParaBase"/>
    <w:uiPriority w:val="99"/>
    <w:rsid w:val="00496F97"/>
    <w:pPr>
      <w:tabs>
        <w:tab w:val="left" w:pos="2977"/>
      </w:tabs>
      <w:spacing w:before="180" w:line="240" w:lineRule="auto"/>
      <w:ind w:left="1985" w:hanging="851"/>
    </w:pPr>
  </w:style>
  <w:style w:type="paragraph" w:customStyle="1" w:styleId="Portfolio">
    <w:name w:val="Portfolio"/>
    <w:basedOn w:val="OPCParaBase"/>
    <w:uiPriority w:val="99"/>
    <w:rsid w:val="00352B0F"/>
    <w:pPr>
      <w:spacing w:line="240" w:lineRule="auto"/>
    </w:pPr>
    <w:rPr>
      <w:i/>
      <w:sz w:val="20"/>
    </w:rPr>
  </w:style>
  <w:style w:type="paragraph" w:customStyle="1" w:styleId="Preamble">
    <w:name w:val="Preamble"/>
    <w:basedOn w:val="OPCParaBase"/>
    <w:next w:val="Normal"/>
    <w:uiPriority w:val="99"/>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uiPriority w:val="99"/>
    <w:rsid w:val="00352B0F"/>
    <w:pPr>
      <w:spacing w:line="240" w:lineRule="auto"/>
    </w:pPr>
    <w:rPr>
      <w:i/>
      <w:sz w:val="20"/>
    </w:rPr>
  </w:style>
  <w:style w:type="paragraph" w:customStyle="1" w:styleId="Session">
    <w:name w:val="Session"/>
    <w:basedOn w:val="OPCParaBase"/>
    <w:uiPriority w:val="99"/>
    <w:rsid w:val="000136AF"/>
    <w:pPr>
      <w:spacing w:line="240" w:lineRule="auto"/>
    </w:pPr>
    <w:rPr>
      <w:sz w:val="28"/>
    </w:rPr>
  </w:style>
  <w:style w:type="paragraph" w:customStyle="1" w:styleId="Sponsor">
    <w:name w:val="Sponsor"/>
    <w:basedOn w:val="OPCParaBase"/>
    <w:uiPriority w:val="99"/>
    <w:rsid w:val="000136AF"/>
    <w:pPr>
      <w:spacing w:line="240" w:lineRule="auto"/>
    </w:pPr>
    <w:rPr>
      <w:i/>
    </w:rPr>
  </w:style>
  <w:style w:type="paragraph" w:customStyle="1" w:styleId="Subitem">
    <w:name w:val="Subitem"/>
    <w:aliases w:val="iss"/>
    <w:basedOn w:val="OPCParaBase"/>
    <w:uiPriority w:val="99"/>
    <w:rsid w:val="000136AF"/>
    <w:pPr>
      <w:spacing w:before="180" w:line="240" w:lineRule="auto"/>
      <w:ind w:left="709" w:hanging="709"/>
    </w:pPr>
  </w:style>
  <w:style w:type="paragraph" w:customStyle="1" w:styleId="SubitemHead">
    <w:name w:val="SubitemHead"/>
    <w:aliases w:val="issh"/>
    <w:basedOn w:val="OPCParaBase"/>
    <w:uiPriority w:val="99"/>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C7573B"/>
    <w:pPr>
      <w:spacing w:before="40" w:line="240" w:lineRule="auto"/>
      <w:ind w:left="1134"/>
    </w:pPr>
  </w:style>
  <w:style w:type="paragraph" w:customStyle="1" w:styleId="SubsectionHead">
    <w:name w:val="SubsectionHead"/>
    <w:aliases w:val="ssh"/>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uiPriority w:val="99"/>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uiPriority w:val="99"/>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uiPriority w:val="99"/>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uiPriority w:val="99"/>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uiPriority w:val="99"/>
    <w:rsid w:val="00594161"/>
    <w:pPr>
      <w:spacing w:before="122" w:line="198" w:lineRule="exact"/>
      <w:ind w:left="1985" w:hanging="851"/>
      <w:jc w:val="right"/>
    </w:pPr>
    <w:rPr>
      <w:sz w:val="18"/>
    </w:rPr>
  </w:style>
  <w:style w:type="paragraph" w:customStyle="1" w:styleId="TLPTableBullet">
    <w:name w:val="TLPTableBullet"/>
    <w:aliases w:val="ttb"/>
    <w:basedOn w:val="OPCParaBase"/>
    <w:uiPriority w:val="99"/>
    <w:rsid w:val="0044291A"/>
    <w:pPr>
      <w:spacing w:line="240" w:lineRule="exact"/>
      <w:ind w:left="284" w:hanging="284"/>
    </w:pPr>
    <w:rPr>
      <w:sz w:val="20"/>
    </w:rPr>
  </w:style>
  <w:style w:type="paragraph" w:styleId="TOC1">
    <w:name w:val="toc 1"/>
    <w:basedOn w:val="OPCParaBase"/>
    <w:next w:val="Normal"/>
    <w:uiPriority w:val="99"/>
    <w:rsid w:val="00733990"/>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99"/>
    <w:semiHidden/>
    <w:rsid w:val="00733990"/>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99"/>
    <w:semiHidden/>
    <w:rsid w:val="00733990"/>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99"/>
    <w:semiHidden/>
    <w:rsid w:val="00733990"/>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99"/>
    <w:semiHidden/>
    <w:rsid w:val="00733990"/>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99"/>
    <w:semiHidden/>
    <w:rsid w:val="00733990"/>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99"/>
    <w:semiHidden/>
    <w:rsid w:val="003B5735"/>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99"/>
    <w:semiHidden/>
    <w:rsid w:val="003B5735"/>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99"/>
    <w:rsid w:val="003B5735"/>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uiPriority w:val="99"/>
    <w:rsid w:val="00516B8D"/>
    <w:pPr>
      <w:keepLines/>
      <w:spacing w:before="240" w:after="120" w:line="240" w:lineRule="auto"/>
      <w:ind w:left="794"/>
    </w:pPr>
    <w:rPr>
      <w:b/>
      <w:kern w:val="28"/>
      <w:sz w:val="20"/>
    </w:rPr>
  </w:style>
  <w:style w:type="paragraph" w:customStyle="1" w:styleId="TofSectsHeading">
    <w:name w:val="TofSects(Heading)"/>
    <w:basedOn w:val="OPCParaBase"/>
    <w:uiPriority w:val="99"/>
    <w:rsid w:val="00856A31"/>
    <w:pPr>
      <w:spacing w:before="240" w:after="120" w:line="240" w:lineRule="auto"/>
    </w:pPr>
    <w:rPr>
      <w:b/>
      <w:sz w:val="24"/>
    </w:rPr>
  </w:style>
  <w:style w:type="paragraph" w:customStyle="1" w:styleId="TofSectsSection">
    <w:name w:val="TofSects(Section)"/>
    <w:basedOn w:val="OPCParaBase"/>
    <w:uiPriority w:val="99"/>
    <w:rsid w:val="00856A31"/>
    <w:pPr>
      <w:keepLines/>
      <w:spacing w:before="40" w:line="240" w:lineRule="auto"/>
      <w:ind w:left="1588" w:hanging="794"/>
    </w:pPr>
    <w:rPr>
      <w:kern w:val="28"/>
      <w:sz w:val="18"/>
    </w:rPr>
  </w:style>
  <w:style w:type="paragraph" w:customStyle="1" w:styleId="TofSectsSubdiv">
    <w:name w:val="TofSects(Subdiv)"/>
    <w:basedOn w:val="OPCParaBase"/>
    <w:uiPriority w:val="99"/>
    <w:rsid w:val="00856A31"/>
    <w:pPr>
      <w:keepLines/>
      <w:spacing w:before="80" w:line="240" w:lineRule="auto"/>
      <w:ind w:left="1588" w:hanging="794"/>
    </w:pPr>
    <w:rPr>
      <w:kern w:val="28"/>
    </w:rPr>
  </w:style>
  <w:style w:type="paragraph" w:customStyle="1" w:styleId="WRStyle">
    <w:name w:val="WR Style"/>
    <w:aliases w:val="WR"/>
    <w:basedOn w:val="OPCParaBase"/>
    <w:uiPriority w:val="99"/>
    <w:rsid w:val="00856A31"/>
    <w:pPr>
      <w:spacing w:before="240" w:line="240" w:lineRule="auto"/>
      <w:ind w:left="284" w:hanging="284"/>
    </w:pPr>
    <w:rPr>
      <w:b/>
      <w:i/>
      <w:kern w:val="28"/>
      <w:sz w:val="24"/>
    </w:rPr>
  </w:style>
  <w:style w:type="paragraph" w:customStyle="1" w:styleId="Body">
    <w:name w:val="Body"/>
    <w:aliases w:val="b"/>
    <w:basedOn w:val="OPCParaBase"/>
    <w:uiPriority w:val="99"/>
    <w:rsid w:val="00F23E5F"/>
    <w:pPr>
      <w:spacing w:before="240" w:line="240" w:lineRule="auto"/>
    </w:pPr>
    <w:rPr>
      <w:sz w:val="24"/>
    </w:rPr>
  </w:style>
  <w:style w:type="paragraph" w:customStyle="1" w:styleId="BodyNum">
    <w:name w:val="BodyNum"/>
    <w:aliases w:val="b1"/>
    <w:basedOn w:val="OPCParaBase"/>
    <w:uiPriority w:val="99"/>
    <w:rsid w:val="00680F77"/>
    <w:pPr>
      <w:numPr>
        <w:numId w:val="13"/>
      </w:numPr>
      <w:spacing w:before="240" w:line="240" w:lineRule="auto"/>
    </w:pPr>
    <w:rPr>
      <w:sz w:val="24"/>
    </w:rPr>
  </w:style>
  <w:style w:type="paragraph" w:customStyle="1" w:styleId="BodyPara">
    <w:name w:val="BodyPara"/>
    <w:aliases w:val="ba"/>
    <w:basedOn w:val="OPCParaBase"/>
    <w:uiPriority w:val="99"/>
    <w:rsid w:val="00680F77"/>
    <w:pPr>
      <w:numPr>
        <w:ilvl w:val="1"/>
        <w:numId w:val="13"/>
      </w:numPr>
      <w:spacing w:before="240" w:line="240" w:lineRule="auto"/>
    </w:pPr>
    <w:rPr>
      <w:sz w:val="24"/>
    </w:rPr>
  </w:style>
  <w:style w:type="paragraph" w:customStyle="1" w:styleId="BodyParaBullet">
    <w:name w:val="BodyParaBullet"/>
    <w:aliases w:val="bpb"/>
    <w:basedOn w:val="OPCParaBase"/>
    <w:uiPriority w:val="99"/>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uiPriority w:val="99"/>
    <w:rsid w:val="00680F77"/>
    <w:pPr>
      <w:numPr>
        <w:ilvl w:val="3"/>
        <w:numId w:val="13"/>
      </w:numPr>
      <w:spacing w:before="240" w:line="240" w:lineRule="auto"/>
    </w:pPr>
    <w:rPr>
      <w:sz w:val="24"/>
    </w:rPr>
  </w:style>
  <w:style w:type="paragraph" w:customStyle="1" w:styleId="Head1">
    <w:name w:val="Head 1"/>
    <w:aliases w:val="1"/>
    <w:basedOn w:val="OPCParaBase"/>
    <w:next w:val="BodyNum"/>
    <w:uiPriority w:val="99"/>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uiPriority w:val="99"/>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uiPriority w:val="99"/>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uiPriority w:val="99"/>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uiPriority w:val="99"/>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uiPriority w:val="99"/>
    <w:rsid w:val="00F51269"/>
    <w:pPr>
      <w:spacing w:before="122" w:line="198" w:lineRule="exact"/>
      <w:ind w:left="2353" w:hanging="709"/>
    </w:pPr>
    <w:rPr>
      <w:sz w:val="18"/>
    </w:rPr>
  </w:style>
  <w:style w:type="paragraph" w:styleId="Footer">
    <w:name w:val="footer"/>
    <w:basedOn w:val="Normal"/>
    <w:link w:val="FooterChar"/>
    <w:uiPriority w:val="99"/>
    <w:rsid w:val="008E17F3"/>
    <w:pPr>
      <w:tabs>
        <w:tab w:val="center" w:pos="4153"/>
        <w:tab w:val="right" w:pos="8306"/>
      </w:tabs>
      <w:spacing w:line="240" w:lineRule="auto"/>
    </w:pPr>
    <w:rPr>
      <w:rFonts w:eastAsia="Times New Roman"/>
      <w:szCs w:val="24"/>
      <w:lang w:eastAsia="en-AU"/>
    </w:rPr>
  </w:style>
  <w:style w:type="character" w:customStyle="1" w:styleId="FooterChar">
    <w:name w:val="Footer Char"/>
    <w:basedOn w:val="DefaultParagraphFont"/>
    <w:link w:val="Footer"/>
    <w:uiPriority w:val="99"/>
    <w:locked/>
    <w:rsid w:val="008E17F3"/>
    <w:rPr>
      <w:rFonts w:eastAsia="Times New Roman" w:cs="Times New Roman"/>
      <w:sz w:val="24"/>
      <w:lang w:eastAsia="en-AU"/>
    </w:rPr>
  </w:style>
  <w:style w:type="character" w:styleId="PageNumber">
    <w:name w:val="page number"/>
    <w:basedOn w:val="DefaultParagraphFont"/>
    <w:uiPriority w:val="99"/>
    <w:rsid w:val="008E17F3"/>
    <w:rPr>
      <w:rFonts w:cs="Times New Roman"/>
    </w:rPr>
  </w:style>
  <w:style w:type="paragraph" w:styleId="BalloonText">
    <w:name w:val="Balloon Text"/>
    <w:basedOn w:val="Normal"/>
    <w:link w:val="BalloonTextChar"/>
    <w:uiPriority w:val="99"/>
    <w:semiHidden/>
    <w:rsid w:val="00766393"/>
    <w:pPr>
      <w:spacing w:line="240" w:lineRule="auto"/>
    </w:pPr>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766393"/>
    <w:rPr>
      <w:rFonts w:ascii="Tahoma" w:hAnsi="Tahoma" w:cs="Times New Roman"/>
      <w:sz w:val="16"/>
    </w:rPr>
  </w:style>
  <w:style w:type="paragraph" w:customStyle="1" w:styleId="MessShortTitle">
    <w:name w:val="MessShortTitle"/>
    <w:basedOn w:val="Head2"/>
    <w:uiPriority w:val="99"/>
    <w:rsid w:val="00022B7E"/>
  </w:style>
  <w:style w:type="paragraph" w:customStyle="1" w:styleId="TableHeading">
    <w:name w:val="TableHeading"/>
    <w:aliases w:val="th"/>
    <w:basedOn w:val="OPCParaBase"/>
    <w:next w:val="Tabletext"/>
    <w:uiPriority w:val="99"/>
    <w:rsid w:val="00036B0B"/>
    <w:pPr>
      <w:spacing w:before="60" w:line="240" w:lineRule="atLeast"/>
    </w:pPr>
    <w:rPr>
      <w:b/>
      <w:sz w:val="20"/>
    </w:rPr>
  </w:style>
  <w:style w:type="paragraph" w:customStyle="1" w:styleId="A1S">
    <w:name w:val="A1S"/>
    <w:aliases w:val="1.Schedule Amendment"/>
    <w:basedOn w:val="Normal"/>
    <w:next w:val="Normal"/>
    <w:uiPriority w:val="99"/>
    <w:rsid w:val="00177177"/>
    <w:pPr>
      <w:keepNext/>
      <w:keepLines/>
      <w:spacing w:before="480" w:line="260" w:lineRule="exact"/>
      <w:ind w:left="964" w:hanging="964"/>
    </w:pPr>
    <w:rPr>
      <w:rFonts w:ascii="Arial" w:eastAsia="Times New Roman" w:hAnsi="Arial"/>
      <w:b/>
      <w:sz w:val="24"/>
      <w:szCs w:val="24"/>
      <w:lang w:eastAsia="en-AU"/>
    </w:rPr>
  </w:style>
  <w:style w:type="paragraph" w:customStyle="1" w:styleId="Note">
    <w:name w:val="Note"/>
    <w:basedOn w:val="Normal"/>
    <w:link w:val="NoteChar"/>
    <w:uiPriority w:val="99"/>
    <w:rsid w:val="00177177"/>
    <w:pPr>
      <w:keepLines/>
      <w:spacing w:before="120" w:line="220" w:lineRule="exact"/>
      <w:ind w:left="964"/>
      <w:jc w:val="both"/>
    </w:pPr>
    <w:rPr>
      <w:rFonts w:eastAsia="Times New Roman"/>
      <w:sz w:val="24"/>
      <w:lang w:eastAsia="en-AU"/>
    </w:rPr>
  </w:style>
  <w:style w:type="character" w:customStyle="1" w:styleId="NoteChar">
    <w:name w:val="Note Char"/>
    <w:link w:val="Note"/>
    <w:uiPriority w:val="99"/>
    <w:locked/>
    <w:rsid w:val="00177177"/>
    <w:rPr>
      <w:rFonts w:eastAsia="Times New Roman"/>
      <w:sz w:val="24"/>
      <w:lang w:eastAsia="en-AU"/>
    </w:rPr>
  </w:style>
  <w:style w:type="paragraph" w:customStyle="1" w:styleId="Scheduletitle">
    <w:name w:val="Schedule title"/>
    <w:basedOn w:val="Normal"/>
    <w:next w:val="Normal"/>
    <w:uiPriority w:val="99"/>
    <w:rsid w:val="00177177"/>
    <w:pPr>
      <w:keepNext/>
      <w:keepLines/>
      <w:spacing w:before="480" w:line="240" w:lineRule="auto"/>
      <w:ind w:left="2410" w:hanging="2410"/>
    </w:pPr>
    <w:rPr>
      <w:rFonts w:ascii="Arial" w:eastAsia="Times New Roman" w:hAnsi="Arial"/>
      <w:b/>
      <w:sz w:val="32"/>
      <w:szCs w:val="24"/>
      <w:lang w:eastAsia="en-AU"/>
    </w:rPr>
  </w:style>
  <w:style w:type="paragraph" w:customStyle="1" w:styleId="ScheduleVerb">
    <w:name w:val="Schedule Verb"/>
    <w:basedOn w:val="Normal"/>
    <w:uiPriority w:val="99"/>
    <w:rsid w:val="00177177"/>
    <w:pPr>
      <w:keepNext/>
      <w:spacing w:before="120" w:after="120" w:line="260" w:lineRule="exact"/>
      <w:ind w:left="964"/>
    </w:pPr>
    <w:rPr>
      <w:rFonts w:eastAsia="Times New Roman"/>
      <w:i/>
      <w:sz w:val="24"/>
      <w:szCs w:val="24"/>
      <w:lang w:eastAsia="en-AU"/>
    </w:rPr>
  </w:style>
  <w:style w:type="paragraph" w:customStyle="1" w:styleId="Sched1-Normal">
    <w:name w:val="Sched1-Normal"/>
    <w:basedOn w:val="Normal"/>
    <w:uiPriority w:val="99"/>
    <w:rsid w:val="00177177"/>
    <w:pPr>
      <w:spacing w:line="240" w:lineRule="auto"/>
    </w:pPr>
    <w:rPr>
      <w:rFonts w:ascii="Arial" w:eastAsia="Times New Roman" w:hAnsi="Arial"/>
      <w:sz w:val="16"/>
      <w:szCs w:val="16"/>
    </w:rPr>
  </w:style>
  <w:style w:type="paragraph" w:customStyle="1" w:styleId="HR">
    <w:name w:val="HR"/>
    <w:aliases w:val="Regulation Heading"/>
    <w:basedOn w:val="Normal"/>
    <w:next w:val="R1"/>
    <w:uiPriority w:val="99"/>
    <w:rsid w:val="00175104"/>
    <w:pPr>
      <w:keepNext/>
      <w:keepLines/>
      <w:spacing w:before="36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uiPriority w:val="99"/>
    <w:rsid w:val="00175104"/>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uiPriority w:val="99"/>
    <w:rsid w:val="00175104"/>
    <w:pPr>
      <w:keepLines/>
      <w:spacing w:before="180" w:line="240" w:lineRule="auto"/>
      <w:ind w:left="964"/>
      <w:jc w:val="both"/>
    </w:pPr>
    <w:rPr>
      <w:rFonts w:eastAsia="Times New Roman"/>
      <w:sz w:val="24"/>
      <w:szCs w:val="24"/>
      <w:lang w:eastAsia="en-AU"/>
    </w:rPr>
  </w:style>
  <w:style w:type="character" w:customStyle="1" w:styleId="ItalicText">
    <w:name w:val="ItalicText"/>
    <w:uiPriority w:val="99"/>
    <w:rsid w:val="00175104"/>
    <w:rPr>
      <w:i/>
    </w:rPr>
  </w:style>
  <w:style w:type="paragraph" w:styleId="Title">
    <w:name w:val="Title"/>
    <w:basedOn w:val="Normal"/>
    <w:next w:val="Normal"/>
    <w:link w:val="TitleChar"/>
    <w:uiPriority w:val="99"/>
    <w:qFormat/>
    <w:rsid w:val="00B96FC8"/>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99"/>
    <w:locked/>
    <w:rsid w:val="00B96FC8"/>
    <w:rPr>
      <w:rFonts w:ascii="Arial" w:hAnsi="Arial" w:cs="Arial"/>
      <w:b/>
      <w:bCs/>
      <w:sz w:val="40"/>
      <w:szCs w:val="40"/>
    </w:rPr>
  </w:style>
  <w:style w:type="paragraph" w:styleId="ListParagraph">
    <w:name w:val="List Paragraph"/>
    <w:basedOn w:val="Normal"/>
    <w:uiPriority w:val="99"/>
    <w:qFormat/>
    <w:rsid w:val="00254CA7"/>
    <w:pPr>
      <w:ind w:left="720"/>
      <w:contextualSpacing/>
    </w:pPr>
  </w:style>
  <w:style w:type="paragraph" w:customStyle="1" w:styleId="Notepara0">
    <w:name w:val="Note para"/>
    <w:basedOn w:val="Normal"/>
    <w:link w:val="NoteparaChar"/>
    <w:uiPriority w:val="99"/>
    <w:rsid w:val="0044185A"/>
    <w:pPr>
      <w:keepLines/>
      <w:spacing w:before="60" w:line="220" w:lineRule="exact"/>
      <w:ind w:left="1304" w:hanging="340"/>
      <w:jc w:val="both"/>
    </w:pPr>
    <w:rPr>
      <w:rFonts w:eastAsia="Times New Roman"/>
      <w:sz w:val="20"/>
      <w:szCs w:val="24"/>
      <w:lang w:eastAsia="en-AU"/>
    </w:rPr>
  </w:style>
  <w:style w:type="character" w:customStyle="1" w:styleId="NoteparaChar">
    <w:name w:val="Note para Char"/>
    <w:basedOn w:val="DefaultParagraphFont"/>
    <w:link w:val="Notepara0"/>
    <w:uiPriority w:val="99"/>
    <w:locked/>
    <w:rsid w:val="0044185A"/>
    <w:rPr>
      <w:rFonts w:eastAsia="Times New Roman" w:cs="Times New Roman"/>
      <w:sz w:val="24"/>
      <w:szCs w:val="24"/>
    </w:rPr>
  </w:style>
  <w:style w:type="paragraph" w:customStyle="1" w:styleId="ScheduleClauseheading">
    <w:name w:val="Schedule Clause heading"/>
    <w:basedOn w:val="Normal"/>
    <w:uiPriority w:val="99"/>
    <w:rsid w:val="00783D6F"/>
    <w:pPr>
      <w:keepNext/>
      <w:keepLines/>
      <w:numPr>
        <w:numId w:val="28"/>
      </w:numPr>
      <w:spacing w:before="240" w:line="240" w:lineRule="auto"/>
    </w:pPr>
    <w:rPr>
      <w:rFonts w:ascii="Arial" w:eastAsia="Times New Roman" w:hAnsi="Arial"/>
      <w:b/>
      <w:bCs/>
      <w:sz w:val="24"/>
      <w:szCs w:val="24"/>
      <w:lang w:eastAsia="en-AU"/>
    </w:rPr>
  </w:style>
  <w:style w:type="table" w:customStyle="1" w:styleId="FinTableNormal">
    <w:name w:val="FinTableNormal"/>
    <w:uiPriority w:val="99"/>
    <w:semiHidden/>
    <w:rsid w:val="00783D6F"/>
    <w:rPr>
      <w:rFonts w:eastAsia="Times New Roman"/>
      <w:sz w:val="20"/>
      <w:szCs w:val="20"/>
    </w:rPr>
    <w:tblPr>
      <w:tblInd w:w="0" w:type="dxa"/>
      <w:tblCellMar>
        <w:top w:w="0" w:type="dxa"/>
        <w:left w:w="108" w:type="dxa"/>
        <w:bottom w:w="0" w:type="dxa"/>
        <w:right w:w="108" w:type="dxa"/>
      </w:tblCellMar>
    </w:tblPr>
  </w:style>
  <w:style w:type="paragraph" w:customStyle="1" w:styleId="FinTableLeftIndent">
    <w:name w:val="FinTableLeftIndent"/>
    <w:basedOn w:val="Normal"/>
    <w:uiPriority w:val="99"/>
    <w:rsid w:val="00783D6F"/>
    <w:pPr>
      <w:spacing w:line="240" w:lineRule="auto"/>
      <w:ind w:left="142"/>
    </w:pPr>
    <w:rPr>
      <w:rFonts w:ascii="Arial" w:eastAsia="Times New Roman" w:hAnsi="Arial" w:cs="Arial"/>
      <w:color w:val="000000"/>
      <w:sz w:val="16"/>
      <w:szCs w:val="16"/>
    </w:rPr>
  </w:style>
  <w:style w:type="paragraph" w:customStyle="1" w:styleId="FinTableRight">
    <w:name w:val="FinTableRight"/>
    <w:basedOn w:val="Normal"/>
    <w:uiPriority w:val="99"/>
    <w:rsid w:val="00783D6F"/>
    <w:pPr>
      <w:spacing w:line="240" w:lineRule="auto"/>
      <w:jc w:val="right"/>
    </w:pPr>
    <w:rPr>
      <w:rFonts w:ascii="Arial" w:eastAsia="Times New Roman" w:hAnsi="Arial" w:cs="Arial"/>
      <w:color w:val="000000"/>
      <w:sz w:val="16"/>
      <w:szCs w:val="16"/>
    </w:rPr>
  </w:style>
  <w:style w:type="paragraph" w:customStyle="1" w:styleId="FinTableRightBold">
    <w:name w:val="FinTableRightBold"/>
    <w:basedOn w:val="FinTableRight"/>
    <w:uiPriority w:val="99"/>
    <w:rsid w:val="00783D6F"/>
    <w:rPr>
      <w:b/>
      <w:bCs/>
    </w:rPr>
  </w:style>
  <w:style w:type="paragraph" w:customStyle="1" w:styleId="FinTableRightItalic">
    <w:name w:val="FinTableRightItalic"/>
    <w:basedOn w:val="FinTableRight"/>
    <w:uiPriority w:val="99"/>
    <w:rsid w:val="00783D6F"/>
    <w:rPr>
      <w:i/>
      <w:iCs/>
      <w:sz w:val="15"/>
      <w:szCs w:val="15"/>
    </w:rPr>
  </w:style>
  <w:style w:type="paragraph" w:customStyle="1" w:styleId="FinTableLeftBold">
    <w:name w:val="FinTableLeftBold"/>
    <w:basedOn w:val="Normal"/>
    <w:uiPriority w:val="99"/>
    <w:rsid w:val="00783D6F"/>
    <w:pPr>
      <w:spacing w:line="240" w:lineRule="auto"/>
    </w:pPr>
    <w:rPr>
      <w:rFonts w:ascii="Arial" w:eastAsia="Times New Roman" w:hAnsi="Arial" w:cs="Arial"/>
      <w:b/>
      <w:bCs/>
      <w:color w:val="000000"/>
      <w:sz w:val="16"/>
      <w:szCs w:val="16"/>
    </w:rPr>
  </w:style>
  <w:style w:type="paragraph" w:customStyle="1" w:styleId="FinTableRightPlain">
    <w:name w:val="FinTableRightPlain"/>
    <w:basedOn w:val="FinTableRight"/>
    <w:uiPriority w:val="99"/>
    <w:rsid w:val="00783D6F"/>
    <w:rPr>
      <w:sz w:val="15"/>
      <w:szCs w:val="15"/>
    </w:rPr>
  </w:style>
  <w:style w:type="paragraph" w:customStyle="1" w:styleId="A2S">
    <w:name w:val="A2S"/>
    <w:aliases w:val="Schedule Inst Amendment"/>
    <w:basedOn w:val="Normal"/>
    <w:next w:val="Normal"/>
    <w:uiPriority w:val="99"/>
    <w:rsid w:val="0038616B"/>
    <w:pPr>
      <w:keepNext/>
      <w:spacing w:before="120" w:line="260" w:lineRule="exact"/>
      <w:ind w:left="964"/>
    </w:pPr>
    <w:rPr>
      <w:rFonts w:eastAsia="Times New Roman"/>
      <w:i/>
      <w:sz w:val="24"/>
      <w:szCs w:val="24"/>
      <w:lang w:eastAsia="en-AU"/>
    </w:rPr>
  </w:style>
  <w:style w:type="paragraph" w:customStyle="1" w:styleId="FinTableLeftBoldHanging">
    <w:name w:val="FinTableLeftBoldHanging"/>
    <w:basedOn w:val="Normal"/>
    <w:uiPriority w:val="99"/>
    <w:rsid w:val="0038616B"/>
    <w:pPr>
      <w:spacing w:line="240" w:lineRule="auto"/>
      <w:ind w:left="476" w:hanging="476"/>
    </w:pPr>
    <w:rPr>
      <w:rFonts w:ascii="Arial" w:eastAsia="Times New Roman" w:hAnsi="Arial" w:cs="Arial"/>
      <w:b/>
      <w:bCs/>
      <w:color w:val="000000"/>
      <w:sz w:val="16"/>
      <w:szCs w:val="16"/>
    </w:rPr>
  </w:style>
  <w:style w:type="paragraph" w:customStyle="1" w:styleId="FinTableHeadingCenteredBold">
    <w:name w:val="FinTableHeadingCenteredBold"/>
    <w:basedOn w:val="Normal"/>
    <w:uiPriority w:val="99"/>
    <w:rsid w:val="0038616B"/>
    <w:pPr>
      <w:spacing w:after="240" w:line="240" w:lineRule="auto"/>
      <w:jc w:val="center"/>
    </w:pPr>
    <w:rPr>
      <w:rFonts w:ascii="Arial" w:eastAsia="Times New Roman" w:hAnsi="Arial" w:cs="Arial"/>
      <w:b/>
      <w:bCs/>
      <w:caps/>
      <w:color w:val="000000"/>
      <w:szCs w:val="22"/>
    </w:rPr>
  </w:style>
  <w:style w:type="paragraph" w:customStyle="1" w:styleId="FinTableSpacerRow">
    <w:name w:val="FinTableSpacerRow"/>
    <w:basedOn w:val="FinTableRight"/>
    <w:uiPriority w:val="99"/>
    <w:rsid w:val="0038616B"/>
    <w:rPr>
      <w:sz w:val="8"/>
      <w:szCs w:val="8"/>
    </w:rPr>
  </w:style>
  <w:style w:type="paragraph" w:customStyle="1" w:styleId="KeyItalic">
    <w:name w:val="KeyItalic"/>
    <w:basedOn w:val="KeyLight"/>
    <w:uiPriority w:val="99"/>
    <w:rsid w:val="0038616B"/>
    <w:rPr>
      <w:i/>
      <w:iCs/>
    </w:rPr>
  </w:style>
  <w:style w:type="paragraph" w:customStyle="1" w:styleId="KeyLight">
    <w:name w:val="KeyLight"/>
    <w:basedOn w:val="Normal"/>
    <w:uiPriority w:val="99"/>
    <w:rsid w:val="0038616B"/>
    <w:pPr>
      <w:spacing w:line="240" w:lineRule="auto"/>
      <w:jc w:val="center"/>
    </w:pPr>
    <w:rPr>
      <w:rFonts w:ascii="Arial" w:eastAsia="Times New Roman" w:hAnsi="Arial" w:cs="Arial"/>
      <w:color w:val="000000"/>
      <w:sz w:val="16"/>
      <w:szCs w:val="16"/>
    </w:rPr>
  </w:style>
  <w:style w:type="character" w:styleId="CommentReference">
    <w:name w:val="annotation reference"/>
    <w:basedOn w:val="DefaultParagraphFont"/>
    <w:uiPriority w:val="99"/>
    <w:semiHidden/>
    <w:rsid w:val="008C4A7A"/>
    <w:rPr>
      <w:rFonts w:cs="Times New Roman"/>
      <w:sz w:val="16"/>
      <w:szCs w:val="16"/>
    </w:rPr>
  </w:style>
  <w:style w:type="paragraph" w:styleId="CommentText">
    <w:name w:val="annotation text"/>
    <w:basedOn w:val="Normal"/>
    <w:link w:val="CommentTextChar"/>
    <w:uiPriority w:val="99"/>
    <w:semiHidden/>
    <w:rsid w:val="008C4A7A"/>
    <w:rPr>
      <w:sz w:val="20"/>
    </w:rPr>
  </w:style>
  <w:style w:type="character" w:customStyle="1" w:styleId="CommentTextChar">
    <w:name w:val="Comment Text Char"/>
    <w:basedOn w:val="DefaultParagraphFont"/>
    <w:link w:val="CommentText"/>
    <w:uiPriority w:val="99"/>
    <w:semiHidden/>
    <w:rsid w:val="00D0312B"/>
    <w:rPr>
      <w:sz w:val="20"/>
      <w:szCs w:val="20"/>
      <w:lang w:eastAsia="en-US"/>
    </w:rPr>
  </w:style>
  <w:style w:type="paragraph" w:styleId="CommentSubject">
    <w:name w:val="annotation subject"/>
    <w:basedOn w:val="CommentText"/>
    <w:next w:val="CommentText"/>
    <w:link w:val="CommentSubjectChar"/>
    <w:uiPriority w:val="99"/>
    <w:semiHidden/>
    <w:rsid w:val="008C4A7A"/>
    <w:rPr>
      <w:b/>
      <w:bCs/>
    </w:rPr>
  </w:style>
  <w:style w:type="character" w:customStyle="1" w:styleId="CommentSubjectChar">
    <w:name w:val="Comment Subject Char"/>
    <w:basedOn w:val="CommentTextChar"/>
    <w:link w:val="CommentSubject"/>
    <w:uiPriority w:val="99"/>
    <w:semiHidden/>
    <w:rsid w:val="00D0312B"/>
    <w:rPr>
      <w:b/>
      <w:bCs/>
    </w:rPr>
  </w:style>
  <w:style w:type="numbering" w:customStyle="1" w:styleId="OPCBodyList">
    <w:name w:val="OPCBodyList"/>
    <w:rsid w:val="00D0312B"/>
    <w:pPr>
      <w:numPr>
        <w:numId w:val="13"/>
      </w:numPr>
    </w:pPr>
  </w:style>
  <w:style w:type="paragraph" w:styleId="Revision">
    <w:name w:val="Revision"/>
    <w:hidden/>
    <w:uiPriority w:val="99"/>
    <w:semiHidden/>
    <w:rsid w:val="00D81032"/>
    <w:rPr>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73476-9E1C-45D4-8C87-5DC623F9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102</TotalTime>
  <Pages>19</Pages>
  <Words>6525</Words>
  <Characters>36646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Insert for transfer of functions instrument</vt:lpstr>
    </vt:vector>
  </TitlesOfParts>
  <Company>Office of Parliamentary Counsel</Company>
  <LinksUpToDate>false</LinksUpToDate>
  <CharactersWithSpaces>43085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 transfer of functions instrument</dc:title>
  <dc:creator>Peter Quiggin</dc:creator>
  <cp:lastModifiedBy>Sally Kerr</cp:lastModifiedBy>
  <cp:revision>23</cp:revision>
  <cp:lastPrinted>2013-06-28T10:31:00Z</cp:lastPrinted>
  <dcterms:created xsi:type="dcterms:W3CDTF">2013-06-28T04:33:00Z</dcterms:created>
  <dcterms:modified xsi:type="dcterms:W3CDTF">2013-06-28T10:51:00Z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Objective-Id">
    <vt:lpwstr>A1896163</vt:lpwstr>
  </property>
  <property fmtid="{D5CDD505-2E9C-101B-9397-08002B2CF9AE}" pid="4" name="Objective-Title">
    <vt:lpwstr>Determination - DRAFT AGS comments</vt:lpwstr>
  </property>
  <property fmtid="{D5CDD505-2E9C-101B-9397-08002B2CF9AE}" pid="5" name="Objective-Comment">
    <vt:lpwstr/>
  </property>
  <property fmtid="{D5CDD505-2E9C-101B-9397-08002B2CF9AE}" pid="6" name="Objective-CreationStamp">
    <vt:filetime>2013-06-27T01:02:04Z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2013-06-27T01:08:05Z</vt:filetime>
  </property>
  <property fmtid="{D5CDD505-2E9C-101B-9397-08002B2CF9AE}" pid="10" name="Objective-ModificationStamp">
    <vt:filetime>2013-06-27T01:08:04Z</vt:filetime>
  </property>
  <property fmtid="{D5CDD505-2E9C-101B-9397-08002B2CF9AE}" pid="11" name="Objective-Owner">
    <vt:lpwstr>Graham, Kathryn</vt:lpwstr>
  </property>
  <property fmtid="{D5CDD505-2E9C-101B-9397-08002B2CF9AE}" pid="12" name="Objective-Path">
    <vt:lpwstr>i Know-how Top Level:Client Groups:Dept of Finance &amp; Deregulation (Excl Comcover):FINANCE - Advice Matters:Finance: s 32 trasnfer instrument (13103484):13103484 - Matter Documents:13103484 Correspondence:</vt:lpwstr>
  </property>
  <property fmtid="{D5CDD505-2E9C-101B-9397-08002B2CF9AE}" pid="13" name="Objective-Parent">
    <vt:lpwstr>13103484 Correspondence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13103484-002</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Category [system]">
    <vt:lpwstr/>
  </property>
</Properties>
</file>