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A5" w:rsidRPr="000052E3" w:rsidRDefault="00EF48A5" w:rsidP="00EF48A5">
      <w:pPr>
        <w:jc w:val="center"/>
        <w:rPr>
          <w:u w:val="single"/>
          <w:lang w:val="en-AU"/>
        </w:rPr>
      </w:pPr>
      <w:r w:rsidRPr="000052E3">
        <w:rPr>
          <w:b/>
          <w:u w:val="single"/>
          <w:lang w:val="en-AU"/>
        </w:rPr>
        <w:t xml:space="preserve">EXPLANATORY </w:t>
      </w:r>
      <w:r w:rsidR="00FF1E83">
        <w:rPr>
          <w:b/>
          <w:u w:val="single"/>
          <w:lang w:val="en-AU"/>
        </w:rPr>
        <w:t>STATEMENT</w:t>
      </w:r>
    </w:p>
    <w:p w:rsidR="00EF48A5" w:rsidRPr="00E23274" w:rsidRDefault="00EF48A5" w:rsidP="00EF48A5">
      <w:pPr>
        <w:jc w:val="center"/>
        <w:rPr>
          <w:lang w:val="en-AU"/>
        </w:rPr>
      </w:pPr>
    </w:p>
    <w:p w:rsidR="009A3BC0" w:rsidRPr="00F0650D" w:rsidRDefault="00FF1E83" w:rsidP="00FF1E83">
      <w:pPr>
        <w:pStyle w:val="Subtitle"/>
        <w:jc w:val="center"/>
        <w:rPr>
          <w:b/>
        </w:rPr>
      </w:pPr>
      <w:r w:rsidRPr="00F0650D">
        <w:rPr>
          <w:b/>
        </w:rPr>
        <w:t>Select Legislative Instrument 2013 No.</w:t>
      </w:r>
      <w:r w:rsidR="003A717B">
        <w:rPr>
          <w:b/>
        </w:rPr>
        <w:t xml:space="preserve"> 142</w:t>
      </w:r>
    </w:p>
    <w:p w:rsidR="009A3BC0" w:rsidRPr="00E23274" w:rsidRDefault="009A3BC0" w:rsidP="009A3BC0">
      <w:pPr>
        <w:pStyle w:val="Subtitle"/>
      </w:pPr>
    </w:p>
    <w:p w:rsidR="009A3BC0" w:rsidRPr="00E23274" w:rsidRDefault="009E506E" w:rsidP="00FF1E83">
      <w:pPr>
        <w:pStyle w:val="Subtitle"/>
        <w:jc w:val="center"/>
        <w:rPr>
          <w:i/>
          <w:u w:val="none"/>
        </w:rPr>
      </w:pPr>
      <w:r>
        <w:rPr>
          <w:i/>
          <w:u w:val="none"/>
        </w:rPr>
        <w:t>Healthcare Identifiers Act 2010</w:t>
      </w:r>
    </w:p>
    <w:p w:rsidR="00FF1E83" w:rsidRDefault="00FF1E83" w:rsidP="00FF1E83">
      <w:pPr>
        <w:pStyle w:val="Subtitle"/>
        <w:jc w:val="center"/>
        <w:rPr>
          <w:i/>
          <w:u w:val="none"/>
        </w:rPr>
      </w:pPr>
    </w:p>
    <w:p w:rsidR="009A3BC0" w:rsidRPr="00E23274" w:rsidRDefault="009E506E" w:rsidP="00FF1E83">
      <w:pPr>
        <w:pStyle w:val="Subtitle"/>
        <w:jc w:val="center"/>
        <w:rPr>
          <w:i/>
          <w:u w:val="none"/>
        </w:rPr>
      </w:pPr>
      <w:r>
        <w:rPr>
          <w:i/>
          <w:u w:val="none"/>
        </w:rPr>
        <w:t xml:space="preserve">Healthcare Identifiers </w:t>
      </w:r>
      <w:r w:rsidR="0061111A">
        <w:rPr>
          <w:i/>
          <w:u w:val="none"/>
        </w:rPr>
        <w:t xml:space="preserve">Amendment </w:t>
      </w:r>
      <w:r w:rsidR="002A49AB">
        <w:rPr>
          <w:i/>
          <w:u w:val="none"/>
        </w:rPr>
        <w:t xml:space="preserve">(PCEHR System Information) </w:t>
      </w:r>
      <w:r>
        <w:rPr>
          <w:i/>
          <w:u w:val="none"/>
        </w:rPr>
        <w:t>Regulation</w:t>
      </w:r>
      <w:r w:rsidR="002A49AB">
        <w:rPr>
          <w:i/>
          <w:u w:val="none"/>
        </w:rPr>
        <w:t> </w:t>
      </w:r>
      <w:r>
        <w:rPr>
          <w:i/>
          <w:u w:val="none"/>
        </w:rPr>
        <w:t>201</w:t>
      </w:r>
      <w:r w:rsidR="00757AB2">
        <w:rPr>
          <w:i/>
          <w:u w:val="none"/>
        </w:rPr>
        <w:t>3</w:t>
      </w:r>
    </w:p>
    <w:p w:rsidR="009A3BC0" w:rsidRPr="00E23274" w:rsidRDefault="009A3BC0" w:rsidP="009A3BC0">
      <w:pPr>
        <w:pStyle w:val="Subtitle"/>
        <w:ind w:left="993"/>
        <w:rPr>
          <w:u w:val="none"/>
        </w:rPr>
      </w:pPr>
    </w:p>
    <w:p w:rsidR="005131F6" w:rsidRPr="00E23274" w:rsidRDefault="005131F6" w:rsidP="009A3BC0">
      <w:pPr>
        <w:pStyle w:val="Subtitle"/>
        <w:ind w:left="993"/>
        <w:rPr>
          <w:u w:val="none"/>
        </w:rPr>
      </w:pPr>
    </w:p>
    <w:p w:rsidR="00FD54BB" w:rsidRDefault="009A3BC0" w:rsidP="009A3BC0">
      <w:r w:rsidRPr="00E23274">
        <w:t>S</w:t>
      </w:r>
      <w:r w:rsidR="00FD54BB">
        <w:t>ubs</w:t>
      </w:r>
      <w:r w:rsidRPr="00E23274">
        <w:t xml:space="preserve">ection </w:t>
      </w:r>
      <w:r w:rsidR="00FD54BB">
        <w:t xml:space="preserve">39(1) </w:t>
      </w:r>
      <w:r w:rsidRPr="00E23274">
        <w:t xml:space="preserve">of the </w:t>
      </w:r>
      <w:r w:rsidR="009E506E">
        <w:rPr>
          <w:i/>
        </w:rPr>
        <w:t>Healthcare Identifiers Act 2010</w:t>
      </w:r>
      <w:r w:rsidRPr="00E23274">
        <w:t xml:space="preserve"> (</w:t>
      </w:r>
      <w:r w:rsidR="009E506E">
        <w:t xml:space="preserve">HI </w:t>
      </w:r>
      <w:r w:rsidRPr="00E23274">
        <w:t>Act) provides that the Governor</w:t>
      </w:r>
      <w:r w:rsidR="009E506E">
        <w:noBreakHyphen/>
      </w:r>
      <w:r w:rsidRPr="00E23274">
        <w:t>General may make regulations</w:t>
      </w:r>
      <w:r w:rsidR="009E506E">
        <w:t xml:space="preserve"> </w:t>
      </w:r>
      <w:r w:rsidR="00FD54BB">
        <w:t>prescribing matters which are required or permitted by the HI Act, or matters which are necessary or convenient in order to carry out or give effect to the HI Act.</w:t>
      </w:r>
    </w:p>
    <w:p w:rsidR="00FD54BB" w:rsidRDefault="00FD54BB" w:rsidP="009A3BC0">
      <w:bookmarkStart w:id="0" w:name="_GoBack"/>
      <w:bookmarkEnd w:id="0"/>
    </w:p>
    <w:p w:rsidR="009E506E" w:rsidRPr="00FD54BB" w:rsidRDefault="0094209C" w:rsidP="009A3BC0">
      <w:pPr>
        <w:pStyle w:val="Subtitle"/>
        <w:rPr>
          <w:u w:val="none"/>
        </w:rPr>
      </w:pPr>
      <w:r>
        <w:rPr>
          <w:u w:val="none"/>
        </w:rPr>
        <w:t>The HI Act implements a national system, the Healthcare Identifiers Service</w:t>
      </w:r>
      <w:r w:rsidR="00850EA9">
        <w:rPr>
          <w:u w:val="none"/>
        </w:rPr>
        <w:t xml:space="preserve"> (HI Service)</w:t>
      </w:r>
      <w:r>
        <w:rPr>
          <w:u w:val="none"/>
        </w:rPr>
        <w:t xml:space="preserve">, for </w:t>
      </w:r>
      <w:r w:rsidR="00850EA9">
        <w:rPr>
          <w:u w:val="none"/>
        </w:rPr>
        <w:t xml:space="preserve">assigning unique identifiers to </w:t>
      </w:r>
      <w:r w:rsidR="00742858">
        <w:rPr>
          <w:u w:val="none"/>
        </w:rPr>
        <w:t>healthcare recipients</w:t>
      </w:r>
      <w:r w:rsidR="00850EA9">
        <w:rPr>
          <w:u w:val="none"/>
        </w:rPr>
        <w:t>,</w:t>
      </w:r>
      <w:r>
        <w:rPr>
          <w:u w:val="none"/>
        </w:rPr>
        <w:t xml:space="preserve"> </w:t>
      </w:r>
      <w:r w:rsidR="00742858">
        <w:rPr>
          <w:u w:val="none"/>
        </w:rPr>
        <w:t xml:space="preserve">individual </w:t>
      </w:r>
      <w:r>
        <w:rPr>
          <w:u w:val="none"/>
        </w:rPr>
        <w:t>healthcare providers</w:t>
      </w:r>
      <w:r w:rsidR="00850EA9">
        <w:rPr>
          <w:u w:val="none"/>
        </w:rPr>
        <w:t xml:space="preserve"> and healthcare provider organisations for the purpose of </w:t>
      </w:r>
      <w:r w:rsidR="00742858">
        <w:rPr>
          <w:u w:val="none"/>
        </w:rPr>
        <w:t xml:space="preserve">ensuring that health information is correctly </w:t>
      </w:r>
      <w:r w:rsidR="00A16AA8">
        <w:rPr>
          <w:u w:val="none"/>
        </w:rPr>
        <w:t>matched</w:t>
      </w:r>
      <w:r w:rsidR="00742858">
        <w:rPr>
          <w:u w:val="none"/>
        </w:rPr>
        <w:t xml:space="preserve"> to </w:t>
      </w:r>
      <w:r w:rsidR="00A16AA8">
        <w:rPr>
          <w:u w:val="none"/>
        </w:rPr>
        <w:t>an individual or entity.</w:t>
      </w:r>
      <w:r w:rsidR="00850EA9">
        <w:rPr>
          <w:u w:val="none"/>
        </w:rPr>
        <w:t xml:space="preserve">  The HI Act</w:t>
      </w:r>
      <w:r>
        <w:rPr>
          <w:u w:val="none"/>
        </w:rPr>
        <w:t xml:space="preserve"> sets out clear purposes for which healthcare identifiers may be </w:t>
      </w:r>
      <w:r w:rsidR="00101749">
        <w:rPr>
          <w:u w:val="none"/>
        </w:rPr>
        <w:t xml:space="preserve">collected, </w:t>
      </w:r>
      <w:r>
        <w:rPr>
          <w:u w:val="none"/>
        </w:rPr>
        <w:t>used</w:t>
      </w:r>
      <w:r w:rsidR="00101749">
        <w:rPr>
          <w:u w:val="none"/>
        </w:rPr>
        <w:t xml:space="preserve"> and disclosed</w:t>
      </w:r>
      <w:r>
        <w:rPr>
          <w:u w:val="none"/>
        </w:rPr>
        <w:t>.</w:t>
      </w:r>
      <w:r w:rsidR="002435AE">
        <w:rPr>
          <w:u w:val="none"/>
        </w:rPr>
        <w:t xml:space="preserve">  </w:t>
      </w:r>
      <w:r>
        <w:rPr>
          <w:u w:val="none"/>
        </w:rPr>
        <w:t>Division 2A of Part 3 of the HI</w:t>
      </w:r>
      <w:r w:rsidR="008B4C31">
        <w:rPr>
          <w:u w:val="none"/>
        </w:rPr>
        <w:t> </w:t>
      </w:r>
      <w:r>
        <w:rPr>
          <w:u w:val="none"/>
        </w:rPr>
        <w:t>Act</w:t>
      </w:r>
      <w:r w:rsidR="00D23B4B">
        <w:rPr>
          <w:u w:val="none"/>
        </w:rPr>
        <w:t xml:space="preserve"> provides for the collection, use and disclosure of healthcare identifiers and identifying information for the purposes of the</w:t>
      </w:r>
      <w:r w:rsidR="00D23B4B" w:rsidRPr="00FD54BB">
        <w:rPr>
          <w:u w:val="none"/>
        </w:rPr>
        <w:t xml:space="preserve"> </w:t>
      </w:r>
      <w:r w:rsidR="00FD54BB" w:rsidRPr="00FD54BB">
        <w:rPr>
          <w:u w:val="none"/>
        </w:rPr>
        <w:t>personally controlled electronic health record system</w:t>
      </w:r>
      <w:r w:rsidR="00FD54BB">
        <w:rPr>
          <w:u w:val="none"/>
        </w:rPr>
        <w:t xml:space="preserve"> (PCEHR</w:t>
      </w:r>
      <w:r w:rsidR="00B25E39">
        <w:rPr>
          <w:u w:val="none"/>
        </w:rPr>
        <w:t>)</w:t>
      </w:r>
      <w:r w:rsidR="00FD54BB">
        <w:rPr>
          <w:u w:val="none"/>
        </w:rPr>
        <w:t xml:space="preserve"> system</w:t>
      </w:r>
      <w:r w:rsidR="00D23B4B" w:rsidRPr="00FD54BB">
        <w:rPr>
          <w:u w:val="none"/>
        </w:rPr>
        <w:t>.</w:t>
      </w:r>
    </w:p>
    <w:p w:rsidR="00D23B4B" w:rsidRDefault="00D23B4B" w:rsidP="009A3BC0">
      <w:pPr>
        <w:pStyle w:val="Subtitle"/>
        <w:rPr>
          <w:u w:val="none"/>
        </w:rPr>
      </w:pPr>
    </w:p>
    <w:p w:rsidR="00FD54BB" w:rsidRDefault="00FD54BB" w:rsidP="009A3BC0">
      <w:pPr>
        <w:pStyle w:val="Subtitle"/>
        <w:rPr>
          <w:u w:val="none"/>
        </w:rPr>
      </w:pPr>
      <w:r>
        <w:rPr>
          <w:u w:val="none"/>
        </w:rPr>
        <w:t xml:space="preserve">The </w:t>
      </w:r>
      <w:r w:rsidRPr="00FD54BB">
        <w:rPr>
          <w:i/>
          <w:iCs/>
          <w:u w:val="none"/>
        </w:rPr>
        <w:t>Personally Controlled Electronic Health Records Act 2012</w:t>
      </w:r>
      <w:r w:rsidRPr="00FD54BB">
        <w:rPr>
          <w:u w:val="none"/>
        </w:rPr>
        <w:t xml:space="preserve"> (PCEHR Act) </w:t>
      </w:r>
      <w:r>
        <w:rPr>
          <w:u w:val="none"/>
        </w:rPr>
        <w:t>p</w:t>
      </w:r>
      <w:r w:rsidRPr="00E23274">
        <w:rPr>
          <w:u w:val="none"/>
        </w:rPr>
        <w:t>rovides for the establishment and operation of the PCEHR system to provide access to health information relating to consumers’ healthcare.</w:t>
      </w:r>
    </w:p>
    <w:p w:rsidR="00FD54BB" w:rsidRDefault="00FD54BB" w:rsidP="009A3BC0">
      <w:pPr>
        <w:pStyle w:val="Subtitle"/>
        <w:rPr>
          <w:u w:val="none"/>
        </w:rPr>
      </w:pPr>
    </w:p>
    <w:p w:rsidR="00447E1A" w:rsidRDefault="007B228D" w:rsidP="009B1DC6">
      <w:pPr>
        <w:pStyle w:val="Subtitle"/>
        <w:rPr>
          <w:u w:val="none"/>
        </w:rPr>
      </w:pPr>
      <w:r w:rsidRPr="00E23274">
        <w:rPr>
          <w:u w:val="none"/>
        </w:rPr>
        <w:t xml:space="preserve">The purpose of the </w:t>
      </w:r>
      <w:r w:rsidR="00CD076F">
        <w:rPr>
          <w:u w:val="none"/>
        </w:rPr>
        <w:t>r</w:t>
      </w:r>
      <w:r w:rsidRPr="00E23274">
        <w:rPr>
          <w:u w:val="none"/>
        </w:rPr>
        <w:t xml:space="preserve">egulation is </w:t>
      </w:r>
      <w:r w:rsidR="00DD0B2A">
        <w:rPr>
          <w:u w:val="none"/>
        </w:rPr>
        <w:t xml:space="preserve">to amend the </w:t>
      </w:r>
      <w:r w:rsidR="00DD0B2A">
        <w:rPr>
          <w:i/>
          <w:iCs/>
          <w:u w:val="none"/>
        </w:rPr>
        <w:t xml:space="preserve">Healthcare Identifiers Regulations 2010 </w:t>
      </w:r>
      <w:r w:rsidR="00447E1A">
        <w:rPr>
          <w:iCs/>
          <w:u w:val="none"/>
        </w:rPr>
        <w:t xml:space="preserve">(Principal Regulations) </w:t>
      </w:r>
      <w:r w:rsidRPr="00E23274">
        <w:rPr>
          <w:u w:val="none"/>
        </w:rPr>
        <w:t>to support the effective operation of the PCEHR system by</w:t>
      </w:r>
      <w:r w:rsidR="00A420B0">
        <w:rPr>
          <w:u w:val="none"/>
        </w:rPr>
        <w:t xml:space="preserve"> ensuring</w:t>
      </w:r>
      <w:r w:rsidR="00447E1A">
        <w:rPr>
          <w:u w:val="none"/>
        </w:rPr>
        <w:t xml:space="preserve"> consumer</w:t>
      </w:r>
      <w:r w:rsidR="00101749">
        <w:rPr>
          <w:u w:val="none"/>
        </w:rPr>
        <w:t>s</w:t>
      </w:r>
      <w:r w:rsidR="00447E1A">
        <w:rPr>
          <w:u w:val="none"/>
        </w:rPr>
        <w:t>’ authorised representatives</w:t>
      </w:r>
      <w:r w:rsidR="006E66D5">
        <w:rPr>
          <w:u w:val="none"/>
        </w:rPr>
        <w:t>, and prospective authorised representatives,</w:t>
      </w:r>
      <w:r w:rsidR="00447E1A">
        <w:rPr>
          <w:u w:val="none"/>
        </w:rPr>
        <w:t xml:space="preserve"> can participate in the system</w:t>
      </w:r>
      <w:r w:rsidR="00101749">
        <w:rPr>
          <w:u w:val="none"/>
        </w:rPr>
        <w:t>,</w:t>
      </w:r>
      <w:r w:rsidR="00447E1A">
        <w:rPr>
          <w:u w:val="none"/>
        </w:rPr>
        <w:t xml:space="preserve"> and </w:t>
      </w:r>
      <w:r w:rsidR="00101749">
        <w:rPr>
          <w:u w:val="none"/>
        </w:rPr>
        <w:t xml:space="preserve">that all relevant </w:t>
      </w:r>
      <w:r w:rsidR="00AC52A8">
        <w:rPr>
          <w:u w:val="none"/>
        </w:rPr>
        <w:t xml:space="preserve">Veterans’ Affairs Department (DVA) </w:t>
      </w:r>
      <w:r w:rsidR="00101749">
        <w:rPr>
          <w:u w:val="none"/>
        </w:rPr>
        <w:t xml:space="preserve">medical, treatment and benefits </w:t>
      </w:r>
      <w:r w:rsidR="006E66D5">
        <w:rPr>
          <w:u w:val="none"/>
        </w:rPr>
        <w:t>information can be</w:t>
      </w:r>
      <w:r w:rsidR="00447E1A">
        <w:rPr>
          <w:u w:val="none"/>
        </w:rPr>
        <w:t xml:space="preserve"> included in a consumer’s PCEHR</w:t>
      </w:r>
      <w:r w:rsidR="00101749">
        <w:rPr>
          <w:u w:val="none"/>
        </w:rPr>
        <w:t xml:space="preserve"> where the consumer consents to this occurring</w:t>
      </w:r>
      <w:r w:rsidR="00447E1A">
        <w:rPr>
          <w:u w:val="none"/>
        </w:rPr>
        <w:t>.</w:t>
      </w:r>
    </w:p>
    <w:p w:rsidR="007B228D" w:rsidRPr="00E23274" w:rsidRDefault="007B228D" w:rsidP="007B228D">
      <w:pPr>
        <w:pStyle w:val="Subtitle"/>
        <w:rPr>
          <w:u w:val="none"/>
        </w:rPr>
      </w:pPr>
    </w:p>
    <w:p w:rsidR="009B1DC6" w:rsidRDefault="00FD54BB" w:rsidP="009B1DC6">
      <w:pPr>
        <w:rPr>
          <w:lang w:val="en-AU"/>
        </w:rPr>
      </w:pPr>
      <w:r>
        <w:t>Section 22E of the HI Act provide</w:t>
      </w:r>
      <w:r w:rsidR="002435AE">
        <w:t>s</w:t>
      </w:r>
      <w:r>
        <w:t xml:space="preserve"> that regulations may authorise a person to collect, use and disclose the identifying information and healthcare identifier of a </w:t>
      </w:r>
      <w:r w:rsidR="00B945A3">
        <w:t xml:space="preserve">healthcare recipient </w:t>
      </w:r>
      <w:r>
        <w:t xml:space="preserve">(or their authorised </w:t>
      </w:r>
      <w:r w:rsidR="00B945A3">
        <w:t xml:space="preserve">representative </w:t>
      </w:r>
      <w:r>
        <w:t>or nominated representative</w:t>
      </w:r>
      <w:r w:rsidR="00B945A3">
        <w:t>, as defined in the PCEHR Act</w:t>
      </w:r>
      <w:r>
        <w:t>)</w:t>
      </w:r>
      <w:r w:rsidR="00767312">
        <w:t>,</w:t>
      </w:r>
      <w:r>
        <w:t xml:space="preserve"> or a healthcare provider</w:t>
      </w:r>
      <w:r w:rsidR="00767312">
        <w:t>,</w:t>
      </w:r>
      <w:r>
        <w:t xml:space="preserve"> as authorised by the </w:t>
      </w:r>
      <w:r w:rsidR="008870AE">
        <w:t xml:space="preserve">PCEHR Act </w:t>
      </w:r>
      <w:r w:rsidR="00B945A3">
        <w:t xml:space="preserve">or </w:t>
      </w:r>
      <w:r>
        <w:t xml:space="preserve">as </w:t>
      </w:r>
      <w:r w:rsidR="00B945A3">
        <w:t xml:space="preserve">is reasonably </w:t>
      </w:r>
      <w:r>
        <w:t xml:space="preserve">necessary </w:t>
      </w:r>
      <w:r w:rsidR="00B945A3">
        <w:t xml:space="preserve">for the performance of a function or the exercise of a power </w:t>
      </w:r>
      <w:r>
        <w:t>in relation to the PCEHR system.</w:t>
      </w:r>
      <w:r w:rsidRPr="00E23274">
        <w:t xml:space="preserve"> </w:t>
      </w:r>
      <w:r w:rsidR="007B228D">
        <w:t xml:space="preserve">The </w:t>
      </w:r>
      <w:r w:rsidR="001D6C73">
        <w:t xml:space="preserve"> </w:t>
      </w:r>
      <w:r w:rsidR="008B4C31">
        <w:t xml:space="preserve">regulation </w:t>
      </w:r>
      <w:r w:rsidR="007B228D">
        <w:t xml:space="preserve"> </w:t>
      </w:r>
      <w:r w:rsidR="00447E1A">
        <w:t>remove</w:t>
      </w:r>
      <w:r w:rsidR="00FF1E83">
        <w:t>s</w:t>
      </w:r>
      <w:r w:rsidR="00447E1A">
        <w:t xml:space="preserve"> any doubt that </w:t>
      </w:r>
      <w:r w:rsidR="00447E1A" w:rsidRPr="005725AD">
        <w:rPr>
          <w:lang w:val="en-AU"/>
        </w:rPr>
        <w:t xml:space="preserve">the PCEHR System Operator, the </w:t>
      </w:r>
      <w:r w:rsidR="00767312">
        <w:rPr>
          <w:lang w:val="en-AU"/>
        </w:rPr>
        <w:t>s</w:t>
      </w:r>
      <w:r w:rsidR="00447E1A" w:rsidRPr="005725AD">
        <w:rPr>
          <w:lang w:val="en-AU"/>
        </w:rPr>
        <w:t xml:space="preserve">ervice </w:t>
      </w:r>
      <w:r w:rsidR="00767312">
        <w:rPr>
          <w:lang w:val="en-AU"/>
        </w:rPr>
        <w:t>o</w:t>
      </w:r>
      <w:r w:rsidR="00447E1A" w:rsidRPr="005725AD">
        <w:rPr>
          <w:lang w:val="en-AU"/>
        </w:rPr>
        <w:t xml:space="preserve">perator and the Chief Executive Medicare </w:t>
      </w:r>
      <w:r w:rsidR="00447E1A">
        <w:rPr>
          <w:lang w:val="en-AU"/>
        </w:rPr>
        <w:t xml:space="preserve">are </w:t>
      </w:r>
      <w:r w:rsidR="00447E1A">
        <w:t xml:space="preserve">authorised </w:t>
      </w:r>
      <w:r w:rsidR="00447E1A" w:rsidRPr="005725AD">
        <w:rPr>
          <w:lang w:val="en-AU"/>
        </w:rPr>
        <w:t xml:space="preserve">to collect, use and disclose </w:t>
      </w:r>
      <w:r w:rsidR="006E66D5">
        <w:rPr>
          <w:lang w:val="en-AU"/>
        </w:rPr>
        <w:t>to participants</w:t>
      </w:r>
      <w:r w:rsidR="00346C8B">
        <w:rPr>
          <w:lang w:val="en-AU"/>
        </w:rPr>
        <w:t xml:space="preserve"> in the PCEHR system</w:t>
      </w:r>
      <w:r w:rsidR="006E66D5">
        <w:rPr>
          <w:lang w:val="en-AU"/>
        </w:rPr>
        <w:t xml:space="preserve"> </w:t>
      </w:r>
      <w:r w:rsidR="00447E1A" w:rsidRPr="005725AD">
        <w:rPr>
          <w:lang w:val="en-AU"/>
        </w:rPr>
        <w:t xml:space="preserve">the healthcare identifier and the identifying information of a person seeking to be </w:t>
      </w:r>
      <w:r w:rsidR="00346C8B">
        <w:rPr>
          <w:lang w:val="en-AU"/>
        </w:rPr>
        <w:t xml:space="preserve">recognised as </w:t>
      </w:r>
      <w:r w:rsidR="00447E1A" w:rsidRPr="005725AD">
        <w:rPr>
          <w:lang w:val="en-AU"/>
        </w:rPr>
        <w:t>an authorised representative of a consumer</w:t>
      </w:r>
      <w:r w:rsidR="00346C8B" w:rsidRPr="00346C8B">
        <w:rPr>
          <w:lang w:val="en-AU"/>
        </w:rPr>
        <w:t xml:space="preserve"> </w:t>
      </w:r>
      <w:r w:rsidR="00346C8B">
        <w:rPr>
          <w:lang w:val="en-AU"/>
        </w:rPr>
        <w:t>by the PCEHR System Operator.</w:t>
      </w:r>
      <w:r w:rsidR="005A54B8">
        <w:rPr>
          <w:lang w:val="en-AU"/>
        </w:rPr>
        <w:t xml:space="preserve">  The regulation does this by prescribing each authorised entity.</w:t>
      </w:r>
    </w:p>
    <w:p w:rsidR="00447E1A" w:rsidRDefault="00447E1A" w:rsidP="009B1DC6">
      <w:pPr>
        <w:rPr>
          <w:lang w:val="en-AU"/>
        </w:rPr>
      </w:pPr>
    </w:p>
    <w:p w:rsidR="00D30352" w:rsidRDefault="00D30352">
      <w:pPr>
        <w:rPr>
          <w:lang w:val="en-AU"/>
        </w:rPr>
      </w:pPr>
      <w:r>
        <w:rPr>
          <w:lang w:val="en-AU"/>
        </w:rPr>
        <w:br w:type="page"/>
      </w:r>
    </w:p>
    <w:p w:rsidR="00BC42DB" w:rsidRDefault="00447E1A" w:rsidP="00D30352">
      <w:pPr>
        <w:rPr>
          <w:lang w:val="en-AU"/>
        </w:rPr>
      </w:pPr>
      <w:r>
        <w:rPr>
          <w:lang w:val="en-AU"/>
        </w:rPr>
        <w:lastRenderedPageBreak/>
        <w:t xml:space="preserve">Regulation 12 of the Principal Regulations currently authorises </w:t>
      </w:r>
      <w:r w:rsidR="001D6C73">
        <w:rPr>
          <w:lang w:val="en-AU"/>
        </w:rPr>
        <w:t>DVA</w:t>
      </w:r>
      <w:r w:rsidR="008B4C31">
        <w:rPr>
          <w:lang w:val="en-AU"/>
        </w:rPr>
        <w:t xml:space="preserve"> </w:t>
      </w:r>
      <w:r>
        <w:rPr>
          <w:lang w:val="en-AU"/>
        </w:rPr>
        <w:t xml:space="preserve">to include </w:t>
      </w:r>
      <w:r w:rsidR="00D21999">
        <w:rPr>
          <w:lang w:val="en-AU"/>
        </w:rPr>
        <w:t>certain</w:t>
      </w:r>
      <w:r>
        <w:rPr>
          <w:lang w:val="en-AU"/>
        </w:rPr>
        <w:t xml:space="preserve"> information in a consumer’s PCEHR</w:t>
      </w:r>
      <w:r w:rsidR="00D21999">
        <w:rPr>
          <w:lang w:val="en-AU"/>
        </w:rPr>
        <w:t xml:space="preserve"> where </w:t>
      </w:r>
      <w:r>
        <w:rPr>
          <w:lang w:val="en-AU"/>
        </w:rPr>
        <w:t>the consumer</w:t>
      </w:r>
      <w:r w:rsidR="00D21999">
        <w:rPr>
          <w:lang w:val="en-AU"/>
        </w:rPr>
        <w:t xml:space="preserve"> ha</w:t>
      </w:r>
      <w:r>
        <w:rPr>
          <w:lang w:val="en-AU"/>
        </w:rPr>
        <w:t>s consent</w:t>
      </w:r>
      <w:r w:rsidR="00D21999">
        <w:rPr>
          <w:lang w:val="en-AU"/>
        </w:rPr>
        <w:t>ed to this occurring</w:t>
      </w:r>
      <w:r w:rsidR="00FF1E83">
        <w:rPr>
          <w:lang w:val="en-AU"/>
        </w:rPr>
        <w:t xml:space="preserve">. </w:t>
      </w:r>
      <w:r>
        <w:rPr>
          <w:lang w:val="en-AU"/>
        </w:rPr>
        <w:t xml:space="preserve">The amendment to </w:t>
      </w:r>
      <w:r w:rsidR="001D6C73">
        <w:rPr>
          <w:lang w:val="en-AU"/>
        </w:rPr>
        <w:t>the Principal Regulations</w:t>
      </w:r>
      <w:r w:rsidR="00BC42DB">
        <w:rPr>
          <w:lang w:val="en-AU"/>
        </w:rPr>
        <w:t>:</w:t>
      </w:r>
    </w:p>
    <w:p w:rsidR="00D30352" w:rsidRDefault="00D30352" w:rsidP="00D30352">
      <w:pPr>
        <w:rPr>
          <w:lang w:val="en-AU"/>
        </w:rPr>
      </w:pPr>
    </w:p>
    <w:p w:rsidR="00AF1EBA" w:rsidRPr="00AF1EBA" w:rsidRDefault="00CD3D30" w:rsidP="00AF1EBA">
      <w:pPr>
        <w:pStyle w:val="ListParagraph"/>
        <w:numPr>
          <w:ilvl w:val="0"/>
          <w:numId w:val="17"/>
        </w:numPr>
        <w:ind w:left="709" w:hanging="283"/>
        <w:rPr>
          <w:lang w:val="en-AU"/>
        </w:rPr>
      </w:pPr>
      <w:r w:rsidRPr="00AF1EBA">
        <w:rPr>
          <w:lang w:val="en-AU"/>
        </w:rPr>
        <w:t>clarif</w:t>
      </w:r>
      <w:r w:rsidR="00FF1E83">
        <w:rPr>
          <w:lang w:val="en-AU"/>
        </w:rPr>
        <w:t>ies</w:t>
      </w:r>
      <w:r w:rsidRPr="00AF1EBA">
        <w:rPr>
          <w:lang w:val="en-AU"/>
        </w:rPr>
        <w:t xml:space="preserve"> </w:t>
      </w:r>
      <w:r w:rsidR="00447E1A" w:rsidRPr="00AF1EBA">
        <w:rPr>
          <w:lang w:val="en-AU"/>
        </w:rPr>
        <w:t xml:space="preserve">that </w:t>
      </w:r>
      <w:r w:rsidR="005A54B8" w:rsidRPr="00AF1EBA">
        <w:rPr>
          <w:lang w:val="en-AU"/>
        </w:rPr>
        <w:t xml:space="preserve">a class of DVA </w:t>
      </w:r>
      <w:r w:rsidR="00447E1A" w:rsidRPr="00AF1EBA">
        <w:rPr>
          <w:lang w:val="en-AU"/>
        </w:rPr>
        <w:t xml:space="preserve">information </w:t>
      </w:r>
      <w:r w:rsidR="005A54B8" w:rsidRPr="00AF1EBA">
        <w:rPr>
          <w:lang w:val="en-AU"/>
        </w:rPr>
        <w:t xml:space="preserve">that may be included in a consumer’s PCEHR is not limited to information relating to </w:t>
      </w:r>
      <w:r w:rsidR="005058C9" w:rsidRPr="00AF1EBA">
        <w:rPr>
          <w:lang w:val="en-AU"/>
        </w:rPr>
        <w:t xml:space="preserve">treatment </w:t>
      </w:r>
      <w:r w:rsidR="00BC42DB" w:rsidRPr="00AF1EBA">
        <w:rPr>
          <w:lang w:val="en-AU"/>
        </w:rPr>
        <w:t xml:space="preserve">received through </w:t>
      </w:r>
      <w:r w:rsidR="00447E1A" w:rsidRPr="00AF1EBA">
        <w:rPr>
          <w:lang w:val="en-AU"/>
        </w:rPr>
        <w:t>the Repatriation Pharmaceutical Benefits Scheme</w:t>
      </w:r>
      <w:r w:rsidR="00AF1EBA" w:rsidRPr="00AF1EBA">
        <w:rPr>
          <w:lang w:val="en-AU"/>
        </w:rPr>
        <w:t xml:space="preserve"> but refers to treatment received under the </w:t>
      </w:r>
      <w:r w:rsidR="00AF1EBA" w:rsidRPr="00AF1EBA">
        <w:rPr>
          <w:i/>
          <w:iCs/>
        </w:rPr>
        <w:t>Australian Participants in British Nuclear Tests (Treatment) Act 2006</w:t>
      </w:r>
      <w:r w:rsidR="00AF1EBA" w:rsidRPr="00AF1EBA">
        <w:rPr>
          <w:iCs/>
        </w:rPr>
        <w:t xml:space="preserve">, </w:t>
      </w:r>
      <w:r w:rsidR="001D6C73">
        <w:rPr>
          <w:iCs/>
        </w:rPr>
        <w:t xml:space="preserve">the </w:t>
      </w:r>
      <w:r w:rsidR="00AF1EBA" w:rsidRPr="001D6C73">
        <w:rPr>
          <w:i/>
          <w:iCs/>
        </w:rPr>
        <w:t>Military, Rehabilitation and Compensation Act 2004</w:t>
      </w:r>
      <w:r w:rsidR="00AF1EBA" w:rsidRPr="00AF1EBA">
        <w:rPr>
          <w:iCs/>
        </w:rPr>
        <w:t xml:space="preserve">, </w:t>
      </w:r>
      <w:r w:rsidR="001D6C73">
        <w:rPr>
          <w:iCs/>
        </w:rPr>
        <w:t xml:space="preserve">the </w:t>
      </w:r>
      <w:r w:rsidR="00AF1EBA" w:rsidRPr="001D6C73">
        <w:rPr>
          <w:i/>
          <w:iCs/>
        </w:rPr>
        <w:t>Safety, Rehabilitation and Compensation Act 1988</w:t>
      </w:r>
      <w:r w:rsidR="00AF1EBA" w:rsidRPr="00AF1EBA">
        <w:rPr>
          <w:iCs/>
        </w:rPr>
        <w:t xml:space="preserve"> or </w:t>
      </w:r>
      <w:r w:rsidR="001D6C73">
        <w:rPr>
          <w:iCs/>
        </w:rPr>
        <w:t xml:space="preserve">the </w:t>
      </w:r>
      <w:r w:rsidR="00AF1EBA" w:rsidRPr="001D6C73">
        <w:rPr>
          <w:i/>
          <w:iCs/>
        </w:rPr>
        <w:t>Veterans’ Entitlements Act 1986</w:t>
      </w:r>
      <w:r w:rsidR="00BC42DB" w:rsidRPr="00AF1EBA">
        <w:rPr>
          <w:lang w:val="en-AU"/>
        </w:rPr>
        <w:t>;</w:t>
      </w:r>
      <w:r w:rsidR="00AF1EBA">
        <w:rPr>
          <w:lang w:val="en-AU"/>
        </w:rPr>
        <w:t xml:space="preserve"> and</w:t>
      </w:r>
    </w:p>
    <w:p w:rsidR="00447E1A" w:rsidRPr="00AF1EBA" w:rsidRDefault="00AF1EBA" w:rsidP="00AF1EBA">
      <w:pPr>
        <w:pStyle w:val="ListParagraph"/>
        <w:numPr>
          <w:ilvl w:val="0"/>
          <w:numId w:val="17"/>
        </w:numPr>
        <w:ind w:left="709" w:hanging="283"/>
        <w:rPr>
          <w:lang w:val="en-AU"/>
        </w:rPr>
      </w:pPr>
      <w:r w:rsidRPr="00AF1EBA">
        <w:rPr>
          <w:lang w:val="en-AU"/>
        </w:rPr>
        <w:t>clarif</w:t>
      </w:r>
      <w:r w:rsidR="00FF1E83">
        <w:rPr>
          <w:lang w:val="en-AU"/>
        </w:rPr>
        <w:t>ies</w:t>
      </w:r>
      <w:r w:rsidRPr="00AF1EBA">
        <w:rPr>
          <w:lang w:val="en-AU"/>
        </w:rPr>
        <w:t xml:space="preserve"> that DVA information not relating to treatment is not authorised to be included in a consumer’s PCEHR.</w:t>
      </w:r>
    </w:p>
    <w:p w:rsidR="009B1DC6" w:rsidRDefault="009B1DC6" w:rsidP="009B1DC6"/>
    <w:p w:rsidR="009B1DC6" w:rsidRDefault="00614089" w:rsidP="009B1DC6">
      <w:r>
        <w:t>Detail</w:t>
      </w:r>
      <w:r w:rsidR="00F9044D">
        <w:t>s</w:t>
      </w:r>
      <w:r>
        <w:t xml:space="preserve"> of the </w:t>
      </w:r>
      <w:r w:rsidR="00CD076F">
        <w:t>r</w:t>
      </w:r>
      <w:r>
        <w:t xml:space="preserve">egulation </w:t>
      </w:r>
      <w:r w:rsidR="00F9044D">
        <w:t>are</w:t>
      </w:r>
      <w:r>
        <w:t xml:space="preserve"> set out in the </w:t>
      </w:r>
      <w:r>
        <w:rPr>
          <w:u w:val="single"/>
        </w:rPr>
        <w:t>Attachment</w:t>
      </w:r>
      <w:r>
        <w:t>.</w:t>
      </w:r>
    </w:p>
    <w:p w:rsidR="009B1DC6" w:rsidRDefault="009B1DC6" w:rsidP="009B1DC6"/>
    <w:p w:rsidR="003A1638" w:rsidRDefault="00030A5C" w:rsidP="009B1DC6">
      <w:r w:rsidRPr="00E23274">
        <w:t xml:space="preserve">Section </w:t>
      </w:r>
      <w:r w:rsidR="0094209C">
        <w:t>33</w:t>
      </w:r>
      <w:r w:rsidRPr="00E23274">
        <w:t xml:space="preserve"> of t</w:t>
      </w:r>
      <w:r w:rsidR="009A3BC0" w:rsidRPr="00E23274">
        <w:t xml:space="preserve">he </w:t>
      </w:r>
      <w:r w:rsidR="0094209C">
        <w:t xml:space="preserve">HI </w:t>
      </w:r>
      <w:r w:rsidR="009A3BC0" w:rsidRPr="00E23274">
        <w:t xml:space="preserve">Act specifies </w:t>
      </w:r>
      <w:r w:rsidRPr="00E23274">
        <w:t>that the Minister must consult the Ministerial Council before the Governor-General makes regulations.</w:t>
      </w:r>
      <w:r w:rsidR="00F9044D" w:rsidRPr="00F9044D">
        <w:t xml:space="preserve"> </w:t>
      </w:r>
      <w:r w:rsidR="00F9044D">
        <w:t xml:space="preserve"> </w:t>
      </w:r>
      <w:r w:rsidR="003B532B">
        <w:t>On 11 November 2011 the</w:t>
      </w:r>
      <w:r w:rsidR="00FE68B7">
        <w:t xml:space="preserve"> then</w:t>
      </w:r>
      <w:r w:rsidR="003B532B">
        <w:t xml:space="preserve"> Minister for Health </w:t>
      </w:r>
      <w:r w:rsidR="00FE68B7">
        <w:t xml:space="preserve">and Ageing </w:t>
      </w:r>
      <w:r w:rsidR="003B532B">
        <w:t xml:space="preserve">consulted the Ministerial Council on these legislative proposals and </w:t>
      </w:r>
      <w:r w:rsidR="001D6C73">
        <w:t>the regulation has</w:t>
      </w:r>
      <w:r w:rsidR="003B532B">
        <w:t xml:space="preserve"> been developed</w:t>
      </w:r>
      <w:r w:rsidR="003B532B" w:rsidRPr="003B532B">
        <w:t xml:space="preserve"> </w:t>
      </w:r>
      <w:r w:rsidR="003B532B">
        <w:t>accordingly.</w:t>
      </w:r>
      <w:r w:rsidR="003A1638" w:rsidRPr="00B25E39">
        <w:rPr>
          <w:sz w:val="20"/>
          <w:vertAlign w:val="superscript"/>
        </w:rPr>
        <w:t>1</w:t>
      </w:r>
    </w:p>
    <w:p w:rsidR="00AD7E80" w:rsidRDefault="00AD7E80" w:rsidP="009A3BC0">
      <w:pPr>
        <w:pStyle w:val="Header"/>
        <w:widowControl/>
        <w:tabs>
          <w:tab w:val="clear" w:pos="4153"/>
          <w:tab w:val="clear" w:pos="8306"/>
        </w:tabs>
        <w:ind w:right="804"/>
      </w:pPr>
    </w:p>
    <w:p w:rsidR="004F5F07" w:rsidRDefault="0094209C" w:rsidP="009A3BC0">
      <w:pPr>
        <w:pStyle w:val="Header"/>
        <w:widowControl/>
        <w:tabs>
          <w:tab w:val="clear" w:pos="4153"/>
          <w:tab w:val="clear" w:pos="8306"/>
        </w:tabs>
        <w:ind w:right="804"/>
      </w:pPr>
      <w:r>
        <w:t xml:space="preserve">The </w:t>
      </w:r>
      <w:r w:rsidR="004F5F07">
        <w:t>development of the regulation was the subject of consultation with the Veterans’ Affairs Department, the Department of Human Services, the National E-Health Transition Authority, the National Health Information Regulatory Framework Working Group and Australian Health Ministers’ Advisory Council Chief Executive Officers.</w:t>
      </w:r>
    </w:p>
    <w:p w:rsidR="004F5F07" w:rsidRDefault="004F5F07" w:rsidP="009A3BC0">
      <w:pPr>
        <w:pStyle w:val="Header"/>
        <w:widowControl/>
        <w:tabs>
          <w:tab w:val="clear" w:pos="4153"/>
          <w:tab w:val="clear" w:pos="8306"/>
        </w:tabs>
        <w:ind w:right="804"/>
      </w:pPr>
    </w:p>
    <w:p w:rsidR="009A3BC0" w:rsidRPr="00E23274" w:rsidRDefault="004F5F07" w:rsidP="009A3BC0">
      <w:pPr>
        <w:pStyle w:val="Header"/>
        <w:widowControl/>
        <w:tabs>
          <w:tab w:val="clear" w:pos="4153"/>
          <w:tab w:val="clear" w:pos="8306"/>
        </w:tabs>
        <w:ind w:right="804"/>
      </w:pPr>
      <w:r>
        <w:t xml:space="preserve">The </w:t>
      </w:r>
      <w:r w:rsidR="0094209C">
        <w:t xml:space="preserve">HI Act specifies no other conditions that need to be met before the power to make the </w:t>
      </w:r>
      <w:r w:rsidR="00CD076F">
        <w:t>r</w:t>
      </w:r>
      <w:r w:rsidR="0094209C">
        <w:t>egulation may be exercised.</w:t>
      </w:r>
    </w:p>
    <w:p w:rsidR="008E7D06" w:rsidRDefault="008E7D06" w:rsidP="008E7D06">
      <w:pPr>
        <w:pStyle w:val="Header"/>
        <w:widowControl/>
        <w:tabs>
          <w:tab w:val="clear" w:pos="4153"/>
          <w:tab w:val="clear" w:pos="8306"/>
        </w:tabs>
        <w:ind w:right="804"/>
      </w:pPr>
    </w:p>
    <w:p w:rsidR="009A3BC0" w:rsidRPr="00E23274" w:rsidRDefault="009A3BC0" w:rsidP="009A3BC0">
      <w:r w:rsidRPr="00E23274">
        <w:t xml:space="preserve">The </w:t>
      </w:r>
      <w:r w:rsidR="00CD076F">
        <w:t>r</w:t>
      </w:r>
      <w:r w:rsidRPr="00E23274">
        <w:t>egulation</w:t>
      </w:r>
      <w:r w:rsidR="00FE327D" w:rsidRPr="00E23274">
        <w:t xml:space="preserve"> </w:t>
      </w:r>
      <w:r w:rsidR="00FF1E83">
        <w:t>is</w:t>
      </w:r>
      <w:r w:rsidRPr="00E23274">
        <w:t xml:space="preserve"> a legislative instrument for the purposes of the </w:t>
      </w:r>
      <w:r w:rsidRPr="00E23274">
        <w:rPr>
          <w:i/>
        </w:rPr>
        <w:t>Legislative</w:t>
      </w:r>
      <w:r w:rsidR="00F9044D">
        <w:rPr>
          <w:i/>
        </w:rPr>
        <w:t> </w:t>
      </w:r>
      <w:r w:rsidRPr="00E23274">
        <w:rPr>
          <w:i/>
        </w:rPr>
        <w:t>Instruments Act 2003</w:t>
      </w:r>
      <w:r w:rsidRPr="00E23274">
        <w:t xml:space="preserve">.  </w:t>
      </w:r>
    </w:p>
    <w:p w:rsidR="00577975" w:rsidRPr="00E23274" w:rsidRDefault="00577975" w:rsidP="009A3BC0"/>
    <w:p w:rsidR="009A3BC0" w:rsidRPr="00E23274" w:rsidRDefault="009A3BC0" w:rsidP="009A3BC0">
      <w:r w:rsidRPr="00E23274">
        <w:t xml:space="preserve">The </w:t>
      </w:r>
      <w:r w:rsidR="00CD076F">
        <w:t>r</w:t>
      </w:r>
      <w:r w:rsidRPr="00E23274">
        <w:t>egulation commence</w:t>
      </w:r>
      <w:r w:rsidR="00FF1E83">
        <w:t>s</w:t>
      </w:r>
      <w:r w:rsidRPr="00E23274">
        <w:t xml:space="preserve"> on the day </w:t>
      </w:r>
      <w:r w:rsidR="00E90DFF">
        <w:t>after registration on the Federal Register of Legislative Instruments.</w:t>
      </w:r>
    </w:p>
    <w:p w:rsidR="008C5FB7" w:rsidRDefault="008C5FB7" w:rsidP="009A3BC0">
      <w:pPr>
        <w:pStyle w:val="Subtitle"/>
        <w:rPr>
          <w:u w:val="none"/>
        </w:rPr>
      </w:pPr>
    </w:p>
    <w:p w:rsidR="008C5FB7" w:rsidRDefault="008C5FB7" w:rsidP="009A3BC0">
      <w:pPr>
        <w:pStyle w:val="Subtitle"/>
        <w:rPr>
          <w:u w:val="none"/>
        </w:rPr>
      </w:pPr>
    </w:p>
    <w:p w:rsidR="009A3BC0" w:rsidRPr="00E23274" w:rsidRDefault="009A3BC0" w:rsidP="00577975">
      <w:pPr>
        <w:pStyle w:val="Subtitle"/>
        <w:ind w:left="5760" w:hanging="1080"/>
        <w:rPr>
          <w:i/>
          <w:u w:val="none"/>
        </w:rPr>
        <w:sectPr w:rsidR="009A3BC0" w:rsidRPr="00E23274" w:rsidSect="009A3BC0">
          <w:headerReference w:type="even" r:id="rId8"/>
          <w:headerReference w:type="default" r:id="rId9"/>
          <w:pgSz w:w="11906" w:h="16838"/>
          <w:pgMar w:top="1134" w:right="1361" w:bottom="1134" w:left="1418" w:header="720" w:footer="720" w:gutter="0"/>
          <w:paperSrc w:first="7" w:other="7"/>
          <w:cols w:space="720"/>
          <w:titlePg/>
        </w:sectPr>
      </w:pPr>
      <w:r w:rsidRPr="00E23274">
        <w:t>Authority</w:t>
      </w:r>
      <w:r w:rsidRPr="00E23274">
        <w:rPr>
          <w:u w:val="none"/>
        </w:rPr>
        <w:t xml:space="preserve">: </w:t>
      </w:r>
      <w:r w:rsidR="00577975" w:rsidRPr="00E23274">
        <w:rPr>
          <w:u w:val="none"/>
        </w:rPr>
        <w:tab/>
      </w:r>
      <w:r w:rsidRPr="00E23274">
        <w:rPr>
          <w:u w:val="none"/>
        </w:rPr>
        <w:t>S</w:t>
      </w:r>
      <w:r w:rsidR="003E62A2">
        <w:rPr>
          <w:u w:val="none"/>
        </w:rPr>
        <w:t>ubsection 39(1)</w:t>
      </w:r>
      <w:r w:rsidRPr="00E23274">
        <w:rPr>
          <w:u w:val="none"/>
        </w:rPr>
        <w:t xml:space="preserve"> of the </w:t>
      </w:r>
      <w:r w:rsidR="0094209C">
        <w:rPr>
          <w:i/>
          <w:u w:val="none"/>
        </w:rPr>
        <w:t>Healthcare Identifiers Act 2010</w:t>
      </w:r>
    </w:p>
    <w:p w:rsidR="00EF48A5" w:rsidRPr="00CD2C5E" w:rsidRDefault="00577975" w:rsidP="00577975">
      <w:pPr>
        <w:jc w:val="right"/>
        <w:rPr>
          <w:b/>
          <w:u w:val="single"/>
          <w:lang w:val="en-AU"/>
        </w:rPr>
      </w:pPr>
      <w:r w:rsidRPr="00CD2C5E">
        <w:rPr>
          <w:b/>
          <w:u w:val="single"/>
          <w:lang w:val="en-AU"/>
        </w:rPr>
        <w:lastRenderedPageBreak/>
        <w:t>ATTACHMENT</w:t>
      </w:r>
    </w:p>
    <w:p w:rsidR="00577975" w:rsidRPr="00E23274" w:rsidRDefault="00577975" w:rsidP="00577975">
      <w:pPr>
        <w:rPr>
          <w:b/>
          <w:u w:val="single"/>
          <w:lang w:val="en-AU"/>
        </w:rPr>
      </w:pPr>
    </w:p>
    <w:p w:rsidR="00577975" w:rsidRPr="00E23274" w:rsidRDefault="00AD7E80" w:rsidP="00757AB2">
      <w:pPr>
        <w:ind w:right="-58"/>
        <w:rPr>
          <w:i/>
          <w:lang w:val="en-AU"/>
        </w:rPr>
      </w:pPr>
      <w:r>
        <w:rPr>
          <w:b/>
          <w:u w:val="single"/>
          <w:lang w:val="en-AU"/>
        </w:rPr>
        <w:t xml:space="preserve">Details of the </w:t>
      </w:r>
      <w:r>
        <w:rPr>
          <w:b/>
          <w:i/>
          <w:u w:val="single"/>
          <w:lang w:val="en-AU"/>
        </w:rPr>
        <w:t xml:space="preserve">Healthcare Identifiers Amendment </w:t>
      </w:r>
      <w:r w:rsidR="002A49AB">
        <w:rPr>
          <w:b/>
          <w:i/>
          <w:u w:val="single"/>
          <w:lang w:val="en-AU"/>
        </w:rPr>
        <w:t xml:space="preserve">(PCEHR System Information) </w:t>
      </w:r>
      <w:r w:rsidRPr="00E23274">
        <w:rPr>
          <w:b/>
          <w:i/>
          <w:u w:val="single"/>
          <w:lang w:val="en-AU"/>
        </w:rPr>
        <w:t>Regulation 201</w:t>
      </w:r>
      <w:r w:rsidR="00757AB2">
        <w:rPr>
          <w:b/>
          <w:i/>
          <w:u w:val="single"/>
          <w:lang w:val="en-AU"/>
        </w:rPr>
        <w:t>3</w:t>
      </w:r>
    </w:p>
    <w:p w:rsidR="00577975" w:rsidRPr="00E23274" w:rsidRDefault="00577975" w:rsidP="00577975">
      <w:pPr>
        <w:rPr>
          <w:lang w:val="en-AU"/>
        </w:rPr>
      </w:pPr>
    </w:p>
    <w:p w:rsidR="00577975" w:rsidRPr="00E23274" w:rsidRDefault="00577975" w:rsidP="00577975">
      <w:pPr>
        <w:rPr>
          <w:lang w:val="en-AU"/>
        </w:rPr>
      </w:pPr>
    </w:p>
    <w:p w:rsidR="00D54AD5" w:rsidRPr="00E23274" w:rsidRDefault="0085331D" w:rsidP="00D54AD5">
      <w:r>
        <w:rPr>
          <w:u w:val="single"/>
        </w:rPr>
        <w:t>Sec</w:t>
      </w:r>
      <w:r w:rsidRPr="00E23274">
        <w:rPr>
          <w:u w:val="single"/>
        </w:rPr>
        <w:t xml:space="preserve">tion </w:t>
      </w:r>
      <w:r w:rsidR="00D54AD5">
        <w:rPr>
          <w:u w:val="single"/>
        </w:rPr>
        <w:t>1</w:t>
      </w:r>
      <w:r>
        <w:rPr>
          <w:u w:val="single"/>
        </w:rPr>
        <w:t xml:space="preserve"> – N</w:t>
      </w:r>
      <w:r w:rsidR="00D54AD5">
        <w:rPr>
          <w:u w:val="single"/>
        </w:rPr>
        <w:t>ame of regulation</w:t>
      </w:r>
    </w:p>
    <w:p w:rsidR="006E66D5" w:rsidRDefault="006E66D5" w:rsidP="00577975"/>
    <w:p w:rsidR="00577975" w:rsidRPr="00E23274" w:rsidRDefault="00577975" w:rsidP="00577975">
      <w:pPr>
        <w:rPr>
          <w:i/>
          <w:iCs/>
        </w:rPr>
      </w:pPr>
      <w:r w:rsidRPr="00E23274">
        <w:t xml:space="preserve">This </w:t>
      </w:r>
      <w:r w:rsidR="0085331D">
        <w:t>sec</w:t>
      </w:r>
      <w:r w:rsidR="0085331D" w:rsidRPr="00E23274">
        <w:t xml:space="preserve">tion </w:t>
      </w:r>
      <w:r w:rsidRPr="00E23274">
        <w:t>provide</w:t>
      </w:r>
      <w:r w:rsidR="00FF1E83">
        <w:t>s</w:t>
      </w:r>
      <w:r w:rsidRPr="00E23274">
        <w:t xml:space="preserve"> that the title of the </w:t>
      </w:r>
      <w:r w:rsidR="00CD076F">
        <w:t>r</w:t>
      </w:r>
      <w:r w:rsidRPr="00E23274">
        <w:t xml:space="preserve">egulation is </w:t>
      </w:r>
      <w:r w:rsidR="00D23B4B">
        <w:rPr>
          <w:i/>
          <w:iCs/>
        </w:rPr>
        <w:t>Healthcare Identifiers</w:t>
      </w:r>
      <w:r w:rsidRPr="00E23274">
        <w:rPr>
          <w:i/>
          <w:iCs/>
        </w:rPr>
        <w:t xml:space="preserve"> </w:t>
      </w:r>
      <w:r w:rsidR="0061111A">
        <w:rPr>
          <w:i/>
          <w:iCs/>
        </w:rPr>
        <w:t xml:space="preserve">Amendment </w:t>
      </w:r>
      <w:r w:rsidR="002A49AB">
        <w:rPr>
          <w:i/>
          <w:iCs/>
        </w:rPr>
        <w:t xml:space="preserve">(PCEHR System Information) </w:t>
      </w:r>
      <w:r w:rsidRPr="00E23274">
        <w:rPr>
          <w:i/>
          <w:iCs/>
        </w:rPr>
        <w:t>Regulation 201</w:t>
      </w:r>
      <w:r w:rsidR="00757AB2">
        <w:rPr>
          <w:i/>
          <w:iCs/>
        </w:rPr>
        <w:t>3</w:t>
      </w:r>
      <w:r w:rsidRPr="00E23274">
        <w:rPr>
          <w:i/>
          <w:iCs/>
        </w:rPr>
        <w:t>.</w:t>
      </w:r>
    </w:p>
    <w:p w:rsidR="00577975" w:rsidRPr="00E23274" w:rsidRDefault="00577975" w:rsidP="00577975">
      <w:pPr>
        <w:tabs>
          <w:tab w:val="left" w:pos="6465"/>
        </w:tabs>
      </w:pPr>
      <w:r w:rsidRPr="00E23274">
        <w:tab/>
      </w:r>
    </w:p>
    <w:p w:rsidR="00577975" w:rsidRPr="00E23274" w:rsidRDefault="0085331D" w:rsidP="00577975">
      <w:r>
        <w:rPr>
          <w:u w:val="single"/>
        </w:rPr>
        <w:t>Sec</w:t>
      </w:r>
      <w:r w:rsidRPr="00E23274">
        <w:rPr>
          <w:u w:val="single"/>
        </w:rPr>
        <w:t xml:space="preserve">tion </w:t>
      </w:r>
      <w:r w:rsidR="00577975" w:rsidRPr="00E23274">
        <w:rPr>
          <w:u w:val="single"/>
        </w:rPr>
        <w:t>2</w:t>
      </w:r>
      <w:r>
        <w:rPr>
          <w:u w:val="single"/>
        </w:rPr>
        <w:t xml:space="preserve"> – </w:t>
      </w:r>
      <w:r w:rsidR="00577975" w:rsidRPr="00E23274">
        <w:rPr>
          <w:u w:val="single"/>
        </w:rPr>
        <w:t>Commencement</w:t>
      </w:r>
    </w:p>
    <w:p w:rsidR="00577975" w:rsidRPr="00E23274" w:rsidRDefault="00577975" w:rsidP="00577975"/>
    <w:p w:rsidR="00577975" w:rsidRPr="00E23274" w:rsidRDefault="00577975" w:rsidP="00577975">
      <w:r w:rsidRPr="00E23274">
        <w:t xml:space="preserve">This </w:t>
      </w:r>
      <w:r w:rsidR="0085331D">
        <w:t>sec</w:t>
      </w:r>
      <w:r w:rsidR="0085331D" w:rsidRPr="00E23274">
        <w:t xml:space="preserve">tion </w:t>
      </w:r>
      <w:r w:rsidRPr="00E23274">
        <w:t>provide</w:t>
      </w:r>
      <w:r w:rsidR="00FF1E83">
        <w:t>s</w:t>
      </w:r>
      <w:r w:rsidRPr="00E23274">
        <w:t xml:space="preserve"> for the </w:t>
      </w:r>
      <w:r w:rsidR="00CD076F">
        <w:t>r</w:t>
      </w:r>
      <w:r w:rsidRPr="00E23274">
        <w:t xml:space="preserve">egulation to commence </w:t>
      </w:r>
      <w:r w:rsidR="00E90DFF">
        <w:t>on the day after it is registered on the Federal Register of Legislative Instruments.</w:t>
      </w:r>
    </w:p>
    <w:p w:rsidR="00577975" w:rsidRPr="00E23274" w:rsidRDefault="00577975" w:rsidP="00577975">
      <w:pPr>
        <w:rPr>
          <w:b/>
          <w:bCs/>
          <w:u w:val="single"/>
        </w:rPr>
      </w:pPr>
    </w:p>
    <w:p w:rsidR="00577975" w:rsidRPr="0031145E" w:rsidRDefault="0085331D" w:rsidP="00577975">
      <w:pPr>
        <w:rPr>
          <w:i/>
          <w:iCs/>
        </w:rPr>
      </w:pPr>
      <w:r>
        <w:rPr>
          <w:u w:val="single"/>
        </w:rPr>
        <w:t>Sec</w:t>
      </w:r>
      <w:r w:rsidRPr="00E23274">
        <w:rPr>
          <w:u w:val="single"/>
        </w:rPr>
        <w:t xml:space="preserve">tion </w:t>
      </w:r>
      <w:r w:rsidR="00577975" w:rsidRPr="00E23274">
        <w:rPr>
          <w:u w:val="single"/>
        </w:rPr>
        <w:t>3</w:t>
      </w:r>
      <w:r>
        <w:rPr>
          <w:u w:val="single"/>
        </w:rPr>
        <w:t xml:space="preserve"> – </w:t>
      </w:r>
      <w:r w:rsidR="00157C25">
        <w:rPr>
          <w:u w:val="single"/>
        </w:rPr>
        <w:t>Authority</w:t>
      </w:r>
    </w:p>
    <w:p w:rsidR="00577975" w:rsidRPr="00E23274" w:rsidRDefault="00577975" w:rsidP="00577975"/>
    <w:p w:rsidR="0061111A" w:rsidRDefault="00157C25" w:rsidP="00577975">
      <w:pPr>
        <w:rPr>
          <w:i/>
        </w:rPr>
      </w:pPr>
      <w:r>
        <w:t xml:space="preserve">This regulation is made under the </w:t>
      </w:r>
      <w:r>
        <w:rPr>
          <w:i/>
        </w:rPr>
        <w:t>Healthcare Identifiers Act 2010.</w:t>
      </w:r>
    </w:p>
    <w:p w:rsidR="00157C25" w:rsidRDefault="00157C25" w:rsidP="00577975"/>
    <w:p w:rsidR="00157C25" w:rsidRDefault="00157C25" w:rsidP="00577975">
      <w:pPr>
        <w:rPr>
          <w:u w:val="single"/>
        </w:rPr>
      </w:pPr>
      <w:r>
        <w:rPr>
          <w:u w:val="single"/>
        </w:rPr>
        <w:t>Section 4 – Schedule(s)</w:t>
      </w:r>
    </w:p>
    <w:p w:rsidR="00157C25" w:rsidRDefault="00157C25" w:rsidP="00577975"/>
    <w:p w:rsidR="00157C25" w:rsidRPr="00157C25" w:rsidRDefault="00157C25" w:rsidP="00577975">
      <w:r w:rsidRPr="00157C25">
        <w:t xml:space="preserve">Each instrument that is specified </w:t>
      </w:r>
      <w:r>
        <w:t>in a Schedule to this instrument is amended or repealed as set out in the applicable items in the Schedule concerned, and any other item in a Schedule to this instrument has effect according to its terms.</w:t>
      </w:r>
    </w:p>
    <w:p w:rsidR="00157C25" w:rsidRPr="00157C25" w:rsidRDefault="00157C25" w:rsidP="00577975">
      <w:pPr>
        <w:rPr>
          <w:u w:val="single"/>
        </w:rPr>
      </w:pPr>
    </w:p>
    <w:p w:rsidR="00FE327D" w:rsidRDefault="00FE327D" w:rsidP="00577975"/>
    <w:p w:rsidR="0031145E" w:rsidRPr="00E23274" w:rsidRDefault="0031145E" w:rsidP="0031145E">
      <w:r>
        <w:rPr>
          <w:u w:val="single"/>
        </w:rPr>
        <w:t>Schedule 1</w:t>
      </w:r>
      <w:r w:rsidR="00760C85">
        <w:rPr>
          <w:u w:val="single"/>
        </w:rPr>
        <w:t xml:space="preserve"> – </w:t>
      </w:r>
      <w:r>
        <w:rPr>
          <w:u w:val="single"/>
        </w:rPr>
        <w:t>Amendments</w:t>
      </w:r>
    </w:p>
    <w:p w:rsidR="0061111A" w:rsidRDefault="0061111A" w:rsidP="00577975"/>
    <w:p w:rsidR="004402A9" w:rsidRDefault="00393960" w:rsidP="00FE327D">
      <w:pPr>
        <w:rPr>
          <w:b/>
          <w:bCs/>
        </w:rPr>
      </w:pPr>
      <w:r>
        <w:rPr>
          <w:b/>
          <w:bCs/>
        </w:rPr>
        <w:t>Item [1</w:t>
      </w:r>
      <w:r w:rsidR="004402A9">
        <w:rPr>
          <w:b/>
          <w:bCs/>
        </w:rPr>
        <w:t>]</w:t>
      </w:r>
      <w:r w:rsidR="006E66D5">
        <w:rPr>
          <w:b/>
          <w:bCs/>
        </w:rPr>
        <w:t xml:space="preserve"> </w:t>
      </w:r>
      <w:r w:rsidR="004402A9">
        <w:rPr>
          <w:b/>
          <w:bCs/>
        </w:rPr>
        <w:t>– Regulation 12</w:t>
      </w:r>
    </w:p>
    <w:p w:rsidR="004402A9" w:rsidRPr="004402A9" w:rsidRDefault="004402A9" w:rsidP="00FE327D">
      <w:pPr>
        <w:rPr>
          <w:bCs/>
        </w:rPr>
      </w:pPr>
    </w:p>
    <w:p w:rsidR="00366D3F" w:rsidRDefault="00366D3F" w:rsidP="00366D3F">
      <w:pPr>
        <w:rPr>
          <w:iCs/>
        </w:rPr>
      </w:pPr>
      <w:r>
        <w:rPr>
          <w:lang w:val="en-AU"/>
        </w:rPr>
        <w:t xml:space="preserve">Healthcare recipients may wish to include </w:t>
      </w:r>
      <w:r w:rsidR="00A749F4">
        <w:rPr>
          <w:iCs/>
        </w:rPr>
        <w:t xml:space="preserve">in their </w:t>
      </w:r>
      <w:r w:rsidR="008A2E67">
        <w:rPr>
          <w:iCs/>
        </w:rPr>
        <w:t xml:space="preserve">personally controlled electronic health record (PCEHR) </w:t>
      </w:r>
      <w:r>
        <w:rPr>
          <w:lang w:val="en-AU"/>
        </w:rPr>
        <w:t xml:space="preserve">certain </w:t>
      </w:r>
      <w:r w:rsidR="00AC52A8" w:rsidRPr="004402A9">
        <w:rPr>
          <w:iCs/>
        </w:rPr>
        <w:t xml:space="preserve">Veterans’ Affairs </w:t>
      </w:r>
      <w:r w:rsidR="00AC52A8">
        <w:rPr>
          <w:iCs/>
        </w:rPr>
        <w:t xml:space="preserve">Department (DVA) </w:t>
      </w:r>
      <w:r>
        <w:rPr>
          <w:lang w:val="en-AU"/>
        </w:rPr>
        <w:t xml:space="preserve">medical and claims </w:t>
      </w:r>
      <w:r w:rsidRPr="004402A9">
        <w:rPr>
          <w:iCs/>
        </w:rPr>
        <w:t>information</w:t>
      </w:r>
      <w:r>
        <w:rPr>
          <w:iCs/>
        </w:rPr>
        <w:t>.</w:t>
      </w:r>
    </w:p>
    <w:p w:rsidR="00366D3F" w:rsidRDefault="00366D3F" w:rsidP="00366D3F">
      <w:pPr>
        <w:rPr>
          <w:iCs/>
        </w:rPr>
      </w:pPr>
    </w:p>
    <w:p w:rsidR="00016418" w:rsidRDefault="00016418" w:rsidP="00366D3F">
      <w:pPr>
        <w:rPr>
          <w:iCs/>
        </w:rPr>
      </w:pPr>
      <w:r>
        <w:rPr>
          <w:iCs/>
        </w:rPr>
        <w:t xml:space="preserve">In practice, this information is provided by DVA to the Chief Executive Medicare of the Department of Human Services (DHS) for claims processing, and it </w:t>
      </w:r>
      <w:r w:rsidR="00FF1E83">
        <w:rPr>
          <w:iCs/>
        </w:rPr>
        <w:t>is</w:t>
      </w:r>
      <w:r>
        <w:rPr>
          <w:iCs/>
        </w:rPr>
        <w:t xml:space="preserve"> the Chief Executive Medicare, DHS, who provide</w:t>
      </w:r>
      <w:r w:rsidR="00FF1E83">
        <w:rPr>
          <w:iCs/>
        </w:rPr>
        <w:t>s</w:t>
      </w:r>
      <w:r>
        <w:rPr>
          <w:iCs/>
        </w:rPr>
        <w:t xml:space="preserve"> this information to the PCEHR System Operator.</w:t>
      </w:r>
    </w:p>
    <w:p w:rsidR="00016418" w:rsidRDefault="00016418" w:rsidP="00366D3F">
      <w:pPr>
        <w:rPr>
          <w:iCs/>
        </w:rPr>
      </w:pPr>
    </w:p>
    <w:p w:rsidR="00016418" w:rsidRDefault="00366D3F" w:rsidP="00366D3F">
      <w:pPr>
        <w:rPr>
          <w:iCs/>
        </w:rPr>
      </w:pPr>
      <w:r>
        <w:rPr>
          <w:iCs/>
        </w:rPr>
        <w:t xml:space="preserve">Existing regulation 12 </w:t>
      </w:r>
      <w:r w:rsidR="00AC52A8">
        <w:rPr>
          <w:iCs/>
        </w:rPr>
        <w:t xml:space="preserve">authorises the inclusion of compensation and rehabilitation </w:t>
      </w:r>
      <w:r w:rsidR="00016418">
        <w:rPr>
          <w:iCs/>
        </w:rPr>
        <w:t xml:space="preserve">claims </w:t>
      </w:r>
      <w:r w:rsidR="00AC52A8">
        <w:rPr>
          <w:iCs/>
        </w:rPr>
        <w:t>information in a consumer</w:t>
      </w:r>
      <w:r w:rsidR="00016418">
        <w:rPr>
          <w:iCs/>
        </w:rPr>
        <w:t>’s</w:t>
      </w:r>
      <w:r w:rsidR="00AC52A8">
        <w:rPr>
          <w:iCs/>
        </w:rPr>
        <w:t xml:space="preserve"> PCEHR</w:t>
      </w:r>
      <w:r w:rsidR="00016418">
        <w:rPr>
          <w:iCs/>
        </w:rPr>
        <w:t>, with the consumer’s consent</w:t>
      </w:r>
      <w:r w:rsidR="00AC52A8">
        <w:rPr>
          <w:iCs/>
        </w:rPr>
        <w:t xml:space="preserve">.  </w:t>
      </w:r>
      <w:r w:rsidR="00FE68B7">
        <w:rPr>
          <w:iCs/>
        </w:rPr>
        <w:t>Although the authority exists, t</w:t>
      </w:r>
      <w:r w:rsidR="00AC52A8">
        <w:rPr>
          <w:iCs/>
        </w:rPr>
        <w:t xml:space="preserve">his information is not currently </w:t>
      </w:r>
      <w:r w:rsidR="00016418">
        <w:rPr>
          <w:iCs/>
        </w:rPr>
        <w:t xml:space="preserve">provided to or </w:t>
      </w:r>
      <w:r w:rsidR="00AC52A8">
        <w:rPr>
          <w:iCs/>
        </w:rPr>
        <w:t xml:space="preserve">held by the </w:t>
      </w:r>
      <w:r w:rsidR="00016418">
        <w:rPr>
          <w:iCs/>
        </w:rPr>
        <w:t>Chief Executive Medicare, DHS</w:t>
      </w:r>
      <w:r w:rsidR="005D4D66">
        <w:rPr>
          <w:iCs/>
        </w:rPr>
        <w:t>,</w:t>
      </w:r>
      <w:r w:rsidR="00016418">
        <w:rPr>
          <w:iCs/>
        </w:rPr>
        <w:t xml:space="preserve"> so it cannot be included in a consumer’s PCEHR</w:t>
      </w:r>
      <w:r w:rsidR="005D4D66">
        <w:rPr>
          <w:iCs/>
        </w:rPr>
        <w:t>.  H</w:t>
      </w:r>
      <w:r w:rsidR="00016418">
        <w:rPr>
          <w:iCs/>
        </w:rPr>
        <w:t>owever veterans have expressed concern about the potential for this information to be included</w:t>
      </w:r>
      <w:r w:rsidR="005D4D66">
        <w:rPr>
          <w:iCs/>
        </w:rPr>
        <w:t xml:space="preserve"> </w:t>
      </w:r>
      <w:r w:rsidR="00FE68B7">
        <w:rPr>
          <w:iCs/>
        </w:rPr>
        <w:t>in the future and requested that the authority be removed</w:t>
      </w:r>
      <w:r w:rsidR="00016418">
        <w:rPr>
          <w:iCs/>
        </w:rPr>
        <w:t>.</w:t>
      </w:r>
    </w:p>
    <w:p w:rsidR="00016418" w:rsidRDefault="00016418" w:rsidP="00366D3F">
      <w:pPr>
        <w:rPr>
          <w:iCs/>
        </w:rPr>
      </w:pPr>
    </w:p>
    <w:p w:rsidR="00016418" w:rsidRDefault="005D4D66" w:rsidP="00366D3F">
      <w:pPr>
        <w:rPr>
          <w:iCs/>
        </w:rPr>
      </w:pPr>
      <w:r>
        <w:rPr>
          <w:iCs/>
        </w:rPr>
        <w:t>Further, e</w:t>
      </w:r>
      <w:r w:rsidR="00016418">
        <w:rPr>
          <w:iCs/>
        </w:rPr>
        <w:t xml:space="preserve">xisting regulation 12 </w:t>
      </w:r>
      <w:r>
        <w:rPr>
          <w:iCs/>
        </w:rPr>
        <w:t>does not</w:t>
      </w:r>
      <w:r w:rsidR="00016418">
        <w:rPr>
          <w:iCs/>
        </w:rPr>
        <w:t xml:space="preserve"> authorise claims information under the </w:t>
      </w:r>
      <w:r w:rsidR="00016418">
        <w:rPr>
          <w:i/>
          <w:iCs/>
        </w:rPr>
        <w:t>Australian Participants in Nuclear Tests (Treatment) Act 2006</w:t>
      </w:r>
      <w:r w:rsidR="00016418">
        <w:rPr>
          <w:iCs/>
        </w:rPr>
        <w:t xml:space="preserve"> to be included in a consumer’s PCEHR, with consumer consent.</w:t>
      </w:r>
      <w:r>
        <w:rPr>
          <w:iCs/>
        </w:rPr>
        <w:t xml:space="preserve">  This means that certain DVA </w:t>
      </w:r>
      <w:r>
        <w:rPr>
          <w:iCs/>
        </w:rPr>
        <w:lastRenderedPageBreak/>
        <w:t>information held by the Chief Executive Medicare, DHS, cannot be included in a consumer’s PCEHR as intended.</w:t>
      </w:r>
    </w:p>
    <w:p w:rsidR="005D4D66" w:rsidRDefault="005D4D66" w:rsidP="00366D3F">
      <w:pPr>
        <w:rPr>
          <w:iCs/>
        </w:rPr>
      </w:pPr>
    </w:p>
    <w:p w:rsidR="005D4D66" w:rsidRDefault="00366D3F" w:rsidP="004402A9">
      <w:pPr>
        <w:rPr>
          <w:lang w:val="en-AU"/>
        </w:rPr>
      </w:pPr>
      <w:r>
        <w:rPr>
          <w:bCs/>
        </w:rPr>
        <w:t>I</w:t>
      </w:r>
      <w:r w:rsidR="006E66D5">
        <w:rPr>
          <w:bCs/>
        </w:rPr>
        <w:t>tem</w:t>
      </w:r>
      <w:r w:rsidR="004402A9">
        <w:rPr>
          <w:bCs/>
        </w:rPr>
        <w:t xml:space="preserve"> </w:t>
      </w:r>
      <w:r w:rsidR="00393960">
        <w:rPr>
          <w:bCs/>
        </w:rPr>
        <w:t>[1</w:t>
      </w:r>
      <w:r>
        <w:rPr>
          <w:bCs/>
        </w:rPr>
        <w:t xml:space="preserve">] </w:t>
      </w:r>
      <w:r w:rsidR="00AC52A8">
        <w:rPr>
          <w:bCs/>
        </w:rPr>
        <w:t>substitute</w:t>
      </w:r>
      <w:r w:rsidR="00FF1E83">
        <w:rPr>
          <w:bCs/>
        </w:rPr>
        <w:t>s</w:t>
      </w:r>
      <w:r w:rsidR="00AC52A8">
        <w:rPr>
          <w:bCs/>
        </w:rPr>
        <w:t xml:space="preserve"> </w:t>
      </w:r>
      <w:r w:rsidR="004402A9">
        <w:rPr>
          <w:bCs/>
        </w:rPr>
        <w:t xml:space="preserve">regulation 12 </w:t>
      </w:r>
      <w:r w:rsidR="00AC52A8">
        <w:rPr>
          <w:bCs/>
        </w:rPr>
        <w:t xml:space="preserve">with a new regulation 12 which </w:t>
      </w:r>
      <w:r w:rsidR="004402A9">
        <w:rPr>
          <w:bCs/>
        </w:rPr>
        <w:t xml:space="preserve"> ensure</w:t>
      </w:r>
      <w:r w:rsidR="00FF1E83">
        <w:rPr>
          <w:bCs/>
        </w:rPr>
        <w:t>s</w:t>
      </w:r>
      <w:r w:rsidR="004402A9">
        <w:rPr>
          <w:bCs/>
        </w:rPr>
        <w:t xml:space="preserve"> that all </w:t>
      </w:r>
      <w:r w:rsidR="005D4D66">
        <w:rPr>
          <w:bCs/>
        </w:rPr>
        <w:t xml:space="preserve">DVA claims information </w:t>
      </w:r>
      <w:r w:rsidR="002A49AB">
        <w:rPr>
          <w:bCs/>
        </w:rPr>
        <w:t xml:space="preserve">relating to treatment </w:t>
      </w:r>
      <w:r w:rsidR="005D4D66">
        <w:rPr>
          <w:bCs/>
        </w:rPr>
        <w:t>held by the Chief Executive Medicare</w:t>
      </w:r>
      <w:r w:rsidR="00AF1EBA">
        <w:rPr>
          <w:bCs/>
        </w:rPr>
        <w:t>, DHS,</w:t>
      </w:r>
      <w:r w:rsidR="005D4D66">
        <w:rPr>
          <w:bCs/>
        </w:rPr>
        <w:t xml:space="preserve"> </w:t>
      </w:r>
      <w:r w:rsidR="004402A9">
        <w:rPr>
          <w:lang w:val="en-AU"/>
        </w:rPr>
        <w:t xml:space="preserve">can be included in </w:t>
      </w:r>
      <w:r w:rsidR="00050E6B">
        <w:rPr>
          <w:lang w:val="en-AU"/>
        </w:rPr>
        <w:t>the</w:t>
      </w:r>
      <w:r w:rsidR="004402A9">
        <w:rPr>
          <w:lang w:val="en-AU"/>
        </w:rPr>
        <w:t xml:space="preserve"> consumer’s PCEHR</w:t>
      </w:r>
      <w:r w:rsidR="00050E6B">
        <w:rPr>
          <w:lang w:val="en-AU"/>
        </w:rPr>
        <w:t xml:space="preserve"> where </w:t>
      </w:r>
      <w:r w:rsidR="004402A9">
        <w:rPr>
          <w:lang w:val="en-AU"/>
        </w:rPr>
        <w:t>the consumer consent</w:t>
      </w:r>
      <w:r w:rsidR="00050E6B">
        <w:rPr>
          <w:lang w:val="en-AU"/>
        </w:rPr>
        <w:t>s to this occurring</w:t>
      </w:r>
      <w:r w:rsidR="004402A9">
        <w:rPr>
          <w:lang w:val="en-AU"/>
        </w:rPr>
        <w:t>.</w:t>
      </w:r>
    </w:p>
    <w:p w:rsidR="005D4D66" w:rsidRDefault="005D4D66" w:rsidP="004402A9">
      <w:pPr>
        <w:rPr>
          <w:lang w:val="en-AU"/>
        </w:rPr>
      </w:pPr>
    </w:p>
    <w:p w:rsidR="005D4D66" w:rsidRDefault="005D4D66" w:rsidP="004402A9">
      <w:pPr>
        <w:rPr>
          <w:lang w:val="en-AU"/>
        </w:rPr>
      </w:pPr>
      <w:r>
        <w:rPr>
          <w:lang w:val="en-AU"/>
        </w:rPr>
        <w:t>This amendment targets the specific DVA information held by the Chief Executive Medicare, DHS, which is Repatriation Pharmaceutical Benefits claims and Treatment Account Processing claims (for medical, allied health and hospital claims).</w:t>
      </w:r>
    </w:p>
    <w:p w:rsidR="005D4D66" w:rsidRDefault="005D4D66" w:rsidP="004402A9">
      <w:pPr>
        <w:rPr>
          <w:lang w:val="en-AU"/>
        </w:rPr>
      </w:pPr>
    </w:p>
    <w:p w:rsidR="004402A9" w:rsidRDefault="005D4D66" w:rsidP="004402A9">
      <w:pPr>
        <w:rPr>
          <w:lang w:val="en-AU"/>
        </w:rPr>
      </w:pPr>
      <w:r>
        <w:rPr>
          <w:lang w:val="en-AU"/>
        </w:rPr>
        <w:t>If at a future time the Chief Executive Medicare, DHS, holds additional DVA information, that additional information may not be authorised by this regulation to be included in a consumer’s PCEHR (with the consumer’s consent), and any legislative change will need to be the subject of consultation with DHS and DVA.</w:t>
      </w:r>
      <w:r w:rsidR="004402A9">
        <w:rPr>
          <w:lang w:val="en-AU"/>
        </w:rPr>
        <w:t xml:space="preserve"> </w:t>
      </w:r>
    </w:p>
    <w:p w:rsidR="00AC52A8" w:rsidRPr="004402A9" w:rsidRDefault="00AC52A8" w:rsidP="004402A9">
      <w:pPr>
        <w:rPr>
          <w:iCs/>
        </w:rPr>
      </w:pPr>
    </w:p>
    <w:p w:rsidR="00FE327D" w:rsidRPr="00883A9A" w:rsidRDefault="00393960" w:rsidP="00FE327D">
      <w:pPr>
        <w:rPr>
          <w:lang w:val="en-AU"/>
        </w:rPr>
      </w:pPr>
      <w:r>
        <w:rPr>
          <w:b/>
          <w:lang w:val="en-AU"/>
        </w:rPr>
        <w:t>Item [2</w:t>
      </w:r>
      <w:r w:rsidR="006E66D5">
        <w:rPr>
          <w:b/>
          <w:lang w:val="en-AU"/>
        </w:rPr>
        <w:t>]</w:t>
      </w:r>
      <w:r w:rsidR="00883A9A">
        <w:rPr>
          <w:lang w:val="en-AU"/>
        </w:rPr>
        <w:t xml:space="preserve"> – </w:t>
      </w:r>
      <w:r w:rsidR="009B1DC6">
        <w:rPr>
          <w:b/>
          <w:bCs/>
        </w:rPr>
        <w:t>After regulation 14</w:t>
      </w:r>
    </w:p>
    <w:p w:rsidR="00FE327D" w:rsidRPr="00E23274" w:rsidRDefault="00FE327D" w:rsidP="00FE327D"/>
    <w:p w:rsidR="00BC42DB" w:rsidRDefault="00BC42DB" w:rsidP="00BC42DB">
      <w:pPr>
        <w:pStyle w:val="BodyTextIndent3"/>
        <w:spacing w:after="0"/>
        <w:ind w:left="0"/>
        <w:rPr>
          <w:iCs/>
          <w:sz w:val="24"/>
          <w:szCs w:val="24"/>
        </w:rPr>
      </w:pPr>
      <w:r w:rsidRPr="00BC42DB">
        <w:rPr>
          <w:iCs/>
          <w:sz w:val="24"/>
          <w:szCs w:val="24"/>
        </w:rPr>
        <w:t xml:space="preserve">The PCEHR system enables minors and persons without capacity to have a PCEHR through the involvement of an authorised representative.  In order for a person to be recognised as an authorised representative, the PCEHR System Operator must make a decision as to whether the person meets the eligibility criteria set out in </w:t>
      </w:r>
      <w:r w:rsidR="00883A9A">
        <w:rPr>
          <w:iCs/>
          <w:sz w:val="24"/>
          <w:szCs w:val="24"/>
        </w:rPr>
        <w:t xml:space="preserve">section 6 of </w:t>
      </w:r>
      <w:r w:rsidRPr="00BC42DB">
        <w:rPr>
          <w:iCs/>
          <w:sz w:val="24"/>
          <w:szCs w:val="24"/>
        </w:rPr>
        <w:t>the PCEHR Act.</w:t>
      </w:r>
    </w:p>
    <w:p w:rsidR="00BC42DB" w:rsidRPr="00BC42DB" w:rsidRDefault="00BC42DB" w:rsidP="00BC42DB">
      <w:pPr>
        <w:pStyle w:val="BodyTextIndent3"/>
        <w:spacing w:after="0"/>
        <w:ind w:left="0"/>
        <w:rPr>
          <w:iCs/>
          <w:sz w:val="24"/>
          <w:szCs w:val="24"/>
        </w:rPr>
      </w:pPr>
    </w:p>
    <w:p w:rsidR="00BC42DB" w:rsidRPr="00BC42DB" w:rsidRDefault="00BC42DB" w:rsidP="00BC42DB">
      <w:pPr>
        <w:pStyle w:val="BodyTextIndent3"/>
        <w:spacing w:after="0"/>
        <w:ind w:left="0"/>
        <w:rPr>
          <w:iCs/>
          <w:sz w:val="24"/>
          <w:szCs w:val="24"/>
        </w:rPr>
      </w:pPr>
      <w:r w:rsidRPr="00BC42DB">
        <w:rPr>
          <w:iCs/>
          <w:sz w:val="24"/>
          <w:szCs w:val="24"/>
        </w:rPr>
        <w:t xml:space="preserve">The PCEHR Act and HI Act currently enable the PCEHR System Operator, </w:t>
      </w:r>
      <w:r w:rsidR="00177CE5">
        <w:rPr>
          <w:iCs/>
          <w:sz w:val="24"/>
          <w:szCs w:val="24"/>
        </w:rPr>
        <w:t>the</w:t>
      </w:r>
      <w:r w:rsidRPr="00BC42DB">
        <w:rPr>
          <w:iCs/>
          <w:sz w:val="24"/>
          <w:szCs w:val="24"/>
        </w:rPr>
        <w:t xml:space="preserve"> </w:t>
      </w:r>
      <w:r w:rsidR="00177CE5">
        <w:rPr>
          <w:iCs/>
          <w:sz w:val="24"/>
          <w:szCs w:val="24"/>
        </w:rPr>
        <w:t>s</w:t>
      </w:r>
      <w:r w:rsidRPr="00BC42DB">
        <w:rPr>
          <w:iCs/>
          <w:sz w:val="24"/>
          <w:szCs w:val="24"/>
        </w:rPr>
        <w:t xml:space="preserve">ervice </w:t>
      </w:r>
      <w:r w:rsidR="00177CE5">
        <w:rPr>
          <w:iCs/>
          <w:sz w:val="24"/>
          <w:szCs w:val="24"/>
        </w:rPr>
        <w:t>o</w:t>
      </w:r>
      <w:r w:rsidRPr="00BC42DB">
        <w:rPr>
          <w:iCs/>
          <w:sz w:val="24"/>
          <w:szCs w:val="24"/>
        </w:rPr>
        <w:t xml:space="preserve">perator and Chief Executive Medicare to collect, use and disclose identifying information and healthcare identifiers of individuals who </w:t>
      </w:r>
      <w:r w:rsidRPr="00883A9A">
        <w:rPr>
          <w:iCs/>
          <w:sz w:val="24"/>
          <w:szCs w:val="24"/>
        </w:rPr>
        <w:t>are</w:t>
      </w:r>
      <w:r w:rsidRPr="00BC42DB">
        <w:rPr>
          <w:iCs/>
          <w:sz w:val="24"/>
          <w:szCs w:val="24"/>
        </w:rPr>
        <w:t xml:space="preserve"> authorised representatives primarily for the purpose of verifying their identity</w:t>
      </w:r>
      <w:r w:rsidR="00F86B73">
        <w:rPr>
          <w:iCs/>
          <w:sz w:val="24"/>
          <w:szCs w:val="24"/>
        </w:rPr>
        <w:t>.</w:t>
      </w:r>
      <w:r w:rsidRPr="00BC42DB">
        <w:rPr>
          <w:iCs/>
          <w:sz w:val="24"/>
          <w:szCs w:val="24"/>
        </w:rPr>
        <w:t xml:space="preserve"> </w:t>
      </w:r>
      <w:r w:rsidR="00730781">
        <w:rPr>
          <w:iCs/>
          <w:sz w:val="24"/>
          <w:szCs w:val="24"/>
        </w:rPr>
        <w:t xml:space="preserve"> </w:t>
      </w:r>
      <w:r w:rsidRPr="00BC42DB">
        <w:rPr>
          <w:iCs/>
          <w:sz w:val="24"/>
          <w:szCs w:val="24"/>
        </w:rPr>
        <w:t xml:space="preserve">However, there is some </w:t>
      </w:r>
      <w:r w:rsidR="00730781">
        <w:rPr>
          <w:iCs/>
          <w:sz w:val="24"/>
          <w:szCs w:val="24"/>
        </w:rPr>
        <w:t xml:space="preserve">ambiguity </w:t>
      </w:r>
      <w:r w:rsidR="00F86B73">
        <w:rPr>
          <w:iCs/>
          <w:sz w:val="24"/>
          <w:szCs w:val="24"/>
        </w:rPr>
        <w:t xml:space="preserve">about whether existing provisions </w:t>
      </w:r>
      <w:r w:rsidR="004A5C85">
        <w:rPr>
          <w:iCs/>
          <w:sz w:val="24"/>
          <w:szCs w:val="24"/>
        </w:rPr>
        <w:t>permit</w:t>
      </w:r>
      <w:r w:rsidR="00F86B73">
        <w:rPr>
          <w:iCs/>
          <w:sz w:val="24"/>
          <w:szCs w:val="24"/>
        </w:rPr>
        <w:t xml:space="preserve"> the collection, use and disclosure of </w:t>
      </w:r>
      <w:r w:rsidR="004A5C85">
        <w:rPr>
          <w:iCs/>
          <w:sz w:val="24"/>
          <w:szCs w:val="24"/>
        </w:rPr>
        <w:t>healthcare identifiers and identifying information of a</w:t>
      </w:r>
      <w:r w:rsidR="00F95785" w:rsidRPr="00BC42DB">
        <w:rPr>
          <w:iCs/>
          <w:sz w:val="24"/>
          <w:szCs w:val="24"/>
        </w:rPr>
        <w:t xml:space="preserve"> prospective authorised representative</w:t>
      </w:r>
      <w:r w:rsidR="00F95785">
        <w:rPr>
          <w:iCs/>
          <w:sz w:val="24"/>
          <w:szCs w:val="24"/>
        </w:rPr>
        <w:t xml:space="preserve"> </w:t>
      </w:r>
      <w:r w:rsidR="004A5C85">
        <w:rPr>
          <w:iCs/>
          <w:sz w:val="24"/>
          <w:szCs w:val="24"/>
        </w:rPr>
        <w:t>person</w:t>
      </w:r>
      <w:r w:rsidR="00F95785">
        <w:rPr>
          <w:iCs/>
          <w:sz w:val="24"/>
          <w:szCs w:val="24"/>
        </w:rPr>
        <w:t xml:space="preserve"> – that is, a person</w:t>
      </w:r>
      <w:r w:rsidR="004A5C85">
        <w:rPr>
          <w:iCs/>
          <w:sz w:val="24"/>
          <w:szCs w:val="24"/>
        </w:rPr>
        <w:t xml:space="preserve"> seeking to be recognised as </w:t>
      </w:r>
      <w:r w:rsidRPr="00BC42DB">
        <w:rPr>
          <w:iCs/>
          <w:sz w:val="24"/>
          <w:szCs w:val="24"/>
        </w:rPr>
        <w:t>an authorised representative of a consumer</w:t>
      </w:r>
      <w:r w:rsidR="004A5C85">
        <w:rPr>
          <w:iCs/>
          <w:sz w:val="24"/>
          <w:szCs w:val="24"/>
        </w:rPr>
        <w:t xml:space="preserve">.  In order for the PCEHR system to function as intended, especially in an online environment, it is necessary that such collection, use and disclosure be permitted. </w:t>
      </w:r>
    </w:p>
    <w:p w:rsidR="00FF1E83" w:rsidRDefault="00FF1E83" w:rsidP="00CF3979">
      <w:pPr>
        <w:pStyle w:val="Subtitle"/>
        <w:rPr>
          <w:szCs w:val="24"/>
          <w:u w:val="none"/>
          <w:lang w:val="en-US"/>
        </w:rPr>
      </w:pPr>
    </w:p>
    <w:p w:rsidR="00CF3979" w:rsidRDefault="00FF1E83" w:rsidP="00CF3979">
      <w:pPr>
        <w:pStyle w:val="Subtitle"/>
        <w:rPr>
          <w:u w:val="none"/>
        </w:rPr>
      </w:pPr>
      <w:r>
        <w:rPr>
          <w:u w:val="none"/>
        </w:rPr>
        <w:t>R</w:t>
      </w:r>
      <w:r w:rsidR="00883A9A">
        <w:rPr>
          <w:u w:val="none"/>
        </w:rPr>
        <w:t>egu</w:t>
      </w:r>
      <w:r w:rsidR="0029567A">
        <w:rPr>
          <w:u w:val="none"/>
        </w:rPr>
        <w:t>l</w:t>
      </w:r>
      <w:r w:rsidR="00883A9A">
        <w:rPr>
          <w:u w:val="none"/>
        </w:rPr>
        <w:t>ation</w:t>
      </w:r>
      <w:r w:rsidR="002B143B">
        <w:rPr>
          <w:u w:val="none"/>
        </w:rPr>
        <w:t xml:space="preserve"> </w:t>
      </w:r>
      <w:r w:rsidR="004019AE">
        <w:rPr>
          <w:u w:val="none"/>
        </w:rPr>
        <w:t>1</w:t>
      </w:r>
      <w:r w:rsidR="009B1DC6">
        <w:rPr>
          <w:u w:val="none"/>
        </w:rPr>
        <w:t>5</w:t>
      </w:r>
      <w:r w:rsidR="004019AE">
        <w:rPr>
          <w:u w:val="none"/>
        </w:rPr>
        <w:t xml:space="preserve"> </w:t>
      </w:r>
      <w:r w:rsidR="004A5C85">
        <w:rPr>
          <w:u w:val="none"/>
        </w:rPr>
        <w:t>clarif</w:t>
      </w:r>
      <w:r>
        <w:rPr>
          <w:u w:val="none"/>
        </w:rPr>
        <w:t xml:space="preserve">ies </w:t>
      </w:r>
      <w:r w:rsidR="004A5C85">
        <w:rPr>
          <w:u w:val="none"/>
        </w:rPr>
        <w:t xml:space="preserve">that </w:t>
      </w:r>
      <w:r w:rsidR="00F92A57">
        <w:rPr>
          <w:u w:val="none"/>
        </w:rPr>
        <w:t xml:space="preserve">the </w:t>
      </w:r>
      <w:r w:rsidR="009B1DC6">
        <w:rPr>
          <w:u w:val="none"/>
        </w:rPr>
        <w:t xml:space="preserve">PCEHR System Operator, </w:t>
      </w:r>
      <w:r w:rsidR="004A5C85">
        <w:rPr>
          <w:u w:val="none"/>
        </w:rPr>
        <w:t>the s</w:t>
      </w:r>
      <w:r w:rsidR="009B1DC6">
        <w:rPr>
          <w:u w:val="none"/>
        </w:rPr>
        <w:t xml:space="preserve">ervice </w:t>
      </w:r>
      <w:r w:rsidR="004A5C85">
        <w:rPr>
          <w:u w:val="none"/>
        </w:rPr>
        <w:t>o</w:t>
      </w:r>
      <w:r w:rsidR="009B1DC6">
        <w:rPr>
          <w:u w:val="none"/>
        </w:rPr>
        <w:t>perator and Chief Executive Medicare</w:t>
      </w:r>
      <w:r w:rsidR="004A5C85">
        <w:rPr>
          <w:u w:val="none"/>
        </w:rPr>
        <w:t xml:space="preserve"> are authorised </w:t>
      </w:r>
      <w:r w:rsidR="00F92A57">
        <w:rPr>
          <w:u w:val="none"/>
        </w:rPr>
        <w:t xml:space="preserve">to </w:t>
      </w:r>
      <w:r w:rsidR="00254E16">
        <w:rPr>
          <w:u w:val="none"/>
        </w:rPr>
        <w:t xml:space="preserve">collect, use and </w:t>
      </w:r>
      <w:r w:rsidR="00F92A57">
        <w:rPr>
          <w:u w:val="none"/>
        </w:rPr>
        <w:t>disclose</w:t>
      </w:r>
      <w:r w:rsidR="00883A9A">
        <w:rPr>
          <w:u w:val="none"/>
        </w:rPr>
        <w:t xml:space="preserve"> to participants</w:t>
      </w:r>
      <w:r w:rsidR="0000709F">
        <w:rPr>
          <w:u w:val="none"/>
        </w:rPr>
        <w:t xml:space="preserve"> in the PCEHR system</w:t>
      </w:r>
      <w:r w:rsidR="00883A9A">
        <w:rPr>
          <w:u w:val="none"/>
        </w:rPr>
        <w:t xml:space="preserve"> </w:t>
      </w:r>
      <w:r w:rsidR="00F92A57">
        <w:rPr>
          <w:u w:val="none"/>
        </w:rPr>
        <w:t>identifying information and the healthcare identifier of</w:t>
      </w:r>
      <w:r w:rsidR="00BC42DB">
        <w:rPr>
          <w:u w:val="none"/>
        </w:rPr>
        <w:t xml:space="preserve"> </w:t>
      </w:r>
      <w:r w:rsidR="009B1DC6">
        <w:rPr>
          <w:u w:val="none"/>
        </w:rPr>
        <w:t xml:space="preserve">a person seeking to be </w:t>
      </w:r>
      <w:r w:rsidR="00883A9A">
        <w:rPr>
          <w:u w:val="none"/>
        </w:rPr>
        <w:t>recognised by the PCEHR System O</w:t>
      </w:r>
      <w:r w:rsidR="009B1DC6">
        <w:rPr>
          <w:u w:val="none"/>
        </w:rPr>
        <w:t>perator as a consumer’s authorised representative.</w:t>
      </w:r>
    </w:p>
    <w:p w:rsidR="00B71A87" w:rsidRDefault="00B71A87" w:rsidP="00CF3979">
      <w:pPr>
        <w:pStyle w:val="Subtitle"/>
        <w:rPr>
          <w:u w:val="none"/>
        </w:rPr>
      </w:pPr>
    </w:p>
    <w:p w:rsidR="00B71A87" w:rsidRDefault="00B71A87">
      <w:pPr>
        <w:rPr>
          <w:szCs w:val="20"/>
          <w:lang w:val="en-AU"/>
        </w:rPr>
      </w:pPr>
      <w:r>
        <w:br w:type="page"/>
      </w:r>
    </w:p>
    <w:p w:rsidR="00B71A87" w:rsidRPr="005808E4" w:rsidRDefault="00B71A87" w:rsidP="00B71A87">
      <w:pPr>
        <w:spacing w:before="120" w:after="120"/>
        <w:jc w:val="center"/>
        <w:rPr>
          <w:b/>
        </w:rPr>
      </w:pPr>
      <w:r w:rsidRPr="005808E4">
        <w:rPr>
          <w:b/>
        </w:rPr>
        <w:lastRenderedPageBreak/>
        <w:t>Statement of Compatibility with Human Rights</w:t>
      </w:r>
    </w:p>
    <w:p w:rsidR="00B71A87" w:rsidRPr="005808E4" w:rsidRDefault="00B71A87" w:rsidP="00B71A87">
      <w:pPr>
        <w:spacing w:before="120" w:after="120"/>
        <w:jc w:val="center"/>
      </w:pPr>
      <w:r w:rsidRPr="005808E4">
        <w:rPr>
          <w:i/>
        </w:rPr>
        <w:t>Prepared in accordance with Part 3 of the Human Rights (Parliamentary Scrutiny) Act 2011</w:t>
      </w:r>
    </w:p>
    <w:p w:rsidR="00B71A87" w:rsidRPr="005808E4" w:rsidRDefault="00B71A87" w:rsidP="00B71A87">
      <w:pPr>
        <w:jc w:val="both"/>
        <w:rPr>
          <w:b/>
        </w:rPr>
      </w:pPr>
    </w:p>
    <w:p w:rsidR="00B71A87" w:rsidRPr="000608AF" w:rsidRDefault="00B71A87" w:rsidP="00B71A87">
      <w:pPr>
        <w:spacing w:after="120"/>
        <w:jc w:val="center"/>
        <w:rPr>
          <w:b/>
          <w:i/>
        </w:rPr>
      </w:pPr>
      <w:r w:rsidRPr="000608AF">
        <w:rPr>
          <w:b/>
          <w:i/>
        </w:rPr>
        <w:t xml:space="preserve">Healthcare Identifiers Amendment </w:t>
      </w:r>
      <w:r>
        <w:rPr>
          <w:b/>
          <w:i/>
        </w:rPr>
        <w:t>(PCEHR System Information</w:t>
      </w:r>
      <w:r w:rsidR="004C6D3E">
        <w:rPr>
          <w:b/>
          <w:i/>
        </w:rPr>
        <w:t>)</w:t>
      </w:r>
      <w:r>
        <w:rPr>
          <w:b/>
          <w:i/>
        </w:rPr>
        <w:t xml:space="preserve"> </w:t>
      </w:r>
      <w:r w:rsidRPr="000608AF">
        <w:rPr>
          <w:b/>
          <w:i/>
        </w:rPr>
        <w:t xml:space="preserve">Regulation 2013 </w:t>
      </w:r>
    </w:p>
    <w:p w:rsidR="00B71A87" w:rsidRPr="005808E4" w:rsidRDefault="00B71A87" w:rsidP="00B71A87">
      <w:pPr>
        <w:spacing w:before="120" w:after="120"/>
        <w:jc w:val="center"/>
      </w:pPr>
      <w:r w:rsidRPr="005808E4">
        <w:t xml:space="preserve">This Regulation is compatible with the human rights and freedoms </w:t>
      </w:r>
      <w:proofErr w:type="spellStart"/>
      <w:r w:rsidRPr="005808E4">
        <w:t>recognised</w:t>
      </w:r>
      <w:proofErr w:type="spellEnd"/>
      <w:r w:rsidRPr="005808E4">
        <w:t xml:space="preserve"> or declared in the international instruments listed in section 3 of the </w:t>
      </w:r>
      <w:r w:rsidRPr="005808E4">
        <w:rPr>
          <w:i/>
        </w:rPr>
        <w:t>Human Rights (Parliamentary Scrutiny) Act 2011</w:t>
      </w:r>
      <w:r w:rsidRPr="005808E4">
        <w:t>.</w:t>
      </w:r>
    </w:p>
    <w:p w:rsidR="00B71A87" w:rsidRPr="005808E4" w:rsidRDefault="00B71A87" w:rsidP="00B71A87">
      <w:pPr>
        <w:jc w:val="both"/>
        <w:rPr>
          <w:b/>
        </w:rPr>
      </w:pPr>
    </w:p>
    <w:p w:rsidR="00B71A87" w:rsidRPr="005808E4" w:rsidRDefault="00B71A87" w:rsidP="00B71A87">
      <w:pPr>
        <w:spacing w:after="60"/>
        <w:jc w:val="both"/>
        <w:rPr>
          <w:b/>
        </w:rPr>
      </w:pPr>
      <w:r w:rsidRPr="005808E4">
        <w:rPr>
          <w:b/>
        </w:rPr>
        <w:t>Overview of the Regulation</w:t>
      </w:r>
    </w:p>
    <w:p w:rsidR="00B71A87" w:rsidRPr="005808E4" w:rsidRDefault="00B71A87" w:rsidP="00B71A87">
      <w:r w:rsidRPr="005808E4">
        <w:t xml:space="preserve">The Regulation makes amendments to the </w:t>
      </w:r>
      <w:r w:rsidRPr="005808E4">
        <w:rPr>
          <w:i/>
          <w:iCs/>
        </w:rPr>
        <w:t>Healthcare Identifiers Regulations 2010</w:t>
      </w:r>
      <w:r w:rsidRPr="005808E4">
        <w:t xml:space="preserve"> to support the additional processes and information flows that have arisen as a result of the implementation of the personally controlled electronic health record (PCEHR) system as established by the </w:t>
      </w:r>
      <w:r w:rsidRPr="005808E4">
        <w:rPr>
          <w:i/>
          <w:iCs/>
        </w:rPr>
        <w:t xml:space="preserve">Personally Controlled Electronic Health Records Act 2012 </w:t>
      </w:r>
      <w:r w:rsidRPr="005808E4">
        <w:t>(PCEHR Act).</w:t>
      </w:r>
    </w:p>
    <w:p w:rsidR="00B71A87" w:rsidRPr="005808E4" w:rsidRDefault="00B71A87" w:rsidP="00B71A87"/>
    <w:p w:rsidR="00B71A87" w:rsidRPr="005808E4" w:rsidRDefault="00B71A87" w:rsidP="00B71A87">
      <w:pPr>
        <w:spacing w:after="60"/>
      </w:pPr>
      <w:r w:rsidRPr="005808E4">
        <w:t>The Regulation will:</w:t>
      </w:r>
    </w:p>
    <w:p w:rsidR="00B71A87" w:rsidRPr="005808E4" w:rsidRDefault="00B71A87" w:rsidP="00B71A87">
      <w:pPr>
        <w:pStyle w:val="ListParagraph"/>
        <w:numPr>
          <w:ilvl w:val="0"/>
          <w:numId w:val="19"/>
        </w:numPr>
        <w:spacing w:after="60"/>
      </w:pPr>
      <w:r w:rsidRPr="005808E4">
        <w:t xml:space="preserve">clarify that if a consumer seeks to be </w:t>
      </w:r>
      <w:proofErr w:type="spellStart"/>
      <w:r w:rsidRPr="005808E4">
        <w:t>recognised</w:t>
      </w:r>
      <w:proofErr w:type="spellEnd"/>
      <w:r w:rsidRPr="005808E4">
        <w:t xml:space="preserve"> by the </w:t>
      </w:r>
      <w:proofErr w:type="spellStart"/>
      <w:r w:rsidRPr="005808E4">
        <w:t>PCEHR</w:t>
      </w:r>
      <w:proofErr w:type="spellEnd"/>
      <w:r w:rsidRPr="005808E4">
        <w:t xml:space="preserve"> System Operator as the </w:t>
      </w:r>
      <w:proofErr w:type="spellStart"/>
      <w:r w:rsidRPr="005808E4">
        <w:t>authorised</w:t>
      </w:r>
      <w:proofErr w:type="spellEnd"/>
      <w:r w:rsidRPr="005808E4">
        <w:t xml:space="preserve"> representative of another person, and register that other person for a PCEHR, the System Operator is permitted to use the identifying information and healthcare identifier of the consumer in order to verify their identity </w:t>
      </w:r>
      <w:r w:rsidRPr="005808E4">
        <w:rPr>
          <w:b/>
        </w:rPr>
        <w:t xml:space="preserve">before </w:t>
      </w:r>
      <w:r w:rsidRPr="005808E4">
        <w:t xml:space="preserve">deciding whether to </w:t>
      </w:r>
      <w:proofErr w:type="spellStart"/>
      <w:r w:rsidRPr="005808E4">
        <w:t>recognise</w:t>
      </w:r>
      <w:proofErr w:type="spellEnd"/>
      <w:r w:rsidRPr="005808E4">
        <w:t xml:space="preserve"> them as an </w:t>
      </w:r>
      <w:proofErr w:type="spellStart"/>
      <w:r w:rsidRPr="005808E4">
        <w:t>authorised</w:t>
      </w:r>
      <w:proofErr w:type="spellEnd"/>
      <w:r w:rsidRPr="005808E4">
        <w:t xml:space="preserve"> representative;</w:t>
      </w:r>
      <w:r>
        <w:t xml:space="preserve"> and</w:t>
      </w:r>
    </w:p>
    <w:p w:rsidR="00B71A87" w:rsidRPr="005808E4" w:rsidRDefault="00B71A87" w:rsidP="00B71A87">
      <w:pPr>
        <w:pStyle w:val="ListParagraph"/>
        <w:numPr>
          <w:ilvl w:val="0"/>
          <w:numId w:val="19"/>
        </w:numPr>
        <w:ind w:left="357" w:hanging="357"/>
        <w:contextualSpacing w:val="0"/>
      </w:pPr>
      <w:r w:rsidRPr="005808E4">
        <w:t xml:space="preserve">ensure that </w:t>
      </w:r>
      <w:r w:rsidRPr="005808E4">
        <w:rPr>
          <w:b/>
        </w:rPr>
        <w:t>all</w:t>
      </w:r>
      <w:r w:rsidRPr="005808E4">
        <w:t xml:space="preserve"> Veterans’ Affair Department</w:t>
      </w:r>
      <w:r>
        <w:t xml:space="preserve"> (DVA)</w:t>
      </w:r>
      <w:r w:rsidRPr="005808E4">
        <w:t xml:space="preserve"> information which relates to health and medical claims which is held by the Department of Human Services can be included in a consumer’s PCEHR if the consumer gives consent.</w:t>
      </w:r>
    </w:p>
    <w:p w:rsidR="00B71A87" w:rsidRPr="005808E4" w:rsidRDefault="00B71A87" w:rsidP="00B71A87">
      <w:pPr>
        <w:rPr>
          <w:b/>
        </w:rPr>
      </w:pPr>
    </w:p>
    <w:p w:rsidR="00B71A87" w:rsidRPr="005808E4" w:rsidRDefault="00B71A87" w:rsidP="00B71A87">
      <w:pPr>
        <w:spacing w:after="60"/>
        <w:rPr>
          <w:b/>
        </w:rPr>
      </w:pPr>
      <w:r w:rsidRPr="005808E4">
        <w:rPr>
          <w:b/>
        </w:rPr>
        <w:t>Human rights implications</w:t>
      </w:r>
    </w:p>
    <w:p w:rsidR="00B71A87" w:rsidRPr="005808E4" w:rsidRDefault="00B71A87" w:rsidP="00B71A87">
      <w:pPr>
        <w:rPr>
          <w:bCs/>
        </w:rPr>
      </w:pPr>
      <w:r>
        <w:rPr>
          <w:bCs/>
        </w:rPr>
        <w:t xml:space="preserve">The </w:t>
      </w:r>
      <w:r w:rsidRPr="005808E4">
        <w:rPr>
          <w:bCs/>
        </w:rPr>
        <w:t>Regulation engages the following human right</w:t>
      </w:r>
      <w:r>
        <w:rPr>
          <w:bCs/>
        </w:rPr>
        <w:t>s</w:t>
      </w:r>
      <w:r w:rsidRPr="005808E4">
        <w:rPr>
          <w:bCs/>
        </w:rPr>
        <w:t>:</w:t>
      </w:r>
    </w:p>
    <w:p w:rsidR="00B71A87" w:rsidRPr="005808E4" w:rsidRDefault="00B71A87" w:rsidP="00B71A87">
      <w:pPr>
        <w:rPr>
          <w:bCs/>
          <w:i/>
          <w:iCs/>
        </w:rPr>
      </w:pPr>
    </w:p>
    <w:p w:rsidR="00B71A87" w:rsidRPr="005808E4" w:rsidRDefault="00B71A87" w:rsidP="00B71A87">
      <w:pPr>
        <w:rPr>
          <w:bCs/>
        </w:rPr>
      </w:pPr>
      <w:r w:rsidRPr="005808E4">
        <w:rPr>
          <w:bCs/>
          <w:i/>
          <w:iCs/>
        </w:rPr>
        <w:t xml:space="preserve">Right to </w:t>
      </w:r>
      <w:r w:rsidRPr="005808E4">
        <w:rPr>
          <w:bCs/>
          <w:i/>
        </w:rPr>
        <w:t>Protection of privacy and reputation</w:t>
      </w:r>
    </w:p>
    <w:p w:rsidR="00B71A87" w:rsidRPr="005808E4" w:rsidRDefault="00B71A87" w:rsidP="00B71A87">
      <w:pPr>
        <w:rPr>
          <w:bCs/>
        </w:rPr>
      </w:pPr>
      <w:r w:rsidRPr="005808E4">
        <w:rPr>
          <w:bCs/>
        </w:rPr>
        <w:t>Article 17 of the International Covenant on Civil and Political Rights</w:t>
      </w:r>
      <w:r>
        <w:rPr>
          <w:bCs/>
        </w:rPr>
        <w:t xml:space="preserve"> (ICCPR)</w:t>
      </w:r>
      <w:r w:rsidRPr="005808E4">
        <w:rPr>
          <w:bCs/>
        </w:rPr>
        <w:t xml:space="preserve"> guarantees protection from unlawful interference with a person’s privacy and from unlawful attacks on a person’s </w:t>
      </w:r>
      <w:proofErr w:type="spellStart"/>
      <w:r w:rsidRPr="005808E4">
        <w:rPr>
          <w:bCs/>
        </w:rPr>
        <w:t>honour</w:t>
      </w:r>
      <w:proofErr w:type="spellEnd"/>
      <w:r w:rsidRPr="005808E4">
        <w:rPr>
          <w:bCs/>
        </w:rPr>
        <w:t xml:space="preserve"> and reputation.  </w:t>
      </w:r>
    </w:p>
    <w:p w:rsidR="00B71A87" w:rsidRPr="005808E4" w:rsidRDefault="00B71A87" w:rsidP="00B71A87">
      <w:pPr>
        <w:rPr>
          <w:bCs/>
        </w:rPr>
      </w:pPr>
    </w:p>
    <w:p w:rsidR="00B71A87" w:rsidRPr="005808E4" w:rsidRDefault="00B71A87" w:rsidP="00B71A87">
      <w:pPr>
        <w:rPr>
          <w:bCs/>
        </w:rPr>
      </w:pPr>
      <w:r>
        <w:rPr>
          <w:bCs/>
        </w:rPr>
        <w:t xml:space="preserve">Amendment 1 of the </w:t>
      </w:r>
      <w:r w:rsidRPr="005808E4">
        <w:rPr>
          <w:bCs/>
        </w:rPr>
        <w:t xml:space="preserve">Regulation prescribes a circumstance, additional to those prescribed in the </w:t>
      </w:r>
      <w:r w:rsidRPr="005808E4">
        <w:rPr>
          <w:bCs/>
          <w:i/>
          <w:iCs/>
        </w:rPr>
        <w:t xml:space="preserve">Healthcare Identifiers Act 2010 </w:t>
      </w:r>
      <w:r w:rsidRPr="005808E4">
        <w:rPr>
          <w:bCs/>
        </w:rPr>
        <w:t xml:space="preserve">(HI Act), in which identifying information and healthcare identifiers of certain persons can be collected, used and disclosed.  This additional circumstance is necessary for the operation of the PCEHR system </w:t>
      </w:r>
      <w:r>
        <w:rPr>
          <w:bCs/>
        </w:rPr>
        <w:t xml:space="preserve">– </w:t>
      </w:r>
      <w:r w:rsidRPr="005808E4">
        <w:rPr>
          <w:bCs/>
        </w:rPr>
        <w:t xml:space="preserve">the PCEHR System Operator cannot make a decision whether or not to </w:t>
      </w:r>
      <w:proofErr w:type="spellStart"/>
      <w:r w:rsidRPr="005808E4">
        <w:rPr>
          <w:bCs/>
        </w:rPr>
        <w:t>recognise</w:t>
      </w:r>
      <w:proofErr w:type="spellEnd"/>
      <w:r w:rsidRPr="005808E4">
        <w:rPr>
          <w:bCs/>
        </w:rPr>
        <w:t xml:space="preserve"> a consumer as an </w:t>
      </w:r>
      <w:proofErr w:type="spellStart"/>
      <w:r w:rsidRPr="005808E4">
        <w:rPr>
          <w:bCs/>
        </w:rPr>
        <w:t>authorised</w:t>
      </w:r>
      <w:proofErr w:type="spellEnd"/>
      <w:r w:rsidRPr="005808E4">
        <w:rPr>
          <w:bCs/>
        </w:rPr>
        <w:t xml:space="preserve"> representative unless their identity can be ve</w:t>
      </w:r>
      <w:r>
        <w:rPr>
          <w:bCs/>
        </w:rPr>
        <w:t xml:space="preserve">rified using this information since this would pose a risk to the security and integrity of the PCEHR system.  Seeking to be </w:t>
      </w:r>
      <w:proofErr w:type="spellStart"/>
      <w:r>
        <w:rPr>
          <w:bCs/>
        </w:rPr>
        <w:t>recognised</w:t>
      </w:r>
      <w:proofErr w:type="spellEnd"/>
      <w:r>
        <w:rPr>
          <w:bCs/>
        </w:rPr>
        <w:t xml:space="preserve"> by the System Operator, and register another person, is voluntary.  If a consumer does not want their identifying information or healthcare identifier used in this manner, they cannot be </w:t>
      </w:r>
      <w:proofErr w:type="spellStart"/>
      <w:r>
        <w:rPr>
          <w:bCs/>
        </w:rPr>
        <w:t>recognised</w:t>
      </w:r>
      <w:proofErr w:type="spellEnd"/>
      <w:r>
        <w:rPr>
          <w:bCs/>
        </w:rPr>
        <w:t xml:space="preserve"> as an </w:t>
      </w:r>
      <w:proofErr w:type="spellStart"/>
      <w:r>
        <w:rPr>
          <w:bCs/>
        </w:rPr>
        <w:t>authorised</w:t>
      </w:r>
      <w:proofErr w:type="spellEnd"/>
      <w:r>
        <w:rPr>
          <w:bCs/>
        </w:rPr>
        <w:t xml:space="preserve"> representative, however this does not affect their entitlements to healthcare, nor does it affect the entitlements of the person who they are seeking to register. </w:t>
      </w:r>
    </w:p>
    <w:p w:rsidR="00B71A87" w:rsidRDefault="00B71A87" w:rsidP="00B71A87">
      <w:pPr>
        <w:jc w:val="both"/>
        <w:rPr>
          <w:b/>
        </w:rPr>
      </w:pPr>
    </w:p>
    <w:p w:rsidR="00B71A87" w:rsidRPr="005808E4" w:rsidRDefault="00B71A87" w:rsidP="00B71A87">
      <w:pPr>
        <w:rPr>
          <w:bCs/>
        </w:rPr>
      </w:pPr>
    </w:p>
    <w:p w:rsidR="00ED0949" w:rsidRPr="005808E4" w:rsidRDefault="00ED0949" w:rsidP="00ED0949">
      <w:pPr>
        <w:rPr>
          <w:bCs/>
        </w:rPr>
      </w:pPr>
      <w:r w:rsidRPr="005808E4">
        <w:rPr>
          <w:bCs/>
        </w:rPr>
        <w:t xml:space="preserve">Any </w:t>
      </w:r>
      <w:proofErr w:type="spellStart"/>
      <w:r w:rsidRPr="005808E4">
        <w:rPr>
          <w:bCs/>
        </w:rPr>
        <w:t>unauthorised</w:t>
      </w:r>
      <w:proofErr w:type="spellEnd"/>
      <w:r w:rsidRPr="005808E4">
        <w:rPr>
          <w:bCs/>
        </w:rPr>
        <w:t xml:space="preserve"> collection, use or disclosure of healthcare identifiers or identifying information is subject to the penalties and remedies set out in the HI Act, PCEHR Act and </w:t>
      </w:r>
      <w:r w:rsidRPr="005808E4">
        <w:rPr>
          <w:bCs/>
          <w:i/>
          <w:iCs/>
        </w:rPr>
        <w:t>Privacy Act 1988</w:t>
      </w:r>
      <w:r w:rsidRPr="005808E4">
        <w:rPr>
          <w:bCs/>
        </w:rPr>
        <w:t>.</w:t>
      </w:r>
    </w:p>
    <w:p w:rsidR="00ED0949" w:rsidRDefault="00ED0949" w:rsidP="00ED0949">
      <w:pPr>
        <w:rPr>
          <w:bCs/>
        </w:rPr>
      </w:pPr>
    </w:p>
    <w:p w:rsidR="00ED0949" w:rsidRDefault="00ED0949" w:rsidP="00ED0949">
      <w:pPr>
        <w:rPr>
          <w:bCs/>
        </w:rPr>
      </w:pPr>
      <w:r>
        <w:rPr>
          <w:bCs/>
        </w:rPr>
        <w:t xml:space="preserve">Amendment 2 of the </w:t>
      </w:r>
      <w:r w:rsidRPr="005808E4">
        <w:rPr>
          <w:bCs/>
        </w:rPr>
        <w:t>Regulation</w:t>
      </w:r>
      <w:r>
        <w:rPr>
          <w:bCs/>
        </w:rPr>
        <w:t xml:space="preserve"> identifies certain information that may be included in a consumer’s PCEHR however the inclusion of any information in a consumer’s PCEHR is subject to their consent.  Consumers may choose not to include certain health information in their PCEHR – this reflects the current ability of a consumer who can choose not to share certain health information with a healthcare provider, assuring their right to privacy.</w:t>
      </w:r>
    </w:p>
    <w:p w:rsidR="00ED0949" w:rsidRDefault="00ED0949" w:rsidP="00ED0949">
      <w:pPr>
        <w:rPr>
          <w:bCs/>
        </w:rPr>
      </w:pPr>
    </w:p>
    <w:p w:rsidR="00ED0949" w:rsidRDefault="00ED0949" w:rsidP="00ED0949">
      <w:pPr>
        <w:rPr>
          <w:b/>
          <w:bCs/>
          <w:i/>
        </w:rPr>
      </w:pPr>
      <w:r>
        <w:rPr>
          <w:bCs/>
          <w:i/>
        </w:rPr>
        <w:t>Freedom of expression</w:t>
      </w:r>
    </w:p>
    <w:p w:rsidR="00ED0949" w:rsidRDefault="00ED0949" w:rsidP="00ED0949">
      <w:pPr>
        <w:rPr>
          <w:bCs/>
        </w:rPr>
      </w:pPr>
      <w:r>
        <w:rPr>
          <w:bCs/>
        </w:rPr>
        <w:t xml:space="preserve">Article 19 of the ICCPR which guarantees freedom of opinion and expression, including the right to seek, receive and impart information and ideas.  </w:t>
      </w:r>
    </w:p>
    <w:p w:rsidR="00ED0949" w:rsidRDefault="00ED0949" w:rsidP="00ED0949">
      <w:pPr>
        <w:rPr>
          <w:bCs/>
        </w:rPr>
      </w:pPr>
    </w:p>
    <w:p w:rsidR="00ED0949" w:rsidRDefault="00ED0949" w:rsidP="00ED0949">
      <w:pPr>
        <w:rPr>
          <w:bCs/>
        </w:rPr>
      </w:pPr>
      <w:r>
        <w:rPr>
          <w:bCs/>
        </w:rPr>
        <w:t xml:space="preserve">The PCEHR system ensures a consumer’s right to healthcare information contained in their PCEHR, and to manage access to their PCEHR.  It also provides that healthcare providers may access and add to a consumer’s healthcare information contained in the PCEHR system subject to the person’s consent.  </w:t>
      </w:r>
    </w:p>
    <w:p w:rsidR="00ED0949" w:rsidRDefault="00ED0949" w:rsidP="00ED0949">
      <w:pPr>
        <w:rPr>
          <w:bCs/>
        </w:rPr>
      </w:pPr>
    </w:p>
    <w:p w:rsidR="00ED0949" w:rsidRDefault="00ED0949" w:rsidP="00ED0949">
      <w:pPr>
        <w:rPr>
          <w:bCs/>
        </w:rPr>
      </w:pPr>
      <w:r>
        <w:rPr>
          <w:bCs/>
        </w:rPr>
        <w:t>These arrangements are unchanged by amendment 2 of the Regulation which only specifies the type of DVA information which is available to be included in the consumer’s PCEHR.</w:t>
      </w:r>
    </w:p>
    <w:p w:rsidR="00ED0949" w:rsidRPr="005808E4" w:rsidRDefault="00ED0949" w:rsidP="00ED0949">
      <w:pPr>
        <w:rPr>
          <w:bCs/>
        </w:rPr>
      </w:pPr>
      <w:r w:rsidRPr="005808E4">
        <w:rPr>
          <w:bCs/>
        </w:rPr>
        <w:t xml:space="preserve">  </w:t>
      </w:r>
    </w:p>
    <w:p w:rsidR="00ED0949" w:rsidRPr="00211998" w:rsidRDefault="00ED0949" w:rsidP="00ED0949">
      <w:pPr>
        <w:spacing w:after="60"/>
        <w:rPr>
          <w:b/>
        </w:rPr>
      </w:pPr>
      <w:r w:rsidRPr="00211998">
        <w:rPr>
          <w:b/>
        </w:rPr>
        <w:t xml:space="preserve">Conclusion </w:t>
      </w:r>
    </w:p>
    <w:p w:rsidR="00ED0949" w:rsidRDefault="00ED0949" w:rsidP="00ED0949">
      <w:r w:rsidRPr="003B2804">
        <w:t xml:space="preserve">The </w:t>
      </w:r>
      <w:r>
        <w:t>amendments made by this Regulation</w:t>
      </w:r>
      <w:r w:rsidRPr="003B2804">
        <w:t xml:space="preserve"> are compatible with human rights because they advance the protection of human rights, specifically the right to privacy.</w:t>
      </w:r>
    </w:p>
    <w:p w:rsidR="00ED0949" w:rsidRPr="00934C38" w:rsidRDefault="00ED0949" w:rsidP="00ED0949">
      <w:pPr>
        <w:jc w:val="both"/>
        <w:rPr>
          <w:b/>
          <w:sz w:val="12"/>
          <w:szCs w:val="12"/>
        </w:rPr>
      </w:pPr>
    </w:p>
    <w:p w:rsidR="00ED0949" w:rsidRDefault="00ED0949" w:rsidP="00ED0949">
      <w:pPr>
        <w:spacing w:before="120" w:after="120"/>
        <w:jc w:val="center"/>
        <w:rPr>
          <w:b/>
        </w:rPr>
      </w:pPr>
    </w:p>
    <w:p w:rsidR="00ED0949" w:rsidRDefault="00ED0949" w:rsidP="00ED0949">
      <w:pPr>
        <w:spacing w:before="120" w:after="120"/>
        <w:jc w:val="center"/>
        <w:rPr>
          <w:b/>
        </w:rPr>
      </w:pPr>
      <w:r>
        <w:rPr>
          <w:b/>
        </w:rPr>
        <w:t>The Hon Tanya Plibersek MP</w:t>
      </w:r>
    </w:p>
    <w:p w:rsidR="00ED0949" w:rsidRPr="00E96ACD" w:rsidRDefault="00ED0949" w:rsidP="00ED0949">
      <w:pPr>
        <w:spacing w:before="120" w:after="120"/>
        <w:jc w:val="center"/>
        <w:rPr>
          <w:bCs/>
        </w:rPr>
      </w:pPr>
      <w:r>
        <w:rPr>
          <w:b/>
        </w:rPr>
        <w:t>Minister for Health</w:t>
      </w:r>
    </w:p>
    <w:p w:rsidR="00B71A87" w:rsidRDefault="00B71A87" w:rsidP="00CF3979">
      <w:pPr>
        <w:pStyle w:val="Subtitle"/>
        <w:rPr>
          <w:u w:val="none"/>
        </w:rPr>
      </w:pPr>
    </w:p>
    <w:sectPr w:rsidR="00B71A87" w:rsidSect="00E700DA">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87" w:rsidRDefault="00B71A87">
      <w:r>
        <w:separator/>
      </w:r>
    </w:p>
  </w:endnote>
  <w:endnote w:type="continuationSeparator" w:id="0">
    <w:p w:rsidR="00B71A87" w:rsidRDefault="00B7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87" w:rsidRDefault="00B71A87">
      <w:r>
        <w:separator/>
      </w:r>
    </w:p>
  </w:footnote>
  <w:footnote w:type="continuationSeparator" w:id="0">
    <w:p w:rsidR="00B71A87" w:rsidRDefault="00B71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87" w:rsidRDefault="00B71A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71A87" w:rsidRDefault="00B71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A87" w:rsidRDefault="00B71A87">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3A717B">
      <w:rPr>
        <w:rStyle w:val="PageNumber"/>
        <w:noProof/>
      </w:rPr>
      <w:t>4</w:t>
    </w:r>
    <w:r>
      <w:rPr>
        <w:rStyle w:val="PageNumber"/>
      </w:rPr>
      <w:fldChar w:fldCharType="end"/>
    </w:r>
  </w:p>
  <w:p w:rsidR="00B71A87" w:rsidRDefault="00B71A87">
    <w:pPr>
      <w:pStyle w:val="Header"/>
      <w:framePr w:wrap="around" w:vAnchor="text" w:hAnchor="margin" w:xAlign="center" w:y="1"/>
      <w:rPr>
        <w:rStyle w:val="PageNumber"/>
      </w:rPr>
    </w:pPr>
  </w:p>
  <w:p w:rsidR="00B71A87" w:rsidRDefault="00B71A8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88A669E"/>
    <w:lvl w:ilvl="0">
      <w:numFmt w:val="bullet"/>
      <w:lvlText w:val="*"/>
      <w:lvlJc w:val="left"/>
    </w:lvl>
  </w:abstractNum>
  <w:abstractNum w:abstractNumId="1">
    <w:nsid w:val="035344EA"/>
    <w:multiLevelType w:val="multilevel"/>
    <w:tmpl w:val="A8BCD6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CF51CE"/>
    <w:multiLevelType w:val="hybridMultilevel"/>
    <w:tmpl w:val="31F4E678"/>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44B71"/>
    <w:multiLevelType w:val="hybridMultilevel"/>
    <w:tmpl w:val="FB3E041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086D5E"/>
    <w:multiLevelType w:val="hybridMultilevel"/>
    <w:tmpl w:val="E2D2331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543A4"/>
    <w:multiLevelType w:val="hybridMultilevel"/>
    <w:tmpl w:val="3902604A"/>
    <w:lvl w:ilvl="0" w:tplc="B92C5376">
      <w:start w:val="1"/>
      <w:numFmt w:val="lowerLetter"/>
      <w:lvlText w:val="(%1)"/>
      <w:lvlJc w:val="left"/>
      <w:pPr>
        <w:tabs>
          <w:tab w:val="num" w:pos="720"/>
        </w:tabs>
        <w:ind w:left="720" w:hanging="360"/>
      </w:pPr>
      <w:rPr>
        <w:rFonts w:ascii="Verdana" w:hAnsi="Verdana"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157044"/>
    <w:multiLevelType w:val="hybridMultilevel"/>
    <w:tmpl w:val="43EC4A1C"/>
    <w:lvl w:ilvl="0" w:tplc="B92C5376">
      <w:start w:val="1"/>
      <w:numFmt w:val="lowerLetter"/>
      <w:lvlText w:val="(%1)"/>
      <w:lvlJc w:val="left"/>
      <w:pPr>
        <w:tabs>
          <w:tab w:val="num" w:pos="720"/>
        </w:tabs>
        <w:ind w:left="720" w:hanging="360"/>
      </w:pPr>
      <w:rPr>
        <w:rFonts w:ascii="Verdana" w:hAnsi="Verdana"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7B0CAE"/>
    <w:multiLevelType w:val="hybridMultilevel"/>
    <w:tmpl w:val="5B14897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216768"/>
    <w:multiLevelType w:val="hybridMultilevel"/>
    <w:tmpl w:val="1B829F2C"/>
    <w:lvl w:ilvl="0" w:tplc="AF1441B4">
      <w:start w:val="1"/>
      <w:numFmt w:val="bullet"/>
      <w:lvlText w:val="-"/>
      <w:lvlJc w:val="left"/>
      <w:pPr>
        <w:tabs>
          <w:tab w:val="num" w:pos="930"/>
        </w:tabs>
        <w:ind w:left="930" w:hanging="57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FA03B96"/>
    <w:multiLevelType w:val="hybridMultilevel"/>
    <w:tmpl w:val="42A4032C"/>
    <w:lvl w:ilvl="0" w:tplc="5E2E80D0">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993290"/>
    <w:multiLevelType w:val="multilevel"/>
    <w:tmpl w:val="85883E1C"/>
    <w:lvl w:ilvl="0">
      <w:start w:val="1"/>
      <w:numFmt w:val="decimal"/>
      <w:lvlText w:val="%1"/>
      <w:lvlJc w:val="left"/>
      <w:pPr>
        <w:tabs>
          <w:tab w:val="num" w:pos="1134"/>
        </w:tabs>
        <w:ind w:hanging="1134"/>
      </w:pPr>
      <w:rPr>
        <w:rFonts w:cs="Times New Roman" w:hint="default"/>
      </w:rPr>
    </w:lvl>
    <w:lvl w:ilvl="1">
      <w:start w:val="1"/>
      <w:numFmt w:val="decimal"/>
      <w:lvlText w:val="%1.%2"/>
      <w:lvlJc w:val="left"/>
      <w:pPr>
        <w:tabs>
          <w:tab w:val="num" w:pos="1134"/>
        </w:tabs>
        <w:ind w:hanging="1134"/>
      </w:pPr>
      <w:rPr>
        <w:rFonts w:cs="Times New Roman" w:hint="default"/>
      </w:rPr>
    </w:lvl>
    <w:lvl w:ilvl="2">
      <w:start w:val="1"/>
      <w:numFmt w:val="decimal"/>
      <w:lvlText w:val="%1.%2.%3"/>
      <w:lvlJc w:val="left"/>
      <w:pPr>
        <w:tabs>
          <w:tab w:val="num" w:pos="1134"/>
        </w:tabs>
        <w:ind w:left="1134" w:hanging="1134"/>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tabs>
          <w:tab w:val="num" w:pos="2268"/>
        </w:tabs>
        <w:ind w:left="2268" w:hanging="113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41BB5680"/>
    <w:multiLevelType w:val="hybridMultilevel"/>
    <w:tmpl w:val="6D5E2060"/>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1E0863"/>
    <w:multiLevelType w:val="hybridMultilevel"/>
    <w:tmpl w:val="E690AB96"/>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2314BB"/>
    <w:multiLevelType w:val="hybridMultilevel"/>
    <w:tmpl w:val="1E40C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642782"/>
    <w:multiLevelType w:val="hybridMultilevel"/>
    <w:tmpl w:val="9CCEF9FA"/>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E46E32"/>
    <w:multiLevelType w:val="hybridMultilevel"/>
    <w:tmpl w:val="C9AEAB06"/>
    <w:lvl w:ilvl="0" w:tplc="11926F6A">
      <w:start w:val="1"/>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DA21B9"/>
    <w:multiLevelType w:val="hybridMultilevel"/>
    <w:tmpl w:val="299237CE"/>
    <w:lvl w:ilvl="0" w:tplc="91700758">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7694A20"/>
    <w:multiLevelType w:val="hybridMultilevel"/>
    <w:tmpl w:val="FE92BB7E"/>
    <w:lvl w:ilvl="0" w:tplc="0B865C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4C5AF9"/>
    <w:multiLevelType w:val="hybridMultilevel"/>
    <w:tmpl w:val="AE6E4C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6"/>
  </w:num>
  <w:num w:numId="3">
    <w:abstractNumId w:val="4"/>
  </w:num>
  <w:num w:numId="4">
    <w:abstractNumId w:val="2"/>
  </w:num>
  <w:num w:numId="5">
    <w:abstractNumId w:val="11"/>
  </w:num>
  <w:num w:numId="6">
    <w:abstractNumId w:val="17"/>
  </w:num>
  <w:num w:numId="7">
    <w:abstractNumId w:val="10"/>
  </w:num>
  <w:num w:numId="8">
    <w:abstractNumId w:val="13"/>
  </w:num>
  <w:num w:numId="9">
    <w:abstractNumId w:val="6"/>
  </w:num>
  <w:num w:numId="10">
    <w:abstractNumId w:val="5"/>
  </w:num>
  <w:num w:numId="11">
    <w:abstractNumId w:val="12"/>
  </w:num>
  <w:num w:numId="12">
    <w:abstractNumId w:val="15"/>
  </w:num>
  <w:num w:numId="13">
    <w:abstractNumId w:val="9"/>
  </w:num>
  <w:num w:numId="14">
    <w:abstractNumId w:val="7"/>
  </w:num>
  <w:num w:numId="15">
    <w:abstractNumId w:val="3"/>
  </w:num>
  <w:num w:numId="16">
    <w:abstractNumId w:val="14"/>
  </w:num>
  <w:num w:numId="17">
    <w:abstractNumId w:val="18"/>
  </w:num>
  <w:num w:numId="18">
    <w:abstractNumId w:val="0"/>
    <w:lvlOverride w:ilvl="0">
      <w:lvl w:ilvl="0">
        <w:numFmt w:val="bullet"/>
        <w:lvlText w:val=""/>
        <w:legacy w:legacy="1" w:legacySpace="0" w:legacyIndent="0"/>
        <w:lvlJc w:val="left"/>
        <w:rPr>
          <w:rFonts w:ascii="Symbol" w:hAnsi="Symbol" w:hint="default"/>
          <w:sz w:val="22"/>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8A5"/>
    <w:rsid w:val="000052E3"/>
    <w:rsid w:val="00006DB8"/>
    <w:rsid w:val="0000709F"/>
    <w:rsid w:val="00016418"/>
    <w:rsid w:val="00030A5C"/>
    <w:rsid w:val="00046766"/>
    <w:rsid w:val="00047166"/>
    <w:rsid w:val="00050E6B"/>
    <w:rsid w:val="000523B5"/>
    <w:rsid w:val="00074415"/>
    <w:rsid w:val="0008023E"/>
    <w:rsid w:val="00081B85"/>
    <w:rsid w:val="000946FC"/>
    <w:rsid w:val="000C3B23"/>
    <w:rsid w:val="00100952"/>
    <w:rsid w:val="00101749"/>
    <w:rsid w:val="0011667A"/>
    <w:rsid w:val="0014186A"/>
    <w:rsid w:val="00157C25"/>
    <w:rsid w:val="00174845"/>
    <w:rsid w:val="00177721"/>
    <w:rsid w:val="00177CE5"/>
    <w:rsid w:val="00184567"/>
    <w:rsid w:val="0019356B"/>
    <w:rsid w:val="001944D7"/>
    <w:rsid w:val="001A1FBE"/>
    <w:rsid w:val="001B367A"/>
    <w:rsid w:val="001D097D"/>
    <w:rsid w:val="001D2807"/>
    <w:rsid w:val="001D6C73"/>
    <w:rsid w:val="001F14AE"/>
    <w:rsid w:val="00203748"/>
    <w:rsid w:val="00203F34"/>
    <w:rsid w:val="002149EE"/>
    <w:rsid w:val="00215089"/>
    <w:rsid w:val="00242A64"/>
    <w:rsid w:val="002435AE"/>
    <w:rsid w:val="00254E16"/>
    <w:rsid w:val="00260C5D"/>
    <w:rsid w:val="00262330"/>
    <w:rsid w:val="00272BB5"/>
    <w:rsid w:val="0027314D"/>
    <w:rsid w:val="00281155"/>
    <w:rsid w:val="0029567A"/>
    <w:rsid w:val="002A49AB"/>
    <w:rsid w:val="002A5EA0"/>
    <w:rsid w:val="002B143B"/>
    <w:rsid w:val="002B451B"/>
    <w:rsid w:val="002B6A72"/>
    <w:rsid w:val="002E342F"/>
    <w:rsid w:val="002F380E"/>
    <w:rsid w:val="00300536"/>
    <w:rsid w:val="00304218"/>
    <w:rsid w:val="0031145E"/>
    <w:rsid w:val="00316F40"/>
    <w:rsid w:val="0033156D"/>
    <w:rsid w:val="00332B22"/>
    <w:rsid w:val="00346C8B"/>
    <w:rsid w:val="00351133"/>
    <w:rsid w:val="00352019"/>
    <w:rsid w:val="00361B93"/>
    <w:rsid w:val="00362B96"/>
    <w:rsid w:val="00366D3F"/>
    <w:rsid w:val="003733C3"/>
    <w:rsid w:val="00380A32"/>
    <w:rsid w:val="003855D3"/>
    <w:rsid w:val="003868E9"/>
    <w:rsid w:val="00393960"/>
    <w:rsid w:val="003A1638"/>
    <w:rsid w:val="003A717B"/>
    <w:rsid w:val="003B532B"/>
    <w:rsid w:val="003B6A0E"/>
    <w:rsid w:val="003E62A2"/>
    <w:rsid w:val="004019AE"/>
    <w:rsid w:val="00413F6F"/>
    <w:rsid w:val="004402A9"/>
    <w:rsid w:val="00447E1A"/>
    <w:rsid w:val="0045403F"/>
    <w:rsid w:val="00482C4B"/>
    <w:rsid w:val="004A5C85"/>
    <w:rsid w:val="004C03BE"/>
    <w:rsid w:val="004C6D3E"/>
    <w:rsid w:val="004F418F"/>
    <w:rsid w:val="004F5F07"/>
    <w:rsid w:val="005058C9"/>
    <w:rsid w:val="00510E5E"/>
    <w:rsid w:val="005131F6"/>
    <w:rsid w:val="00521A22"/>
    <w:rsid w:val="005646BB"/>
    <w:rsid w:val="00577975"/>
    <w:rsid w:val="005A54B8"/>
    <w:rsid w:val="005B4D54"/>
    <w:rsid w:val="005B6100"/>
    <w:rsid w:val="005C02C6"/>
    <w:rsid w:val="005D4D66"/>
    <w:rsid w:val="005F3C52"/>
    <w:rsid w:val="005F3DE2"/>
    <w:rsid w:val="0061111A"/>
    <w:rsid w:val="00614089"/>
    <w:rsid w:val="00645E76"/>
    <w:rsid w:val="00662784"/>
    <w:rsid w:val="006A1940"/>
    <w:rsid w:val="006C16BB"/>
    <w:rsid w:val="006D213F"/>
    <w:rsid w:val="006E66D5"/>
    <w:rsid w:val="006F1D47"/>
    <w:rsid w:val="00730781"/>
    <w:rsid w:val="007375EB"/>
    <w:rsid w:val="00737F44"/>
    <w:rsid w:val="00742858"/>
    <w:rsid w:val="0074672F"/>
    <w:rsid w:val="00757AB2"/>
    <w:rsid w:val="00760C85"/>
    <w:rsid w:val="007631DF"/>
    <w:rsid w:val="00767312"/>
    <w:rsid w:val="007A7083"/>
    <w:rsid w:val="007B1023"/>
    <w:rsid w:val="007B228D"/>
    <w:rsid w:val="007D063A"/>
    <w:rsid w:val="0082201E"/>
    <w:rsid w:val="00850EA9"/>
    <w:rsid w:val="00850FB0"/>
    <w:rsid w:val="0085331D"/>
    <w:rsid w:val="0087541E"/>
    <w:rsid w:val="00883A9A"/>
    <w:rsid w:val="008870AE"/>
    <w:rsid w:val="008A2E67"/>
    <w:rsid w:val="008A6B51"/>
    <w:rsid w:val="008B11E3"/>
    <w:rsid w:val="008B4C31"/>
    <w:rsid w:val="008C5FB7"/>
    <w:rsid w:val="008D506C"/>
    <w:rsid w:val="008D5161"/>
    <w:rsid w:val="008D613E"/>
    <w:rsid w:val="008E31D7"/>
    <w:rsid w:val="008E7D06"/>
    <w:rsid w:val="00914218"/>
    <w:rsid w:val="0094209C"/>
    <w:rsid w:val="00954E76"/>
    <w:rsid w:val="009A3BC0"/>
    <w:rsid w:val="009B1DC6"/>
    <w:rsid w:val="009B46AC"/>
    <w:rsid w:val="009C769B"/>
    <w:rsid w:val="009D2856"/>
    <w:rsid w:val="009E506E"/>
    <w:rsid w:val="009E6CAD"/>
    <w:rsid w:val="00A00A81"/>
    <w:rsid w:val="00A05001"/>
    <w:rsid w:val="00A16AA8"/>
    <w:rsid w:val="00A2069E"/>
    <w:rsid w:val="00A420B0"/>
    <w:rsid w:val="00A43041"/>
    <w:rsid w:val="00A43760"/>
    <w:rsid w:val="00A53238"/>
    <w:rsid w:val="00A54A50"/>
    <w:rsid w:val="00A749F4"/>
    <w:rsid w:val="00A8286D"/>
    <w:rsid w:val="00AA1A19"/>
    <w:rsid w:val="00AA66A7"/>
    <w:rsid w:val="00AC1F73"/>
    <w:rsid w:val="00AC2E56"/>
    <w:rsid w:val="00AC52A8"/>
    <w:rsid w:val="00AD6413"/>
    <w:rsid w:val="00AD717A"/>
    <w:rsid w:val="00AD7E80"/>
    <w:rsid w:val="00AF1EBA"/>
    <w:rsid w:val="00AF5664"/>
    <w:rsid w:val="00B07DEE"/>
    <w:rsid w:val="00B25E39"/>
    <w:rsid w:val="00B71A87"/>
    <w:rsid w:val="00B93701"/>
    <w:rsid w:val="00B945A3"/>
    <w:rsid w:val="00BC42DB"/>
    <w:rsid w:val="00BD32E3"/>
    <w:rsid w:val="00BE56D9"/>
    <w:rsid w:val="00C07229"/>
    <w:rsid w:val="00C20342"/>
    <w:rsid w:val="00C211BD"/>
    <w:rsid w:val="00C25A0A"/>
    <w:rsid w:val="00C4155C"/>
    <w:rsid w:val="00C575A2"/>
    <w:rsid w:val="00C65008"/>
    <w:rsid w:val="00C7204F"/>
    <w:rsid w:val="00C77492"/>
    <w:rsid w:val="00C84E01"/>
    <w:rsid w:val="00C92BF6"/>
    <w:rsid w:val="00C955A5"/>
    <w:rsid w:val="00CA4AEC"/>
    <w:rsid w:val="00CD076F"/>
    <w:rsid w:val="00CD2C5E"/>
    <w:rsid w:val="00CD3D30"/>
    <w:rsid w:val="00CE332A"/>
    <w:rsid w:val="00CF3979"/>
    <w:rsid w:val="00D036F6"/>
    <w:rsid w:val="00D20CDF"/>
    <w:rsid w:val="00D21999"/>
    <w:rsid w:val="00D22DF5"/>
    <w:rsid w:val="00D239CC"/>
    <w:rsid w:val="00D23B4B"/>
    <w:rsid w:val="00D30352"/>
    <w:rsid w:val="00D43222"/>
    <w:rsid w:val="00D54AD5"/>
    <w:rsid w:val="00D6668F"/>
    <w:rsid w:val="00D7101E"/>
    <w:rsid w:val="00D750E7"/>
    <w:rsid w:val="00D76000"/>
    <w:rsid w:val="00D82BFB"/>
    <w:rsid w:val="00D867B9"/>
    <w:rsid w:val="00D91D8A"/>
    <w:rsid w:val="00DB0722"/>
    <w:rsid w:val="00DC4142"/>
    <w:rsid w:val="00DD0B2A"/>
    <w:rsid w:val="00DD7E7A"/>
    <w:rsid w:val="00DF5AF7"/>
    <w:rsid w:val="00E23274"/>
    <w:rsid w:val="00E2672C"/>
    <w:rsid w:val="00E41011"/>
    <w:rsid w:val="00E700DA"/>
    <w:rsid w:val="00E82006"/>
    <w:rsid w:val="00E90DFF"/>
    <w:rsid w:val="00EA457E"/>
    <w:rsid w:val="00EB7165"/>
    <w:rsid w:val="00EC6DCD"/>
    <w:rsid w:val="00ED0949"/>
    <w:rsid w:val="00ED6BA4"/>
    <w:rsid w:val="00ED78EB"/>
    <w:rsid w:val="00EF48A5"/>
    <w:rsid w:val="00F0650D"/>
    <w:rsid w:val="00F471FB"/>
    <w:rsid w:val="00F54E04"/>
    <w:rsid w:val="00F66169"/>
    <w:rsid w:val="00F82720"/>
    <w:rsid w:val="00F86B73"/>
    <w:rsid w:val="00F9044D"/>
    <w:rsid w:val="00F92A57"/>
    <w:rsid w:val="00F93A7C"/>
    <w:rsid w:val="00F95785"/>
    <w:rsid w:val="00FA5FFC"/>
    <w:rsid w:val="00FB263C"/>
    <w:rsid w:val="00FC35F9"/>
    <w:rsid w:val="00FD0CDA"/>
    <w:rsid w:val="00FD54BB"/>
    <w:rsid w:val="00FE327D"/>
    <w:rsid w:val="00FE4324"/>
    <w:rsid w:val="00FE68B7"/>
    <w:rsid w:val="00FF1E83"/>
    <w:rsid w:val="00FF2F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1F14AE"/>
    <w:pPr>
      <w:keepNext/>
      <w:spacing w:before="240" w:after="60"/>
      <w:outlineLvl w:val="1"/>
    </w:pPr>
    <w:rPr>
      <w:rFonts w:ascii="Arial" w:hAnsi="Arial"/>
      <w:b/>
      <w:bCs/>
      <w:i/>
      <w:iCs/>
      <w:sz w:val="28"/>
      <w:szCs w:val="28"/>
    </w:rPr>
  </w:style>
  <w:style w:type="paragraph" w:styleId="Heading4">
    <w:name w:val="heading 4"/>
    <w:basedOn w:val="Normal"/>
    <w:qFormat/>
    <w:rsid w:val="00C84E01"/>
    <w:pPr>
      <w:spacing w:before="100" w:beforeAutospacing="1" w:after="100" w:afterAutospacing="1"/>
      <w:outlineLvl w:val="3"/>
    </w:pPr>
    <w:rPr>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A3BC0"/>
    <w:rPr>
      <w:szCs w:val="20"/>
      <w:u w:val="single"/>
      <w:lang w:val="en-AU"/>
    </w:rPr>
  </w:style>
  <w:style w:type="paragraph" w:styleId="Header">
    <w:name w:val="header"/>
    <w:basedOn w:val="Normal"/>
    <w:link w:val="HeaderChar"/>
    <w:rsid w:val="009A3BC0"/>
    <w:pPr>
      <w:widowControl w:val="0"/>
      <w:tabs>
        <w:tab w:val="center" w:pos="4153"/>
        <w:tab w:val="right" w:pos="8306"/>
      </w:tabs>
    </w:pPr>
    <w:rPr>
      <w:snapToGrid w:val="0"/>
      <w:szCs w:val="20"/>
    </w:rPr>
  </w:style>
  <w:style w:type="character" w:styleId="PageNumber">
    <w:name w:val="page number"/>
    <w:basedOn w:val="DefaultParagraphFont"/>
    <w:rsid w:val="009A3BC0"/>
  </w:style>
  <w:style w:type="paragraph" w:styleId="NormalWeb">
    <w:name w:val="Normal (Web)"/>
    <w:basedOn w:val="Normal"/>
    <w:rsid w:val="00DB0722"/>
    <w:pPr>
      <w:spacing w:before="100" w:beforeAutospacing="1" w:after="300"/>
    </w:pPr>
  </w:style>
  <w:style w:type="character" w:styleId="Hyperlink">
    <w:name w:val="Hyperlink"/>
    <w:basedOn w:val="DefaultParagraphFont"/>
    <w:rsid w:val="00262330"/>
    <w:rPr>
      <w:color w:val="0000FF"/>
      <w:u w:val="single"/>
    </w:rPr>
  </w:style>
  <w:style w:type="paragraph" w:customStyle="1" w:styleId="clause">
    <w:name w:val="clause"/>
    <w:basedOn w:val="Normal"/>
    <w:rsid w:val="00C84E01"/>
    <w:pPr>
      <w:spacing w:before="100" w:beforeAutospacing="1" w:after="100" w:afterAutospacing="1"/>
    </w:pPr>
    <w:rPr>
      <w:lang w:bidi="hi-IN"/>
    </w:rPr>
  </w:style>
  <w:style w:type="paragraph" w:customStyle="1" w:styleId="Default">
    <w:name w:val="Default"/>
    <w:rsid w:val="00E82006"/>
    <w:pPr>
      <w:autoSpaceDE w:val="0"/>
      <w:autoSpaceDN w:val="0"/>
      <w:adjustRightInd w:val="0"/>
    </w:pPr>
    <w:rPr>
      <w:rFonts w:ascii="Calibri" w:hAnsi="Calibri" w:cs="Calibri"/>
      <w:color w:val="000000"/>
      <w:sz w:val="24"/>
      <w:szCs w:val="24"/>
      <w:lang w:val="en-US" w:eastAsia="en-US"/>
    </w:rPr>
  </w:style>
  <w:style w:type="paragraph" w:styleId="BodyText">
    <w:name w:val="Body Text"/>
    <w:aliases w:val="Body Text1,Body Text Char11,Body Text Char Char1,Body Text Char1 Char Char1,Body Text Char Char Char Char1,Body Text Char1 Char11,Body Text Char Char Char11,Body Text Char2 Char Char1,Body Text Char1 Char1 Char Char1,Body Text Char3"/>
    <w:basedOn w:val="Normal"/>
    <w:link w:val="BodyTextChar"/>
    <w:rsid w:val="001F14AE"/>
    <w:pPr>
      <w:keepLines/>
      <w:spacing w:after="120"/>
    </w:pPr>
    <w:rPr>
      <w:rFonts w:ascii="Verdana" w:hAnsi="Verdana"/>
      <w:color w:val="000000"/>
      <w:sz w:val="20"/>
      <w:lang w:val="en-AU" w:eastAsia="en-AU"/>
    </w:rPr>
  </w:style>
  <w:style w:type="character" w:customStyle="1" w:styleId="BodyTextChar">
    <w:name w:val="Body Text Char"/>
    <w:aliases w:val="Body Text1 Char,Body Text Char11 Char,Body Text Char Char1 Char,Body Text Char1 Char Char1 Char,Body Text Char Char Char Char1 Char,Body Text Char1 Char11 Char,Body Text Char Char Char11 Char,Body Text Char2 Char Char1 Char"/>
    <w:basedOn w:val="DefaultParagraphFont"/>
    <w:link w:val="BodyText"/>
    <w:locked/>
    <w:rsid w:val="001F14AE"/>
    <w:rPr>
      <w:rFonts w:ascii="Verdana" w:hAnsi="Verdana"/>
      <w:color w:val="000000"/>
      <w:szCs w:val="24"/>
      <w:lang w:val="en-AU" w:eastAsia="en-AU" w:bidi="ar-SA"/>
    </w:rPr>
  </w:style>
  <w:style w:type="paragraph" w:styleId="FootnoteText">
    <w:name w:val="footnote text"/>
    <w:basedOn w:val="Normal"/>
    <w:semiHidden/>
    <w:rsid w:val="009E506E"/>
    <w:rPr>
      <w:sz w:val="20"/>
      <w:szCs w:val="20"/>
    </w:rPr>
  </w:style>
  <w:style w:type="character" w:styleId="FootnoteReference">
    <w:name w:val="footnote reference"/>
    <w:basedOn w:val="DefaultParagraphFont"/>
    <w:semiHidden/>
    <w:rsid w:val="009E506E"/>
    <w:rPr>
      <w:vertAlign w:val="superscript"/>
    </w:rPr>
  </w:style>
  <w:style w:type="character" w:customStyle="1" w:styleId="char">
    <w:name w:val="char"/>
    <w:basedOn w:val="DefaultParagraphFont"/>
    <w:rsid w:val="009E506E"/>
  </w:style>
  <w:style w:type="paragraph" w:customStyle="1" w:styleId="subsection">
    <w:name w:val="subsection"/>
    <w:aliases w:val="ss"/>
    <w:link w:val="subsectionChar"/>
    <w:rsid w:val="00177721"/>
    <w:pPr>
      <w:tabs>
        <w:tab w:val="right" w:pos="1021"/>
      </w:tabs>
      <w:spacing w:before="180"/>
      <w:ind w:left="1134" w:hanging="1134"/>
    </w:pPr>
    <w:rPr>
      <w:sz w:val="22"/>
      <w:szCs w:val="24"/>
    </w:rPr>
  </w:style>
  <w:style w:type="paragraph" w:customStyle="1" w:styleId="paragraph">
    <w:name w:val="paragraph"/>
    <w:aliases w:val="a"/>
    <w:link w:val="paragraphChar"/>
    <w:rsid w:val="00177721"/>
    <w:pPr>
      <w:tabs>
        <w:tab w:val="right" w:pos="1531"/>
      </w:tabs>
      <w:spacing w:before="40"/>
      <w:ind w:left="1644" w:hanging="1644"/>
    </w:pPr>
    <w:rPr>
      <w:sz w:val="22"/>
      <w:szCs w:val="24"/>
    </w:rPr>
  </w:style>
  <w:style w:type="character" w:customStyle="1" w:styleId="subsectionChar">
    <w:name w:val="subsection Char"/>
    <w:aliases w:val="ss Char"/>
    <w:basedOn w:val="DefaultParagraphFont"/>
    <w:link w:val="subsection"/>
    <w:rsid w:val="00177721"/>
    <w:rPr>
      <w:sz w:val="22"/>
      <w:szCs w:val="24"/>
      <w:lang w:val="en-AU" w:eastAsia="en-AU" w:bidi="ar-SA"/>
    </w:rPr>
  </w:style>
  <w:style w:type="character" w:customStyle="1" w:styleId="paragraphChar">
    <w:name w:val="paragraph Char"/>
    <w:aliases w:val="a Char"/>
    <w:basedOn w:val="DefaultParagraphFont"/>
    <w:link w:val="paragraph"/>
    <w:rsid w:val="00177721"/>
    <w:rPr>
      <w:sz w:val="22"/>
      <w:szCs w:val="24"/>
      <w:lang w:val="en-AU" w:eastAsia="en-AU" w:bidi="ar-SA"/>
    </w:rPr>
  </w:style>
  <w:style w:type="paragraph" w:customStyle="1" w:styleId="ActHead5">
    <w:name w:val="ActHead 5"/>
    <w:aliases w:val="s"/>
    <w:basedOn w:val="Normal"/>
    <w:next w:val="Normal"/>
    <w:link w:val="ActHead5Char"/>
    <w:rsid w:val="00177721"/>
    <w:pPr>
      <w:keepNext/>
      <w:keepLines/>
      <w:spacing w:before="280"/>
      <w:ind w:left="1134" w:hanging="1134"/>
      <w:outlineLvl w:val="4"/>
    </w:pPr>
    <w:rPr>
      <w:b/>
      <w:bCs/>
      <w:kern w:val="28"/>
      <w:szCs w:val="32"/>
      <w:lang w:val="en-AU" w:eastAsia="en-AU"/>
    </w:rPr>
  </w:style>
  <w:style w:type="character" w:customStyle="1" w:styleId="CharDivNo">
    <w:name w:val="CharDivNo"/>
    <w:basedOn w:val="DefaultParagraphFont"/>
    <w:rsid w:val="00177721"/>
  </w:style>
  <w:style w:type="character" w:customStyle="1" w:styleId="CharSectno">
    <w:name w:val="CharSectno"/>
    <w:basedOn w:val="DefaultParagraphFont"/>
    <w:rsid w:val="00177721"/>
  </w:style>
  <w:style w:type="paragraph" w:customStyle="1" w:styleId="subsection2">
    <w:name w:val="subsection2"/>
    <w:aliases w:val="ss2"/>
    <w:basedOn w:val="subsection"/>
    <w:next w:val="subsection"/>
    <w:rsid w:val="00177721"/>
    <w:pPr>
      <w:tabs>
        <w:tab w:val="clear" w:pos="1021"/>
      </w:tabs>
      <w:spacing w:before="40"/>
      <w:ind w:firstLine="0"/>
    </w:pPr>
  </w:style>
  <w:style w:type="character" w:customStyle="1" w:styleId="ActHead5Char">
    <w:name w:val="ActHead 5 Char"/>
    <w:aliases w:val="s Char"/>
    <w:basedOn w:val="DefaultParagraphFont"/>
    <w:link w:val="ActHead5"/>
    <w:rsid w:val="00177721"/>
    <w:rPr>
      <w:b/>
      <w:bCs/>
      <w:kern w:val="28"/>
      <w:sz w:val="24"/>
      <w:szCs w:val="32"/>
      <w:lang w:val="en-AU" w:eastAsia="en-AU" w:bidi="ar-SA"/>
    </w:rPr>
  </w:style>
  <w:style w:type="paragraph" w:styleId="BalloonText">
    <w:name w:val="Balloon Text"/>
    <w:basedOn w:val="Normal"/>
    <w:semiHidden/>
    <w:rsid w:val="00AD7E80"/>
    <w:rPr>
      <w:rFonts w:ascii="Tahoma" w:hAnsi="Tahoma" w:cs="Tahoma"/>
      <w:sz w:val="16"/>
      <w:szCs w:val="16"/>
    </w:rPr>
  </w:style>
  <w:style w:type="character" w:styleId="CommentReference">
    <w:name w:val="annotation reference"/>
    <w:basedOn w:val="DefaultParagraphFont"/>
    <w:semiHidden/>
    <w:rsid w:val="00DD7E7A"/>
    <w:rPr>
      <w:sz w:val="16"/>
      <w:szCs w:val="16"/>
    </w:rPr>
  </w:style>
  <w:style w:type="paragraph" w:styleId="CommentText">
    <w:name w:val="annotation text"/>
    <w:basedOn w:val="Normal"/>
    <w:semiHidden/>
    <w:rsid w:val="00DD7E7A"/>
    <w:rPr>
      <w:sz w:val="20"/>
      <w:szCs w:val="20"/>
    </w:rPr>
  </w:style>
  <w:style w:type="paragraph" w:styleId="CommentSubject">
    <w:name w:val="annotation subject"/>
    <w:basedOn w:val="CommentText"/>
    <w:next w:val="CommentText"/>
    <w:semiHidden/>
    <w:rsid w:val="00DD7E7A"/>
    <w:rPr>
      <w:b/>
      <w:bCs/>
    </w:rPr>
  </w:style>
  <w:style w:type="character" w:customStyle="1" w:styleId="HeaderChar">
    <w:name w:val="Header Char"/>
    <w:basedOn w:val="DefaultParagraphFont"/>
    <w:link w:val="Header"/>
    <w:rsid w:val="00F9044D"/>
    <w:rPr>
      <w:snapToGrid w:val="0"/>
      <w:sz w:val="24"/>
      <w:lang w:val="en-US" w:eastAsia="en-US"/>
    </w:rPr>
  </w:style>
  <w:style w:type="paragraph" w:styleId="Footer">
    <w:name w:val="footer"/>
    <w:basedOn w:val="Normal"/>
    <w:link w:val="FooterChar"/>
    <w:rsid w:val="00F9044D"/>
    <w:pPr>
      <w:tabs>
        <w:tab w:val="center" w:pos="4513"/>
        <w:tab w:val="right" w:pos="9026"/>
      </w:tabs>
    </w:pPr>
  </w:style>
  <w:style w:type="character" w:customStyle="1" w:styleId="FooterChar">
    <w:name w:val="Footer Char"/>
    <w:basedOn w:val="DefaultParagraphFont"/>
    <w:link w:val="Footer"/>
    <w:rsid w:val="00F9044D"/>
    <w:rPr>
      <w:sz w:val="24"/>
      <w:szCs w:val="24"/>
      <w:lang w:val="en-US" w:eastAsia="en-US"/>
    </w:rPr>
  </w:style>
  <w:style w:type="character" w:customStyle="1" w:styleId="SubtitleChar">
    <w:name w:val="Subtitle Char"/>
    <w:basedOn w:val="DefaultParagraphFont"/>
    <w:link w:val="Subtitle"/>
    <w:rsid w:val="00850EA9"/>
    <w:rPr>
      <w:sz w:val="24"/>
      <w:u w:val="single"/>
      <w:lang w:eastAsia="en-US"/>
    </w:rPr>
  </w:style>
  <w:style w:type="paragraph" w:styleId="BodyTextIndent3">
    <w:name w:val="Body Text Indent 3"/>
    <w:basedOn w:val="Normal"/>
    <w:link w:val="BodyTextIndent3Char"/>
    <w:rsid w:val="00447E1A"/>
    <w:pPr>
      <w:spacing w:after="120"/>
      <w:ind w:left="283"/>
    </w:pPr>
    <w:rPr>
      <w:sz w:val="16"/>
      <w:szCs w:val="16"/>
    </w:rPr>
  </w:style>
  <w:style w:type="character" w:customStyle="1" w:styleId="BodyTextIndent3Char">
    <w:name w:val="Body Text Indent 3 Char"/>
    <w:basedOn w:val="DefaultParagraphFont"/>
    <w:link w:val="BodyTextIndent3"/>
    <w:rsid w:val="00447E1A"/>
    <w:rPr>
      <w:sz w:val="16"/>
      <w:szCs w:val="16"/>
      <w:lang w:val="en-US" w:eastAsia="en-US"/>
    </w:rPr>
  </w:style>
  <w:style w:type="paragraph" w:styleId="ListParagraph">
    <w:name w:val="List Paragraph"/>
    <w:basedOn w:val="Normal"/>
    <w:uiPriority w:val="34"/>
    <w:qFormat/>
    <w:rsid w:val="00BC42DB"/>
    <w:pPr>
      <w:ind w:left="720"/>
      <w:contextualSpacing/>
    </w:pPr>
  </w:style>
  <w:style w:type="paragraph" w:styleId="Revision">
    <w:name w:val="Revision"/>
    <w:hidden/>
    <w:uiPriority w:val="99"/>
    <w:semiHidden/>
    <w:rsid w:val="0020374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2">
    <w:name w:val="heading 2"/>
    <w:basedOn w:val="Normal"/>
    <w:next w:val="Normal"/>
    <w:qFormat/>
    <w:rsid w:val="001F14AE"/>
    <w:pPr>
      <w:keepNext/>
      <w:spacing w:before="240" w:after="60"/>
      <w:outlineLvl w:val="1"/>
    </w:pPr>
    <w:rPr>
      <w:rFonts w:ascii="Arial" w:hAnsi="Arial"/>
      <w:b/>
      <w:bCs/>
      <w:i/>
      <w:iCs/>
      <w:sz w:val="28"/>
      <w:szCs w:val="28"/>
    </w:rPr>
  </w:style>
  <w:style w:type="paragraph" w:styleId="Heading4">
    <w:name w:val="heading 4"/>
    <w:basedOn w:val="Normal"/>
    <w:qFormat/>
    <w:rsid w:val="00C84E01"/>
    <w:pPr>
      <w:spacing w:before="100" w:beforeAutospacing="1" w:after="100" w:afterAutospacing="1"/>
      <w:outlineLvl w:val="3"/>
    </w:pPr>
    <w:rPr>
      <w:b/>
      <w:bCs/>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A3BC0"/>
    <w:rPr>
      <w:szCs w:val="20"/>
      <w:u w:val="single"/>
      <w:lang w:val="en-AU"/>
    </w:rPr>
  </w:style>
  <w:style w:type="paragraph" w:styleId="Header">
    <w:name w:val="header"/>
    <w:basedOn w:val="Normal"/>
    <w:link w:val="HeaderChar"/>
    <w:rsid w:val="009A3BC0"/>
    <w:pPr>
      <w:widowControl w:val="0"/>
      <w:tabs>
        <w:tab w:val="center" w:pos="4153"/>
        <w:tab w:val="right" w:pos="8306"/>
      </w:tabs>
    </w:pPr>
    <w:rPr>
      <w:snapToGrid w:val="0"/>
      <w:szCs w:val="20"/>
    </w:rPr>
  </w:style>
  <w:style w:type="character" w:styleId="PageNumber">
    <w:name w:val="page number"/>
    <w:basedOn w:val="DefaultParagraphFont"/>
    <w:rsid w:val="009A3BC0"/>
  </w:style>
  <w:style w:type="paragraph" w:styleId="NormalWeb">
    <w:name w:val="Normal (Web)"/>
    <w:basedOn w:val="Normal"/>
    <w:rsid w:val="00DB0722"/>
    <w:pPr>
      <w:spacing w:before="100" w:beforeAutospacing="1" w:after="300"/>
    </w:pPr>
  </w:style>
  <w:style w:type="character" w:styleId="Hyperlink">
    <w:name w:val="Hyperlink"/>
    <w:basedOn w:val="DefaultParagraphFont"/>
    <w:rsid w:val="00262330"/>
    <w:rPr>
      <w:color w:val="0000FF"/>
      <w:u w:val="single"/>
    </w:rPr>
  </w:style>
  <w:style w:type="paragraph" w:customStyle="1" w:styleId="clause">
    <w:name w:val="clause"/>
    <w:basedOn w:val="Normal"/>
    <w:rsid w:val="00C84E01"/>
    <w:pPr>
      <w:spacing w:before="100" w:beforeAutospacing="1" w:after="100" w:afterAutospacing="1"/>
    </w:pPr>
    <w:rPr>
      <w:lang w:bidi="hi-IN"/>
    </w:rPr>
  </w:style>
  <w:style w:type="paragraph" w:customStyle="1" w:styleId="Default">
    <w:name w:val="Default"/>
    <w:rsid w:val="00E82006"/>
    <w:pPr>
      <w:autoSpaceDE w:val="0"/>
      <w:autoSpaceDN w:val="0"/>
      <w:adjustRightInd w:val="0"/>
    </w:pPr>
    <w:rPr>
      <w:rFonts w:ascii="Calibri" w:hAnsi="Calibri" w:cs="Calibri"/>
      <w:color w:val="000000"/>
      <w:sz w:val="24"/>
      <w:szCs w:val="24"/>
      <w:lang w:val="en-US" w:eastAsia="en-US"/>
    </w:rPr>
  </w:style>
  <w:style w:type="paragraph" w:styleId="BodyText">
    <w:name w:val="Body Text"/>
    <w:aliases w:val="Body Text1,Body Text Char11,Body Text Char Char1,Body Text Char1 Char Char1,Body Text Char Char Char Char1,Body Text Char1 Char11,Body Text Char Char Char11,Body Text Char2 Char Char1,Body Text Char1 Char1 Char Char1,Body Text Char3"/>
    <w:basedOn w:val="Normal"/>
    <w:link w:val="BodyTextChar"/>
    <w:rsid w:val="001F14AE"/>
    <w:pPr>
      <w:keepLines/>
      <w:spacing w:after="120"/>
    </w:pPr>
    <w:rPr>
      <w:rFonts w:ascii="Verdana" w:hAnsi="Verdana"/>
      <w:color w:val="000000"/>
      <w:sz w:val="20"/>
      <w:lang w:val="en-AU" w:eastAsia="en-AU"/>
    </w:rPr>
  </w:style>
  <w:style w:type="character" w:customStyle="1" w:styleId="BodyTextChar">
    <w:name w:val="Body Text Char"/>
    <w:aliases w:val="Body Text1 Char,Body Text Char11 Char,Body Text Char Char1 Char,Body Text Char1 Char Char1 Char,Body Text Char Char Char Char1 Char,Body Text Char1 Char11 Char,Body Text Char Char Char11 Char,Body Text Char2 Char Char1 Char"/>
    <w:basedOn w:val="DefaultParagraphFont"/>
    <w:link w:val="BodyText"/>
    <w:locked/>
    <w:rsid w:val="001F14AE"/>
    <w:rPr>
      <w:rFonts w:ascii="Verdana" w:hAnsi="Verdana"/>
      <w:color w:val="000000"/>
      <w:szCs w:val="24"/>
      <w:lang w:val="en-AU" w:eastAsia="en-AU" w:bidi="ar-SA"/>
    </w:rPr>
  </w:style>
  <w:style w:type="paragraph" w:styleId="FootnoteText">
    <w:name w:val="footnote text"/>
    <w:basedOn w:val="Normal"/>
    <w:semiHidden/>
    <w:rsid w:val="009E506E"/>
    <w:rPr>
      <w:sz w:val="20"/>
      <w:szCs w:val="20"/>
    </w:rPr>
  </w:style>
  <w:style w:type="character" w:styleId="FootnoteReference">
    <w:name w:val="footnote reference"/>
    <w:basedOn w:val="DefaultParagraphFont"/>
    <w:semiHidden/>
    <w:rsid w:val="009E506E"/>
    <w:rPr>
      <w:vertAlign w:val="superscript"/>
    </w:rPr>
  </w:style>
  <w:style w:type="character" w:customStyle="1" w:styleId="char">
    <w:name w:val="char"/>
    <w:basedOn w:val="DefaultParagraphFont"/>
    <w:rsid w:val="009E506E"/>
  </w:style>
  <w:style w:type="paragraph" w:customStyle="1" w:styleId="subsection">
    <w:name w:val="subsection"/>
    <w:aliases w:val="ss"/>
    <w:link w:val="subsectionChar"/>
    <w:rsid w:val="00177721"/>
    <w:pPr>
      <w:tabs>
        <w:tab w:val="right" w:pos="1021"/>
      </w:tabs>
      <w:spacing w:before="180"/>
      <w:ind w:left="1134" w:hanging="1134"/>
    </w:pPr>
    <w:rPr>
      <w:sz w:val="22"/>
      <w:szCs w:val="24"/>
    </w:rPr>
  </w:style>
  <w:style w:type="paragraph" w:customStyle="1" w:styleId="paragraph">
    <w:name w:val="paragraph"/>
    <w:aliases w:val="a"/>
    <w:link w:val="paragraphChar"/>
    <w:rsid w:val="00177721"/>
    <w:pPr>
      <w:tabs>
        <w:tab w:val="right" w:pos="1531"/>
      </w:tabs>
      <w:spacing w:before="40"/>
      <w:ind w:left="1644" w:hanging="1644"/>
    </w:pPr>
    <w:rPr>
      <w:sz w:val="22"/>
      <w:szCs w:val="24"/>
    </w:rPr>
  </w:style>
  <w:style w:type="character" w:customStyle="1" w:styleId="subsectionChar">
    <w:name w:val="subsection Char"/>
    <w:aliases w:val="ss Char"/>
    <w:basedOn w:val="DefaultParagraphFont"/>
    <w:link w:val="subsection"/>
    <w:rsid w:val="00177721"/>
    <w:rPr>
      <w:sz w:val="22"/>
      <w:szCs w:val="24"/>
      <w:lang w:val="en-AU" w:eastAsia="en-AU" w:bidi="ar-SA"/>
    </w:rPr>
  </w:style>
  <w:style w:type="character" w:customStyle="1" w:styleId="paragraphChar">
    <w:name w:val="paragraph Char"/>
    <w:aliases w:val="a Char"/>
    <w:basedOn w:val="DefaultParagraphFont"/>
    <w:link w:val="paragraph"/>
    <w:rsid w:val="00177721"/>
    <w:rPr>
      <w:sz w:val="22"/>
      <w:szCs w:val="24"/>
      <w:lang w:val="en-AU" w:eastAsia="en-AU" w:bidi="ar-SA"/>
    </w:rPr>
  </w:style>
  <w:style w:type="paragraph" w:customStyle="1" w:styleId="ActHead5">
    <w:name w:val="ActHead 5"/>
    <w:aliases w:val="s"/>
    <w:basedOn w:val="Normal"/>
    <w:next w:val="Normal"/>
    <w:link w:val="ActHead5Char"/>
    <w:rsid w:val="00177721"/>
    <w:pPr>
      <w:keepNext/>
      <w:keepLines/>
      <w:spacing w:before="280"/>
      <w:ind w:left="1134" w:hanging="1134"/>
      <w:outlineLvl w:val="4"/>
    </w:pPr>
    <w:rPr>
      <w:b/>
      <w:bCs/>
      <w:kern w:val="28"/>
      <w:szCs w:val="32"/>
      <w:lang w:val="en-AU" w:eastAsia="en-AU"/>
    </w:rPr>
  </w:style>
  <w:style w:type="character" w:customStyle="1" w:styleId="CharDivNo">
    <w:name w:val="CharDivNo"/>
    <w:basedOn w:val="DefaultParagraphFont"/>
    <w:rsid w:val="00177721"/>
  </w:style>
  <w:style w:type="character" w:customStyle="1" w:styleId="CharSectno">
    <w:name w:val="CharSectno"/>
    <w:basedOn w:val="DefaultParagraphFont"/>
    <w:rsid w:val="00177721"/>
  </w:style>
  <w:style w:type="paragraph" w:customStyle="1" w:styleId="subsection2">
    <w:name w:val="subsection2"/>
    <w:aliases w:val="ss2"/>
    <w:basedOn w:val="subsection"/>
    <w:next w:val="subsection"/>
    <w:rsid w:val="00177721"/>
    <w:pPr>
      <w:tabs>
        <w:tab w:val="clear" w:pos="1021"/>
      </w:tabs>
      <w:spacing w:before="40"/>
      <w:ind w:firstLine="0"/>
    </w:pPr>
  </w:style>
  <w:style w:type="character" w:customStyle="1" w:styleId="ActHead5Char">
    <w:name w:val="ActHead 5 Char"/>
    <w:aliases w:val="s Char"/>
    <w:basedOn w:val="DefaultParagraphFont"/>
    <w:link w:val="ActHead5"/>
    <w:rsid w:val="00177721"/>
    <w:rPr>
      <w:b/>
      <w:bCs/>
      <w:kern w:val="28"/>
      <w:sz w:val="24"/>
      <w:szCs w:val="32"/>
      <w:lang w:val="en-AU" w:eastAsia="en-AU" w:bidi="ar-SA"/>
    </w:rPr>
  </w:style>
  <w:style w:type="paragraph" w:styleId="BalloonText">
    <w:name w:val="Balloon Text"/>
    <w:basedOn w:val="Normal"/>
    <w:semiHidden/>
    <w:rsid w:val="00AD7E80"/>
    <w:rPr>
      <w:rFonts w:ascii="Tahoma" w:hAnsi="Tahoma" w:cs="Tahoma"/>
      <w:sz w:val="16"/>
      <w:szCs w:val="16"/>
    </w:rPr>
  </w:style>
  <w:style w:type="character" w:styleId="CommentReference">
    <w:name w:val="annotation reference"/>
    <w:basedOn w:val="DefaultParagraphFont"/>
    <w:semiHidden/>
    <w:rsid w:val="00DD7E7A"/>
    <w:rPr>
      <w:sz w:val="16"/>
      <w:szCs w:val="16"/>
    </w:rPr>
  </w:style>
  <w:style w:type="paragraph" w:styleId="CommentText">
    <w:name w:val="annotation text"/>
    <w:basedOn w:val="Normal"/>
    <w:semiHidden/>
    <w:rsid w:val="00DD7E7A"/>
    <w:rPr>
      <w:sz w:val="20"/>
      <w:szCs w:val="20"/>
    </w:rPr>
  </w:style>
  <w:style w:type="paragraph" w:styleId="CommentSubject">
    <w:name w:val="annotation subject"/>
    <w:basedOn w:val="CommentText"/>
    <w:next w:val="CommentText"/>
    <w:semiHidden/>
    <w:rsid w:val="00DD7E7A"/>
    <w:rPr>
      <w:b/>
      <w:bCs/>
    </w:rPr>
  </w:style>
  <w:style w:type="character" w:customStyle="1" w:styleId="HeaderChar">
    <w:name w:val="Header Char"/>
    <w:basedOn w:val="DefaultParagraphFont"/>
    <w:link w:val="Header"/>
    <w:rsid w:val="00F9044D"/>
    <w:rPr>
      <w:snapToGrid w:val="0"/>
      <w:sz w:val="24"/>
      <w:lang w:val="en-US" w:eastAsia="en-US"/>
    </w:rPr>
  </w:style>
  <w:style w:type="paragraph" w:styleId="Footer">
    <w:name w:val="footer"/>
    <w:basedOn w:val="Normal"/>
    <w:link w:val="FooterChar"/>
    <w:rsid w:val="00F9044D"/>
    <w:pPr>
      <w:tabs>
        <w:tab w:val="center" w:pos="4513"/>
        <w:tab w:val="right" w:pos="9026"/>
      </w:tabs>
    </w:pPr>
  </w:style>
  <w:style w:type="character" w:customStyle="1" w:styleId="FooterChar">
    <w:name w:val="Footer Char"/>
    <w:basedOn w:val="DefaultParagraphFont"/>
    <w:link w:val="Footer"/>
    <w:rsid w:val="00F9044D"/>
    <w:rPr>
      <w:sz w:val="24"/>
      <w:szCs w:val="24"/>
      <w:lang w:val="en-US" w:eastAsia="en-US"/>
    </w:rPr>
  </w:style>
  <w:style w:type="character" w:customStyle="1" w:styleId="SubtitleChar">
    <w:name w:val="Subtitle Char"/>
    <w:basedOn w:val="DefaultParagraphFont"/>
    <w:link w:val="Subtitle"/>
    <w:rsid w:val="00850EA9"/>
    <w:rPr>
      <w:sz w:val="24"/>
      <w:u w:val="single"/>
      <w:lang w:eastAsia="en-US"/>
    </w:rPr>
  </w:style>
  <w:style w:type="paragraph" w:styleId="BodyTextIndent3">
    <w:name w:val="Body Text Indent 3"/>
    <w:basedOn w:val="Normal"/>
    <w:link w:val="BodyTextIndent3Char"/>
    <w:rsid w:val="00447E1A"/>
    <w:pPr>
      <w:spacing w:after="120"/>
      <w:ind w:left="283"/>
    </w:pPr>
    <w:rPr>
      <w:sz w:val="16"/>
      <w:szCs w:val="16"/>
    </w:rPr>
  </w:style>
  <w:style w:type="character" w:customStyle="1" w:styleId="BodyTextIndent3Char">
    <w:name w:val="Body Text Indent 3 Char"/>
    <w:basedOn w:val="DefaultParagraphFont"/>
    <w:link w:val="BodyTextIndent3"/>
    <w:rsid w:val="00447E1A"/>
    <w:rPr>
      <w:sz w:val="16"/>
      <w:szCs w:val="16"/>
      <w:lang w:val="en-US" w:eastAsia="en-US"/>
    </w:rPr>
  </w:style>
  <w:style w:type="paragraph" w:styleId="ListParagraph">
    <w:name w:val="List Paragraph"/>
    <w:basedOn w:val="Normal"/>
    <w:uiPriority w:val="34"/>
    <w:qFormat/>
    <w:rsid w:val="00BC42DB"/>
    <w:pPr>
      <w:ind w:left="720"/>
      <w:contextualSpacing/>
    </w:pPr>
  </w:style>
  <w:style w:type="paragraph" w:styleId="Revision">
    <w:name w:val="Revision"/>
    <w:hidden/>
    <w:uiPriority w:val="99"/>
    <w:semiHidden/>
    <w:rsid w:val="002037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36424">
      <w:bodyDiv w:val="1"/>
      <w:marLeft w:val="0"/>
      <w:marRight w:val="0"/>
      <w:marTop w:val="0"/>
      <w:marBottom w:val="0"/>
      <w:divBdr>
        <w:top w:val="none" w:sz="0" w:space="0" w:color="auto"/>
        <w:left w:val="none" w:sz="0" w:space="0" w:color="auto"/>
        <w:bottom w:val="none" w:sz="0" w:space="0" w:color="auto"/>
        <w:right w:val="none" w:sz="0" w:space="0" w:color="auto"/>
      </w:divBdr>
    </w:div>
    <w:div w:id="349719609">
      <w:bodyDiv w:val="1"/>
      <w:marLeft w:val="0"/>
      <w:marRight w:val="0"/>
      <w:marTop w:val="0"/>
      <w:marBottom w:val="0"/>
      <w:divBdr>
        <w:top w:val="none" w:sz="0" w:space="0" w:color="auto"/>
        <w:left w:val="none" w:sz="0" w:space="0" w:color="auto"/>
        <w:bottom w:val="none" w:sz="0" w:space="0" w:color="auto"/>
        <w:right w:val="none" w:sz="0" w:space="0" w:color="auto"/>
      </w:divBdr>
    </w:div>
    <w:div w:id="792480940">
      <w:bodyDiv w:val="1"/>
      <w:marLeft w:val="0"/>
      <w:marRight w:val="0"/>
      <w:marTop w:val="0"/>
      <w:marBottom w:val="0"/>
      <w:divBdr>
        <w:top w:val="none" w:sz="0" w:space="0" w:color="auto"/>
        <w:left w:val="none" w:sz="0" w:space="0" w:color="auto"/>
        <w:bottom w:val="none" w:sz="0" w:space="0" w:color="auto"/>
        <w:right w:val="none" w:sz="0" w:space="0" w:color="auto"/>
      </w:divBdr>
    </w:div>
    <w:div w:id="938178973">
      <w:bodyDiv w:val="1"/>
      <w:marLeft w:val="0"/>
      <w:marRight w:val="0"/>
      <w:marTop w:val="0"/>
      <w:marBottom w:val="0"/>
      <w:divBdr>
        <w:top w:val="none" w:sz="0" w:space="0" w:color="auto"/>
        <w:left w:val="none" w:sz="0" w:space="0" w:color="auto"/>
        <w:bottom w:val="none" w:sz="0" w:space="0" w:color="auto"/>
        <w:right w:val="none" w:sz="0" w:space="0" w:color="auto"/>
      </w:divBdr>
    </w:div>
    <w:div w:id="996569802">
      <w:bodyDiv w:val="1"/>
      <w:marLeft w:val="0"/>
      <w:marRight w:val="0"/>
      <w:marTop w:val="0"/>
      <w:marBottom w:val="0"/>
      <w:divBdr>
        <w:top w:val="none" w:sz="0" w:space="0" w:color="auto"/>
        <w:left w:val="none" w:sz="0" w:space="0" w:color="auto"/>
        <w:bottom w:val="none" w:sz="0" w:space="0" w:color="auto"/>
        <w:right w:val="none" w:sz="0" w:space="0" w:color="auto"/>
      </w:divBdr>
    </w:div>
    <w:div w:id="1155299070">
      <w:bodyDiv w:val="1"/>
      <w:marLeft w:val="0"/>
      <w:marRight w:val="0"/>
      <w:marTop w:val="0"/>
      <w:marBottom w:val="0"/>
      <w:divBdr>
        <w:top w:val="none" w:sz="0" w:space="0" w:color="auto"/>
        <w:left w:val="none" w:sz="0" w:space="0" w:color="auto"/>
        <w:bottom w:val="none" w:sz="0" w:space="0" w:color="auto"/>
        <w:right w:val="none" w:sz="0" w:space="0" w:color="auto"/>
      </w:divBdr>
    </w:div>
    <w:div w:id="1540317610">
      <w:bodyDiv w:val="1"/>
      <w:marLeft w:val="0"/>
      <w:marRight w:val="0"/>
      <w:marTop w:val="0"/>
      <w:marBottom w:val="0"/>
      <w:divBdr>
        <w:top w:val="none" w:sz="0" w:space="0" w:color="auto"/>
        <w:left w:val="none" w:sz="0" w:space="0" w:color="auto"/>
        <w:bottom w:val="none" w:sz="0" w:space="0" w:color="auto"/>
        <w:right w:val="none" w:sz="0" w:space="0" w:color="auto"/>
      </w:divBdr>
      <w:divsChild>
        <w:div w:id="166021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124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710928">
      <w:bodyDiv w:val="1"/>
      <w:marLeft w:val="0"/>
      <w:marRight w:val="0"/>
      <w:marTop w:val="0"/>
      <w:marBottom w:val="0"/>
      <w:divBdr>
        <w:top w:val="none" w:sz="0" w:space="0" w:color="auto"/>
        <w:left w:val="none" w:sz="0" w:space="0" w:color="auto"/>
        <w:bottom w:val="none" w:sz="0" w:space="0" w:color="auto"/>
        <w:right w:val="none" w:sz="0" w:space="0" w:color="auto"/>
      </w:divBdr>
      <w:divsChild>
        <w:div w:id="22664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32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540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973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687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8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55293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986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12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5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0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00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147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957030">
      <w:bodyDiv w:val="1"/>
      <w:marLeft w:val="0"/>
      <w:marRight w:val="0"/>
      <w:marTop w:val="0"/>
      <w:marBottom w:val="0"/>
      <w:divBdr>
        <w:top w:val="none" w:sz="0" w:space="0" w:color="auto"/>
        <w:left w:val="none" w:sz="0" w:space="0" w:color="auto"/>
        <w:bottom w:val="none" w:sz="0" w:space="0" w:color="auto"/>
        <w:right w:val="none" w:sz="0" w:space="0" w:color="auto"/>
      </w:divBdr>
      <w:divsChild>
        <w:div w:id="5442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262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641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85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25403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9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774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21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47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389171">
      <w:bodyDiv w:val="1"/>
      <w:marLeft w:val="0"/>
      <w:marRight w:val="0"/>
      <w:marTop w:val="0"/>
      <w:marBottom w:val="0"/>
      <w:divBdr>
        <w:top w:val="none" w:sz="0" w:space="0" w:color="auto"/>
        <w:left w:val="none" w:sz="0" w:space="0" w:color="auto"/>
        <w:bottom w:val="none" w:sz="0" w:space="0" w:color="auto"/>
        <w:right w:val="none" w:sz="0" w:space="0" w:color="auto"/>
      </w:divBdr>
      <w:divsChild>
        <w:div w:id="565729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22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625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624311">
      <w:bodyDiv w:val="1"/>
      <w:marLeft w:val="0"/>
      <w:marRight w:val="0"/>
      <w:marTop w:val="0"/>
      <w:marBottom w:val="0"/>
      <w:divBdr>
        <w:top w:val="none" w:sz="0" w:space="0" w:color="auto"/>
        <w:left w:val="none" w:sz="0" w:space="0" w:color="auto"/>
        <w:bottom w:val="none" w:sz="0" w:space="0" w:color="auto"/>
        <w:right w:val="none" w:sz="0" w:space="0" w:color="auto"/>
      </w:divBdr>
      <w:divsChild>
        <w:div w:id="6043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583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7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100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289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843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23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34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9329614">
      <w:bodyDiv w:val="1"/>
      <w:marLeft w:val="0"/>
      <w:marRight w:val="0"/>
      <w:marTop w:val="0"/>
      <w:marBottom w:val="0"/>
      <w:divBdr>
        <w:top w:val="none" w:sz="0" w:space="0" w:color="auto"/>
        <w:left w:val="none" w:sz="0" w:space="0" w:color="auto"/>
        <w:bottom w:val="none" w:sz="0" w:space="0" w:color="auto"/>
        <w:right w:val="none" w:sz="0" w:space="0" w:color="auto"/>
      </w:divBdr>
      <w:divsChild>
        <w:div w:id="895318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06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6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324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68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0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18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351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1979</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DHA</Company>
  <LinksUpToDate>false</LinksUpToDate>
  <CharactersWithSpaces>13315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Kim Richter</dc:creator>
  <cp:lastModifiedBy>Hilhorst, Matt</cp:lastModifiedBy>
  <cp:revision>3</cp:revision>
  <cp:lastPrinted>2013-06-18T01:44:00Z</cp:lastPrinted>
  <dcterms:created xsi:type="dcterms:W3CDTF">2013-06-25T07:52:00Z</dcterms:created>
  <dcterms:modified xsi:type="dcterms:W3CDTF">2013-06-28T02:51:00Z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