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01" w:rsidRPr="00523B01" w:rsidRDefault="00523B01" w:rsidP="00E652BC">
      <w:pPr>
        <w:jc w:val="center"/>
        <w:rPr>
          <w:b/>
        </w:rPr>
      </w:pPr>
      <w:r w:rsidRPr="00523B01">
        <w:rPr>
          <w:b/>
        </w:rPr>
        <w:t>Australian Securities and Investments Commission</w:t>
      </w:r>
    </w:p>
    <w:p w:rsidR="00523B01" w:rsidRPr="00523B01" w:rsidRDefault="00523B01" w:rsidP="00E652BC">
      <w:pPr>
        <w:jc w:val="center"/>
        <w:rPr>
          <w:b/>
        </w:rPr>
      </w:pPr>
      <w:r w:rsidRPr="00523B01">
        <w:rPr>
          <w:b/>
        </w:rPr>
        <w:t>Corporations Act 2001</w:t>
      </w:r>
      <w:r w:rsidR="008D1551">
        <w:rPr>
          <w:b/>
        </w:rPr>
        <w:t>—</w:t>
      </w:r>
      <w:r w:rsidRPr="00523B01">
        <w:rPr>
          <w:b/>
        </w:rPr>
        <w:t xml:space="preserve"> </w:t>
      </w:r>
      <w:r w:rsidR="00C84C41">
        <w:rPr>
          <w:b/>
        </w:rPr>
        <w:t>Subsection</w:t>
      </w:r>
      <w:r w:rsidR="00C55FF4">
        <w:rPr>
          <w:b/>
        </w:rPr>
        <w:t>s</w:t>
      </w:r>
      <w:r w:rsidR="00C84C41">
        <w:rPr>
          <w:b/>
        </w:rPr>
        <w:t xml:space="preserve"> 341(1)</w:t>
      </w:r>
      <w:r w:rsidR="00C55FF4">
        <w:rPr>
          <w:b/>
        </w:rPr>
        <w:t>,</w:t>
      </w:r>
      <w:r w:rsidR="00C84C41">
        <w:rPr>
          <w:b/>
        </w:rPr>
        <w:t xml:space="preserve"> </w:t>
      </w:r>
      <w:proofErr w:type="gramStart"/>
      <w:r w:rsidR="00C55FF4">
        <w:rPr>
          <w:b/>
        </w:rPr>
        <w:t>601QA(</w:t>
      </w:r>
      <w:proofErr w:type="gramEnd"/>
      <w:r w:rsidR="00C55FF4">
        <w:rPr>
          <w:b/>
        </w:rPr>
        <w:t>1)</w:t>
      </w:r>
      <w:r w:rsidR="001F77E9">
        <w:t xml:space="preserve">, </w:t>
      </w:r>
      <w:r w:rsidR="00111A47">
        <w:rPr>
          <w:b/>
        </w:rPr>
        <w:t>741(1)</w:t>
      </w:r>
      <w:r w:rsidR="00C54017">
        <w:rPr>
          <w:b/>
        </w:rPr>
        <w:t xml:space="preserve">, </w:t>
      </w:r>
      <w:r w:rsidR="004F7BA3">
        <w:rPr>
          <w:b/>
        </w:rPr>
        <w:t xml:space="preserve">926A(2), </w:t>
      </w:r>
      <w:r w:rsidR="00C54017">
        <w:rPr>
          <w:b/>
        </w:rPr>
        <w:t>992B(1)</w:t>
      </w:r>
      <w:r w:rsidR="00C55FF4">
        <w:rPr>
          <w:b/>
        </w:rPr>
        <w:t xml:space="preserve"> </w:t>
      </w:r>
      <w:r w:rsidR="00111A47">
        <w:rPr>
          <w:b/>
        </w:rPr>
        <w:t>and 1</w:t>
      </w:r>
      <w:r w:rsidR="00C84C41">
        <w:rPr>
          <w:b/>
        </w:rPr>
        <w:t>020F(1)</w:t>
      </w:r>
      <w:r w:rsidRPr="00523B01">
        <w:rPr>
          <w:b/>
        </w:rPr>
        <w:t>—</w:t>
      </w:r>
      <w:r w:rsidR="00111A47">
        <w:rPr>
          <w:b/>
        </w:rPr>
        <w:t>Exemption</w:t>
      </w:r>
      <w:r w:rsidR="00006918">
        <w:rPr>
          <w:b/>
        </w:rPr>
        <w:t>,</w:t>
      </w:r>
      <w:r w:rsidR="00111A47">
        <w:rPr>
          <w:b/>
        </w:rPr>
        <w:t xml:space="preserve"> </w:t>
      </w:r>
      <w:r>
        <w:rPr>
          <w:b/>
        </w:rPr>
        <w:t>Declaration</w:t>
      </w:r>
      <w:r w:rsidR="005E0D65">
        <w:rPr>
          <w:b/>
        </w:rPr>
        <w:t>,</w:t>
      </w:r>
      <w:r w:rsidR="00006918">
        <w:rPr>
          <w:b/>
        </w:rPr>
        <w:t xml:space="preserve"> </w:t>
      </w:r>
      <w:r w:rsidR="008A5CFA">
        <w:rPr>
          <w:b/>
        </w:rPr>
        <w:t>Order</w:t>
      </w:r>
      <w:r w:rsidR="005E0D65">
        <w:rPr>
          <w:b/>
        </w:rPr>
        <w:t xml:space="preserve"> and Revocation</w:t>
      </w:r>
    </w:p>
    <w:p w:rsidR="000437EA" w:rsidRDefault="000437EA"/>
    <w:p w:rsidR="000437EA" w:rsidRDefault="000437EA">
      <w:pPr>
        <w:rPr>
          <w:b/>
        </w:rPr>
      </w:pPr>
    </w:p>
    <w:p w:rsidR="000437EA" w:rsidRDefault="00523B01">
      <w:pPr>
        <w:rPr>
          <w:b/>
        </w:rPr>
      </w:pPr>
      <w:r w:rsidRPr="00523B01">
        <w:rPr>
          <w:b/>
        </w:rPr>
        <w:t>Enabling legislation</w:t>
      </w:r>
    </w:p>
    <w:p w:rsidR="000437EA" w:rsidRDefault="000437EA"/>
    <w:p w:rsidR="000437EA" w:rsidRDefault="009A5DA0">
      <w:pPr>
        <w:ind w:left="567" w:hanging="567"/>
      </w:pPr>
      <w:r>
        <w:t>1.</w:t>
      </w:r>
      <w:r w:rsidR="00FB07D6">
        <w:tab/>
        <w:t xml:space="preserve">The Australian Securities and Investments Commission makes this instrument under </w:t>
      </w:r>
      <w:r w:rsidR="00C84C41">
        <w:t>subsection</w:t>
      </w:r>
      <w:r w:rsidR="00C55FF4">
        <w:t>s</w:t>
      </w:r>
      <w:r w:rsidR="00C84C41">
        <w:t xml:space="preserve"> 341(1)</w:t>
      </w:r>
      <w:r w:rsidR="00C55FF4">
        <w:t>,</w:t>
      </w:r>
      <w:r w:rsidR="00C55FF4" w:rsidRPr="00C55FF4">
        <w:t xml:space="preserve"> </w:t>
      </w:r>
      <w:proofErr w:type="gramStart"/>
      <w:r w:rsidR="007007A5" w:rsidRPr="007007A5">
        <w:t>601QA(</w:t>
      </w:r>
      <w:proofErr w:type="gramEnd"/>
      <w:r w:rsidR="007007A5" w:rsidRPr="007007A5">
        <w:t>1)</w:t>
      </w:r>
      <w:r w:rsidR="00C55FF4" w:rsidRPr="00C55FF4">
        <w:t xml:space="preserve">, </w:t>
      </w:r>
      <w:r w:rsidR="007007A5" w:rsidRPr="007007A5">
        <w:t>741(1)</w:t>
      </w:r>
      <w:r w:rsidR="00C54017">
        <w:t xml:space="preserve">, </w:t>
      </w:r>
      <w:r w:rsidR="004F7BA3">
        <w:t xml:space="preserve">926A(2), </w:t>
      </w:r>
      <w:r w:rsidR="00C54017">
        <w:t>992B(1)</w:t>
      </w:r>
      <w:r w:rsidR="007007A5" w:rsidRPr="007007A5">
        <w:t xml:space="preserve"> and 1020F(1)</w:t>
      </w:r>
      <w:r w:rsidR="00C84C41">
        <w:t xml:space="preserve"> </w:t>
      </w:r>
      <w:r w:rsidR="00391B1E" w:rsidRPr="00FB07D6">
        <w:t xml:space="preserve">of the </w:t>
      </w:r>
      <w:r w:rsidR="00E92E3E" w:rsidRPr="00E92E3E">
        <w:rPr>
          <w:i/>
        </w:rPr>
        <w:t>Corporations Act 2001</w:t>
      </w:r>
      <w:r w:rsidR="00391B1E">
        <w:t xml:space="preserve"> (</w:t>
      </w:r>
      <w:r w:rsidR="00391B1E" w:rsidRPr="00391B1E">
        <w:rPr>
          <w:b/>
          <w:i/>
        </w:rPr>
        <w:t>Act</w:t>
      </w:r>
      <w:r w:rsidR="00391B1E">
        <w:t>)</w:t>
      </w:r>
      <w:r w:rsidR="00111A47">
        <w:t>.</w:t>
      </w:r>
    </w:p>
    <w:p w:rsidR="000437EA" w:rsidRDefault="000437EA">
      <w:pPr>
        <w:rPr>
          <w:b/>
        </w:rPr>
      </w:pPr>
    </w:p>
    <w:p w:rsidR="000437EA" w:rsidRDefault="00523B01">
      <w:pPr>
        <w:rPr>
          <w:b/>
        </w:rPr>
      </w:pPr>
      <w:r w:rsidRPr="00523B01">
        <w:rPr>
          <w:b/>
        </w:rPr>
        <w:t>Title</w:t>
      </w:r>
    </w:p>
    <w:p w:rsidR="000437EA" w:rsidRDefault="000437EA"/>
    <w:p w:rsidR="000437EA" w:rsidRDefault="00111A47">
      <w:pPr>
        <w:ind w:left="567" w:hanging="567"/>
      </w:pPr>
      <w:r>
        <w:t>2</w:t>
      </w:r>
      <w:r w:rsidR="009A5DA0">
        <w:t>.</w:t>
      </w:r>
      <w:r w:rsidR="009A5DA0">
        <w:tab/>
      </w:r>
      <w:r w:rsidR="00523B01" w:rsidRPr="00523B01">
        <w:t xml:space="preserve">This </w:t>
      </w:r>
      <w:r w:rsidR="00391B1E">
        <w:t>instrument is ASIC Class Order [</w:t>
      </w:r>
      <w:r w:rsidR="00B36A43">
        <w:t xml:space="preserve">CO </w:t>
      </w:r>
      <w:r w:rsidR="00C939FD">
        <w:t>13</w:t>
      </w:r>
      <w:r w:rsidR="00B36A43">
        <w:t>/</w:t>
      </w:r>
      <w:r w:rsidR="00C939FD">
        <w:t>762</w:t>
      </w:r>
      <w:r w:rsidR="00523B01" w:rsidRPr="00523B01">
        <w:t>].</w:t>
      </w:r>
    </w:p>
    <w:p w:rsidR="000437EA" w:rsidRDefault="000437EA"/>
    <w:p w:rsidR="000437EA" w:rsidRDefault="00523B01">
      <w:pPr>
        <w:rPr>
          <w:b/>
        </w:rPr>
      </w:pPr>
      <w:r w:rsidRPr="00523B01">
        <w:rPr>
          <w:b/>
        </w:rPr>
        <w:t>Commencement</w:t>
      </w:r>
    </w:p>
    <w:p w:rsidR="000437EA" w:rsidRDefault="000437EA"/>
    <w:p w:rsidR="00537A2C" w:rsidRDefault="00111A47">
      <w:pPr>
        <w:ind w:left="567" w:hanging="567"/>
      </w:pPr>
      <w:r>
        <w:t>3</w:t>
      </w:r>
      <w:r w:rsidR="009A5DA0">
        <w:t>.</w:t>
      </w:r>
      <w:r w:rsidR="009A5DA0">
        <w:tab/>
      </w:r>
      <w:r w:rsidR="002F60BC" w:rsidRPr="002F60BC">
        <w:t>This instrument commences on</w:t>
      </w:r>
      <w:r w:rsidR="00D3718F" w:rsidRPr="00D3718F">
        <w:t xml:space="preserve"> </w:t>
      </w:r>
      <w:r w:rsidR="00583C33">
        <w:t xml:space="preserve">the </w:t>
      </w:r>
      <w:r w:rsidR="00F319E9">
        <w:t xml:space="preserve">later of: </w:t>
      </w:r>
      <w:r w:rsidR="00537A2C">
        <w:br/>
      </w:r>
    </w:p>
    <w:p w:rsidR="0039112D" w:rsidRDefault="00537A2C" w:rsidP="0039112D">
      <w:pPr>
        <w:pStyle w:val="Style3"/>
      </w:pPr>
      <w:r>
        <w:t>(a)</w:t>
      </w:r>
      <w:r>
        <w:tab/>
      </w:r>
      <w:proofErr w:type="gramStart"/>
      <w:r w:rsidR="00D3718F">
        <w:t>the</w:t>
      </w:r>
      <w:proofErr w:type="gramEnd"/>
      <w:r w:rsidR="00D3718F">
        <w:t xml:space="preserve"> </w:t>
      </w:r>
      <w:r w:rsidR="00D3718F" w:rsidRPr="002F60BC">
        <w:t xml:space="preserve">date it is registered under the </w:t>
      </w:r>
      <w:r w:rsidR="0039112D" w:rsidRPr="0039112D">
        <w:rPr>
          <w:i/>
          <w:iCs/>
        </w:rPr>
        <w:t>Legislative Instruments Act 2003</w:t>
      </w:r>
      <w:r>
        <w:t>; and</w:t>
      </w:r>
    </w:p>
    <w:p w:rsidR="0039112D" w:rsidRDefault="0039112D" w:rsidP="0039112D">
      <w:pPr>
        <w:pStyle w:val="Style3"/>
      </w:pPr>
    </w:p>
    <w:p w:rsidR="0039112D" w:rsidRDefault="00537A2C" w:rsidP="0039112D">
      <w:pPr>
        <w:pStyle w:val="Style3"/>
      </w:pPr>
      <w:r>
        <w:t xml:space="preserve">(b) </w:t>
      </w:r>
      <w:r>
        <w:tab/>
        <w:t>1 July 2013.</w:t>
      </w:r>
    </w:p>
    <w:p w:rsidR="000437EA" w:rsidRDefault="000437EA">
      <w:pPr>
        <w:pStyle w:val="ListParagraph"/>
        <w:ind w:left="360"/>
      </w:pPr>
    </w:p>
    <w:p w:rsidR="00196826" w:rsidRDefault="002F60BC">
      <w:pPr>
        <w:ind w:left="1134" w:hanging="567"/>
        <w:rPr>
          <w:b/>
        </w:rPr>
      </w:pPr>
      <w:r w:rsidRPr="002F60BC">
        <w:rPr>
          <w:sz w:val="20"/>
          <w:lang w:val="en-US"/>
        </w:rPr>
        <w:t>Note:</w:t>
      </w:r>
      <w:r w:rsidRPr="002F60BC">
        <w:rPr>
          <w:sz w:val="20"/>
          <w:lang w:val="en-US"/>
        </w:rPr>
        <w:tab/>
        <w:t>An instrument is registered when it is recorded on the Federal Register of Legislative Instruments (</w:t>
      </w:r>
      <w:r w:rsidRPr="002F60BC">
        <w:rPr>
          <w:b/>
          <w:bCs/>
          <w:i/>
          <w:iCs/>
          <w:sz w:val="20"/>
          <w:lang w:val="en-US"/>
        </w:rPr>
        <w:t>FRLI</w:t>
      </w:r>
      <w:r w:rsidRPr="002F60BC">
        <w:rPr>
          <w:sz w:val="20"/>
          <w:lang w:val="en-US"/>
        </w:rPr>
        <w:t xml:space="preserve">) in electronic form: see </w:t>
      </w:r>
      <w:r w:rsidRPr="002F60BC">
        <w:rPr>
          <w:i/>
          <w:iCs/>
          <w:sz w:val="20"/>
          <w:lang w:val="en-US"/>
        </w:rPr>
        <w:t xml:space="preserve">Legislative Instruments Act 2003, </w:t>
      </w:r>
      <w:r w:rsidRPr="002F60BC">
        <w:rPr>
          <w:sz w:val="20"/>
          <w:lang w:val="en-US"/>
        </w:rPr>
        <w:t xml:space="preserve">section 4 (definition of </w:t>
      </w:r>
      <w:r w:rsidRPr="002F60BC">
        <w:rPr>
          <w:b/>
          <w:bCs/>
          <w:i/>
          <w:iCs/>
          <w:sz w:val="20"/>
          <w:lang w:val="en-US"/>
        </w:rPr>
        <w:t>register</w:t>
      </w:r>
      <w:r w:rsidRPr="002F60BC">
        <w:rPr>
          <w:sz w:val="20"/>
          <w:lang w:val="en-US"/>
        </w:rPr>
        <w:t xml:space="preserve">). The FRLI may be accessed at </w:t>
      </w:r>
      <w:hyperlink r:id="rId8" w:history="1">
        <w:r w:rsidRPr="002F60BC">
          <w:rPr>
            <w:rStyle w:val="Hyperlink"/>
            <w:sz w:val="20"/>
            <w:lang w:val="en-US"/>
          </w:rPr>
          <w:t>http://www.frli.gov.au/</w:t>
        </w:r>
      </w:hyperlink>
      <w:r w:rsidRPr="002F60BC">
        <w:rPr>
          <w:sz w:val="20"/>
          <w:lang w:val="en-US"/>
        </w:rPr>
        <w:t>.</w:t>
      </w:r>
    </w:p>
    <w:p w:rsidR="000437EA" w:rsidRDefault="000437EA">
      <w:pPr>
        <w:rPr>
          <w:b/>
        </w:rPr>
      </w:pPr>
    </w:p>
    <w:p w:rsidR="000437EA" w:rsidRDefault="00EE7AC9">
      <w:pPr>
        <w:rPr>
          <w:b/>
        </w:rPr>
      </w:pPr>
      <w:r>
        <w:rPr>
          <w:b/>
        </w:rPr>
        <w:t>Exemption</w:t>
      </w:r>
    </w:p>
    <w:p w:rsidR="00476501" w:rsidRDefault="00476501">
      <w:pPr>
        <w:rPr>
          <w:b/>
        </w:rPr>
      </w:pPr>
    </w:p>
    <w:p w:rsidR="000437EA" w:rsidRDefault="008C7B73">
      <w:pPr>
        <w:ind w:left="567" w:hanging="567"/>
      </w:pPr>
      <w:r>
        <w:t>4</w:t>
      </w:r>
      <w:r w:rsidR="009A5DA0">
        <w:t>.</w:t>
      </w:r>
      <w:r w:rsidR="009A5DA0">
        <w:tab/>
      </w:r>
      <w:r w:rsidR="00EE7AC9">
        <w:t xml:space="preserve">A responsible entity of an IDPS-like scheme and each other person involved in the preparation of a Product Disclosure Statement for an interest in the scheme </w:t>
      </w:r>
      <w:r w:rsidR="00236C4E">
        <w:t>does not need to comply with:</w:t>
      </w:r>
    </w:p>
    <w:p w:rsidR="000437EA" w:rsidRDefault="000437EA">
      <w:pPr>
        <w:ind w:left="567" w:hanging="567"/>
      </w:pPr>
    </w:p>
    <w:p w:rsidR="0039112D" w:rsidRDefault="00874D82" w:rsidP="0039112D">
      <w:pPr>
        <w:pStyle w:val="Style3"/>
      </w:pPr>
      <w:r>
        <w:t>(a)</w:t>
      </w:r>
      <w:r>
        <w:tab/>
      </w:r>
      <w:r w:rsidR="00062604">
        <w:t>Parts 6D.2 and 6D.3 of the Act for offers of accessible securities or interests in accessible securities</w:t>
      </w:r>
      <w:r w:rsidR="00C76ECA">
        <w:t xml:space="preserve"> </w:t>
      </w:r>
      <w:r w:rsidR="00062604">
        <w:t xml:space="preserve">through the scheme (except where the person </w:t>
      </w:r>
      <w:r w:rsidR="00176D16">
        <w:t xml:space="preserve">is the </w:t>
      </w:r>
      <w:r>
        <w:t>issue</w:t>
      </w:r>
      <w:r w:rsidR="00176D16">
        <w:t>r</w:t>
      </w:r>
      <w:r>
        <w:t xml:space="preserve"> </w:t>
      </w:r>
      <w:r w:rsidR="00176D16">
        <w:t>of</w:t>
      </w:r>
      <w:r w:rsidR="00D4151E">
        <w:t xml:space="preserve"> </w:t>
      </w:r>
      <w:r>
        <w:t>those securities); and</w:t>
      </w:r>
    </w:p>
    <w:p w:rsidR="000437EA" w:rsidRDefault="000437EA">
      <w:pPr>
        <w:ind w:left="1134" w:hanging="567"/>
      </w:pPr>
    </w:p>
    <w:p w:rsidR="000437EA" w:rsidRDefault="00874D82">
      <w:pPr>
        <w:ind w:left="1134" w:hanging="567"/>
      </w:pPr>
      <w:r>
        <w:t>(b)</w:t>
      </w:r>
      <w:r>
        <w:tab/>
      </w:r>
      <w:proofErr w:type="gramStart"/>
      <w:r w:rsidR="008B1757">
        <w:t>s</w:t>
      </w:r>
      <w:r>
        <w:t>ection</w:t>
      </w:r>
      <w:r w:rsidR="008B1757">
        <w:t>s</w:t>
      </w:r>
      <w:proofErr w:type="gramEnd"/>
      <w:r>
        <w:t xml:space="preserve"> 1013D and 1013E of the Act for a Product Disclosure Statement relating to:</w:t>
      </w:r>
    </w:p>
    <w:p w:rsidR="000437EA" w:rsidRDefault="000437EA">
      <w:pPr>
        <w:ind w:left="1134" w:hanging="567"/>
      </w:pPr>
    </w:p>
    <w:p w:rsidR="000437EA" w:rsidRDefault="00874D82">
      <w:pPr>
        <w:ind w:left="1701" w:hanging="567"/>
      </w:pPr>
      <w:r>
        <w:t>(</w:t>
      </w:r>
      <w:proofErr w:type="spellStart"/>
      <w:r>
        <w:t>i</w:t>
      </w:r>
      <w:proofErr w:type="spellEnd"/>
      <w:r>
        <w:t>)</w:t>
      </w:r>
      <w:r>
        <w:tab/>
      </w:r>
      <w:proofErr w:type="gramStart"/>
      <w:r>
        <w:t>an</w:t>
      </w:r>
      <w:proofErr w:type="gramEnd"/>
      <w:r>
        <w:t xml:space="preserve"> interest in the scheme; and</w:t>
      </w:r>
    </w:p>
    <w:p w:rsidR="000437EA" w:rsidRDefault="000437EA">
      <w:pPr>
        <w:ind w:left="1701" w:hanging="567"/>
      </w:pPr>
    </w:p>
    <w:p w:rsidR="000437EA" w:rsidRDefault="00874D82">
      <w:pPr>
        <w:ind w:left="1701" w:hanging="567"/>
      </w:pPr>
      <w:r>
        <w:t>(ii)</w:t>
      </w:r>
      <w:r w:rsidR="004526F8">
        <w:tab/>
      </w:r>
      <w:r>
        <w:t xml:space="preserve">an interest in a financial product that is held or may be held by a member because the legal title to a financial product is held for the member by a </w:t>
      </w:r>
      <w:r w:rsidR="002D5881">
        <w:t xml:space="preserve">custodian </w:t>
      </w:r>
      <w:r>
        <w:t>as part of the IDPS-like scheme</w:t>
      </w:r>
      <w:r w:rsidR="00476501">
        <w:t>;</w:t>
      </w:r>
    </w:p>
    <w:p w:rsidR="000437EA" w:rsidRDefault="000437EA">
      <w:pPr>
        <w:ind w:left="1134"/>
      </w:pPr>
    </w:p>
    <w:p w:rsidR="00406735" w:rsidRDefault="00874D82">
      <w:pPr>
        <w:ind w:left="1134"/>
      </w:pPr>
      <w:proofErr w:type="gramStart"/>
      <w:r>
        <w:lastRenderedPageBreak/>
        <w:t>to</w:t>
      </w:r>
      <w:proofErr w:type="gramEnd"/>
      <w:r>
        <w:t xml:space="preserve"> the extent that those provision</w:t>
      </w:r>
      <w:r w:rsidR="00C939FD">
        <w:t>s</w:t>
      </w:r>
      <w:r>
        <w:t xml:space="preserve"> may require a Product Disclosure Statement that relates to</w:t>
      </w:r>
      <w:r w:rsidR="007D2427">
        <w:t>:</w:t>
      </w:r>
      <w:r>
        <w:t xml:space="preserve"> </w:t>
      </w:r>
    </w:p>
    <w:p w:rsidR="000437EA" w:rsidRDefault="000437EA">
      <w:pPr>
        <w:ind w:left="567"/>
      </w:pPr>
    </w:p>
    <w:p w:rsidR="00406735" w:rsidRDefault="007D2427">
      <w:pPr>
        <w:pStyle w:val="Style4"/>
      </w:pPr>
      <w:r>
        <w:t>(</w:t>
      </w:r>
      <w:r w:rsidR="002D54A2">
        <w:t>iii</w:t>
      </w:r>
      <w:r>
        <w:t>)</w:t>
      </w:r>
      <w:r>
        <w:tab/>
      </w:r>
      <w:proofErr w:type="gramStart"/>
      <w:r w:rsidR="00874D82">
        <w:t>interests</w:t>
      </w:r>
      <w:proofErr w:type="gramEnd"/>
      <w:r w:rsidR="00874D82">
        <w:t xml:space="preserve"> in the scheme</w:t>
      </w:r>
      <w:r>
        <w:t>;</w:t>
      </w:r>
      <w:r w:rsidR="00874D82">
        <w:t xml:space="preserve"> or </w:t>
      </w:r>
    </w:p>
    <w:p w:rsidR="000437EA" w:rsidRDefault="000437EA">
      <w:pPr>
        <w:ind w:left="567"/>
      </w:pPr>
    </w:p>
    <w:p w:rsidR="00406735" w:rsidRDefault="007D2427">
      <w:pPr>
        <w:pStyle w:val="Style4"/>
      </w:pPr>
      <w:r>
        <w:t>(</w:t>
      </w:r>
      <w:r w:rsidR="002D54A2">
        <w:t>iv</w:t>
      </w:r>
      <w:r>
        <w:t>)</w:t>
      </w:r>
      <w:r>
        <w:tab/>
      </w:r>
      <w:proofErr w:type="gramStart"/>
      <w:r w:rsidR="00874D82">
        <w:t>any</w:t>
      </w:r>
      <w:proofErr w:type="gramEnd"/>
      <w:r w:rsidR="00874D82">
        <w:t xml:space="preserve"> financial product acquired by the member though the scheme because a </w:t>
      </w:r>
      <w:r w:rsidR="00C939FD">
        <w:t xml:space="preserve">custodian </w:t>
      </w:r>
      <w:r w:rsidR="00874D82">
        <w:t>has legal title to a financial product as part of the scheme</w:t>
      </w:r>
      <w:r w:rsidR="002D54A2">
        <w:t>;</w:t>
      </w:r>
      <w:r w:rsidR="00874D82">
        <w:t xml:space="preserve"> </w:t>
      </w:r>
    </w:p>
    <w:p w:rsidR="000437EA" w:rsidRDefault="000437EA">
      <w:pPr>
        <w:ind w:left="567"/>
      </w:pPr>
    </w:p>
    <w:p w:rsidR="00406735" w:rsidRDefault="00874D82">
      <w:pPr>
        <w:ind w:left="1134"/>
      </w:pPr>
      <w:proofErr w:type="gramStart"/>
      <w:r>
        <w:t>to</w:t>
      </w:r>
      <w:proofErr w:type="gramEnd"/>
      <w:r>
        <w:t xml:space="preserve"> contain information about the accessible financial products.</w:t>
      </w:r>
    </w:p>
    <w:p w:rsidR="000437EA" w:rsidRDefault="000437EA">
      <w:pPr>
        <w:ind w:left="567" w:hanging="567"/>
      </w:pPr>
    </w:p>
    <w:p w:rsidR="00236C4E" w:rsidRDefault="00236C4E">
      <w:pPr>
        <w:ind w:left="567" w:hanging="567"/>
      </w:pPr>
      <w:r>
        <w:t>5.</w:t>
      </w:r>
      <w:r>
        <w:tab/>
      </w:r>
      <w:r w:rsidRPr="00236C4E">
        <w:t xml:space="preserve">Paragraph 4 does not apply to </w:t>
      </w:r>
      <w:r>
        <w:t>a person</w:t>
      </w:r>
      <w:r w:rsidRPr="00236C4E">
        <w:t xml:space="preserve"> if ASIC has given a notice in writing to the </w:t>
      </w:r>
      <w:r>
        <w:t>person</w:t>
      </w:r>
      <w:r w:rsidRPr="00236C4E">
        <w:t xml:space="preserve"> stating that it may not rely on the exemption in paragraph 4 and has not withdrawn that notice.</w:t>
      </w:r>
    </w:p>
    <w:p w:rsidR="00236C4E" w:rsidRDefault="00236C4E">
      <w:pPr>
        <w:ind w:left="567" w:hanging="567"/>
      </w:pPr>
    </w:p>
    <w:p w:rsidR="000437EA" w:rsidRDefault="00062604">
      <w:pPr>
        <w:ind w:left="567" w:hanging="567"/>
        <w:rPr>
          <w:b/>
        </w:rPr>
      </w:pPr>
      <w:r w:rsidRPr="00777A9F">
        <w:rPr>
          <w:b/>
        </w:rPr>
        <w:t>Declaration</w:t>
      </w:r>
    </w:p>
    <w:p w:rsidR="000437EA" w:rsidRDefault="000437EA">
      <w:pPr>
        <w:ind w:left="567" w:hanging="567"/>
      </w:pPr>
    </w:p>
    <w:p w:rsidR="00E92BE5" w:rsidRDefault="00236C4E">
      <w:pPr>
        <w:ind w:left="567" w:hanging="567"/>
      </w:pPr>
      <w:r>
        <w:t>6</w:t>
      </w:r>
      <w:r w:rsidR="00062604">
        <w:t>.</w:t>
      </w:r>
      <w:r w:rsidR="00062604">
        <w:tab/>
      </w:r>
      <w:r w:rsidR="008B1757">
        <w:t>Part 7.9</w:t>
      </w:r>
      <w:r w:rsidR="00CB5808">
        <w:t xml:space="preserve"> of the</w:t>
      </w:r>
      <w:r w:rsidR="009220C7">
        <w:t xml:space="preserve"> Act appl</w:t>
      </w:r>
      <w:r w:rsidR="008B1757">
        <w:t>ies</w:t>
      </w:r>
      <w:r w:rsidR="009220C7">
        <w:t xml:space="preserve"> </w:t>
      </w:r>
      <w:r w:rsidR="00FD6700">
        <w:t xml:space="preserve">in relation to a responsible entity of an IDPS-like scheme and each other person involved in the preparation of a Product Disclosure Statement for an interest in the scheme </w:t>
      </w:r>
      <w:r w:rsidR="007860BA">
        <w:t xml:space="preserve">as if </w:t>
      </w:r>
      <w:r w:rsidR="005E0D65">
        <w:t xml:space="preserve">that </w:t>
      </w:r>
      <w:r w:rsidR="008B1757">
        <w:t xml:space="preserve">Part </w:t>
      </w:r>
      <w:r w:rsidR="00CB5808">
        <w:t xml:space="preserve">were </w:t>
      </w:r>
      <w:r w:rsidR="005E0D65">
        <w:t xml:space="preserve">modified or </w:t>
      </w:r>
      <w:r w:rsidR="00CB5808">
        <w:t>varied by</w:t>
      </w:r>
      <w:r w:rsidR="00E92BE5">
        <w:t>:</w:t>
      </w:r>
      <w:r w:rsidR="00CB5808">
        <w:t xml:space="preserve"> </w:t>
      </w:r>
    </w:p>
    <w:p w:rsidR="00E92BE5" w:rsidRDefault="00E92BE5">
      <w:pPr>
        <w:ind w:left="567" w:hanging="567"/>
      </w:pPr>
    </w:p>
    <w:p w:rsidR="00003CD8" w:rsidRDefault="00E92BE5" w:rsidP="0039112D">
      <w:pPr>
        <w:pStyle w:val="Style3"/>
      </w:pPr>
      <w:r>
        <w:t>(a)</w:t>
      </w:r>
      <w:r>
        <w:tab/>
      </w:r>
      <w:proofErr w:type="gramStart"/>
      <w:r>
        <w:t>in</w:t>
      </w:r>
      <w:proofErr w:type="gramEnd"/>
      <w:r>
        <w:t xml:space="preserve"> subsection 1010A(1), after “Divisions)”, insert</w:t>
      </w:r>
      <w:r w:rsidR="00383F74">
        <w:t>ing</w:t>
      </w:r>
      <w:r>
        <w:t xml:space="preserve"> “and section 1013DAB in relation to accessible securities (as defined in </w:t>
      </w:r>
      <w:r w:rsidR="00080957">
        <w:t>section 1013DAB</w:t>
      </w:r>
      <w:r>
        <w:t xml:space="preserve">)”; </w:t>
      </w:r>
      <w:r w:rsidR="00003CD8">
        <w:t>and</w:t>
      </w:r>
      <w:r w:rsidR="007E0F38">
        <w:t xml:space="preserve"> </w:t>
      </w:r>
      <w:r w:rsidR="00003CD8">
        <w:br/>
      </w:r>
    </w:p>
    <w:p w:rsidR="00003CD8" w:rsidRDefault="00003CD8" w:rsidP="0039112D">
      <w:pPr>
        <w:pStyle w:val="Style3"/>
      </w:pPr>
      <w:r>
        <w:t>(b)</w:t>
      </w:r>
      <w:r>
        <w:tab/>
      </w:r>
      <w:proofErr w:type="gramStart"/>
      <w:r w:rsidR="008503C0" w:rsidRPr="008503C0">
        <w:t>after</w:t>
      </w:r>
      <w:proofErr w:type="gramEnd"/>
      <w:r w:rsidR="008503C0" w:rsidRPr="008503C0">
        <w:t xml:space="preserve"> subsection 1012IA(9) (as notionally inserted by ASIC Class Order [CO </w:t>
      </w:r>
      <w:r w:rsidR="008503C0">
        <w:t>13/763</w:t>
      </w:r>
      <w:r w:rsidR="008503C0" w:rsidRPr="008503C0">
        <w:t xml:space="preserve">]), </w:t>
      </w:r>
      <w:r>
        <w:t>inserting:</w:t>
      </w:r>
    </w:p>
    <w:p w:rsidR="00003CD8" w:rsidRDefault="00003CD8" w:rsidP="0039112D">
      <w:pPr>
        <w:pStyle w:val="Style3"/>
      </w:pPr>
    </w:p>
    <w:p w:rsidR="00196826" w:rsidRDefault="00EA6AF7">
      <w:pPr>
        <w:pStyle w:val="Style3"/>
        <w:ind w:left="1701"/>
      </w:pPr>
      <w:r>
        <w:t>“</w:t>
      </w:r>
      <w:r w:rsidR="00003CD8">
        <w:t>(</w:t>
      </w:r>
      <w:r w:rsidR="00C97D87">
        <w:t>10</w:t>
      </w:r>
      <w:r w:rsidR="00003CD8">
        <w:t xml:space="preserve">) </w:t>
      </w:r>
      <w:r w:rsidR="00003CD8" w:rsidRPr="00003CD8">
        <w:rPr>
          <w:lang w:val="en-US"/>
        </w:rPr>
        <w:t>A responsible entity of an IDPS-like scheme</w:t>
      </w:r>
      <w:r>
        <w:rPr>
          <w:lang w:val="en-US"/>
        </w:rPr>
        <w:t xml:space="preserve"> (as defined in </w:t>
      </w:r>
      <w:r w:rsidR="00B42996">
        <w:rPr>
          <w:lang w:val="en-US"/>
        </w:rPr>
        <w:t>sub</w:t>
      </w:r>
      <w:r>
        <w:rPr>
          <w:lang w:val="en-US"/>
        </w:rPr>
        <w:t xml:space="preserve">section </w:t>
      </w:r>
      <w:proofErr w:type="gramStart"/>
      <w:r>
        <w:rPr>
          <w:lang w:val="en-US"/>
        </w:rPr>
        <w:t>1013DAB</w:t>
      </w:r>
      <w:r w:rsidR="00B42996">
        <w:rPr>
          <w:lang w:val="en-US"/>
        </w:rPr>
        <w:t>(</w:t>
      </w:r>
      <w:proofErr w:type="gramEnd"/>
      <w:r w:rsidR="00B42996">
        <w:rPr>
          <w:lang w:val="en-US"/>
        </w:rPr>
        <w:t>1</w:t>
      </w:r>
      <w:r w:rsidR="003E789F">
        <w:rPr>
          <w:lang w:val="en-US"/>
        </w:rPr>
        <w:t>9</w:t>
      </w:r>
      <w:r w:rsidR="00B42996">
        <w:rPr>
          <w:lang w:val="en-US"/>
        </w:rPr>
        <w:t>)</w:t>
      </w:r>
      <w:r>
        <w:rPr>
          <w:lang w:val="en-US"/>
        </w:rPr>
        <w:t>)</w:t>
      </w:r>
      <w:r w:rsidR="00003CD8" w:rsidRPr="00003CD8">
        <w:rPr>
          <w:lang w:val="en-US"/>
        </w:rPr>
        <w:t xml:space="preserve"> </w:t>
      </w:r>
      <w:r>
        <w:rPr>
          <w:lang w:val="en-US"/>
        </w:rPr>
        <w:t xml:space="preserve">does not need to give a client a Product Disclosure Statement for a </w:t>
      </w:r>
      <w:r w:rsidR="00003CD8" w:rsidRPr="00003CD8">
        <w:rPr>
          <w:lang w:val="en-US"/>
        </w:rPr>
        <w:t>regulated acquisition that complies with subsection 1013DAB(</w:t>
      </w:r>
      <w:r w:rsidR="00BC3B74">
        <w:rPr>
          <w:lang w:val="en-US"/>
        </w:rPr>
        <w:t>8</w:t>
      </w:r>
      <w:r w:rsidR="00003CD8" w:rsidRPr="00003CD8">
        <w:rPr>
          <w:lang w:val="en-US"/>
        </w:rPr>
        <w:t>)</w:t>
      </w:r>
      <w:r>
        <w:rPr>
          <w:lang w:val="en-US"/>
        </w:rPr>
        <w:t xml:space="preserve">.”; </w:t>
      </w:r>
      <w:r w:rsidR="00E92BE5">
        <w:t xml:space="preserve">and </w:t>
      </w:r>
    </w:p>
    <w:p w:rsidR="00B42996" w:rsidRDefault="00B42996" w:rsidP="0039112D">
      <w:pPr>
        <w:pStyle w:val="Style3"/>
      </w:pPr>
    </w:p>
    <w:p w:rsidR="0039112D" w:rsidRDefault="00E92BE5" w:rsidP="0039112D">
      <w:pPr>
        <w:pStyle w:val="Style3"/>
      </w:pPr>
      <w:r>
        <w:t>(</w:t>
      </w:r>
      <w:r w:rsidR="00003CD8">
        <w:t>c</w:t>
      </w:r>
      <w:r>
        <w:t>)</w:t>
      </w:r>
      <w:r>
        <w:tab/>
      </w:r>
      <w:proofErr w:type="gramStart"/>
      <w:r w:rsidR="00CB5808">
        <w:t>after</w:t>
      </w:r>
      <w:proofErr w:type="gramEnd"/>
      <w:r w:rsidR="00CB5808">
        <w:t xml:space="preserve"> section 1013D</w:t>
      </w:r>
      <w:r w:rsidR="00C76ECA">
        <w:t>AA (as notionally inserted by ASIC Class Order [CO 13/657]</w:t>
      </w:r>
      <w:r w:rsidR="00383F74">
        <w:t>)</w:t>
      </w:r>
      <w:r w:rsidR="00CB5808">
        <w:t>, inserting</w:t>
      </w:r>
      <w:r w:rsidR="007860BA">
        <w:t>:</w:t>
      </w:r>
    </w:p>
    <w:p w:rsidR="000437EA" w:rsidRDefault="000437EA">
      <w:pPr>
        <w:ind w:left="567" w:hanging="567"/>
      </w:pPr>
    </w:p>
    <w:p w:rsidR="000B313E" w:rsidRDefault="007860BA" w:rsidP="000B313E">
      <w:pPr>
        <w:ind w:left="567" w:firstLine="567"/>
      </w:pPr>
      <w:r>
        <w:t>“</w:t>
      </w:r>
      <w:r w:rsidR="00E92E3E" w:rsidRPr="00E92E3E">
        <w:rPr>
          <w:b/>
        </w:rPr>
        <w:t>1013DA</w:t>
      </w:r>
      <w:r w:rsidR="00BB241E">
        <w:rPr>
          <w:b/>
        </w:rPr>
        <w:t>B</w:t>
      </w:r>
      <w:r w:rsidR="00E92E3E" w:rsidRPr="00E92E3E">
        <w:rPr>
          <w:b/>
        </w:rPr>
        <w:tab/>
      </w:r>
      <w:r w:rsidR="00B5661A">
        <w:rPr>
          <w:b/>
        </w:rPr>
        <w:t>R</w:t>
      </w:r>
      <w:r w:rsidR="004A003A">
        <w:rPr>
          <w:b/>
        </w:rPr>
        <w:t>equirements</w:t>
      </w:r>
      <w:r w:rsidR="00E92E3E" w:rsidRPr="00E92E3E">
        <w:rPr>
          <w:b/>
        </w:rPr>
        <w:t xml:space="preserve"> for IDPS-like schemes</w:t>
      </w:r>
    </w:p>
    <w:p w:rsidR="000B313E" w:rsidRDefault="000B313E" w:rsidP="000B313E">
      <w:pPr>
        <w:ind w:left="567"/>
      </w:pPr>
    </w:p>
    <w:p w:rsidR="000B313E" w:rsidRDefault="00777A9F" w:rsidP="000B313E">
      <w:pPr>
        <w:ind w:left="1701" w:hanging="567"/>
      </w:pPr>
      <w:r>
        <w:t>(</w:t>
      </w:r>
      <w:r w:rsidR="001A6F2E">
        <w:t>1</w:t>
      </w:r>
      <w:r>
        <w:t>)</w:t>
      </w:r>
      <w:r>
        <w:tab/>
      </w:r>
      <w:r w:rsidR="00B821A3">
        <w:t xml:space="preserve">A Product Disclosure Statement for offers of interests in an </w:t>
      </w:r>
      <w:r w:rsidR="0039112D" w:rsidRPr="0039112D">
        <w:t>IDPS-like scheme</w:t>
      </w:r>
      <w:r w:rsidR="00B821A3">
        <w:t xml:space="preserve"> must </w:t>
      </w:r>
      <w:r w:rsidR="00286691">
        <w:t xml:space="preserve">also </w:t>
      </w:r>
      <w:r w:rsidR="00B821A3">
        <w:t>include</w:t>
      </w:r>
      <w:r w:rsidR="00911E8F">
        <w:t xml:space="preserve"> </w:t>
      </w:r>
      <w:r w:rsidR="00B821A3">
        <w:t xml:space="preserve">such information as </w:t>
      </w:r>
      <w:r w:rsidR="00781D03">
        <w:t>a person acquiring an interest in the scheme as a retail client</w:t>
      </w:r>
      <w:r w:rsidR="00915D1B">
        <w:t xml:space="preserve"> </w:t>
      </w:r>
      <w:r w:rsidR="00B821A3">
        <w:t xml:space="preserve">would reasonably require </w:t>
      </w:r>
      <w:proofErr w:type="gramStart"/>
      <w:r w:rsidR="00B821A3">
        <w:t>to understand</w:t>
      </w:r>
      <w:proofErr w:type="gramEnd"/>
      <w:r w:rsidR="00D52385">
        <w:t xml:space="preserve"> </w:t>
      </w:r>
      <w:r w:rsidR="006C4AC1" w:rsidRPr="006C4AC1">
        <w:t>the following, but does not need to include information in relation to actual or identified accessible investments</w:t>
      </w:r>
      <w:r w:rsidR="00FA40AA">
        <w:t>:</w:t>
      </w:r>
      <w:r w:rsidR="00B821A3">
        <w:t xml:space="preserve"> </w:t>
      </w:r>
    </w:p>
    <w:p w:rsidR="000B313E" w:rsidRDefault="000B313E" w:rsidP="000B313E">
      <w:pPr>
        <w:ind w:left="1701" w:hanging="567"/>
      </w:pPr>
    </w:p>
    <w:p w:rsidR="000B313E" w:rsidRDefault="00FA40AA" w:rsidP="000B313E">
      <w:pPr>
        <w:pStyle w:val="Style4"/>
        <w:ind w:left="2268"/>
      </w:pPr>
      <w:r>
        <w:t>(a)</w:t>
      </w:r>
      <w:r>
        <w:tab/>
      </w:r>
      <w:proofErr w:type="gramStart"/>
      <w:r w:rsidR="00B821A3">
        <w:t>any</w:t>
      </w:r>
      <w:proofErr w:type="gramEnd"/>
      <w:r w:rsidR="00B821A3">
        <w:t xml:space="preserve"> differences between the rights of a holder of accessible investments and the rights of a member of the scheme in respect </w:t>
      </w:r>
      <w:r w:rsidR="00B821A3">
        <w:lastRenderedPageBreak/>
        <w:t>of accessible investments</w:t>
      </w:r>
      <w:r w:rsidR="000E3F1B">
        <w:t>,</w:t>
      </w:r>
      <w:r w:rsidR="00C723D4">
        <w:t xml:space="preserve"> including information on</w:t>
      </w:r>
      <w:r w:rsidR="00B87C3F">
        <w:t>:</w:t>
      </w:r>
      <w:r w:rsidR="00EB73A3">
        <w:br/>
      </w:r>
    </w:p>
    <w:p w:rsidR="000B313E" w:rsidRDefault="00B87C3F" w:rsidP="000B313E">
      <w:pPr>
        <w:pStyle w:val="Style5"/>
        <w:ind w:left="2835"/>
      </w:pPr>
      <w:r>
        <w:t>(</w:t>
      </w:r>
      <w:proofErr w:type="spellStart"/>
      <w:r>
        <w:t>i</w:t>
      </w:r>
      <w:proofErr w:type="spellEnd"/>
      <w:r>
        <w:t>)</w:t>
      </w:r>
      <w:r w:rsidR="00C723D4">
        <w:t xml:space="preserve"> </w:t>
      </w:r>
      <w:r>
        <w:tab/>
      </w:r>
      <w:r w:rsidR="00C723D4">
        <w:t>cooling-off rights</w:t>
      </w:r>
      <w:r>
        <w:t>;</w:t>
      </w:r>
      <w:r w:rsidR="007B76FF">
        <w:t xml:space="preserve"> </w:t>
      </w:r>
      <w:r w:rsidR="00F77B02">
        <w:t>and</w:t>
      </w:r>
    </w:p>
    <w:p w:rsidR="000B313E" w:rsidRDefault="000B313E" w:rsidP="000B313E">
      <w:pPr>
        <w:pStyle w:val="Style5"/>
        <w:ind w:left="2835"/>
      </w:pPr>
    </w:p>
    <w:p w:rsidR="000B313E" w:rsidRDefault="00B67F76" w:rsidP="009D5134">
      <w:pPr>
        <w:pStyle w:val="Style5"/>
        <w:ind w:left="2835"/>
        <w:rPr>
          <w:sz w:val="20"/>
        </w:rPr>
      </w:pPr>
      <w:r>
        <w:rPr>
          <w:sz w:val="20"/>
        </w:rPr>
        <w:t xml:space="preserve">Note: </w:t>
      </w:r>
      <w:r w:rsidR="009D5134">
        <w:rPr>
          <w:sz w:val="20"/>
        </w:rPr>
        <w:tab/>
      </w:r>
      <w:r w:rsidR="00A562A5">
        <w:rPr>
          <w:sz w:val="20"/>
        </w:rPr>
        <w:t>S</w:t>
      </w:r>
      <w:r>
        <w:rPr>
          <w:sz w:val="20"/>
        </w:rPr>
        <w:t>ee section 101</w:t>
      </w:r>
      <w:r w:rsidR="00C54017">
        <w:rPr>
          <w:sz w:val="20"/>
        </w:rPr>
        <w:t>9</w:t>
      </w:r>
      <w:r w:rsidR="00F50CF5" w:rsidRPr="00F50CF5">
        <w:rPr>
          <w:sz w:val="20"/>
        </w:rPr>
        <w:t>BA (as notionally inserted by ASIC Class Order [CO 13</w:t>
      </w:r>
      <w:r w:rsidR="003F4DE0">
        <w:rPr>
          <w:sz w:val="20"/>
        </w:rPr>
        <w:t>/762]).</w:t>
      </w:r>
      <w:r w:rsidR="00F50CF5" w:rsidRPr="00F50CF5">
        <w:rPr>
          <w:sz w:val="20"/>
        </w:rPr>
        <w:br/>
      </w:r>
    </w:p>
    <w:p w:rsidR="000B313E" w:rsidRDefault="00B87C3F" w:rsidP="000B313E">
      <w:pPr>
        <w:pStyle w:val="Style5"/>
        <w:ind w:left="2835"/>
      </w:pPr>
      <w:r>
        <w:t>(ii)</w:t>
      </w:r>
      <w:r>
        <w:tab/>
      </w:r>
      <w:proofErr w:type="gramStart"/>
      <w:r w:rsidR="007B76FF">
        <w:t>voting</w:t>
      </w:r>
      <w:proofErr w:type="gramEnd"/>
      <w:r w:rsidR="007B76FF">
        <w:t xml:space="preserve"> rights</w:t>
      </w:r>
      <w:r>
        <w:t>;</w:t>
      </w:r>
      <w:r w:rsidR="007B76FF">
        <w:t xml:space="preserve"> and</w:t>
      </w:r>
      <w:r w:rsidR="00C723D4">
        <w:t xml:space="preserve"> </w:t>
      </w:r>
      <w:r w:rsidR="00EB73A3">
        <w:br/>
      </w:r>
    </w:p>
    <w:p w:rsidR="000B313E" w:rsidRDefault="00B87C3F" w:rsidP="000B313E">
      <w:pPr>
        <w:pStyle w:val="Style5"/>
        <w:ind w:left="2835"/>
      </w:pPr>
      <w:r>
        <w:t>(iii)</w:t>
      </w:r>
      <w:r>
        <w:tab/>
      </w:r>
      <w:proofErr w:type="gramStart"/>
      <w:r w:rsidR="00C723D4">
        <w:t>withdrawal</w:t>
      </w:r>
      <w:proofErr w:type="gramEnd"/>
      <w:r w:rsidR="00C723D4">
        <w:t xml:space="preserve"> </w:t>
      </w:r>
      <w:r w:rsidR="00F72613">
        <w:t xml:space="preserve">rights </w:t>
      </w:r>
      <w:r>
        <w:t>under section</w:t>
      </w:r>
      <w:r w:rsidR="009D5630">
        <w:t xml:space="preserve"> 724 and</w:t>
      </w:r>
      <w:r>
        <w:t xml:space="preserve"> section 1016E in relation to</w:t>
      </w:r>
      <w:r w:rsidR="00F72613">
        <w:t xml:space="preserve"> </w:t>
      </w:r>
      <w:r w:rsidR="009D5630">
        <w:t>accessible securities and</w:t>
      </w:r>
      <w:r>
        <w:t xml:space="preserve"> accessible financial products;</w:t>
      </w:r>
      <w:r w:rsidR="00F77B02">
        <w:t xml:space="preserve"> </w:t>
      </w:r>
    </w:p>
    <w:p w:rsidR="000B313E" w:rsidRDefault="000B313E" w:rsidP="000B313E">
      <w:pPr>
        <w:ind w:left="2268" w:hanging="567"/>
      </w:pPr>
    </w:p>
    <w:p w:rsidR="000B313E" w:rsidRDefault="00777A9F" w:rsidP="000B313E">
      <w:pPr>
        <w:ind w:left="2268" w:hanging="567"/>
      </w:pPr>
      <w:r>
        <w:t>(</w:t>
      </w:r>
      <w:r w:rsidR="00FA40AA">
        <w:t>b</w:t>
      </w:r>
      <w:r w:rsidR="00B821A3">
        <w:t>)</w:t>
      </w:r>
      <w:r w:rsidR="00B821A3">
        <w:tab/>
      </w:r>
      <w:proofErr w:type="gramStart"/>
      <w:r w:rsidR="009D5630">
        <w:t>the</w:t>
      </w:r>
      <w:proofErr w:type="gramEnd"/>
      <w:r w:rsidR="00537A2C">
        <w:t xml:space="preserve"> consequences for a member if </w:t>
      </w:r>
      <w:r w:rsidR="00535A6C">
        <w:t xml:space="preserve">at any time </w:t>
      </w:r>
      <w:r w:rsidR="00537A2C">
        <w:t>the member has not engaged a person</w:t>
      </w:r>
      <w:r w:rsidR="009E08A7">
        <w:t xml:space="preserve">, or a person meeting particular requirements, </w:t>
      </w:r>
      <w:r w:rsidR="00537A2C">
        <w:t>to</w:t>
      </w:r>
      <w:r w:rsidR="00EC31EF">
        <w:t xml:space="preserve"> provide:</w:t>
      </w:r>
      <w:r w:rsidR="00537A2C">
        <w:t xml:space="preserve"> </w:t>
      </w:r>
    </w:p>
    <w:p w:rsidR="000B313E" w:rsidRDefault="000B313E" w:rsidP="000B313E">
      <w:pPr>
        <w:ind w:left="2268" w:hanging="567"/>
      </w:pPr>
    </w:p>
    <w:p w:rsidR="006A1C49" w:rsidRDefault="00537A2C">
      <w:pPr>
        <w:pStyle w:val="Style1"/>
        <w:numPr>
          <w:ilvl w:val="0"/>
          <w:numId w:val="1"/>
        </w:numPr>
        <w:ind w:left="2988"/>
      </w:pPr>
      <w:r>
        <w:t>financial product advice to the member in relation to the scheme</w:t>
      </w:r>
      <w:r w:rsidR="00EC31EF">
        <w:t>; or</w:t>
      </w:r>
      <w:r w:rsidR="00EC31EF">
        <w:br/>
      </w:r>
    </w:p>
    <w:p w:rsidR="006A1C49" w:rsidRDefault="00EC31EF">
      <w:pPr>
        <w:pStyle w:val="Style1"/>
        <w:numPr>
          <w:ilvl w:val="0"/>
          <w:numId w:val="1"/>
        </w:numPr>
        <w:ind w:left="2988"/>
      </w:pPr>
      <w:r>
        <w:t>instructions to the responsible entity in relation to accessible investments</w:t>
      </w:r>
      <w:r w:rsidR="00535A6C">
        <w:t xml:space="preserve">, </w:t>
      </w:r>
    </w:p>
    <w:p w:rsidR="000B313E" w:rsidRDefault="00EC31EF" w:rsidP="000B313E">
      <w:pPr>
        <w:pStyle w:val="Style1"/>
        <w:ind w:firstLine="0"/>
      </w:pPr>
      <w:r>
        <w:br/>
      </w:r>
      <w:proofErr w:type="gramStart"/>
      <w:r w:rsidR="00535A6C">
        <w:t>including</w:t>
      </w:r>
      <w:proofErr w:type="gramEnd"/>
      <w:r w:rsidR="00535A6C">
        <w:t xml:space="preserve"> the ability of the member </w:t>
      </w:r>
      <w:r>
        <w:t xml:space="preserve">in such circumstances </w:t>
      </w:r>
      <w:r w:rsidR="00535A6C">
        <w:t>to:</w:t>
      </w:r>
    </w:p>
    <w:p w:rsidR="000B313E" w:rsidRDefault="000B313E" w:rsidP="000B313E">
      <w:pPr>
        <w:ind w:left="2268" w:hanging="567"/>
      </w:pPr>
    </w:p>
    <w:p w:rsidR="006A1C49" w:rsidRDefault="00535A6C">
      <w:pPr>
        <w:pStyle w:val="ListParagraph"/>
        <w:numPr>
          <w:ilvl w:val="0"/>
          <w:numId w:val="1"/>
        </w:numPr>
        <w:ind w:left="2988"/>
      </w:pPr>
      <w:r>
        <w:t xml:space="preserve">provide instructions in relation to accessible investments; </w:t>
      </w:r>
      <w:r w:rsidR="00EC31EF">
        <w:t>and</w:t>
      </w:r>
      <w:r>
        <w:br/>
      </w:r>
    </w:p>
    <w:p w:rsidR="006A1C49" w:rsidRDefault="00EC31EF">
      <w:pPr>
        <w:pStyle w:val="ListParagraph"/>
        <w:numPr>
          <w:ilvl w:val="0"/>
          <w:numId w:val="1"/>
        </w:numPr>
        <w:ind w:left="2988"/>
      </w:pPr>
      <w:r>
        <w:t xml:space="preserve">continue to </w:t>
      </w:r>
      <w:r w:rsidR="00535A6C">
        <w:t>be a member of</w:t>
      </w:r>
      <w:r w:rsidR="00781D03">
        <w:t xml:space="preserve"> the scheme; </w:t>
      </w:r>
    </w:p>
    <w:p w:rsidR="000B313E" w:rsidRDefault="000B313E" w:rsidP="000B313E">
      <w:pPr>
        <w:ind w:left="2268" w:hanging="567"/>
      </w:pPr>
    </w:p>
    <w:p w:rsidR="000B313E" w:rsidRDefault="004C3C5F" w:rsidP="000B313E">
      <w:pPr>
        <w:ind w:left="2268" w:hanging="567"/>
      </w:pPr>
      <w:r>
        <w:t>(</w:t>
      </w:r>
      <w:r w:rsidR="00FA40AA">
        <w:t>c</w:t>
      </w:r>
      <w:r>
        <w:t>)</w:t>
      </w:r>
      <w:r>
        <w:tab/>
      </w:r>
      <w:proofErr w:type="gramStart"/>
      <w:r>
        <w:t>how</w:t>
      </w:r>
      <w:proofErr w:type="gramEnd"/>
      <w:r>
        <w:t xml:space="preserve"> and to whom a</w:t>
      </w:r>
      <w:r w:rsidR="0032008C">
        <w:t xml:space="preserve"> member</w:t>
      </w:r>
      <w:r>
        <w:t xml:space="preserve"> may make a complaint in relation to: </w:t>
      </w:r>
    </w:p>
    <w:p w:rsidR="000B313E" w:rsidRDefault="000B313E" w:rsidP="000B313E">
      <w:pPr>
        <w:ind w:left="2835" w:hanging="567"/>
      </w:pPr>
    </w:p>
    <w:p w:rsidR="000B313E" w:rsidRDefault="004C3C5F" w:rsidP="000B313E">
      <w:pPr>
        <w:ind w:left="2835" w:hanging="567"/>
      </w:pPr>
      <w:r>
        <w:t>(</w:t>
      </w:r>
      <w:proofErr w:type="spellStart"/>
      <w:r>
        <w:t>i</w:t>
      </w:r>
      <w:proofErr w:type="spellEnd"/>
      <w:r>
        <w:t>)</w:t>
      </w:r>
      <w:r>
        <w:tab/>
      </w:r>
      <w:proofErr w:type="gramStart"/>
      <w:r>
        <w:t>the</w:t>
      </w:r>
      <w:proofErr w:type="gramEnd"/>
      <w:r>
        <w:t xml:space="preserve"> operation of the scheme; </w:t>
      </w:r>
      <w:r w:rsidR="00F77B02">
        <w:t>and</w:t>
      </w:r>
    </w:p>
    <w:p w:rsidR="000B313E" w:rsidRDefault="000B313E" w:rsidP="000B313E">
      <w:pPr>
        <w:ind w:left="2835" w:hanging="567"/>
      </w:pPr>
    </w:p>
    <w:p w:rsidR="000B313E" w:rsidRDefault="004C3C5F" w:rsidP="000B313E">
      <w:pPr>
        <w:pStyle w:val="ListParagraph"/>
        <w:ind w:left="2835" w:hanging="567"/>
      </w:pPr>
      <w:r>
        <w:t>(ii)</w:t>
      </w:r>
      <w:r>
        <w:tab/>
      </w:r>
      <w:proofErr w:type="gramStart"/>
      <w:r>
        <w:t>accessible</w:t>
      </w:r>
      <w:proofErr w:type="gramEnd"/>
      <w:r>
        <w:t xml:space="preserve"> </w:t>
      </w:r>
      <w:r w:rsidR="0032008C">
        <w:t>financial products</w:t>
      </w:r>
      <w:r>
        <w:t xml:space="preserve"> held through the scheme; and</w:t>
      </w:r>
    </w:p>
    <w:p w:rsidR="000B313E" w:rsidRDefault="000B313E" w:rsidP="000B313E">
      <w:pPr>
        <w:pStyle w:val="ListParagraph"/>
        <w:ind w:left="2835" w:hanging="567"/>
      </w:pPr>
    </w:p>
    <w:p w:rsidR="000B313E" w:rsidRDefault="004C3C5F" w:rsidP="000B313E">
      <w:pPr>
        <w:pStyle w:val="ListParagraph"/>
        <w:ind w:left="2835" w:hanging="567"/>
      </w:pPr>
      <w:r>
        <w:t>(iii)</w:t>
      </w:r>
      <w:r>
        <w:tab/>
      </w:r>
      <w:proofErr w:type="gramStart"/>
      <w:r>
        <w:t>financial</w:t>
      </w:r>
      <w:proofErr w:type="gramEnd"/>
      <w:r>
        <w:t xml:space="preserve"> product advice provided to the investor in relation to the scheme</w:t>
      </w:r>
      <w:r w:rsidR="0032008C">
        <w:t xml:space="preserve"> that is not provided by or on behalf of the responsible entity; </w:t>
      </w:r>
    </w:p>
    <w:p w:rsidR="000B313E" w:rsidRDefault="000B313E" w:rsidP="000B313E">
      <w:pPr>
        <w:pStyle w:val="ListParagraph"/>
        <w:ind w:left="2835" w:hanging="567"/>
      </w:pPr>
    </w:p>
    <w:p w:rsidR="000B313E" w:rsidRDefault="00724BE5" w:rsidP="000B313E">
      <w:pPr>
        <w:pStyle w:val="Style4"/>
        <w:ind w:left="2268"/>
      </w:pPr>
      <w:r>
        <w:t>(d)</w:t>
      </w:r>
      <w:r>
        <w:tab/>
      </w:r>
      <w:r w:rsidRPr="00724BE5">
        <w:t xml:space="preserve">members’ right to disclosure in relation to accessible investments </w:t>
      </w:r>
      <w:r w:rsidR="00600FF7">
        <w:t>including</w:t>
      </w:r>
      <w:r w:rsidRPr="00724BE5">
        <w:t xml:space="preserve"> that a member will have the right to elect to receive copies of communications sent to holders of accessible investments, including those communications which the holder may elect to receive; </w:t>
      </w:r>
    </w:p>
    <w:p w:rsidR="000B313E" w:rsidRDefault="000B313E" w:rsidP="000B313E">
      <w:pPr>
        <w:pStyle w:val="Style4"/>
        <w:ind w:left="2268"/>
      </w:pPr>
    </w:p>
    <w:p w:rsidR="000B313E" w:rsidRDefault="00600FF7" w:rsidP="000B313E">
      <w:pPr>
        <w:pStyle w:val="Style4"/>
        <w:ind w:left="2268"/>
      </w:pPr>
      <w:r>
        <w:lastRenderedPageBreak/>
        <w:t>(e)</w:t>
      </w:r>
      <w:r>
        <w:tab/>
      </w:r>
      <w:r w:rsidRPr="00600FF7">
        <w:t>how the responsible entity will determine what financial products, securities or other investments are or will be available as accessible investments for the scheme</w:t>
      </w:r>
      <w:r w:rsidR="00C54017">
        <w:t>,</w:t>
      </w:r>
      <w:r w:rsidRPr="00600FF7">
        <w:t xml:space="preserve"> including the processes applied and the factors considered for that purpose; </w:t>
      </w:r>
    </w:p>
    <w:p w:rsidR="000B313E" w:rsidRDefault="000B313E" w:rsidP="000B313E">
      <w:pPr>
        <w:pStyle w:val="ListParagraph"/>
        <w:ind w:left="2835" w:hanging="567"/>
      </w:pPr>
    </w:p>
    <w:p w:rsidR="000B313E" w:rsidRDefault="00FA40AA" w:rsidP="000B313E">
      <w:pPr>
        <w:pStyle w:val="Style4"/>
        <w:ind w:left="2268"/>
      </w:pPr>
      <w:r w:rsidRPr="00FA40AA">
        <w:t>(</w:t>
      </w:r>
      <w:r w:rsidR="00600FF7">
        <w:t>f</w:t>
      </w:r>
      <w:r w:rsidRPr="00FA40AA">
        <w:t>)</w:t>
      </w:r>
      <w:r w:rsidRPr="00FA40AA">
        <w:tab/>
        <w:t>whether withdrawal requests are allowed for by the scheme’s constitution and, if so, how a withdrawal request will be dealt with under the constitution where the request relates to an accessible investment which is subject to a minimum holding requirement or giving effect to the request might otherwise adversely affect members other than the requesting member</w:t>
      </w:r>
      <w:r>
        <w:t>.</w:t>
      </w:r>
    </w:p>
    <w:p w:rsidR="000B313E" w:rsidRDefault="000B313E" w:rsidP="000B313E">
      <w:pPr>
        <w:pStyle w:val="ListParagraph"/>
        <w:ind w:left="2835"/>
      </w:pPr>
    </w:p>
    <w:p w:rsidR="000B313E" w:rsidRDefault="00FA40AA" w:rsidP="000B313E">
      <w:pPr>
        <w:pStyle w:val="Style3"/>
        <w:ind w:left="1701"/>
      </w:pPr>
      <w:r>
        <w:t>(</w:t>
      </w:r>
      <w:r w:rsidR="001A6F2E">
        <w:t>2</w:t>
      </w:r>
      <w:r>
        <w:t>)</w:t>
      </w:r>
      <w:r>
        <w:tab/>
        <w:t>The Product Disclosure Statement must also include:</w:t>
      </w:r>
    </w:p>
    <w:p w:rsidR="000B313E" w:rsidRDefault="000B313E" w:rsidP="000B313E">
      <w:pPr>
        <w:ind w:left="2835" w:hanging="567"/>
      </w:pPr>
    </w:p>
    <w:p w:rsidR="000B313E" w:rsidRDefault="004F156F" w:rsidP="000B313E">
      <w:pPr>
        <w:pStyle w:val="Style4"/>
        <w:ind w:left="2268"/>
      </w:pPr>
      <w:r>
        <w:t>(</w:t>
      </w:r>
      <w:r w:rsidR="00600FF7">
        <w:t>a</w:t>
      </w:r>
      <w:r>
        <w:t>)</w:t>
      </w:r>
      <w:r w:rsidR="00EB73A3">
        <w:tab/>
      </w:r>
      <w:proofErr w:type="gramStart"/>
      <w:r w:rsidR="00600FF7">
        <w:t>a</w:t>
      </w:r>
      <w:proofErr w:type="gramEnd"/>
      <w:r w:rsidR="00600FF7">
        <w:t xml:space="preserve"> statement that copies of the following policies are available free of charge on request:</w:t>
      </w:r>
    </w:p>
    <w:p w:rsidR="000B313E" w:rsidRDefault="000B313E" w:rsidP="000B313E">
      <w:pPr>
        <w:pStyle w:val="Style4"/>
        <w:ind w:left="2268"/>
      </w:pPr>
    </w:p>
    <w:p w:rsidR="006A1C49" w:rsidRDefault="00600FF7">
      <w:pPr>
        <w:pStyle w:val="Style5"/>
        <w:numPr>
          <w:ilvl w:val="0"/>
          <w:numId w:val="2"/>
        </w:numPr>
        <w:ind w:left="2988"/>
      </w:pPr>
      <w:r w:rsidRPr="00600FF7">
        <w:t>the responsible entity’s policy on whether, and on what basis, it will exercise any voting or other rights arising from holding accessible investments</w:t>
      </w:r>
      <w:r>
        <w:t>; and</w:t>
      </w:r>
    </w:p>
    <w:p w:rsidR="000B313E" w:rsidRDefault="000B313E" w:rsidP="000B313E">
      <w:pPr>
        <w:pStyle w:val="Style5"/>
        <w:ind w:left="2988" w:firstLine="0"/>
      </w:pPr>
    </w:p>
    <w:p w:rsidR="006A1C49" w:rsidRDefault="00600FF7">
      <w:pPr>
        <w:pStyle w:val="Style5"/>
        <w:numPr>
          <w:ilvl w:val="0"/>
          <w:numId w:val="2"/>
        </w:numPr>
        <w:tabs>
          <w:tab w:val="left" w:pos="1418"/>
        </w:tabs>
        <w:ind w:left="2988"/>
      </w:pPr>
      <w:r>
        <w:t>the policy on the consequences for a member in the circumstances referred to in paragraph (</w:t>
      </w:r>
      <w:r w:rsidR="001A6F2E">
        <w:t>1</w:t>
      </w:r>
      <w:r>
        <w:t>)(</w:t>
      </w:r>
      <w:r w:rsidR="00A37158">
        <w:t>b</w:t>
      </w:r>
      <w:r>
        <w:t>)</w:t>
      </w:r>
      <w:r w:rsidR="00F116E4">
        <w:t>; and</w:t>
      </w:r>
    </w:p>
    <w:p w:rsidR="000B313E" w:rsidRDefault="000B313E" w:rsidP="000B313E">
      <w:pPr>
        <w:ind w:left="2268" w:hanging="567"/>
      </w:pPr>
    </w:p>
    <w:p w:rsidR="000B313E" w:rsidRDefault="00175C44" w:rsidP="000B313E">
      <w:pPr>
        <w:pStyle w:val="Style4"/>
        <w:ind w:left="2268"/>
      </w:pPr>
      <w:r>
        <w:t>(</w:t>
      </w:r>
      <w:r w:rsidR="00A37158">
        <w:t>b</w:t>
      </w:r>
      <w:r>
        <w:t>)</w:t>
      </w:r>
      <w:r>
        <w:tab/>
      </w:r>
      <w:r w:rsidR="00B821A3">
        <w:t xml:space="preserve">a statement that a separate document specifying </w:t>
      </w:r>
      <w:r w:rsidR="00C723D4">
        <w:t xml:space="preserve">the accessible </w:t>
      </w:r>
      <w:r w:rsidR="00B821A3">
        <w:t>investments</w:t>
      </w:r>
      <w:r w:rsidR="00781D03">
        <w:t xml:space="preserve"> for the scheme</w:t>
      </w:r>
      <w:r w:rsidR="00B821A3">
        <w:t xml:space="preserve"> will be provided on request free of charge, if the Product Disclosure Statement does not specify</w:t>
      </w:r>
      <w:r w:rsidR="00781D03">
        <w:t xml:space="preserve"> these</w:t>
      </w:r>
      <w:r w:rsidR="004F156F">
        <w:t xml:space="preserve"> investments</w:t>
      </w:r>
      <w:r w:rsidR="000D200B">
        <w:t>; and</w:t>
      </w:r>
    </w:p>
    <w:p w:rsidR="000D200B" w:rsidRDefault="000D200B" w:rsidP="0039112D">
      <w:pPr>
        <w:pStyle w:val="Style4"/>
      </w:pPr>
    </w:p>
    <w:p w:rsidR="000B313E" w:rsidRDefault="000D200B" w:rsidP="000B313E">
      <w:pPr>
        <w:pStyle w:val="Style4"/>
        <w:ind w:left="2268"/>
      </w:pPr>
      <w:r>
        <w:t>(c)</w:t>
      </w:r>
      <w:r>
        <w:tab/>
      </w:r>
      <w:proofErr w:type="gramStart"/>
      <w:r>
        <w:t>statements</w:t>
      </w:r>
      <w:proofErr w:type="gramEnd"/>
      <w:r>
        <w:t xml:space="preserve"> to the effect that: </w:t>
      </w:r>
      <w:r>
        <w:br/>
      </w:r>
    </w:p>
    <w:p w:rsidR="000B313E" w:rsidRDefault="000D200B" w:rsidP="000B313E">
      <w:pPr>
        <w:pStyle w:val="Style5"/>
        <w:ind w:left="2835"/>
      </w:pPr>
      <w:r>
        <w:t>(</w:t>
      </w:r>
      <w:proofErr w:type="spellStart"/>
      <w:r>
        <w:t>i</w:t>
      </w:r>
      <w:proofErr w:type="spellEnd"/>
      <w:r>
        <w:t>)</w:t>
      </w:r>
      <w:r>
        <w:tab/>
        <w:t>the total fees and charges payable by a member will include the costs of the schem</w:t>
      </w:r>
      <w:r w:rsidR="00641BBF">
        <w:t>e</w:t>
      </w:r>
      <w:r>
        <w:t xml:space="preserve"> as well as the cost of any accessible investments chosen by the </w:t>
      </w:r>
      <w:r w:rsidR="00641BBF">
        <w:t>member</w:t>
      </w:r>
      <w:r>
        <w:t>; and</w:t>
      </w:r>
      <w:r>
        <w:br/>
      </w:r>
    </w:p>
    <w:p w:rsidR="000B313E" w:rsidRDefault="000D200B" w:rsidP="000B313E">
      <w:pPr>
        <w:pStyle w:val="Style5"/>
        <w:ind w:left="2835"/>
      </w:pPr>
      <w:r>
        <w:t>(ii)</w:t>
      </w:r>
      <w:r>
        <w:tab/>
        <w:t xml:space="preserve">it is important that the </w:t>
      </w:r>
      <w:r w:rsidR="00641BBF">
        <w:t>member</w:t>
      </w:r>
      <w:r>
        <w:t xml:space="preserve"> understand the fees of any accessible investments chosen by the </w:t>
      </w:r>
      <w:r w:rsidR="00641BBF">
        <w:t>member</w:t>
      </w:r>
      <w:r>
        <w:t xml:space="preserve"> and that those fees will be in addition to the fees charged for the </w:t>
      </w:r>
      <w:r w:rsidR="00641BBF">
        <w:t>scheme</w:t>
      </w:r>
      <w:r>
        <w:t xml:space="preserve">, together with transaction and account costs incurred on behalf of the </w:t>
      </w:r>
      <w:r w:rsidR="00641BBF">
        <w:t>member</w:t>
      </w:r>
      <w:r>
        <w:t>; and</w:t>
      </w:r>
      <w:r>
        <w:br/>
      </w:r>
    </w:p>
    <w:p w:rsidR="000B313E" w:rsidRDefault="000D200B" w:rsidP="000B313E">
      <w:pPr>
        <w:pStyle w:val="Style5"/>
        <w:ind w:left="2835"/>
      </w:pPr>
      <w:r>
        <w:t>(iii)</w:t>
      </w:r>
      <w:r>
        <w:tab/>
      </w:r>
      <w:proofErr w:type="gramStart"/>
      <w:r>
        <w:t>the</w:t>
      </w:r>
      <w:proofErr w:type="gramEnd"/>
      <w:r>
        <w:t xml:space="preserve"> costs of the accessible investments chosen by the </w:t>
      </w:r>
      <w:r w:rsidR="00641BBF">
        <w:t>member</w:t>
      </w:r>
      <w:r>
        <w:t xml:space="preserve"> will generally be set out in a disclosure document or Product Disclosure Statement for the accessible investments</w:t>
      </w:r>
      <w:r w:rsidR="005E0D65">
        <w:t>;</w:t>
      </w:r>
      <w:r>
        <w:t xml:space="preserve"> and </w:t>
      </w:r>
      <w:r>
        <w:br/>
      </w:r>
    </w:p>
    <w:p w:rsidR="000B313E" w:rsidRDefault="000D200B" w:rsidP="000B313E">
      <w:pPr>
        <w:pStyle w:val="Style4"/>
        <w:ind w:left="2268"/>
      </w:pPr>
      <w:r w:rsidRPr="00E0128A">
        <w:lastRenderedPageBreak/>
        <w:t>(</w:t>
      </w:r>
      <w:r>
        <w:t>d</w:t>
      </w:r>
      <w:r w:rsidRPr="00E0128A">
        <w:t>)</w:t>
      </w:r>
      <w:r w:rsidRPr="00E0128A">
        <w:tab/>
        <w:t>examples, based on estimates</w:t>
      </w:r>
      <w:r w:rsidRPr="005D76A5">
        <w:t>,</w:t>
      </w:r>
      <w:r w:rsidRPr="00E0128A">
        <w:t xml:space="preserve"> of the total of fees, charges and expenses of t</w:t>
      </w:r>
      <w:r>
        <w:t xml:space="preserve">he </w:t>
      </w:r>
      <w:r w:rsidR="00641BBF">
        <w:t>scheme</w:t>
      </w:r>
      <w:r>
        <w:t xml:space="preserve"> and the accessible securities and accessible financial products </w:t>
      </w:r>
      <w:r w:rsidRPr="005D76A5">
        <w:t xml:space="preserve">that may be </w:t>
      </w:r>
      <w:r w:rsidRPr="00E0128A">
        <w:t xml:space="preserve">acquired through the </w:t>
      </w:r>
      <w:r w:rsidR="00641BBF">
        <w:t>scheme</w:t>
      </w:r>
      <w:r>
        <w:t xml:space="preserve"> that satisfy the requirements of subsection (</w:t>
      </w:r>
      <w:r w:rsidR="00641BBF">
        <w:t>3</w:t>
      </w:r>
      <w:r>
        <w:t>)</w:t>
      </w:r>
      <w:r w:rsidR="00641BBF">
        <w:t>.</w:t>
      </w:r>
    </w:p>
    <w:p w:rsidR="000B313E" w:rsidRDefault="000B313E" w:rsidP="000B313E">
      <w:pPr>
        <w:pStyle w:val="Style4"/>
        <w:ind w:left="2268"/>
      </w:pPr>
    </w:p>
    <w:p w:rsidR="000B313E" w:rsidRDefault="009D5630" w:rsidP="000B313E">
      <w:pPr>
        <w:pStyle w:val="Style3"/>
        <w:ind w:left="1701"/>
      </w:pPr>
      <w:r>
        <w:t xml:space="preserve"> </w:t>
      </w:r>
      <w:r w:rsidR="00641BBF">
        <w:t>(3)</w:t>
      </w:r>
      <w:r w:rsidR="00641BBF">
        <w:tab/>
        <w:t xml:space="preserve">The examples referred to in </w:t>
      </w:r>
      <w:r w:rsidR="005E0D65">
        <w:t xml:space="preserve">paragraph </w:t>
      </w:r>
      <w:r w:rsidR="00641BBF">
        <w:t>(2</w:t>
      </w:r>
      <w:proofErr w:type="gramStart"/>
      <w:r w:rsidR="00641BBF">
        <w:t>)</w:t>
      </w:r>
      <w:r w:rsidR="005E0D65">
        <w:t>(</w:t>
      </w:r>
      <w:proofErr w:type="gramEnd"/>
      <w:r w:rsidR="005E0D65">
        <w:t>d)</w:t>
      </w:r>
      <w:r w:rsidR="00641BBF">
        <w:t>:</w:t>
      </w:r>
    </w:p>
    <w:p w:rsidR="000B313E" w:rsidRDefault="000B313E" w:rsidP="000B313E">
      <w:pPr>
        <w:pStyle w:val="Style3"/>
        <w:ind w:left="1701"/>
      </w:pPr>
    </w:p>
    <w:p w:rsidR="000B313E" w:rsidRDefault="00641BBF" w:rsidP="000B313E">
      <w:pPr>
        <w:pStyle w:val="Style4"/>
        <w:ind w:left="2268"/>
      </w:pPr>
      <w:r>
        <w:t>(a)</w:t>
      </w:r>
      <w:r>
        <w:tab/>
        <w:t>must express the total estimate of fees, charges and expenses as a proportion of the total price paid in acquiring the accessible securities and accessible financial products through the scheme; and</w:t>
      </w:r>
      <w:r>
        <w:br/>
      </w:r>
    </w:p>
    <w:p w:rsidR="000B313E" w:rsidRDefault="00641BBF" w:rsidP="000B313E">
      <w:pPr>
        <w:pStyle w:val="Style4"/>
        <w:ind w:left="2268"/>
      </w:pPr>
      <w:r>
        <w:t>(b)</w:t>
      </w:r>
      <w:r>
        <w:tab/>
      </w:r>
      <w:r w:rsidRPr="00DC43E7">
        <w:t xml:space="preserve">must be examples that the </w:t>
      </w:r>
      <w:r>
        <w:t>responsible entity</w:t>
      </w:r>
      <w:r w:rsidRPr="00DC43E7">
        <w:t xml:space="preserve"> has reasonable grounds for believing are based on estimates of the fees, charges and expenses that are within the range typically charged for accessible securities and accessible financial products of the relevant kind; and</w:t>
      </w:r>
    </w:p>
    <w:p w:rsidR="000B313E" w:rsidRDefault="000B313E" w:rsidP="000B313E">
      <w:pPr>
        <w:pStyle w:val="Style3"/>
        <w:ind w:left="1701"/>
      </w:pPr>
    </w:p>
    <w:p w:rsidR="000B313E" w:rsidRDefault="00641BBF" w:rsidP="000B313E">
      <w:pPr>
        <w:pStyle w:val="Style4"/>
        <w:ind w:left="2268"/>
      </w:pPr>
      <w:r>
        <w:t xml:space="preserve">(c) </w:t>
      </w:r>
      <w:r>
        <w:tab/>
      </w:r>
      <w:proofErr w:type="gramStart"/>
      <w:r>
        <w:t>must</w:t>
      </w:r>
      <w:proofErr w:type="gramEnd"/>
      <w:r>
        <w:t xml:space="preserve"> cover a range of accessible securities and accessible financial products that may be acquired through the scheme; and</w:t>
      </w:r>
    </w:p>
    <w:p w:rsidR="000B313E" w:rsidRDefault="000B313E" w:rsidP="000B313E">
      <w:pPr>
        <w:pStyle w:val="Style3"/>
        <w:ind w:left="1701"/>
      </w:pPr>
    </w:p>
    <w:p w:rsidR="000B313E" w:rsidRDefault="00641BBF" w:rsidP="000B313E">
      <w:pPr>
        <w:pStyle w:val="Style4"/>
        <w:ind w:left="2268"/>
      </w:pPr>
      <w:r>
        <w:t>(d)</w:t>
      </w:r>
      <w:r>
        <w:tab/>
      </w:r>
      <w:proofErr w:type="gramStart"/>
      <w:r>
        <w:t>need</w:t>
      </w:r>
      <w:proofErr w:type="gramEnd"/>
      <w:r>
        <w:t xml:space="preserve"> not refer to actual or identified accessible securities or accessible financial products.</w:t>
      </w:r>
    </w:p>
    <w:p w:rsidR="000B313E" w:rsidRDefault="000B313E" w:rsidP="000B313E">
      <w:pPr>
        <w:ind w:left="1985"/>
      </w:pPr>
    </w:p>
    <w:p w:rsidR="000B313E" w:rsidRDefault="00D86722" w:rsidP="000B313E">
      <w:pPr>
        <w:ind w:left="1701" w:hanging="567"/>
      </w:pPr>
      <w:r>
        <w:t>(</w:t>
      </w:r>
      <w:r w:rsidR="00641BBF">
        <w:t>4</w:t>
      </w:r>
      <w:r>
        <w:t>)</w:t>
      </w:r>
      <w:r>
        <w:tab/>
      </w:r>
      <w:r w:rsidR="00D4464F" w:rsidRPr="00D4464F">
        <w:t xml:space="preserve">The responsible entity of an IDPS-like scheme must not issue </w:t>
      </w:r>
      <w:r w:rsidR="00476501">
        <w:t xml:space="preserve">an </w:t>
      </w:r>
      <w:r w:rsidR="00D4464F" w:rsidRPr="00D4464F">
        <w:t>interest in the scheme</w:t>
      </w:r>
      <w:r w:rsidR="008503C0">
        <w:t xml:space="preserve"> to a person as a retail client</w:t>
      </w:r>
      <w:r w:rsidR="00D4464F" w:rsidRPr="00D4464F">
        <w:t xml:space="preserve"> in response to an application form unless:</w:t>
      </w:r>
      <w:r w:rsidR="00F77B02">
        <w:t xml:space="preserve"> </w:t>
      </w:r>
      <w:r w:rsidR="00F77B02">
        <w:br/>
      </w:r>
    </w:p>
    <w:p w:rsidR="000B313E" w:rsidRDefault="00F77B02" w:rsidP="000B313E">
      <w:pPr>
        <w:pStyle w:val="Style4"/>
        <w:ind w:left="2268"/>
      </w:pPr>
      <w:r>
        <w:t>(a)</w:t>
      </w:r>
      <w:r>
        <w:tab/>
      </w:r>
      <w:proofErr w:type="gramStart"/>
      <w:r w:rsidR="00476501">
        <w:t>the</w:t>
      </w:r>
      <w:proofErr w:type="gramEnd"/>
      <w:r w:rsidR="00476501">
        <w:t xml:space="preserve"> form </w:t>
      </w:r>
      <w:r w:rsidR="00F80962">
        <w:t>contain</w:t>
      </w:r>
      <w:r w:rsidR="004A003A">
        <w:t>s</w:t>
      </w:r>
      <w:r w:rsidR="00294979">
        <w:t xml:space="preserve"> </w:t>
      </w:r>
      <w:r w:rsidR="00AE50C8">
        <w:t xml:space="preserve">a </w:t>
      </w:r>
      <w:r w:rsidR="00294979">
        <w:t>prominent warning</w:t>
      </w:r>
      <w:r w:rsidR="008222D7">
        <w:t xml:space="preserve"> </w:t>
      </w:r>
      <w:r w:rsidR="0077213F">
        <w:t>that</w:t>
      </w:r>
      <w:r w:rsidR="006F07CF">
        <w:t>:</w:t>
      </w:r>
    </w:p>
    <w:p w:rsidR="000B313E" w:rsidRDefault="000B313E" w:rsidP="000B313E">
      <w:pPr>
        <w:ind w:left="1985" w:hanging="851"/>
      </w:pPr>
    </w:p>
    <w:p w:rsidR="000B313E" w:rsidRDefault="00F80962" w:rsidP="000B313E">
      <w:pPr>
        <w:pStyle w:val="Style5"/>
        <w:ind w:left="2835"/>
      </w:pPr>
      <w:r>
        <w:t>(</w:t>
      </w:r>
      <w:proofErr w:type="spellStart"/>
      <w:r w:rsidR="00F77B02">
        <w:t>i</w:t>
      </w:r>
      <w:proofErr w:type="spellEnd"/>
      <w:r>
        <w:t>)</w:t>
      </w:r>
      <w:r>
        <w:tab/>
      </w:r>
      <w:r w:rsidR="00EC31EF">
        <w:t>identifies</w:t>
      </w:r>
      <w:r w:rsidR="009D5630">
        <w:t xml:space="preserve"> </w:t>
      </w:r>
      <w:r w:rsidR="006F07CF">
        <w:t xml:space="preserve">the </w:t>
      </w:r>
      <w:r>
        <w:t xml:space="preserve">key areas of difference </w:t>
      </w:r>
      <w:r w:rsidR="00D14149" w:rsidRPr="00D14149">
        <w:t xml:space="preserve">between </w:t>
      </w:r>
      <w:r w:rsidR="006F07CF">
        <w:t xml:space="preserve">acquiring a financial product directly and through </w:t>
      </w:r>
      <w:r w:rsidR="005E0D65">
        <w:t>the</w:t>
      </w:r>
      <w:r w:rsidR="00D14149">
        <w:t xml:space="preserve"> </w:t>
      </w:r>
      <w:r w:rsidR="00941F7E">
        <w:t>scheme</w:t>
      </w:r>
      <w:r w:rsidR="00273218">
        <w:t xml:space="preserve">, including </w:t>
      </w:r>
      <w:r w:rsidR="004A003A">
        <w:t xml:space="preserve">any </w:t>
      </w:r>
      <w:r w:rsidR="00273218">
        <w:t>differences</w:t>
      </w:r>
      <w:r w:rsidR="00941F7E">
        <w:t xml:space="preserve"> in respect of</w:t>
      </w:r>
      <w:r w:rsidR="006F07CF">
        <w:t xml:space="preserve"> the rights referred to </w:t>
      </w:r>
      <w:r w:rsidR="00EC31EF">
        <w:t xml:space="preserve">in </w:t>
      </w:r>
      <w:r w:rsidR="004A003A">
        <w:t xml:space="preserve">paragraph </w:t>
      </w:r>
      <w:r w:rsidR="006F07CF">
        <w:t>(</w:t>
      </w:r>
      <w:r w:rsidR="00641BBF">
        <w:t>1</w:t>
      </w:r>
      <w:r w:rsidR="006F07CF">
        <w:t>)(a);</w:t>
      </w:r>
    </w:p>
    <w:p w:rsidR="000B313E" w:rsidRDefault="000B313E" w:rsidP="000B313E">
      <w:pPr>
        <w:ind w:left="2268" w:hanging="567"/>
      </w:pPr>
    </w:p>
    <w:p w:rsidR="000B313E" w:rsidRDefault="004D212B" w:rsidP="000B313E">
      <w:pPr>
        <w:pStyle w:val="Style5"/>
        <w:ind w:left="2835"/>
      </w:pPr>
      <w:r>
        <w:t>(</w:t>
      </w:r>
      <w:r w:rsidR="00F77B02">
        <w:t>ii</w:t>
      </w:r>
      <w:r>
        <w:t>)</w:t>
      </w:r>
      <w:r>
        <w:tab/>
      </w:r>
      <w:r w:rsidR="0077213F">
        <w:t xml:space="preserve">if applicable, that a member may be adversely affected </w:t>
      </w:r>
      <w:r w:rsidR="009E08A7">
        <w:t xml:space="preserve">if the member has not engaged </w:t>
      </w:r>
      <w:r w:rsidR="0077213F">
        <w:t>a person</w:t>
      </w:r>
      <w:r w:rsidR="00485AF1">
        <w:t>,</w:t>
      </w:r>
      <w:r w:rsidR="0077213F">
        <w:t xml:space="preserve"> or a person meeting particular requirements</w:t>
      </w:r>
      <w:r w:rsidR="00485AF1">
        <w:t>,</w:t>
      </w:r>
      <w:r w:rsidR="0077213F">
        <w:t xml:space="preserve"> to provide financial product advice to the member or provide instructions on behalf of the member in relation to </w:t>
      </w:r>
      <w:r w:rsidR="005E0D65">
        <w:t xml:space="preserve">accessible </w:t>
      </w:r>
      <w:r w:rsidR="0077213F">
        <w:t>investments</w:t>
      </w:r>
      <w:r w:rsidR="00C13444">
        <w:t>;</w:t>
      </w:r>
      <w:r w:rsidR="00476501">
        <w:t xml:space="preserve"> and</w:t>
      </w:r>
    </w:p>
    <w:p w:rsidR="000B313E" w:rsidRDefault="000B313E" w:rsidP="000B313E">
      <w:pPr>
        <w:ind w:left="2268" w:hanging="567"/>
      </w:pPr>
    </w:p>
    <w:p w:rsidR="000B313E" w:rsidRDefault="00ED724C" w:rsidP="000B313E">
      <w:pPr>
        <w:pStyle w:val="Style4"/>
        <w:ind w:left="2268"/>
      </w:pPr>
      <w:r>
        <w:t>(</w:t>
      </w:r>
      <w:r w:rsidR="00485AF1">
        <w:t>b</w:t>
      </w:r>
      <w:r>
        <w:t>)</w:t>
      </w:r>
      <w:r>
        <w:tab/>
      </w:r>
      <w:r w:rsidR="00476501">
        <w:t xml:space="preserve">the form </w:t>
      </w:r>
      <w:r w:rsidR="006F07CF">
        <w:t>contain</w:t>
      </w:r>
      <w:r w:rsidR="00941F7E">
        <w:t>s</w:t>
      </w:r>
      <w:r w:rsidR="006F07CF">
        <w:t xml:space="preserve"> cross-reference</w:t>
      </w:r>
      <w:r w:rsidR="0077213F">
        <w:t>s</w:t>
      </w:r>
      <w:r w:rsidR="006F07CF">
        <w:t xml:space="preserve"> (including page or paragraph reference</w:t>
      </w:r>
      <w:r w:rsidR="00286691">
        <w:t>s</w:t>
      </w:r>
      <w:r w:rsidR="006F07CF">
        <w:t xml:space="preserve"> where applicable) to where further information on the  </w:t>
      </w:r>
      <w:r w:rsidR="00F811B5">
        <w:t xml:space="preserve">matters </w:t>
      </w:r>
      <w:r w:rsidR="006F07CF">
        <w:t xml:space="preserve">mentioned in </w:t>
      </w:r>
      <w:r w:rsidR="00485AF1">
        <w:t>sub</w:t>
      </w:r>
      <w:r w:rsidR="006F07CF">
        <w:t>paragraph (a)</w:t>
      </w:r>
      <w:r w:rsidR="00485AF1">
        <w:t>(</w:t>
      </w:r>
      <w:proofErr w:type="spellStart"/>
      <w:r w:rsidR="00485AF1">
        <w:t>i</w:t>
      </w:r>
      <w:proofErr w:type="spellEnd"/>
      <w:r w:rsidR="00485AF1">
        <w:t>)</w:t>
      </w:r>
      <w:r w:rsidR="006F07CF">
        <w:t xml:space="preserve"> </w:t>
      </w:r>
      <w:r w:rsidR="004225D2">
        <w:t>and</w:t>
      </w:r>
      <w:r w:rsidR="0077213F">
        <w:t xml:space="preserve"> if applicable</w:t>
      </w:r>
      <w:r w:rsidR="004225D2">
        <w:t xml:space="preserve"> (</w:t>
      </w:r>
      <w:r w:rsidR="00485AF1">
        <w:t>a</w:t>
      </w:r>
      <w:r w:rsidR="004225D2">
        <w:t>)</w:t>
      </w:r>
      <w:r w:rsidR="00485AF1">
        <w:t>(ii)</w:t>
      </w:r>
      <w:r w:rsidR="004225D2">
        <w:t xml:space="preserve"> </w:t>
      </w:r>
      <w:r w:rsidR="006F07CF">
        <w:t>can be located in the Product Disclosure Statement; and</w:t>
      </w:r>
    </w:p>
    <w:p w:rsidR="000B313E" w:rsidRDefault="000B313E" w:rsidP="000B313E">
      <w:pPr>
        <w:ind w:left="2268" w:hanging="567"/>
      </w:pPr>
    </w:p>
    <w:p w:rsidR="000B313E" w:rsidRDefault="006F07CF" w:rsidP="000B313E">
      <w:pPr>
        <w:pStyle w:val="Style4"/>
        <w:ind w:left="2268"/>
      </w:pPr>
      <w:r>
        <w:lastRenderedPageBreak/>
        <w:t>(</w:t>
      </w:r>
      <w:r w:rsidR="009139AC">
        <w:t>c</w:t>
      </w:r>
      <w:r>
        <w:t>)</w:t>
      </w:r>
      <w:r>
        <w:tab/>
      </w:r>
      <w:proofErr w:type="gramStart"/>
      <w:r w:rsidR="002B59A6">
        <w:t>in</w:t>
      </w:r>
      <w:proofErr w:type="gramEnd"/>
      <w:r w:rsidR="002B59A6">
        <w:t xml:space="preserve"> the case of: </w:t>
      </w:r>
    </w:p>
    <w:p w:rsidR="000B313E" w:rsidRDefault="000B313E" w:rsidP="000B313E">
      <w:pPr>
        <w:pStyle w:val="Style4"/>
        <w:ind w:left="2268"/>
      </w:pPr>
    </w:p>
    <w:p w:rsidR="000B313E" w:rsidRDefault="002B59A6" w:rsidP="000B313E">
      <w:pPr>
        <w:pStyle w:val="Style5"/>
        <w:ind w:left="2835"/>
      </w:pPr>
      <w:r>
        <w:t>(</w:t>
      </w:r>
      <w:proofErr w:type="spellStart"/>
      <w:r>
        <w:t>i</w:t>
      </w:r>
      <w:proofErr w:type="spellEnd"/>
      <w:r>
        <w:t>)</w:t>
      </w:r>
      <w:r>
        <w:tab/>
      </w:r>
      <w:proofErr w:type="gramStart"/>
      <w:r>
        <w:t>a</w:t>
      </w:r>
      <w:proofErr w:type="gramEnd"/>
      <w:r>
        <w:t xml:space="preserve"> form that is submitted electronically –</w:t>
      </w:r>
      <w:r w:rsidR="00455361">
        <w:t xml:space="preserve"> the part </w:t>
      </w:r>
      <w:r w:rsidR="001E04DF">
        <w:t xml:space="preserve">of </w:t>
      </w:r>
      <w:r w:rsidR="00455361">
        <w:t xml:space="preserve">the facility that allows the person applying for the interests to sign </w:t>
      </w:r>
      <w:r w:rsidR="006A567A">
        <w:t xml:space="preserve">or submit </w:t>
      </w:r>
      <w:r w:rsidR="00455361">
        <w:t xml:space="preserve">the form </w:t>
      </w:r>
      <w:r>
        <w:t xml:space="preserve">contains </w:t>
      </w:r>
      <w:r w:rsidRPr="002B59A6">
        <w:t>a prominent statement</w:t>
      </w:r>
      <w:r w:rsidR="00455361">
        <w:t>; and</w:t>
      </w:r>
      <w:r w:rsidR="00455361">
        <w:br/>
      </w:r>
    </w:p>
    <w:p w:rsidR="000B313E" w:rsidRDefault="00455361" w:rsidP="000B313E">
      <w:pPr>
        <w:pStyle w:val="Style5"/>
        <w:ind w:left="2835"/>
      </w:pPr>
      <w:r>
        <w:t>(ii)</w:t>
      </w:r>
      <w:r>
        <w:tab/>
      </w:r>
      <w:proofErr w:type="gramStart"/>
      <w:r>
        <w:t>otherwise</w:t>
      </w:r>
      <w:proofErr w:type="gramEnd"/>
      <w:r>
        <w:t xml:space="preserve"> – the form requires the person applying for the interests to sign an acknowledgement;</w:t>
      </w:r>
      <w:r>
        <w:br/>
      </w:r>
    </w:p>
    <w:p w:rsidR="000B313E" w:rsidRDefault="00365ABC" w:rsidP="000B313E">
      <w:pPr>
        <w:pStyle w:val="Style5"/>
        <w:ind w:firstLine="0"/>
      </w:pPr>
      <w:proofErr w:type="gramStart"/>
      <w:r>
        <w:t>to</w:t>
      </w:r>
      <w:proofErr w:type="gramEnd"/>
      <w:r>
        <w:t xml:space="preserve"> the effect that </w:t>
      </w:r>
      <w:r w:rsidR="00455361" w:rsidRPr="00455361">
        <w:t>the person applying for the interest acknowledges the matters contained in the warning</w:t>
      </w:r>
      <w:r w:rsidR="00455361">
        <w:t>.</w:t>
      </w:r>
    </w:p>
    <w:p w:rsidR="000B313E" w:rsidRDefault="000B313E" w:rsidP="000B313E">
      <w:pPr>
        <w:ind w:left="567"/>
      </w:pPr>
    </w:p>
    <w:p w:rsidR="000B313E" w:rsidRDefault="00D14149" w:rsidP="000B313E">
      <w:pPr>
        <w:pStyle w:val="Style3"/>
        <w:ind w:left="1701"/>
        <w:rPr>
          <w:lang w:val="en-US"/>
        </w:rPr>
      </w:pPr>
      <w:r>
        <w:t>(</w:t>
      </w:r>
      <w:r w:rsidR="00641BBF">
        <w:t>5</w:t>
      </w:r>
      <w:r w:rsidR="00EB73A3">
        <w:t>)</w:t>
      </w:r>
      <w:r>
        <w:tab/>
      </w:r>
      <w:r w:rsidR="00FA6430">
        <w:t>The</w:t>
      </w:r>
      <w:r w:rsidR="008C2A7C">
        <w:t xml:space="preserve"> </w:t>
      </w:r>
      <w:r w:rsidR="00E60D19">
        <w:t>responsible entity</w:t>
      </w:r>
      <w:r w:rsidR="00B5661A">
        <w:t xml:space="preserve"> </w:t>
      </w:r>
      <w:r w:rsidR="006D4B97">
        <w:t xml:space="preserve">of an IDPS-like scheme </w:t>
      </w:r>
      <w:r w:rsidR="00B5661A">
        <w:rPr>
          <w:lang w:val="en-US"/>
        </w:rPr>
        <w:t xml:space="preserve">must give to a member on request a copy of all communications that are required by </w:t>
      </w:r>
      <w:r w:rsidR="00B5661A" w:rsidRPr="006E3FCE">
        <w:rPr>
          <w:lang w:val="en-US"/>
        </w:rPr>
        <w:t>law</w:t>
      </w:r>
      <w:r w:rsidR="00B5661A">
        <w:rPr>
          <w:lang w:val="en-US"/>
        </w:rPr>
        <w:t xml:space="preserve"> to be given to the holder of an </w:t>
      </w:r>
      <w:r w:rsidR="0039112D" w:rsidRPr="0039112D">
        <w:rPr>
          <w:lang w:val="en-US"/>
        </w:rPr>
        <w:t>accessible investment</w:t>
      </w:r>
      <w:r w:rsidR="00B5661A">
        <w:rPr>
          <w:lang w:val="en-US"/>
        </w:rPr>
        <w:t xml:space="preserve"> (including communications that are required to be given on request) where that accessible investment has been acquired </w:t>
      </w:r>
      <w:r w:rsidR="005E0D65">
        <w:rPr>
          <w:lang w:val="en-US"/>
        </w:rPr>
        <w:t>under</w:t>
      </w:r>
      <w:r w:rsidR="00107DC6">
        <w:rPr>
          <w:lang w:val="en-US"/>
        </w:rPr>
        <w:t xml:space="preserve"> a </w:t>
      </w:r>
      <w:r w:rsidR="00C97D87">
        <w:rPr>
          <w:lang w:val="en-US"/>
        </w:rPr>
        <w:t xml:space="preserve">direction </w:t>
      </w:r>
      <w:r w:rsidR="00B5661A">
        <w:rPr>
          <w:lang w:val="en-US"/>
        </w:rPr>
        <w:t>of the member</w:t>
      </w:r>
      <w:r w:rsidR="0060031D">
        <w:rPr>
          <w:lang w:val="en-US"/>
        </w:rPr>
        <w:t xml:space="preserve">. </w:t>
      </w:r>
    </w:p>
    <w:p w:rsidR="000B313E" w:rsidRDefault="000B313E" w:rsidP="000B313E">
      <w:pPr>
        <w:ind w:left="1843" w:hanging="709"/>
        <w:rPr>
          <w:lang w:val="en-US"/>
        </w:rPr>
      </w:pPr>
    </w:p>
    <w:p w:rsidR="000B313E" w:rsidRDefault="004F156F" w:rsidP="000B313E">
      <w:pPr>
        <w:pStyle w:val="Style3"/>
        <w:ind w:left="1701"/>
      </w:pPr>
      <w:r>
        <w:rPr>
          <w:lang w:val="en-US"/>
        </w:rPr>
        <w:t>(</w:t>
      </w:r>
      <w:r w:rsidR="00641BBF">
        <w:rPr>
          <w:lang w:val="en-US"/>
        </w:rPr>
        <w:t>6</w:t>
      </w:r>
      <w:r w:rsidR="0060031D">
        <w:rPr>
          <w:lang w:val="en-US"/>
        </w:rPr>
        <w:t>)</w:t>
      </w:r>
      <w:r w:rsidR="0060031D">
        <w:rPr>
          <w:lang w:val="en-US"/>
        </w:rPr>
        <w:tab/>
        <w:t xml:space="preserve">A member may make a request under </w:t>
      </w:r>
      <w:r>
        <w:rPr>
          <w:lang w:val="en-US"/>
        </w:rPr>
        <w:t>subsection (</w:t>
      </w:r>
      <w:r w:rsidR="00641BBF">
        <w:rPr>
          <w:lang w:val="en-US"/>
        </w:rPr>
        <w:t>5</w:t>
      </w:r>
      <w:r w:rsidR="0060031D">
        <w:rPr>
          <w:lang w:val="en-US"/>
        </w:rPr>
        <w:t xml:space="preserve">) in relation </w:t>
      </w:r>
      <w:r w:rsidR="00B5661A">
        <w:rPr>
          <w:lang w:val="en-US"/>
        </w:rPr>
        <w:t xml:space="preserve">to a particular communication or </w:t>
      </w:r>
      <w:r w:rsidR="0060031D">
        <w:rPr>
          <w:lang w:val="en-US"/>
        </w:rPr>
        <w:t xml:space="preserve">make </w:t>
      </w:r>
      <w:r w:rsidR="00B5661A">
        <w:rPr>
          <w:lang w:val="en-US"/>
        </w:rPr>
        <w:t>a standing request in relation to a class of communication</w:t>
      </w:r>
      <w:r w:rsidR="00365ABC">
        <w:rPr>
          <w:lang w:val="en-US"/>
        </w:rPr>
        <w:t>s</w:t>
      </w:r>
      <w:r w:rsidR="0060031D">
        <w:rPr>
          <w:lang w:val="en-US"/>
        </w:rPr>
        <w:t>. The responsible entity must provide the information</w:t>
      </w:r>
      <w:r w:rsidR="00B5661A">
        <w:rPr>
          <w:lang w:val="en-US"/>
        </w:rPr>
        <w:t xml:space="preserve"> as soon as practicable after the information is received or otherwise becomes available to be provided to the member.</w:t>
      </w:r>
    </w:p>
    <w:p w:rsidR="000B313E" w:rsidRDefault="000B313E" w:rsidP="000B313E">
      <w:pPr>
        <w:ind w:left="1843" w:hanging="709"/>
      </w:pPr>
    </w:p>
    <w:p w:rsidR="000B313E" w:rsidRDefault="00B5661A" w:rsidP="000B313E">
      <w:pPr>
        <w:pStyle w:val="Style3"/>
        <w:ind w:left="1701"/>
        <w:rPr>
          <w:lang w:val="en-US"/>
        </w:rPr>
      </w:pPr>
      <w:r>
        <w:t>(</w:t>
      </w:r>
      <w:r w:rsidR="00641BBF">
        <w:t>7</w:t>
      </w:r>
      <w:r>
        <w:t>)</w:t>
      </w:r>
      <w:r>
        <w:tab/>
        <w:t xml:space="preserve">The responsible entity </w:t>
      </w:r>
      <w:r w:rsidR="006D4B97">
        <w:t xml:space="preserve">of an IDPS-like scheme </w:t>
      </w:r>
      <w:r>
        <w:rPr>
          <w:lang w:val="en-US"/>
        </w:rPr>
        <w:t xml:space="preserve">must </w:t>
      </w:r>
      <w:r w:rsidR="00E60D19">
        <w:rPr>
          <w:lang w:val="en-US"/>
        </w:rPr>
        <w:t>not</w:t>
      </w:r>
      <w:r w:rsidR="00FA6430">
        <w:rPr>
          <w:lang w:val="en-US"/>
        </w:rPr>
        <w:t>,</w:t>
      </w:r>
      <w:r w:rsidR="00E60D19">
        <w:rPr>
          <w:lang w:val="en-US"/>
        </w:rPr>
        <w:t xml:space="preserve"> and must ensure that </w:t>
      </w:r>
      <w:r w:rsidR="00905DC8">
        <w:rPr>
          <w:lang w:val="en-US"/>
        </w:rPr>
        <w:t xml:space="preserve"> </w:t>
      </w:r>
      <w:r w:rsidR="003E789F">
        <w:rPr>
          <w:lang w:val="en-US"/>
        </w:rPr>
        <w:t xml:space="preserve">any </w:t>
      </w:r>
      <w:r w:rsidR="00905DC8">
        <w:rPr>
          <w:lang w:val="en-US"/>
        </w:rPr>
        <w:t xml:space="preserve">custodian </w:t>
      </w:r>
      <w:r w:rsidR="00E60D19">
        <w:rPr>
          <w:lang w:val="en-US"/>
        </w:rPr>
        <w:t>does not</w:t>
      </w:r>
      <w:r w:rsidR="00FA6430">
        <w:rPr>
          <w:lang w:val="en-US"/>
        </w:rPr>
        <w:t>,</w:t>
      </w:r>
      <w:r w:rsidR="00E60D19">
        <w:rPr>
          <w:lang w:val="en-US"/>
        </w:rPr>
        <w:t xml:space="preserve"> acquire accessible investments as part of the scheme that are</w:t>
      </w:r>
      <w:r w:rsidR="002C269D">
        <w:rPr>
          <w:lang w:val="en-US"/>
        </w:rPr>
        <w:t>:</w:t>
      </w:r>
      <w:r w:rsidR="00E60D19">
        <w:rPr>
          <w:lang w:val="en-US"/>
        </w:rPr>
        <w:t xml:space="preserve"> </w:t>
      </w:r>
    </w:p>
    <w:p w:rsidR="000B313E" w:rsidRDefault="000B313E" w:rsidP="000B313E">
      <w:pPr>
        <w:ind w:left="1843"/>
        <w:rPr>
          <w:lang w:val="en-US"/>
        </w:rPr>
      </w:pPr>
    </w:p>
    <w:p w:rsidR="000B313E" w:rsidRDefault="00E60D19" w:rsidP="000B313E">
      <w:pPr>
        <w:ind w:left="2268" w:hanging="567"/>
        <w:rPr>
          <w:lang w:val="en-US"/>
        </w:rPr>
      </w:pPr>
      <w:r>
        <w:rPr>
          <w:lang w:val="en-US"/>
        </w:rPr>
        <w:t>(</w:t>
      </w:r>
      <w:r w:rsidR="00B5661A">
        <w:rPr>
          <w:lang w:val="en-US"/>
        </w:rPr>
        <w:t>a</w:t>
      </w:r>
      <w:r>
        <w:rPr>
          <w:lang w:val="en-US"/>
        </w:rPr>
        <w:t>)</w:t>
      </w:r>
      <w:r>
        <w:rPr>
          <w:lang w:val="en-US"/>
        </w:rPr>
        <w:tab/>
      </w:r>
      <w:proofErr w:type="gramStart"/>
      <w:r>
        <w:rPr>
          <w:lang w:val="en-US"/>
        </w:rPr>
        <w:t>interests</w:t>
      </w:r>
      <w:proofErr w:type="gramEnd"/>
      <w:r>
        <w:rPr>
          <w:lang w:val="en-US"/>
        </w:rPr>
        <w:t xml:space="preserve"> in a managed investment scheme that is not a registered scheme; or </w:t>
      </w:r>
    </w:p>
    <w:p w:rsidR="000B313E" w:rsidRDefault="000B313E" w:rsidP="000B313E">
      <w:pPr>
        <w:ind w:left="2268" w:hanging="567"/>
        <w:rPr>
          <w:lang w:val="en-US"/>
        </w:rPr>
      </w:pPr>
    </w:p>
    <w:p w:rsidR="000B313E" w:rsidRDefault="00E60D19" w:rsidP="000B313E">
      <w:pPr>
        <w:ind w:left="2268" w:hanging="567"/>
        <w:rPr>
          <w:lang w:val="en-US"/>
        </w:rPr>
      </w:pPr>
      <w:r>
        <w:rPr>
          <w:lang w:val="en-US"/>
        </w:rPr>
        <w:t>(</w:t>
      </w:r>
      <w:r w:rsidR="00B5661A">
        <w:rPr>
          <w:lang w:val="en-US"/>
        </w:rPr>
        <w:t>b</w:t>
      </w:r>
      <w:r>
        <w:rPr>
          <w:lang w:val="en-US"/>
        </w:rPr>
        <w:t>)</w:t>
      </w:r>
      <w:r>
        <w:rPr>
          <w:lang w:val="en-US"/>
        </w:rPr>
        <w:tab/>
      </w:r>
      <w:proofErr w:type="gramStart"/>
      <w:r>
        <w:rPr>
          <w:lang w:val="en-US"/>
        </w:rPr>
        <w:t>interests</w:t>
      </w:r>
      <w:proofErr w:type="gramEnd"/>
      <w:r>
        <w:rPr>
          <w:lang w:val="en-US"/>
        </w:rPr>
        <w:t xml:space="preserve"> in a scheme that would be a managed investment scheme but for paragraph (e) of the definition of </w:t>
      </w:r>
      <w:r w:rsidR="00E92E3E" w:rsidRPr="00E92E3E">
        <w:rPr>
          <w:b/>
          <w:i/>
          <w:lang w:val="en-US"/>
        </w:rPr>
        <w:t>managed investment scheme</w:t>
      </w:r>
      <w:r>
        <w:rPr>
          <w:lang w:val="en-US"/>
        </w:rPr>
        <w:t xml:space="preserve"> in section 9;</w:t>
      </w:r>
    </w:p>
    <w:p w:rsidR="000B313E" w:rsidRDefault="000B313E" w:rsidP="000B313E">
      <w:pPr>
        <w:ind w:left="2268" w:hanging="567"/>
        <w:rPr>
          <w:lang w:val="en-US"/>
        </w:rPr>
      </w:pPr>
    </w:p>
    <w:p w:rsidR="000B313E" w:rsidRDefault="006E6A27" w:rsidP="000B313E">
      <w:pPr>
        <w:ind w:left="2268" w:hanging="567"/>
        <w:rPr>
          <w:lang w:val="en-US"/>
        </w:rPr>
      </w:pPr>
      <w:proofErr w:type="gramStart"/>
      <w:r>
        <w:rPr>
          <w:lang w:val="en-US"/>
        </w:rPr>
        <w:t>u</w:t>
      </w:r>
      <w:r w:rsidR="00E60D19">
        <w:rPr>
          <w:lang w:val="en-US"/>
        </w:rPr>
        <w:t>nless</w:t>
      </w:r>
      <w:proofErr w:type="gramEnd"/>
      <w:r w:rsidR="006D4B97">
        <w:rPr>
          <w:lang w:val="en-US"/>
        </w:rPr>
        <w:t>:</w:t>
      </w:r>
    </w:p>
    <w:p w:rsidR="000B313E" w:rsidRDefault="000B313E" w:rsidP="000B313E">
      <w:pPr>
        <w:ind w:left="2268" w:hanging="567"/>
        <w:rPr>
          <w:lang w:val="en-US"/>
        </w:rPr>
      </w:pPr>
    </w:p>
    <w:p w:rsidR="000B313E" w:rsidRDefault="00887D89" w:rsidP="000B313E">
      <w:pPr>
        <w:ind w:left="2268" w:hanging="567"/>
        <w:rPr>
          <w:lang w:val="en-US"/>
        </w:rPr>
      </w:pPr>
      <w:r>
        <w:rPr>
          <w:lang w:val="en-US"/>
        </w:rPr>
        <w:t>(</w:t>
      </w:r>
      <w:r w:rsidR="00B5661A">
        <w:rPr>
          <w:lang w:val="en-US"/>
        </w:rPr>
        <w:t>c</w:t>
      </w:r>
      <w:r>
        <w:rPr>
          <w:lang w:val="en-US"/>
        </w:rPr>
        <w:t>)</w:t>
      </w:r>
      <w:r>
        <w:rPr>
          <w:lang w:val="en-US"/>
        </w:rPr>
        <w:tab/>
      </w:r>
      <w:r w:rsidR="00E60D19">
        <w:rPr>
          <w:lang w:val="en-US"/>
        </w:rPr>
        <w:t>in relation to a particular member, the responsible entity is reasonably satisfied that if that member had invested directly in the scheme, the scheme would not have been required to have been registered; and</w:t>
      </w:r>
    </w:p>
    <w:p w:rsidR="000B313E" w:rsidRDefault="000B313E" w:rsidP="000B313E">
      <w:pPr>
        <w:ind w:left="2835" w:hanging="567"/>
        <w:rPr>
          <w:lang w:val="en-US"/>
        </w:rPr>
      </w:pPr>
    </w:p>
    <w:p w:rsidR="000B313E" w:rsidRDefault="00887D89" w:rsidP="000B313E">
      <w:pPr>
        <w:ind w:left="2268" w:hanging="567"/>
      </w:pPr>
      <w:r>
        <w:rPr>
          <w:lang w:val="en-US"/>
        </w:rPr>
        <w:t>(</w:t>
      </w:r>
      <w:r w:rsidR="00B5661A">
        <w:rPr>
          <w:lang w:val="en-US"/>
        </w:rPr>
        <w:t>d</w:t>
      </w:r>
      <w:r>
        <w:rPr>
          <w:lang w:val="en-US"/>
        </w:rPr>
        <w:t>)</w:t>
      </w:r>
      <w:r>
        <w:rPr>
          <w:lang w:val="en-US"/>
        </w:rPr>
        <w:tab/>
      </w:r>
      <w:r w:rsidRPr="00E41574">
        <w:t xml:space="preserve">so far as the responsible entity is aware or has reason to suspect, if all interests in the scheme held </w:t>
      </w:r>
      <w:r w:rsidR="008842BB" w:rsidRPr="00E41574">
        <w:t>in custodial arrangement</w:t>
      </w:r>
      <w:r w:rsidR="00954C70">
        <w:t>s</w:t>
      </w:r>
      <w:r w:rsidR="008842BB" w:rsidRPr="00E41574">
        <w:t xml:space="preserve"> </w:t>
      </w:r>
      <w:r w:rsidRPr="00E41574">
        <w:t xml:space="preserve">had </w:t>
      </w:r>
      <w:r w:rsidRPr="00E41574">
        <w:lastRenderedPageBreak/>
        <w:t xml:space="preserve">been held </w:t>
      </w:r>
      <w:r w:rsidR="008842BB" w:rsidRPr="00E41574">
        <w:t>by the client</w:t>
      </w:r>
      <w:r w:rsidR="00954C70">
        <w:t>s</w:t>
      </w:r>
      <w:r w:rsidR="008842BB" w:rsidRPr="00E41574">
        <w:t xml:space="preserve"> of th</w:t>
      </w:r>
      <w:r w:rsidR="00954C70">
        <w:t>ose</w:t>
      </w:r>
      <w:r w:rsidR="008842BB" w:rsidRPr="00E41574">
        <w:t xml:space="preserve"> arrangement</w:t>
      </w:r>
      <w:r w:rsidR="00954C70">
        <w:t>s</w:t>
      </w:r>
      <w:r w:rsidR="002C269D" w:rsidRPr="00E41574">
        <w:t>,</w:t>
      </w:r>
      <w:r w:rsidRPr="00E41574">
        <w:t xml:space="preserve"> the scheme would not have been required to be registered</w:t>
      </w:r>
      <w:r w:rsidR="00365ABC">
        <w:t>.</w:t>
      </w:r>
    </w:p>
    <w:p w:rsidR="006A1C49" w:rsidRDefault="0039112D">
      <w:pPr>
        <w:overflowPunct/>
        <w:autoSpaceDE/>
        <w:autoSpaceDN/>
        <w:adjustRightInd/>
        <w:spacing w:beforeAutospacing="1" w:after="100" w:afterAutospacing="1"/>
        <w:ind w:left="2835" w:hanging="567"/>
        <w:textAlignment w:val="auto"/>
        <w:rPr>
          <w:sz w:val="20"/>
          <w:lang w:eastAsia="en-AU"/>
        </w:rPr>
      </w:pPr>
      <w:r w:rsidRPr="0039112D">
        <w:rPr>
          <w:sz w:val="20"/>
          <w:lang w:eastAsia="en-AU"/>
        </w:rPr>
        <w:t xml:space="preserve">Note: </w:t>
      </w:r>
      <w:r w:rsidR="005F07C8">
        <w:rPr>
          <w:sz w:val="20"/>
          <w:lang w:eastAsia="en-AU"/>
        </w:rPr>
        <w:tab/>
      </w:r>
      <w:r w:rsidRPr="0039112D">
        <w:rPr>
          <w:sz w:val="20"/>
          <w:lang w:eastAsia="en-AU"/>
        </w:rPr>
        <w:t>Under section </w:t>
      </w:r>
      <w:hyperlink r:id="rId9" w:anchor="ACT~AUS~NAT~Y.2001-50~CHP.5C~PT.5C.1~S.601ED" w:history="1">
        <w:r w:rsidRPr="0039112D">
          <w:rPr>
            <w:iCs/>
            <w:sz w:val="20"/>
            <w:lang w:eastAsia="en-AU"/>
          </w:rPr>
          <w:t>601ED</w:t>
        </w:r>
      </w:hyperlink>
      <w:r w:rsidRPr="0039112D">
        <w:rPr>
          <w:sz w:val="20"/>
        </w:rPr>
        <w:t>,</w:t>
      </w:r>
      <w:r w:rsidRPr="0039112D">
        <w:rPr>
          <w:sz w:val="20"/>
          <w:lang w:eastAsia="en-AU"/>
        </w:rPr>
        <w:t xml:space="preserve"> a managed investment scheme does not generally need to be registered if it has no more than 20 members. If interests held through</w:t>
      </w:r>
      <w:r w:rsidR="006A7FE7">
        <w:rPr>
          <w:sz w:val="20"/>
          <w:lang w:eastAsia="en-AU"/>
        </w:rPr>
        <w:t xml:space="preserve"> custodial arrangements such as</w:t>
      </w:r>
      <w:r w:rsidRPr="0039112D">
        <w:rPr>
          <w:sz w:val="20"/>
          <w:lang w:eastAsia="en-AU"/>
        </w:rPr>
        <w:t xml:space="preserve"> IDPSs, IDPS-like schemes and NCSs had been acquired </w:t>
      </w:r>
      <w:proofErr w:type="gramStart"/>
      <w:r w:rsidRPr="0039112D">
        <w:rPr>
          <w:sz w:val="20"/>
          <w:lang w:eastAsia="en-AU"/>
        </w:rPr>
        <w:t>directly,</w:t>
      </w:r>
      <w:proofErr w:type="gramEnd"/>
      <w:r w:rsidRPr="0039112D">
        <w:rPr>
          <w:sz w:val="20"/>
          <w:lang w:eastAsia="en-AU"/>
        </w:rPr>
        <w:t xml:space="preserve"> the scheme may have required registration as it may have had more than 20 members.</w:t>
      </w:r>
    </w:p>
    <w:p w:rsidR="000B313E" w:rsidRDefault="008222D7" w:rsidP="000B313E">
      <w:pPr>
        <w:pStyle w:val="Style3"/>
        <w:ind w:left="1701"/>
      </w:pPr>
      <w:r>
        <w:t>(</w:t>
      </w:r>
      <w:r w:rsidR="00641BBF">
        <w:t>8</w:t>
      </w:r>
      <w:r w:rsidR="00711B62">
        <w:t>)</w:t>
      </w:r>
      <w:r w:rsidR="00711B62">
        <w:tab/>
      </w:r>
      <w:r w:rsidR="002163E2">
        <w:t>The</w:t>
      </w:r>
      <w:r w:rsidR="006D4B97">
        <w:t xml:space="preserve"> responsible entity of an IDPS-like scheme </w:t>
      </w:r>
      <w:r w:rsidR="00711B62" w:rsidRPr="00711B62">
        <w:t xml:space="preserve">must </w:t>
      </w:r>
      <w:r w:rsidR="00365ABC">
        <w:t xml:space="preserve">not, and must </w:t>
      </w:r>
      <w:r w:rsidR="00711B62" w:rsidRPr="00711B62">
        <w:t xml:space="preserve">ensure </w:t>
      </w:r>
      <w:r w:rsidR="00412D0F">
        <w:t xml:space="preserve">that </w:t>
      </w:r>
      <w:r w:rsidR="003E789F">
        <w:t xml:space="preserve">any </w:t>
      </w:r>
      <w:r w:rsidR="00905DC8">
        <w:t xml:space="preserve">custodian </w:t>
      </w:r>
      <w:r w:rsidR="00365ABC">
        <w:t xml:space="preserve">does not, </w:t>
      </w:r>
      <w:r w:rsidR="005A7A24">
        <w:t>acquire</w:t>
      </w:r>
      <w:r w:rsidR="00711B62" w:rsidRPr="00711B62">
        <w:t xml:space="preserve"> accessible</w:t>
      </w:r>
      <w:r w:rsidR="005A7A24" w:rsidRPr="00711B62">
        <w:t xml:space="preserve"> </w:t>
      </w:r>
      <w:r w:rsidR="00070070">
        <w:t xml:space="preserve">securities or accessible financial products </w:t>
      </w:r>
      <w:r w:rsidR="005E0D65">
        <w:t>under</w:t>
      </w:r>
      <w:r w:rsidR="00107DC6">
        <w:t xml:space="preserve"> a</w:t>
      </w:r>
      <w:r w:rsidR="009D1798">
        <w:t xml:space="preserve"> </w:t>
      </w:r>
      <w:r w:rsidR="00C97D87">
        <w:t xml:space="preserve">direction </w:t>
      </w:r>
      <w:r w:rsidR="009D1798">
        <w:t xml:space="preserve">of a member </w:t>
      </w:r>
      <w:r w:rsidR="00711B62" w:rsidRPr="00711B62">
        <w:t>as part of the scheme</w:t>
      </w:r>
      <w:r w:rsidR="00E621ED">
        <w:t xml:space="preserve"> </w:t>
      </w:r>
      <w:r w:rsidR="00FA42A5">
        <w:t>unless</w:t>
      </w:r>
      <w:r w:rsidR="00711B62" w:rsidRPr="00711B62">
        <w:t>:</w:t>
      </w:r>
    </w:p>
    <w:p w:rsidR="000B313E" w:rsidRDefault="000B313E" w:rsidP="000B313E">
      <w:pPr>
        <w:ind w:left="2694" w:hanging="851"/>
      </w:pPr>
    </w:p>
    <w:p w:rsidR="000B313E" w:rsidRDefault="00711B62" w:rsidP="000B313E">
      <w:pPr>
        <w:ind w:left="2268" w:hanging="567"/>
      </w:pPr>
      <w:r>
        <w:t>(</w:t>
      </w:r>
      <w:r w:rsidR="006D4B97">
        <w:t>a</w:t>
      </w:r>
      <w:r>
        <w:t>)</w:t>
      </w:r>
      <w:r>
        <w:tab/>
      </w:r>
      <w:proofErr w:type="gramStart"/>
      <w:r w:rsidRPr="00711B62">
        <w:t>in</w:t>
      </w:r>
      <w:proofErr w:type="gramEnd"/>
      <w:r w:rsidRPr="00711B62">
        <w:t xml:space="preserve"> the case of an acquisition of accessible securities – </w:t>
      </w:r>
      <w:r w:rsidR="00FA42A5" w:rsidRPr="00FA42A5">
        <w:t xml:space="preserve">the responsible entity </w:t>
      </w:r>
      <w:r w:rsidR="00352077">
        <w:t xml:space="preserve">is </w:t>
      </w:r>
      <w:r w:rsidR="00FA42A5" w:rsidRPr="00FA42A5">
        <w:t xml:space="preserve">reasonably </w:t>
      </w:r>
      <w:r w:rsidR="00352077">
        <w:t>satisfied</w:t>
      </w:r>
      <w:r w:rsidR="00FA42A5" w:rsidRPr="00FA42A5">
        <w:t xml:space="preserve"> that</w:t>
      </w:r>
      <w:r w:rsidRPr="00711B62">
        <w:t xml:space="preserve">: </w:t>
      </w:r>
    </w:p>
    <w:p w:rsidR="000B313E" w:rsidRDefault="000B313E" w:rsidP="000B313E">
      <w:pPr>
        <w:ind w:left="2694" w:hanging="851"/>
      </w:pPr>
    </w:p>
    <w:p w:rsidR="000B313E" w:rsidRDefault="00711B62" w:rsidP="000B313E">
      <w:pPr>
        <w:ind w:left="2835" w:hanging="567"/>
      </w:pPr>
      <w:r>
        <w:t>(</w:t>
      </w:r>
      <w:proofErr w:type="spellStart"/>
      <w:r w:rsidR="006D4B97">
        <w:t>i</w:t>
      </w:r>
      <w:proofErr w:type="spellEnd"/>
      <w:r>
        <w:t>)</w:t>
      </w:r>
      <w:r>
        <w:tab/>
      </w:r>
      <w:r w:rsidRPr="00711B62">
        <w:t>the member has been given a copy of the disclosure document for the accessible securities that would have been required had the securities been offered to the member directly at the time of the acquisition</w:t>
      </w:r>
      <w:r w:rsidR="00412D0F">
        <w:t xml:space="preserve"> </w:t>
      </w:r>
      <w:r w:rsidR="007E11BE">
        <w:t xml:space="preserve">and the responsible entity has no reason to believe that </w:t>
      </w:r>
      <w:r w:rsidR="007A719C">
        <w:t xml:space="preserve">the disclosure document </w:t>
      </w:r>
      <w:r w:rsidR="003528B7">
        <w:t>is</w:t>
      </w:r>
      <w:r w:rsidR="007A719C">
        <w:t xml:space="preserve"> defe</w:t>
      </w:r>
      <w:r w:rsidR="00AF26CB">
        <w:t xml:space="preserve">ctive </w:t>
      </w:r>
      <w:r w:rsidR="003528B7">
        <w:t xml:space="preserve">as </w:t>
      </w:r>
      <w:r w:rsidR="00AF26CB">
        <w:t>if it were prepared at that</w:t>
      </w:r>
      <w:r w:rsidR="007A719C">
        <w:t xml:space="preserve"> time</w:t>
      </w:r>
      <w:r w:rsidRPr="00711B62">
        <w:t xml:space="preserve">; </w:t>
      </w:r>
      <w:r w:rsidR="0015604D">
        <w:t>or</w:t>
      </w:r>
    </w:p>
    <w:p w:rsidR="000B313E" w:rsidRDefault="000B313E" w:rsidP="000B313E">
      <w:pPr>
        <w:ind w:left="2835" w:hanging="567"/>
      </w:pPr>
    </w:p>
    <w:p w:rsidR="000B313E" w:rsidRDefault="00711B62" w:rsidP="000B313E">
      <w:pPr>
        <w:ind w:left="2835" w:hanging="567"/>
      </w:pPr>
      <w:r>
        <w:t>(</w:t>
      </w:r>
      <w:r w:rsidR="006D4B97">
        <w:t>ii</w:t>
      </w:r>
      <w:r>
        <w:t>)</w:t>
      </w:r>
      <w:r>
        <w:tab/>
      </w:r>
      <w:r w:rsidRPr="00711B62">
        <w:t xml:space="preserve">the accessible securities could lawfully have been offered and issued or sold, as the case may be, to the member directly without the member being </w:t>
      </w:r>
      <w:r w:rsidR="00412D0F">
        <w:t>given</w:t>
      </w:r>
      <w:r w:rsidR="00412D0F" w:rsidRPr="00711B62">
        <w:t xml:space="preserve"> </w:t>
      </w:r>
      <w:r w:rsidRPr="00711B62">
        <w:t>a disclosure document</w:t>
      </w:r>
      <w:r w:rsidR="00266139">
        <w:t xml:space="preserve">; </w:t>
      </w:r>
      <w:r w:rsidR="00781F1E">
        <w:t>or</w:t>
      </w:r>
      <w:r w:rsidR="00641005">
        <w:br/>
      </w:r>
    </w:p>
    <w:p w:rsidR="000B313E" w:rsidRDefault="00711B62" w:rsidP="000B313E">
      <w:pPr>
        <w:ind w:left="2268" w:hanging="567"/>
      </w:pPr>
      <w:r>
        <w:t>(</w:t>
      </w:r>
      <w:r w:rsidR="006D4B97">
        <w:t>b</w:t>
      </w:r>
      <w:r>
        <w:t>)</w:t>
      </w:r>
      <w:r>
        <w:tab/>
      </w:r>
      <w:proofErr w:type="gramStart"/>
      <w:r w:rsidR="00175C44">
        <w:t>in</w:t>
      </w:r>
      <w:proofErr w:type="gramEnd"/>
      <w:r w:rsidR="00175C44">
        <w:t xml:space="preserve"> the case of </w:t>
      </w:r>
      <w:r w:rsidR="003528B7">
        <w:t xml:space="preserve">an acquisition of an </w:t>
      </w:r>
      <w:r w:rsidR="00175C44">
        <w:t>accessible financial product</w:t>
      </w:r>
      <w:r w:rsidR="00476501">
        <w:t>:</w:t>
      </w:r>
    </w:p>
    <w:p w:rsidR="000B313E" w:rsidRDefault="000B313E" w:rsidP="000B313E">
      <w:pPr>
        <w:ind w:left="2268" w:hanging="567"/>
      </w:pPr>
    </w:p>
    <w:p w:rsidR="000B313E" w:rsidRDefault="00B41F7E" w:rsidP="000B313E">
      <w:pPr>
        <w:ind w:left="2268"/>
      </w:pPr>
      <w:r>
        <w:t>(</w:t>
      </w:r>
      <w:proofErr w:type="spellStart"/>
      <w:r>
        <w:t>i</w:t>
      </w:r>
      <w:proofErr w:type="spellEnd"/>
      <w:r>
        <w:t>)</w:t>
      </w:r>
      <w:r>
        <w:tab/>
      </w:r>
      <w:proofErr w:type="gramStart"/>
      <w:r w:rsidR="00FA42A5" w:rsidRPr="00FA42A5">
        <w:t>the</w:t>
      </w:r>
      <w:proofErr w:type="gramEnd"/>
      <w:r w:rsidR="00FA42A5" w:rsidRPr="00FA42A5">
        <w:t xml:space="preserve"> responsible entity </w:t>
      </w:r>
      <w:r w:rsidR="00352077">
        <w:t xml:space="preserve">is </w:t>
      </w:r>
      <w:r w:rsidR="00FA42A5" w:rsidRPr="00FA42A5">
        <w:t>reasonably s</w:t>
      </w:r>
      <w:r w:rsidR="00352077">
        <w:t>atisfied</w:t>
      </w:r>
      <w:r w:rsidR="00FA42A5" w:rsidRPr="00FA42A5">
        <w:t xml:space="preserve"> that</w:t>
      </w:r>
      <w:r w:rsidR="00175C44" w:rsidRPr="00711B62">
        <w:t>:</w:t>
      </w:r>
    </w:p>
    <w:p w:rsidR="000B313E" w:rsidRDefault="000B313E" w:rsidP="000B313E">
      <w:pPr>
        <w:ind w:left="3402" w:hanging="567"/>
      </w:pPr>
    </w:p>
    <w:p w:rsidR="000B313E" w:rsidRDefault="00B41F7E" w:rsidP="000B313E">
      <w:pPr>
        <w:pStyle w:val="Style6"/>
        <w:ind w:left="3402"/>
      </w:pPr>
      <w:r>
        <w:t>(A)</w:t>
      </w:r>
      <w:r w:rsidR="00EB73A3">
        <w:tab/>
      </w:r>
      <w:r w:rsidR="0015604D" w:rsidRPr="0015604D">
        <w:t xml:space="preserve">the member has been given a copy of the </w:t>
      </w:r>
      <w:r w:rsidR="007E11BE">
        <w:t>P</w:t>
      </w:r>
      <w:r w:rsidR="007A719C">
        <w:t xml:space="preserve">roduct </w:t>
      </w:r>
      <w:r w:rsidR="007E11BE">
        <w:t>D</w:t>
      </w:r>
      <w:r w:rsidR="007A719C">
        <w:t xml:space="preserve">isclosure </w:t>
      </w:r>
      <w:r w:rsidR="007E11BE">
        <w:t>S</w:t>
      </w:r>
      <w:r w:rsidR="007A719C">
        <w:t>tatement</w:t>
      </w:r>
      <w:r w:rsidR="0015604D" w:rsidRPr="0015604D">
        <w:t xml:space="preserve"> for the accessible </w:t>
      </w:r>
      <w:r w:rsidR="003528B7">
        <w:t>financial product</w:t>
      </w:r>
      <w:r w:rsidR="00B00A69" w:rsidRPr="0015604D">
        <w:t xml:space="preserve"> </w:t>
      </w:r>
      <w:r w:rsidR="0015604D" w:rsidRPr="0015604D">
        <w:t xml:space="preserve">that would have been required had the </w:t>
      </w:r>
      <w:r w:rsidR="003528B7">
        <w:t>financial product</w:t>
      </w:r>
      <w:r w:rsidR="00B00A69" w:rsidRPr="0015604D">
        <w:t xml:space="preserve"> </w:t>
      </w:r>
      <w:r w:rsidR="0015604D" w:rsidRPr="0015604D">
        <w:t>been offered to the member directly at the time of the acquisition</w:t>
      </w:r>
      <w:r w:rsidR="00B00A69">
        <w:t xml:space="preserve"> and the </w:t>
      </w:r>
      <w:r w:rsidR="00B00A69" w:rsidRPr="00C37650">
        <w:rPr>
          <w:lang w:val="en-US"/>
        </w:rPr>
        <w:t xml:space="preserve">responsible entity has no reason to believe the Product Disclosure Statement </w:t>
      </w:r>
      <w:r w:rsidR="00B00A69" w:rsidRPr="00B00A69">
        <w:t>is defective</w:t>
      </w:r>
      <w:r w:rsidR="00365ABC">
        <w:t xml:space="preserve"> </w:t>
      </w:r>
      <w:r w:rsidR="00B00A69" w:rsidRPr="00B00A69">
        <w:t>as if it were prepared at the time of the acquisition</w:t>
      </w:r>
      <w:r w:rsidR="0015604D" w:rsidRPr="0015604D">
        <w:t>; or</w:t>
      </w:r>
    </w:p>
    <w:p w:rsidR="000B313E" w:rsidRDefault="000B313E" w:rsidP="000B313E">
      <w:pPr>
        <w:pStyle w:val="ListParagraph"/>
        <w:ind w:left="2988"/>
      </w:pPr>
    </w:p>
    <w:p w:rsidR="000B313E" w:rsidRDefault="00B41F7E" w:rsidP="000B313E">
      <w:pPr>
        <w:pStyle w:val="Style6"/>
        <w:ind w:left="3402"/>
      </w:pPr>
      <w:r>
        <w:t>(B)</w:t>
      </w:r>
      <w:r>
        <w:tab/>
      </w:r>
      <w:r w:rsidRPr="00B41F7E">
        <w:t xml:space="preserve">the accessible financial product could lawfully have been offered and issued or sold, as the case may be, to the member directly without the member being given a Product Disclosure Statement and the responsible entity has no reason to suspect that a Product </w:t>
      </w:r>
      <w:r w:rsidRPr="00B41F7E">
        <w:lastRenderedPageBreak/>
        <w:t xml:space="preserve">Disclosure Statement would have been </w:t>
      </w:r>
      <w:proofErr w:type="gramStart"/>
      <w:r w:rsidRPr="00B41F7E">
        <w:t>required  to</w:t>
      </w:r>
      <w:proofErr w:type="gramEnd"/>
      <w:r w:rsidRPr="00B41F7E">
        <w:t xml:space="preserve"> be given to the member if all other holdings of the financial product in custodial arrangements had been held by the clients of those arrangements; or</w:t>
      </w:r>
    </w:p>
    <w:p w:rsidR="000B313E" w:rsidRDefault="000B313E" w:rsidP="000B313E">
      <w:pPr>
        <w:pStyle w:val="ListParagraph"/>
        <w:ind w:left="2988"/>
      </w:pPr>
    </w:p>
    <w:p w:rsidR="000B313E" w:rsidRDefault="00D4464F" w:rsidP="000B313E">
      <w:pPr>
        <w:pStyle w:val="ListParagraph"/>
        <w:ind w:left="4254" w:hanging="852"/>
        <w:rPr>
          <w:sz w:val="20"/>
        </w:rPr>
      </w:pPr>
      <w:r w:rsidRPr="00D4464F">
        <w:rPr>
          <w:sz w:val="20"/>
        </w:rPr>
        <w:t>Note:</w:t>
      </w:r>
      <w:r w:rsidR="008D1551">
        <w:rPr>
          <w:sz w:val="20"/>
        </w:rPr>
        <w:tab/>
      </w:r>
      <w:r w:rsidRPr="00D4464F">
        <w:rPr>
          <w:sz w:val="20"/>
        </w:rPr>
        <w:t>Under section </w:t>
      </w:r>
      <w:hyperlink r:id="rId10" w:anchor="ACT~AUS~NAT~Y.2001-50~CHP.5C~PT.5C.1~S.601ED" w:history="1">
        <w:r w:rsidR="007007A5" w:rsidRPr="007007A5">
          <w:rPr>
            <w:rStyle w:val="Hyperlink"/>
            <w:iCs/>
            <w:color w:val="auto"/>
            <w:sz w:val="20"/>
            <w:u w:val="none"/>
          </w:rPr>
          <w:t>601ED</w:t>
        </w:r>
      </w:hyperlink>
      <w:r w:rsidRPr="00476501">
        <w:rPr>
          <w:sz w:val="20"/>
        </w:rPr>
        <w:t>,</w:t>
      </w:r>
      <w:r w:rsidRPr="00D4464F">
        <w:rPr>
          <w:sz w:val="20"/>
        </w:rPr>
        <w:t xml:space="preserve"> a managed investment scheme does not generally need to be registered if it has no more than 20 members. If interests held through custodial arrangements such as IDPSs, IDPS-like schemes and NCSs had been acquired </w:t>
      </w:r>
      <w:proofErr w:type="gramStart"/>
      <w:r w:rsidRPr="00D4464F">
        <w:rPr>
          <w:sz w:val="20"/>
        </w:rPr>
        <w:t>directly,</w:t>
      </w:r>
      <w:proofErr w:type="gramEnd"/>
      <w:r w:rsidRPr="00D4464F">
        <w:rPr>
          <w:sz w:val="20"/>
        </w:rPr>
        <w:t xml:space="preserve"> the scheme may have required registration as it may have had more than 20 members.</w:t>
      </w:r>
    </w:p>
    <w:p w:rsidR="000B313E" w:rsidRDefault="000B313E" w:rsidP="000B313E">
      <w:pPr>
        <w:pStyle w:val="ListParagraph"/>
        <w:ind w:left="2988"/>
      </w:pPr>
    </w:p>
    <w:p w:rsidR="000B313E" w:rsidRDefault="00B41F7E" w:rsidP="000B313E">
      <w:pPr>
        <w:pStyle w:val="Style1"/>
        <w:ind w:left="2835"/>
      </w:pPr>
      <w:r>
        <w:t>(ii)</w:t>
      </w:r>
      <w:r>
        <w:tab/>
      </w:r>
      <w:r w:rsidR="00C37650">
        <w:t>if the member already h</w:t>
      </w:r>
      <w:r w:rsidR="003528B7">
        <w:t xml:space="preserve">olds </w:t>
      </w:r>
      <w:r w:rsidR="00D86D67">
        <w:t>an</w:t>
      </w:r>
      <w:r w:rsidR="003528B7">
        <w:t xml:space="preserve"> accessible financial product</w:t>
      </w:r>
      <w:r w:rsidR="00C37650">
        <w:t xml:space="preserve"> </w:t>
      </w:r>
      <w:r w:rsidR="00D4464F" w:rsidRPr="00D4464F">
        <w:t>of the same kind</w:t>
      </w:r>
      <w:r w:rsidR="00D86D67">
        <w:t xml:space="preserve"> </w:t>
      </w:r>
      <w:r w:rsidR="00C37650">
        <w:t xml:space="preserve">through the scheme, the </w:t>
      </w:r>
      <w:r w:rsidR="00D03B4C">
        <w:t xml:space="preserve">responsible entity has given the </w:t>
      </w:r>
      <w:r w:rsidR="003528B7">
        <w:t>member</w:t>
      </w:r>
      <w:r w:rsidR="00C37650">
        <w:t xml:space="preserve"> a Product Disclosure Statement for </w:t>
      </w:r>
      <w:r w:rsidR="00D03B4C">
        <w:t xml:space="preserve">a </w:t>
      </w:r>
      <w:r w:rsidR="003528B7">
        <w:t>financial product</w:t>
      </w:r>
      <w:r w:rsidR="00C37650">
        <w:t xml:space="preserve"> </w:t>
      </w:r>
      <w:r w:rsidR="00D03B4C">
        <w:t>of the same kind</w:t>
      </w:r>
      <w:r w:rsidR="00960642">
        <w:t xml:space="preserve"> and:</w:t>
      </w:r>
      <w:r w:rsidR="003528B7">
        <w:br/>
      </w:r>
    </w:p>
    <w:p w:rsidR="000B313E" w:rsidRDefault="00EB73A3" w:rsidP="000B313E">
      <w:pPr>
        <w:pStyle w:val="Style6"/>
        <w:ind w:left="3402"/>
      </w:pPr>
      <w:r>
        <w:t>(A)</w:t>
      </w:r>
      <w:r>
        <w:tab/>
      </w:r>
      <w:r w:rsidR="00960642">
        <w:t xml:space="preserve">the responsible entity reasonably believes </w:t>
      </w:r>
      <w:r w:rsidR="00C37650">
        <w:t xml:space="preserve"> </w:t>
      </w:r>
      <w:r w:rsidR="00960642">
        <w:t>that the member has access to, and knows that they have access to</w:t>
      </w:r>
      <w:r w:rsidR="00476501">
        <w:t>,</w:t>
      </w:r>
      <w:r w:rsidR="003528B7">
        <w:t xml:space="preserve"> a</w:t>
      </w:r>
      <w:r w:rsidR="00960642">
        <w:t xml:space="preserve"> Product Disclosure Stat</w:t>
      </w:r>
      <w:r w:rsidR="003528B7">
        <w:t>ement for the financial product</w:t>
      </w:r>
      <w:r w:rsidR="00960642">
        <w:t>; and</w:t>
      </w:r>
      <w:r w:rsidR="003528B7">
        <w:br/>
      </w:r>
    </w:p>
    <w:p w:rsidR="000B313E" w:rsidRDefault="00EB73A3" w:rsidP="000B313E">
      <w:pPr>
        <w:pStyle w:val="Style6"/>
        <w:ind w:left="3402"/>
      </w:pPr>
      <w:r>
        <w:t>(B)</w:t>
      </w:r>
      <w:r>
        <w:tab/>
      </w:r>
      <w:r w:rsidR="00960642">
        <w:t xml:space="preserve">the Product Disclosure Statement the member has access to is the most current in use or does not differ from the most current in use in a way that is materially adverse for the </w:t>
      </w:r>
      <w:r w:rsidR="003E789F">
        <w:t>member</w:t>
      </w:r>
      <w:r w:rsidR="00960642">
        <w:t>; and</w:t>
      </w:r>
      <w:r w:rsidR="003528B7">
        <w:br/>
      </w:r>
    </w:p>
    <w:p w:rsidR="000B313E" w:rsidRDefault="00EB73A3" w:rsidP="000B313E">
      <w:pPr>
        <w:pStyle w:val="Style6"/>
        <w:ind w:left="3402"/>
      </w:pPr>
      <w:r>
        <w:t>(C)</w:t>
      </w:r>
      <w:r>
        <w:tab/>
      </w:r>
      <w:r w:rsidR="00960642">
        <w:t xml:space="preserve">the </w:t>
      </w:r>
      <w:r w:rsidR="00960642" w:rsidRPr="00960642">
        <w:rPr>
          <w:lang w:val="en-US"/>
        </w:rPr>
        <w:t xml:space="preserve">responsible entity has no reason to believe the Product Disclosure Statement </w:t>
      </w:r>
      <w:r w:rsidR="00543BFC" w:rsidRPr="00543BFC">
        <w:rPr>
          <w:lang w:val="en-US"/>
        </w:rPr>
        <w:t>the member has access to</w:t>
      </w:r>
      <w:r w:rsidR="000D200B">
        <w:rPr>
          <w:lang w:val="en-US"/>
        </w:rPr>
        <w:t xml:space="preserve"> </w:t>
      </w:r>
      <w:r w:rsidR="00960642" w:rsidRPr="00960642">
        <w:t>is defective as if it were prepared at the time of the acquisition</w:t>
      </w:r>
      <w:r w:rsidR="00960642">
        <w:t xml:space="preserve">; </w:t>
      </w:r>
      <w:r w:rsidR="003528B7">
        <w:t>or</w:t>
      </w:r>
    </w:p>
    <w:p w:rsidR="000B313E" w:rsidRDefault="000B313E" w:rsidP="000B313E">
      <w:pPr>
        <w:ind w:left="567"/>
      </w:pPr>
    </w:p>
    <w:p w:rsidR="000B313E" w:rsidRDefault="004E516B" w:rsidP="000B313E">
      <w:pPr>
        <w:pStyle w:val="Style4"/>
        <w:ind w:left="2268"/>
      </w:pPr>
      <w:r>
        <w:rPr>
          <w:lang w:val="en-US"/>
        </w:rPr>
        <w:t xml:space="preserve">(c) </w:t>
      </w:r>
      <w:r w:rsidR="00EB73A3">
        <w:rPr>
          <w:lang w:val="en-US"/>
        </w:rPr>
        <w:tab/>
      </w:r>
      <w:r w:rsidR="003D3C25">
        <w:t>the</w:t>
      </w:r>
      <w:r w:rsidR="00767A12">
        <w:t xml:space="preserve"> acquisition</w:t>
      </w:r>
      <w:r w:rsidR="009508B3">
        <w:t xml:space="preserve"> is</w:t>
      </w:r>
      <w:r w:rsidR="00767A12">
        <w:t xml:space="preserve"> </w:t>
      </w:r>
      <w:r w:rsidR="00D03B4C">
        <w:t xml:space="preserve">made </w:t>
      </w:r>
      <w:r w:rsidR="00767A12" w:rsidRPr="00B016FA">
        <w:t>under a distribution reinvestment plan</w:t>
      </w:r>
      <w:r w:rsidR="00B41F7E">
        <w:t xml:space="preserve"> in relation to a member </w:t>
      </w:r>
      <w:r w:rsidR="00D03B4C">
        <w:t>and</w:t>
      </w:r>
      <w:r w:rsidR="009508B3">
        <w:t xml:space="preserve"> </w:t>
      </w:r>
      <w:r w:rsidR="00B41F7E">
        <w:t xml:space="preserve">the member already has an existing holding of </w:t>
      </w:r>
      <w:r w:rsidR="00D91B1E">
        <w:t xml:space="preserve">an </w:t>
      </w:r>
      <w:r w:rsidR="00B41F7E">
        <w:t xml:space="preserve">accessible </w:t>
      </w:r>
      <w:r w:rsidR="00FB743C">
        <w:t xml:space="preserve">financial product </w:t>
      </w:r>
      <w:r w:rsidR="00D91B1E">
        <w:t>of the same kind</w:t>
      </w:r>
      <w:r w:rsidR="00FB743C">
        <w:t xml:space="preserve"> or accessible securities in the same class</w:t>
      </w:r>
      <w:r w:rsidR="00D91B1E">
        <w:t xml:space="preserve"> </w:t>
      </w:r>
      <w:r w:rsidR="00B41F7E">
        <w:t>through the scheme</w:t>
      </w:r>
      <w:r w:rsidR="009508B3">
        <w:t>; or</w:t>
      </w:r>
    </w:p>
    <w:p w:rsidR="000B313E" w:rsidRDefault="000B313E" w:rsidP="000B313E">
      <w:pPr>
        <w:ind w:left="1701"/>
      </w:pPr>
    </w:p>
    <w:p w:rsidR="000B313E" w:rsidRDefault="00756747" w:rsidP="000B313E">
      <w:pPr>
        <w:pStyle w:val="Style4"/>
        <w:ind w:left="2268"/>
      </w:pPr>
      <w:r>
        <w:t xml:space="preserve">(d) </w:t>
      </w:r>
      <w:r w:rsidR="00EB73A3">
        <w:tab/>
      </w:r>
      <w:proofErr w:type="gramStart"/>
      <w:r w:rsidR="00EB73A3">
        <w:t>the</w:t>
      </w:r>
      <w:proofErr w:type="gramEnd"/>
      <w:r w:rsidR="00EB73A3">
        <w:t xml:space="preserve"> acquisition</w:t>
      </w:r>
      <w:r w:rsidR="009508B3">
        <w:t xml:space="preserve"> is</w:t>
      </w:r>
      <w:r w:rsidR="00EB73A3">
        <w:t xml:space="preserve"> </w:t>
      </w:r>
      <w:r w:rsidR="00D91B1E">
        <w:t>made</w:t>
      </w:r>
      <w:r w:rsidR="00EB73A3">
        <w:t xml:space="preserve"> under a </w:t>
      </w:r>
      <w:r>
        <w:t xml:space="preserve">regular saving acquisition in </w:t>
      </w:r>
      <w:r w:rsidRPr="00EB73A3">
        <w:t>relation</w:t>
      </w:r>
      <w:r>
        <w:t xml:space="preserve"> to a member</w:t>
      </w:r>
      <w:r w:rsidR="00FB743C">
        <w:t xml:space="preserve"> and</w:t>
      </w:r>
      <w:r w:rsidR="00D15296">
        <w:t>:</w:t>
      </w:r>
      <w:r>
        <w:t xml:space="preserve"> </w:t>
      </w:r>
    </w:p>
    <w:p w:rsidR="000B313E" w:rsidRDefault="000B313E" w:rsidP="000B313E">
      <w:pPr>
        <w:ind w:left="1701"/>
      </w:pPr>
    </w:p>
    <w:p w:rsidR="000B313E" w:rsidRDefault="00FB743C" w:rsidP="000B313E">
      <w:pPr>
        <w:pStyle w:val="Style5"/>
        <w:ind w:left="2835"/>
      </w:pPr>
      <w:r>
        <w:t>(</w:t>
      </w:r>
      <w:proofErr w:type="spellStart"/>
      <w:r>
        <w:t>i</w:t>
      </w:r>
      <w:proofErr w:type="spellEnd"/>
      <w:r>
        <w:t>)</w:t>
      </w:r>
      <w:r>
        <w:tab/>
      </w:r>
      <w:proofErr w:type="gramStart"/>
      <w:r w:rsidR="00756747">
        <w:t>the</w:t>
      </w:r>
      <w:proofErr w:type="gramEnd"/>
      <w:r w:rsidR="00756747">
        <w:t xml:space="preserve"> member already has an existing holding of </w:t>
      </w:r>
      <w:r>
        <w:t xml:space="preserve">an </w:t>
      </w:r>
      <w:r w:rsidR="00756747">
        <w:t xml:space="preserve">accessible </w:t>
      </w:r>
      <w:r w:rsidRPr="00FB743C">
        <w:t xml:space="preserve">financial product of the same kind </w:t>
      </w:r>
      <w:r w:rsidR="00756747">
        <w:t>through the scheme</w:t>
      </w:r>
      <w:r w:rsidR="00D15296">
        <w:t>;</w:t>
      </w:r>
      <w:r w:rsidR="00756747">
        <w:t xml:space="preserve"> and</w:t>
      </w:r>
      <w:r w:rsidR="00767A12">
        <w:t xml:space="preserve"> </w:t>
      </w:r>
    </w:p>
    <w:p w:rsidR="000B313E" w:rsidRDefault="000B313E" w:rsidP="000B313E">
      <w:pPr>
        <w:pStyle w:val="Style5"/>
        <w:ind w:left="2835"/>
      </w:pPr>
    </w:p>
    <w:p w:rsidR="000B313E" w:rsidRDefault="00D15296" w:rsidP="000B313E">
      <w:pPr>
        <w:pStyle w:val="Style5"/>
        <w:ind w:left="2835"/>
      </w:pPr>
      <w:r>
        <w:t>(ii)</w:t>
      </w:r>
      <w:r>
        <w:tab/>
      </w:r>
      <w:proofErr w:type="gramStart"/>
      <w:r w:rsidR="00767A12" w:rsidRPr="00B016FA">
        <w:t>the</w:t>
      </w:r>
      <w:proofErr w:type="gramEnd"/>
      <w:r w:rsidR="00767A12" w:rsidRPr="00B016FA">
        <w:t xml:space="preserve"> responsible entity has complied with its agreement with the member </w:t>
      </w:r>
      <w:r w:rsidR="00756747">
        <w:t xml:space="preserve">in relation to the regular savings plan </w:t>
      </w:r>
      <w:r w:rsidR="00767A12" w:rsidRPr="00B016FA">
        <w:t>to give any missing documents</w:t>
      </w:r>
      <w:r w:rsidR="00D22938">
        <w:t>.</w:t>
      </w:r>
    </w:p>
    <w:p w:rsidR="000B313E" w:rsidRDefault="000B313E" w:rsidP="000B313E">
      <w:pPr>
        <w:ind w:left="2268"/>
      </w:pPr>
    </w:p>
    <w:p w:rsidR="000B313E" w:rsidRDefault="008222D7" w:rsidP="000B313E">
      <w:pPr>
        <w:pStyle w:val="Style3"/>
        <w:ind w:left="1701"/>
      </w:pPr>
      <w:r>
        <w:rPr>
          <w:lang w:val="en-US"/>
        </w:rPr>
        <w:lastRenderedPageBreak/>
        <w:t>(</w:t>
      </w:r>
      <w:r w:rsidR="00641BBF">
        <w:rPr>
          <w:lang w:val="en-US"/>
        </w:rPr>
        <w:t>9</w:t>
      </w:r>
      <w:r w:rsidR="00B016FA">
        <w:rPr>
          <w:lang w:val="en-US"/>
        </w:rPr>
        <w:t>)</w:t>
      </w:r>
      <w:r w:rsidR="00B016FA">
        <w:rPr>
          <w:lang w:val="en-US"/>
        </w:rPr>
        <w:tab/>
      </w:r>
      <w:r w:rsidR="00FD170C" w:rsidRPr="00FD170C">
        <w:t>The responsible entity</w:t>
      </w:r>
      <w:r w:rsidR="008008C1">
        <w:t xml:space="preserve"> </w:t>
      </w:r>
      <w:r w:rsidR="006D4B97">
        <w:t xml:space="preserve">of an IDPS-like scheme </w:t>
      </w:r>
      <w:r w:rsidR="00FD170C" w:rsidRPr="00FD170C">
        <w:t xml:space="preserve">must: </w:t>
      </w:r>
    </w:p>
    <w:p w:rsidR="000B313E" w:rsidRDefault="000B313E" w:rsidP="000B313E">
      <w:pPr>
        <w:pStyle w:val="ListParagraph"/>
        <w:ind w:left="1701" w:hanging="567"/>
      </w:pPr>
    </w:p>
    <w:p w:rsidR="000B313E" w:rsidRDefault="00FD170C" w:rsidP="000B313E">
      <w:pPr>
        <w:pStyle w:val="Style4"/>
        <w:ind w:left="2268"/>
      </w:pPr>
      <w:r>
        <w:t>(</w:t>
      </w:r>
      <w:r w:rsidR="00CB1E80">
        <w:t>a</w:t>
      </w:r>
      <w:r>
        <w:t>)</w:t>
      </w:r>
      <w:r w:rsidR="00175C44">
        <w:tab/>
      </w:r>
      <w:proofErr w:type="gramStart"/>
      <w:r w:rsidRPr="00FD170C">
        <w:t>give</w:t>
      </w:r>
      <w:proofErr w:type="gramEnd"/>
      <w:r w:rsidRPr="00FD170C">
        <w:t xml:space="preserve"> to each member a </w:t>
      </w:r>
      <w:r w:rsidR="0039112D" w:rsidRPr="0039112D">
        <w:t>quarterly report</w:t>
      </w:r>
      <w:r w:rsidRPr="00FD170C">
        <w:t xml:space="preserve"> </w:t>
      </w:r>
      <w:r w:rsidR="00C67D5C">
        <w:t>complying with subsection (</w:t>
      </w:r>
      <w:r w:rsidR="00F73DFD">
        <w:t>1</w:t>
      </w:r>
      <w:r w:rsidR="00641BBF">
        <w:t>1</w:t>
      </w:r>
      <w:r w:rsidR="00C67D5C">
        <w:t xml:space="preserve">) </w:t>
      </w:r>
      <w:r w:rsidRPr="00FD170C">
        <w:t>within one month after each quarter day; or</w:t>
      </w:r>
    </w:p>
    <w:p w:rsidR="000B313E" w:rsidRDefault="000B313E" w:rsidP="000B313E">
      <w:pPr>
        <w:pStyle w:val="Style4"/>
        <w:ind w:left="2268"/>
      </w:pPr>
    </w:p>
    <w:p w:rsidR="000B313E" w:rsidRDefault="00FD170C" w:rsidP="000B313E">
      <w:pPr>
        <w:pStyle w:val="Style4"/>
        <w:ind w:left="2268"/>
      </w:pPr>
      <w:r>
        <w:t>(</w:t>
      </w:r>
      <w:r w:rsidR="00CB1E80">
        <w:t>b</w:t>
      </w:r>
      <w:r>
        <w:t>)</w:t>
      </w:r>
      <w:r w:rsidR="00797136">
        <w:tab/>
      </w:r>
      <w:proofErr w:type="gramStart"/>
      <w:r w:rsidR="00EF1A8C" w:rsidRPr="00FD170C">
        <w:t>give</w:t>
      </w:r>
      <w:proofErr w:type="gramEnd"/>
      <w:r w:rsidR="00EF1A8C" w:rsidRPr="00FD170C">
        <w:t xml:space="preserve"> electronic access to the information referred to in </w:t>
      </w:r>
      <w:r w:rsidR="006D4B97" w:rsidRPr="00FD170C">
        <w:t>sub</w:t>
      </w:r>
      <w:r w:rsidR="006D4B97">
        <w:t>section</w:t>
      </w:r>
      <w:r w:rsidR="006D4B97" w:rsidRPr="00FD170C">
        <w:t> </w:t>
      </w:r>
      <w:r w:rsidR="006D4B97">
        <w:t>(1</w:t>
      </w:r>
      <w:r w:rsidR="00641BBF">
        <w:t>2</w:t>
      </w:r>
      <w:r w:rsidR="006D4B97">
        <w:t>)</w:t>
      </w:r>
      <w:r w:rsidR="006D4B97" w:rsidRPr="00FD170C">
        <w:t xml:space="preserve"> </w:t>
      </w:r>
      <w:r w:rsidR="00EF1A8C" w:rsidRPr="00FD170C">
        <w:t xml:space="preserve">on </w:t>
      </w:r>
      <w:r w:rsidR="00EF1A8C" w:rsidRPr="00B1338F">
        <w:t xml:space="preserve">a </w:t>
      </w:r>
      <w:r w:rsidR="0039112D" w:rsidRPr="0039112D">
        <w:t xml:space="preserve">substantially </w:t>
      </w:r>
      <w:r w:rsidR="0039112D" w:rsidRPr="00107DC6">
        <w:t xml:space="preserve">continuous </w:t>
      </w:r>
      <w:r w:rsidR="00D4464F" w:rsidRPr="00D4464F">
        <w:t>basis</w:t>
      </w:r>
      <w:r w:rsidR="0030706C">
        <w:t xml:space="preserve"> </w:t>
      </w:r>
      <w:r w:rsidR="00EF1A8C" w:rsidRPr="00FD170C">
        <w:t>to members who:</w:t>
      </w:r>
    </w:p>
    <w:p w:rsidR="000B313E" w:rsidRDefault="000B313E" w:rsidP="000B313E">
      <w:pPr>
        <w:ind w:left="2268" w:hanging="567"/>
      </w:pPr>
    </w:p>
    <w:p w:rsidR="000B313E" w:rsidRDefault="00EF1A8C" w:rsidP="000B313E">
      <w:pPr>
        <w:ind w:left="2835" w:hanging="567"/>
      </w:pPr>
      <w:r>
        <w:t>(</w:t>
      </w:r>
      <w:proofErr w:type="spellStart"/>
      <w:r w:rsidR="00CB1E80">
        <w:t>i</w:t>
      </w:r>
      <w:proofErr w:type="spellEnd"/>
      <w:r>
        <w:t>)</w:t>
      </w:r>
      <w:r w:rsidR="00175C44">
        <w:tab/>
      </w:r>
      <w:proofErr w:type="gramStart"/>
      <w:r w:rsidRPr="00FD170C">
        <w:t>have</w:t>
      </w:r>
      <w:proofErr w:type="gramEnd"/>
      <w:r w:rsidRPr="00FD170C">
        <w:t xml:space="preserve"> agreed to obtain information concerning transactions and holdings through the scheme electronically in</w:t>
      </w:r>
      <w:r w:rsidR="00107DC6">
        <w:t>stead</w:t>
      </w:r>
      <w:r w:rsidRPr="00FD170C">
        <w:t xml:space="preserve"> of receiving a quarterly report; and</w:t>
      </w:r>
    </w:p>
    <w:p w:rsidR="000B313E" w:rsidRDefault="000B313E" w:rsidP="000B313E">
      <w:pPr>
        <w:ind w:left="2835" w:hanging="567"/>
      </w:pPr>
    </w:p>
    <w:p w:rsidR="000B313E" w:rsidRDefault="00EF1A8C" w:rsidP="000B313E">
      <w:pPr>
        <w:ind w:left="2835" w:hanging="567"/>
      </w:pPr>
      <w:r>
        <w:t>(</w:t>
      </w:r>
      <w:r w:rsidR="00CB1E80">
        <w:t>ii</w:t>
      </w:r>
      <w:r>
        <w:t>)</w:t>
      </w:r>
      <w:r w:rsidR="00175C44">
        <w:tab/>
      </w:r>
      <w:proofErr w:type="gramStart"/>
      <w:r w:rsidRPr="00FD170C">
        <w:t>the</w:t>
      </w:r>
      <w:proofErr w:type="gramEnd"/>
      <w:r w:rsidRPr="00FD170C">
        <w:t xml:space="preserve"> responsible entity has no reason to doubt can electronically access this information on a substantially continuous basis.</w:t>
      </w:r>
    </w:p>
    <w:p w:rsidR="000B313E" w:rsidRDefault="000B313E" w:rsidP="000B313E">
      <w:pPr>
        <w:ind w:left="2694" w:hanging="851"/>
      </w:pPr>
    </w:p>
    <w:p w:rsidR="000B313E" w:rsidRDefault="00557F85" w:rsidP="000B313E">
      <w:pPr>
        <w:ind w:left="1701" w:hanging="567"/>
      </w:pPr>
      <w:r>
        <w:t>(</w:t>
      </w:r>
      <w:r w:rsidR="00641BBF">
        <w:t>10</w:t>
      </w:r>
      <w:r>
        <w:t>)</w:t>
      </w:r>
      <w:r>
        <w:rPr>
          <w:rFonts w:ascii="Verdana" w:hAnsi="Verdana" w:cs="Arial"/>
          <w:sz w:val="16"/>
          <w:szCs w:val="16"/>
          <w:lang w:eastAsia="en-AU"/>
        </w:rPr>
        <w:tab/>
      </w:r>
      <w:r w:rsidRPr="00557F85">
        <w:t xml:space="preserve">If the responsible entity provides electronic access to information to members during a </w:t>
      </w:r>
      <w:r w:rsidR="0039112D" w:rsidRPr="0039112D">
        <w:t>quarter</w:t>
      </w:r>
      <w:r w:rsidRPr="00557F85">
        <w:t xml:space="preserve"> instead of a quarterly report</w:t>
      </w:r>
      <w:r w:rsidR="00006918" w:rsidRPr="00006918">
        <w:t xml:space="preserve"> </w:t>
      </w:r>
      <w:r w:rsidR="00006918">
        <w:t>complying with subsection (1</w:t>
      </w:r>
      <w:r w:rsidR="00641BBF">
        <w:t>1</w:t>
      </w:r>
      <w:r w:rsidR="00006918">
        <w:t>)</w:t>
      </w:r>
      <w:r w:rsidRPr="00557F85">
        <w:t xml:space="preserve">: </w:t>
      </w:r>
    </w:p>
    <w:p w:rsidR="000B313E" w:rsidRDefault="000B313E" w:rsidP="000B313E">
      <w:pPr>
        <w:ind w:left="2694" w:hanging="851"/>
      </w:pPr>
    </w:p>
    <w:p w:rsidR="000B313E" w:rsidRDefault="00557F85" w:rsidP="000B313E">
      <w:pPr>
        <w:pStyle w:val="Style4"/>
        <w:ind w:left="2268"/>
      </w:pPr>
      <w:r>
        <w:t>(</w:t>
      </w:r>
      <w:r w:rsidR="00CB1E80">
        <w:t>a</w:t>
      </w:r>
      <w:r>
        <w:t>)</w:t>
      </w:r>
      <w:r>
        <w:tab/>
      </w:r>
      <w:r w:rsidRPr="00557F85">
        <w:t xml:space="preserve">the information that was displayed at the quarter's end for the quarter that purports to be the information required under </w:t>
      </w:r>
      <w:r w:rsidR="006D4B97" w:rsidRPr="00557F85">
        <w:t>sub</w:t>
      </w:r>
      <w:r w:rsidR="006D4B97">
        <w:t>section</w:t>
      </w:r>
      <w:r w:rsidR="006D4B97" w:rsidRPr="00557F85">
        <w:t> </w:t>
      </w:r>
      <w:r w:rsidR="006D4B97">
        <w:t>(1</w:t>
      </w:r>
      <w:r w:rsidR="00236C4E">
        <w:t>2</w:t>
      </w:r>
      <w:r w:rsidR="006D4B97">
        <w:t>)</w:t>
      </w:r>
      <w:r w:rsidRPr="00557F85">
        <w:t xml:space="preserve"> must remain readily accessible to members through the same facility by which electronic access was given to the members during the quarter until the end of the financial year of the IDPS-like scheme after the financial year of the IDPS-like scheme in which the quarter day falls; and</w:t>
      </w:r>
    </w:p>
    <w:p w:rsidR="000B313E" w:rsidRDefault="000B313E" w:rsidP="000B313E">
      <w:pPr>
        <w:ind w:left="2268" w:hanging="567"/>
      </w:pPr>
    </w:p>
    <w:p w:rsidR="000B313E" w:rsidRDefault="00557F85" w:rsidP="000B313E">
      <w:pPr>
        <w:pStyle w:val="Style4"/>
        <w:ind w:left="2268"/>
      </w:pPr>
      <w:r>
        <w:t>(</w:t>
      </w:r>
      <w:r w:rsidR="00CB1E80">
        <w:t>b</w:t>
      </w:r>
      <w:r>
        <w:t>)</w:t>
      </w:r>
      <w:r>
        <w:tab/>
      </w:r>
      <w:proofErr w:type="gramStart"/>
      <w:r w:rsidRPr="00557F85">
        <w:t>the</w:t>
      </w:r>
      <w:proofErr w:type="gramEnd"/>
      <w:r w:rsidRPr="00557F85">
        <w:t xml:space="preserve"> facility on which the information remains accessible must display to members a statement to the effect that only information displayed at the quarter's end will be considered by the auditor in preparing its annual report relating to the information provided electronically.</w:t>
      </w:r>
    </w:p>
    <w:p w:rsidR="000B313E" w:rsidRDefault="000B313E" w:rsidP="000B313E">
      <w:pPr>
        <w:ind w:left="2694" w:hanging="851"/>
      </w:pPr>
    </w:p>
    <w:p w:rsidR="000B313E" w:rsidRDefault="00557F85" w:rsidP="000B313E">
      <w:pPr>
        <w:ind w:left="1701" w:hanging="567"/>
      </w:pPr>
      <w:r>
        <w:t>(</w:t>
      </w:r>
      <w:r w:rsidR="006D4B97">
        <w:t>1</w:t>
      </w:r>
      <w:r w:rsidR="00641BBF">
        <w:t>1</w:t>
      </w:r>
      <w:r w:rsidR="00E136A9">
        <w:t>)</w:t>
      </w:r>
      <w:r w:rsidR="00E136A9">
        <w:tab/>
        <w:t xml:space="preserve">The quarterly report must </w:t>
      </w:r>
      <w:r w:rsidR="00C67D5C">
        <w:t xml:space="preserve">be </w:t>
      </w:r>
      <w:r w:rsidR="00C67D5C" w:rsidRPr="007128D7">
        <w:rPr>
          <w:lang w:val="en-US"/>
        </w:rPr>
        <w:t xml:space="preserve">a written report which </w:t>
      </w:r>
      <w:r w:rsidR="00C67D5C" w:rsidRPr="007128D7">
        <w:t xml:space="preserve">contains </w:t>
      </w:r>
      <w:r w:rsidR="00070070">
        <w:t>the following information</w:t>
      </w:r>
      <w:r w:rsidR="00E136A9">
        <w:t>:</w:t>
      </w:r>
    </w:p>
    <w:p w:rsidR="000B313E" w:rsidRDefault="000B313E" w:rsidP="000B313E">
      <w:pPr>
        <w:ind w:left="2694" w:hanging="851"/>
      </w:pPr>
    </w:p>
    <w:p w:rsidR="000B313E" w:rsidRDefault="00797136" w:rsidP="000B313E">
      <w:pPr>
        <w:ind w:left="2268" w:hanging="567"/>
      </w:pPr>
      <w:r w:rsidRPr="00797136">
        <w:t>(</w:t>
      </w:r>
      <w:r w:rsidR="00CB1E80">
        <w:t>a</w:t>
      </w:r>
      <w:r w:rsidRPr="00797136">
        <w:t>)</w:t>
      </w:r>
      <w:r>
        <w:tab/>
      </w:r>
      <w:proofErr w:type="gramStart"/>
      <w:r w:rsidRPr="00797136">
        <w:t>all</w:t>
      </w:r>
      <w:proofErr w:type="gramEnd"/>
      <w:r w:rsidRPr="00797136">
        <w:t xml:space="preserve"> transactions carried out </w:t>
      </w:r>
      <w:r w:rsidR="005E0D65">
        <w:t>under</w:t>
      </w:r>
      <w:r w:rsidR="00BB7926" w:rsidRPr="00797136">
        <w:t xml:space="preserve"> </w:t>
      </w:r>
      <w:r w:rsidR="00107DC6">
        <w:t>a</w:t>
      </w:r>
      <w:r w:rsidR="00107DC6" w:rsidRPr="00797136">
        <w:t xml:space="preserve"> </w:t>
      </w:r>
      <w:r w:rsidR="00C97D87">
        <w:t>direction</w:t>
      </w:r>
      <w:r w:rsidR="00C97D87" w:rsidRPr="00797136">
        <w:t xml:space="preserve"> </w:t>
      </w:r>
      <w:r w:rsidR="00107DC6">
        <w:t>given by</w:t>
      </w:r>
      <w:r w:rsidR="00107DC6" w:rsidRPr="00797136">
        <w:t xml:space="preserve"> </w:t>
      </w:r>
      <w:r w:rsidRPr="00797136">
        <w:t>a member or on their behalf during the quarter;</w:t>
      </w:r>
      <w:r w:rsidR="00B1338F">
        <w:t xml:space="preserve"> and</w:t>
      </w:r>
    </w:p>
    <w:p w:rsidR="000B313E" w:rsidRDefault="000B313E" w:rsidP="000B313E">
      <w:pPr>
        <w:ind w:left="3402" w:hanging="708"/>
      </w:pPr>
    </w:p>
    <w:p w:rsidR="000B313E" w:rsidRDefault="00797136" w:rsidP="000B313E">
      <w:pPr>
        <w:ind w:left="2268" w:hanging="567"/>
      </w:pPr>
      <w:r w:rsidRPr="00797136">
        <w:t>(</w:t>
      </w:r>
      <w:r w:rsidR="00CB1E80">
        <w:t>b</w:t>
      </w:r>
      <w:r w:rsidRPr="00797136">
        <w:t>)</w:t>
      </w:r>
      <w:r>
        <w:tab/>
      </w:r>
      <w:proofErr w:type="gramStart"/>
      <w:r w:rsidRPr="00797136">
        <w:t>the</w:t>
      </w:r>
      <w:proofErr w:type="gramEnd"/>
      <w:r w:rsidRPr="00797136">
        <w:t xml:space="preserve"> quantity and value of assets held </w:t>
      </w:r>
      <w:r w:rsidR="00756747">
        <w:t xml:space="preserve">through </w:t>
      </w:r>
      <w:r w:rsidRPr="00797136">
        <w:t xml:space="preserve">the IDPS-like scheme </w:t>
      </w:r>
      <w:r w:rsidR="00B5661A">
        <w:t>by the member</w:t>
      </w:r>
      <w:r w:rsidRPr="00797136">
        <w:t xml:space="preserve"> and corresponding liabilities on the quarter day, the value of assets being determined as follows:</w:t>
      </w:r>
    </w:p>
    <w:p w:rsidR="000B313E" w:rsidRDefault="000B313E" w:rsidP="000B313E">
      <w:pPr>
        <w:ind w:left="3402" w:hanging="708"/>
      </w:pPr>
    </w:p>
    <w:p w:rsidR="000B313E" w:rsidRDefault="00797136" w:rsidP="000B313E">
      <w:pPr>
        <w:ind w:left="2835" w:hanging="567"/>
      </w:pPr>
      <w:r>
        <w:lastRenderedPageBreak/>
        <w:t>(</w:t>
      </w:r>
      <w:proofErr w:type="spellStart"/>
      <w:r w:rsidR="00CB1E80">
        <w:t>i</w:t>
      </w:r>
      <w:proofErr w:type="spellEnd"/>
      <w:r>
        <w:t>)</w:t>
      </w:r>
      <w:r w:rsidR="006D4B97">
        <w:tab/>
      </w:r>
      <w:r w:rsidRPr="00797136">
        <w:t>for financial assets– net market value (being the amount which could be expected to be received from the disposal of the asset in an orderly market after deducting costs expected to be incurred in realising the proceeds of such a disposal); and</w:t>
      </w:r>
      <w:r w:rsidR="006207A5">
        <w:br/>
      </w:r>
    </w:p>
    <w:p w:rsidR="000B313E" w:rsidRDefault="00797136" w:rsidP="000B313E">
      <w:pPr>
        <w:ind w:left="2835" w:hanging="567"/>
      </w:pPr>
      <w:r>
        <w:t>(</w:t>
      </w:r>
      <w:r w:rsidR="00CB1E80">
        <w:t>ii</w:t>
      </w:r>
      <w:r>
        <w:t>)</w:t>
      </w:r>
      <w:r w:rsidR="006D4B97">
        <w:tab/>
      </w:r>
      <w:proofErr w:type="gramStart"/>
      <w:r w:rsidRPr="00797136">
        <w:t>for</w:t>
      </w:r>
      <w:proofErr w:type="gramEnd"/>
      <w:r w:rsidRPr="00797136">
        <w:t xml:space="preserve"> all other assets – the value </w:t>
      </w:r>
      <w:r w:rsidR="005A26C8">
        <w:t xml:space="preserve">which would be </w:t>
      </w:r>
      <w:r w:rsidRPr="00797136">
        <w:t xml:space="preserve">shown </w:t>
      </w:r>
      <w:r w:rsidR="009D1798">
        <w:t>in the books of the scheme</w:t>
      </w:r>
      <w:r w:rsidRPr="00797136">
        <w:t xml:space="preserve">; </w:t>
      </w:r>
      <w:r w:rsidR="00B1338F">
        <w:t>and</w:t>
      </w:r>
    </w:p>
    <w:p w:rsidR="000B313E" w:rsidRDefault="000B313E" w:rsidP="000B313E">
      <w:pPr>
        <w:ind w:left="3828" w:hanging="426"/>
      </w:pPr>
    </w:p>
    <w:p w:rsidR="000B313E" w:rsidRDefault="00797136" w:rsidP="000B313E">
      <w:pPr>
        <w:ind w:left="2268" w:hanging="567"/>
      </w:pPr>
      <w:r w:rsidRPr="00797136">
        <w:t>(</w:t>
      </w:r>
      <w:r w:rsidR="00CB1E80">
        <w:t>c</w:t>
      </w:r>
      <w:r w:rsidRPr="00797136">
        <w:t>)</w:t>
      </w:r>
      <w:r>
        <w:tab/>
      </w:r>
      <w:proofErr w:type="gramStart"/>
      <w:r w:rsidRPr="00797136">
        <w:t>the</w:t>
      </w:r>
      <w:proofErr w:type="gramEnd"/>
      <w:r w:rsidRPr="00797136">
        <w:t xml:space="preserve"> revenue and expenses of the </w:t>
      </w:r>
      <w:r w:rsidR="00236C4E">
        <w:t xml:space="preserve">member in relation to the </w:t>
      </w:r>
      <w:r w:rsidRPr="00797136">
        <w:t xml:space="preserve">scheme </w:t>
      </w:r>
      <w:r w:rsidR="00756747">
        <w:t xml:space="preserve">and assets held through the scheme by the member </w:t>
      </w:r>
      <w:r w:rsidRPr="00797136">
        <w:t>during the quarter</w:t>
      </w:r>
      <w:r w:rsidR="00EB73A3">
        <w:t>.</w:t>
      </w:r>
    </w:p>
    <w:p w:rsidR="000B313E" w:rsidRDefault="000B313E" w:rsidP="000B313E">
      <w:pPr>
        <w:ind w:left="3402" w:hanging="708"/>
      </w:pPr>
    </w:p>
    <w:p w:rsidR="000B313E" w:rsidRDefault="00210857" w:rsidP="000B313E">
      <w:pPr>
        <w:ind w:left="1701" w:hanging="567"/>
      </w:pPr>
      <w:r>
        <w:t>(</w:t>
      </w:r>
      <w:r w:rsidR="00164438">
        <w:t>1</w:t>
      </w:r>
      <w:r w:rsidR="00641BBF">
        <w:t>2</w:t>
      </w:r>
      <w:r>
        <w:t>)</w:t>
      </w:r>
      <w:r w:rsidR="00CD1551">
        <w:rPr>
          <w:rFonts w:ascii="Verdana" w:hAnsi="Verdana" w:cs="Arial"/>
          <w:sz w:val="16"/>
          <w:szCs w:val="16"/>
          <w:lang w:eastAsia="en-AU"/>
        </w:rPr>
        <w:tab/>
      </w:r>
      <w:r w:rsidRPr="00210857">
        <w:t xml:space="preserve">The following information must be accessible electronically if electronic access is provided instead of quarterly reports: </w:t>
      </w:r>
    </w:p>
    <w:p w:rsidR="000B313E" w:rsidRDefault="000B313E" w:rsidP="000B313E">
      <w:pPr>
        <w:ind w:left="2694" w:hanging="851"/>
      </w:pPr>
    </w:p>
    <w:p w:rsidR="000B313E" w:rsidRDefault="00210857" w:rsidP="000B313E">
      <w:pPr>
        <w:ind w:left="2268" w:hanging="567"/>
      </w:pPr>
      <w:r w:rsidRPr="00210857">
        <w:t>(</w:t>
      </w:r>
      <w:r w:rsidR="00CB1E80">
        <w:t>a</w:t>
      </w:r>
      <w:r w:rsidRPr="00210857">
        <w:t>)</w:t>
      </w:r>
      <w:r>
        <w:tab/>
      </w:r>
      <w:r w:rsidRPr="00210857">
        <w:t xml:space="preserve">all transactions </w:t>
      </w:r>
      <w:r w:rsidR="00756747">
        <w:t xml:space="preserve">which the member has conducted through the  </w:t>
      </w:r>
      <w:r w:rsidRPr="00210857">
        <w:t>scheme for a period of at least one year (or such shorter period as they have been a member) up to a date no more than 48 hours (excluding hours on a day that is not a business day) before the time of access;</w:t>
      </w:r>
      <w:r w:rsidR="00476501">
        <w:t xml:space="preserve"> </w:t>
      </w:r>
    </w:p>
    <w:p w:rsidR="000B313E" w:rsidRDefault="000B313E" w:rsidP="000B313E">
      <w:pPr>
        <w:ind w:left="2268" w:hanging="567"/>
      </w:pPr>
    </w:p>
    <w:p w:rsidR="000B313E" w:rsidRDefault="00210857" w:rsidP="000B313E">
      <w:pPr>
        <w:ind w:left="2268" w:hanging="567"/>
      </w:pPr>
      <w:r w:rsidRPr="00210857">
        <w:t>(</w:t>
      </w:r>
      <w:r w:rsidR="00CB1E80">
        <w:t>b</w:t>
      </w:r>
      <w:r w:rsidRPr="00210857">
        <w:t>)</w:t>
      </w:r>
      <w:r>
        <w:tab/>
      </w:r>
      <w:r w:rsidRPr="00210857">
        <w:t xml:space="preserve">the quantity and value of assets </w:t>
      </w:r>
      <w:r w:rsidR="00CD1551" w:rsidRPr="00797136">
        <w:t xml:space="preserve">held </w:t>
      </w:r>
      <w:r w:rsidR="009C5725">
        <w:t xml:space="preserve">through </w:t>
      </w:r>
      <w:r w:rsidR="00CD1551" w:rsidRPr="00797136">
        <w:t xml:space="preserve">the IDPS-like scheme </w:t>
      </w:r>
      <w:r w:rsidR="00CD1551">
        <w:t>by the member</w:t>
      </w:r>
      <w:r w:rsidRPr="00210857">
        <w:t xml:space="preserve"> and corresponding liabilities at a time no more than 48 hours (excluding hours on a day that is not a business day) before the time of access, the values of the assets being determined in accordance with paragraph </w:t>
      </w:r>
      <w:r w:rsidR="00CD1551">
        <w:t>(1</w:t>
      </w:r>
      <w:r w:rsidR="00641BBF">
        <w:t>1</w:t>
      </w:r>
      <w:proofErr w:type="gramStart"/>
      <w:r w:rsidR="00CD1551">
        <w:t>)(</w:t>
      </w:r>
      <w:proofErr w:type="gramEnd"/>
      <w:r w:rsidR="00CD1551">
        <w:t>b)</w:t>
      </w:r>
      <w:r w:rsidR="00CD1551" w:rsidRPr="00210857">
        <w:t xml:space="preserve"> </w:t>
      </w:r>
      <w:r w:rsidRPr="00210857">
        <w:t>and being as current as is reasonably practicable;</w:t>
      </w:r>
      <w:r w:rsidR="00476501">
        <w:t xml:space="preserve"> </w:t>
      </w:r>
    </w:p>
    <w:p w:rsidR="000B313E" w:rsidRDefault="000B313E" w:rsidP="000B313E">
      <w:pPr>
        <w:ind w:left="2268" w:hanging="567"/>
      </w:pPr>
    </w:p>
    <w:p w:rsidR="000B313E" w:rsidRDefault="00210857" w:rsidP="000B313E">
      <w:pPr>
        <w:ind w:left="2268" w:hanging="567"/>
      </w:pPr>
      <w:r w:rsidRPr="00210857">
        <w:t>(</w:t>
      </w:r>
      <w:r w:rsidR="00CB1E80">
        <w:t>c</w:t>
      </w:r>
      <w:r w:rsidRPr="00210857">
        <w:t>)</w:t>
      </w:r>
      <w:r>
        <w:tab/>
      </w:r>
      <w:r w:rsidRPr="00210857">
        <w:t xml:space="preserve">the revenue and expenses </w:t>
      </w:r>
      <w:r w:rsidR="00CD1551" w:rsidRPr="00797136">
        <w:t xml:space="preserve">of </w:t>
      </w:r>
      <w:r w:rsidR="00CD1551">
        <w:t>the member</w:t>
      </w:r>
      <w:r w:rsidRPr="00210857">
        <w:t xml:space="preserve"> </w:t>
      </w:r>
      <w:r w:rsidR="00236C4E">
        <w:t xml:space="preserve">in relation to the scheme </w:t>
      </w:r>
      <w:r w:rsidRPr="00210857">
        <w:t xml:space="preserve">and assets held </w:t>
      </w:r>
      <w:r w:rsidR="00236C4E">
        <w:t>through the scheme by</w:t>
      </w:r>
      <w:r w:rsidRPr="00210857">
        <w:t xml:space="preserve"> the member during a period of at least one year (or such shorter period as they have been a member) up to a date no more than 48 hours (excluding hours on a day that is not a business day) before the time of access; </w:t>
      </w:r>
    </w:p>
    <w:p w:rsidR="000B313E" w:rsidRDefault="000B313E" w:rsidP="000B313E">
      <w:pPr>
        <w:ind w:left="2268" w:hanging="567"/>
      </w:pPr>
    </w:p>
    <w:p w:rsidR="000B313E" w:rsidRDefault="00210857" w:rsidP="000B313E">
      <w:pPr>
        <w:ind w:left="2268" w:hanging="567"/>
      </w:pPr>
      <w:r w:rsidRPr="00210857">
        <w:t>(</w:t>
      </w:r>
      <w:r w:rsidR="00CB1E80">
        <w:t>d</w:t>
      </w:r>
      <w:r w:rsidRPr="00210857">
        <w:t>)</w:t>
      </w:r>
      <w:r>
        <w:tab/>
      </w:r>
      <w:proofErr w:type="gramStart"/>
      <w:r w:rsidRPr="00210857">
        <w:t>the</w:t>
      </w:r>
      <w:proofErr w:type="gramEnd"/>
      <w:r w:rsidRPr="00210857">
        <w:t xml:space="preserve"> time at which the information is current.</w:t>
      </w:r>
    </w:p>
    <w:p w:rsidR="000B313E" w:rsidRDefault="000B313E" w:rsidP="000B313E">
      <w:pPr>
        <w:ind w:left="2694" w:hanging="851"/>
      </w:pPr>
    </w:p>
    <w:p w:rsidR="000B313E" w:rsidRDefault="00A30A17" w:rsidP="000B313E">
      <w:pPr>
        <w:ind w:left="1701" w:hanging="567"/>
      </w:pPr>
      <w:r>
        <w:t>(</w:t>
      </w:r>
      <w:r w:rsidR="00087A8B">
        <w:t>1</w:t>
      </w:r>
      <w:r w:rsidR="00641BBF">
        <w:t>3</w:t>
      </w:r>
      <w:r>
        <w:t>)</w:t>
      </w:r>
      <w:r>
        <w:tab/>
      </w:r>
      <w:r w:rsidRPr="00A30A17">
        <w:t xml:space="preserve">The responsible entity </w:t>
      </w:r>
      <w:r w:rsidR="00087A8B">
        <w:t xml:space="preserve">of an IDPS-like scheme </w:t>
      </w:r>
      <w:r w:rsidRPr="00A30A17">
        <w:t xml:space="preserve">must give to each member within three months of the end of each financial year of the scheme: </w:t>
      </w:r>
    </w:p>
    <w:p w:rsidR="000B313E" w:rsidRDefault="000B313E" w:rsidP="000B313E">
      <w:pPr>
        <w:ind w:left="2694" w:hanging="851"/>
      </w:pPr>
    </w:p>
    <w:p w:rsidR="000B313E" w:rsidRDefault="00A30A17" w:rsidP="000B313E">
      <w:pPr>
        <w:ind w:left="2268" w:hanging="567"/>
      </w:pPr>
      <w:r>
        <w:t>(</w:t>
      </w:r>
      <w:r w:rsidR="00CB1E80">
        <w:t>a</w:t>
      </w:r>
      <w:r>
        <w:t>)</w:t>
      </w:r>
      <w:r>
        <w:tab/>
      </w:r>
      <w:proofErr w:type="gramStart"/>
      <w:r w:rsidRPr="00A30A17">
        <w:t>an</w:t>
      </w:r>
      <w:proofErr w:type="gramEnd"/>
      <w:r w:rsidRPr="00A30A17">
        <w:t xml:space="preserve"> annual report </w:t>
      </w:r>
      <w:r w:rsidR="00236C4E">
        <w:t>(</w:t>
      </w:r>
      <w:r w:rsidR="00F50CF5" w:rsidRPr="00F50CF5">
        <w:rPr>
          <w:b/>
          <w:i/>
        </w:rPr>
        <w:t>annual investor statement</w:t>
      </w:r>
      <w:r w:rsidR="00236C4E">
        <w:t xml:space="preserve">) </w:t>
      </w:r>
      <w:r w:rsidRPr="00A30A17">
        <w:t>containing</w:t>
      </w:r>
      <w:r w:rsidR="00145588">
        <w:t>:</w:t>
      </w:r>
      <w:r w:rsidRPr="00A30A17">
        <w:t xml:space="preserve"> </w:t>
      </w:r>
    </w:p>
    <w:p w:rsidR="000B313E" w:rsidRDefault="000B313E" w:rsidP="000B313E">
      <w:pPr>
        <w:ind w:left="3402" w:hanging="708"/>
      </w:pPr>
    </w:p>
    <w:p w:rsidR="000B313E" w:rsidRDefault="00CB1E80" w:rsidP="000B313E">
      <w:pPr>
        <w:ind w:left="2835" w:hanging="567"/>
      </w:pPr>
      <w:r>
        <w:t>(</w:t>
      </w:r>
      <w:proofErr w:type="spellStart"/>
      <w:r>
        <w:t>i</w:t>
      </w:r>
      <w:proofErr w:type="spellEnd"/>
      <w:r w:rsidR="00145588">
        <w:t>)</w:t>
      </w:r>
      <w:r w:rsidR="00145588">
        <w:tab/>
      </w:r>
      <w:proofErr w:type="gramStart"/>
      <w:r w:rsidR="00A30A17" w:rsidRPr="00A30A17">
        <w:t>a</w:t>
      </w:r>
      <w:proofErr w:type="gramEnd"/>
      <w:r w:rsidR="00A30A17" w:rsidRPr="00A30A17">
        <w:t xml:space="preserve"> summary of the transactions </w:t>
      </w:r>
      <w:r w:rsidR="009C5725">
        <w:t xml:space="preserve">by or on behalf of the </w:t>
      </w:r>
      <w:r w:rsidR="00522F94">
        <w:t>member</w:t>
      </w:r>
      <w:r w:rsidR="009C5725">
        <w:t xml:space="preserve"> through the </w:t>
      </w:r>
      <w:r w:rsidR="00087A8B" w:rsidRPr="00210857">
        <w:t>scheme</w:t>
      </w:r>
      <w:r w:rsidR="00A30A17" w:rsidRPr="00A30A17">
        <w:t xml:space="preserve"> during the financial year </w:t>
      </w:r>
      <w:r w:rsidR="00A30A17" w:rsidRPr="00A30A17">
        <w:lastRenderedPageBreak/>
        <w:t xml:space="preserve">containing the particulars that a </w:t>
      </w:r>
      <w:r w:rsidR="00522F94">
        <w:t>member</w:t>
      </w:r>
      <w:r w:rsidR="00522F94" w:rsidRPr="00A30A17">
        <w:t xml:space="preserve"> </w:t>
      </w:r>
      <w:r w:rsidR="00A30A17" w:rsidRPr="00A30A17">
        <w:t>may reasonably require in relation to the transactions</w:t>
      </w:r>
      <w:r w:rsidR="00087A8B">
        <w:t>;</w:t>
      </w:r>
      <w:r w:rsidR="009C5725">
        <w:t xml:space="preserve"> and</w:t>
      </w:r>
    </w:p>
    <w:p w:rsidR="000B313E" w:rsidRDefault="000B313E" w:rsidP="000B313E">
      <w:pPr>
        <w:ind w:left="2835" w:hanging="567"/>
      </w:pPr>
    </w:p>
    <w:p w:rsidR="000B313E" w:rsidRDefault="00087A8B" w:rsidP="000B313E">
      <w:pPr>
        <w:ind w:left="2835" w:hanging="567"/>
      </w:pPr>
      <w:r>
        <w:t>(ii)</w:t>
      </w:r>
      <w:r>
        <w:tab/>
      </w:r>
      <w:proofErr w:type="gramStart"/>
      <w:r w:rsidR="00A30A17" w:rsidRPr="00A30A17">
        <w:t>for</w:t>
      </w:r>
      <w:proofErr w:type="gramEnd"/>
      <w:r w:rsidR="00A30A17" w:rsidRPr="00A30A17">
        <w:t xml:space="preserve"> each </w:t>
      </w:r>
      <w:r w:rsidR="00522F94">
        <w:t>member</w:t>
      </w:r>
      <w:r w:rsidR="00522F94" w:rsidRPr="00A30A17">
        <w:t xml:space="preserve"> </w:t>
      </w:r>
      <w:r w:rsidR="00A30A17" w:rsidRPr="00A30A17">
        <w:t>who has been provided with quarterly reports under paragraph </w:t>
      </w:r>
      <w:r>
        <w:t>(</w:t>
      </w:r>
      <w:r w:rsidR="003E789F">
        <w:t>9</w:t>
      </w:r>
      <w:r>
        <w:t>)(a)</w:t>
      </w:r>
      <w:r w:rsidRPr="00A30A17">
        <w:t xml:space="preserve"> </w:t>
      </w:r>
      <w:r w:rsidR="00A30A17" w:rsidRPr="00A30A17">
        <w:t xml:space="preserve">a statement that the </w:t>
      </w:r>
      <w:r>
        <w:t>member</w:t>
      </w:r>
      <w:r w:rsidRPr="00A30A17">
        <w:t xml:space="preserve"> </w:t>
      </w:r>
      <w:r w:rsidR="00A30A17" w:rsidRPr="00A30A17">
        <w:t xml:space="preserve">may request a copy of any quarterly report relating to the financial year for the </w:t>
      </w:r>
      <w:r>
        <w:t>member</w:t>
      </w:r>
      <w:r w:rsidR="00A30A17" w:rsidRPr="00A30A17">
        <w:t>; and</w:t>
      </w:r>
    </w:p>
    <w:p w:rsidR="000B313E" w:rsidRDefault="000B313E" w:rsidP="000B313E">
      <w:pPr>
        <w:ind w:left="2835" w:hanging="567"/>
      </w:pPr>
    </w:p>
    <w:p w:rsidR="000B313E" w:rsidRDefault="00A30A17" w:rsidP="000B313E">
      <w:pPr>
        <w:ind w:left="2268" w:hanging="567"/>
      </w:pPr>
      <w:r>
        <w:t>(</w:t>
      </w:r>
      <w:r w:rsidR="00CB1E80">
        <w:t>b</w:t>
      </w:r>
      <w:r>
        <w:t>)</w:t>
      </w:r>
      <w:r>
        <w:tab/>
      </w:r>
      <w:proofErr w:type="gramStart"/>
      <w:r w:rsidRPr="00A30A17">
        <w:t>a</w:t>
      </w:r>
      <w:proofErr w:type="gramEnd"/>
      <w:r w:rsidRPr="00A30A17">
        <w:t xml:space="preserve"> copy of the annual report or reports for the relevant</w:t>
      </w:r>
      <w:r w:rsidR="00B35CFD">
        <w:t xml:space="preserve"> financial year of the</w:t>
      </w:r>
      <w:r w:rsidRPr="00A30A17">
        <w:t xml:space="preserve"> </w:t>
      </w:r>
      <w:r w:rsidR="00B35CFD" w:rsidRPr="00B1338F">
        <w:t>scheme</w:t>
      </w:r>
      <w:r w:rsidRPr="00A30A17">
        <w:t xml:space="preserve"> prepared by a registered company auditor under </w:t>
      </w:r>
      <w:r w:rsidR="00087A8B">
        <w:t>subsection</w:t>
      </w:r>
      <w:r w:rsidR="00087A8B" w:rsidRPr="00A30A17">
        <w:t> </w:t>
      </w:r>
      <w:r w:rsidR="00087A8B">
        <w:t>(1</w:t>
      </w:r>
      <w:r w:rsidR="00641BBF">
        <w:t>4</w:t>
      </w:r>
      <w:r w:rsidR="00087A8B">
        <w:t>)</w:t>
      </w:r>
      <w:r w:rsidRPr="00A30A17">
        <w:t>.</w:t>
      </w:r>
    </w:p>
    <w:p w:rsidR="000B313E" w:rsidRDefault="000B313E" w:rsidP="000B313E">
      <w:pPr>
        <w:ind w:left="3402" w:hanging="708"/>
      </w:pPr>
    </w:p>
    <w:p w:rsidR="000B313E" w:rsidRDefault="00FF196B" w:rsidP="000B313E">
      <w:pPr>
        <w:ind w:left="1701" w:hanging="567"/>
      </w:pPr>
      <w:r>
        <w:t>(</w:t>
      </w:r>
      <w:r w:rsidR="00164438">
        <w:t>1</w:t>
      </w:r>
      <w:r w:rsidR="00641BBF">
        <w:t>4</w:t>
      </w:r>
      <w:r>
        <w:t>)</w:t>
      </w:r>
      <w:r>
        <w:tab/>
      </w:r>
      <w:r w:rsidRPr="00FF196B">
        <w:t>The responsible entity</w:t>
      </w:r>
      <w:r w:rsidR="00087A8B">
        <w:t xml:space="preserve"> of an IDPS-like scheme</w:t>
      </w:r>
      <w:r w:rsidRPr="00FF196B">
        <w:t xml:space="preserve"> must after the end of each financial year of the scheme </w:t>
      </w:r>
      <w:proofErr w:type="gramStart"/>
      <w:r w:rsidRPr="00FF196B">
        <w:t>cause</w:t>
      </w:r>
      <w:proofErr w:type="gramEnd"/>
      <w:r w:rsidRPr="00FF196B">
        <w:t xml:space="preserve"> a registered company auditor to provide one or more annual reports that set out each of the following opinions or statements: </w:t>
      </w:r>
    </w:p>
    <w:p w:rsidR="000B313E" w:rsidRDefault="000B313E" w:rsidP="000B313E">
      <w:pPr>
        <w:ind w:left="2694" w:hanging="851"/>
      </w:pPr>
    </w:p>
    <w:p w:rsidR="000B313E" w:rsidRDefault="00FF196B" w:rsidP="000B313E">
      <w:pPr>
        <w:ind w:left="2268" w:hanging="567"/>
      </w:pPr>
      <w:r w:rsidRPr="00FF196B">
        <w:t>(</w:t>
      </w:r>
      <w:r w:rsidR="00CB1E80">
        <w:t>a</w:t>
      </w:r>
      <w:r w:rsidRPr="00FF196B">
        <w:t>)</w:t>
      </w:r>
      <w:r>
        <w:tab/>
      </w:r>
      <w:r w:rsidRPr="00FF196B">
        <w:t xml:space="preserve">the auditor's opinion as to whether </w:t>
      </w:r>
      <w:r w:rsidR="009A36A5">
        <w:t xml:space="preserve">the </w:t>
      </w:r>
      <w:r w:rsidRPr="00FF196B">
        <w:t>internal controls and other procedures of the responsible entity, each custodian and any other relevant person acting on behalf of the responsible entity were suitably designed and operated effectively in all material respects to ensure that:</w:t>
      </w:r>
    </w:p>
    <w:p w:rsidR="000B313E" w:rsidRDefault="000B313E" w:rsidP="000B313E">
      <w:pPr>
        <w:ind w:left="3402" w:hanging="708"/>
      </w:pPr>
    </w:p>
    <w:p w:rsidR="000B313E" w:rsidRDefault="00FF196B" w:rsidP="000B313E">
      <w:pPr>
        <w:ind w:left="2835" w:hanging="567"/>
      </w:pPr>
      <w:r w:rsidRPr="00FF196B">
        <w:t>(</w:t>
      </w:r>
      <w:proofErr w:type="spellStart"/>
      <w:r w:rsidR="00CB1E80">
        <w:t>i</w:t>
      </w:r>
      <w:proofErr w:type="spellEnd"/>
      <w:r w:rsidRPr="00FF196B">
        <w:t>)</w:t>
      </w:r>
      <w:r w:rsidR="00087A8B">
        <w:tab/>
      </w:r>
      <w:proofErr w:type="gramStart"/>
      <w:r w:rsidR="009A36A5">
        <w:t>the</w:t>
      </w:r>
      <w:proofErr w:type="gramEnd"/>
      <w:r w:rsidR="009A36A5">
        <w:t xml:space="preserve"> annual investor statement</w:t>
      </w:r>
      <w:r w:rsidR="00087A8B">
        <w:t xml:space="preserve"> </w:t>
      </w:r>
      <w:r w:rsidRPr="00FF196B">
        <w:t xml:space="preserve">for the relevant financial year of the scheme </w:t>
      </w:r>
      <w:r w:rsidR="00522F94">
        <w:t>is</w:t>
      </w:r>
      <w:r w:rsidR="00522F94" w:rsidRPr="00FF196B">
        <w:t xml:space="preserve"> </w:t>
      </w:r>
      <w:r w:rsidRPr="00FF196B">
        <w:t>or ha</w:t>
      </w:r>
      <w:r w:rsidR="00522F94">
        <w:t>s</w:t>
      </w:r>
      <w:r w:rsidRPr="00FF196B">
        <w:t xml:space="preserve"> been given to members without material misstatements; and</w:t>
      </w:r>
    </w:p>
    <w:p w:rsidR="000B313E" w:rsidRDefault="000B313E" w:rsidP="000B313E">
      <w:pPr>
        <w:ind w:left="2835" w:hanging="567"/>
      </w:pPr>
    </w:p>
    <w:p w:rsidR="000B313E" w:rsidRDefault="00FF196B" w:rsidP="000B313E">
      <w:pPr>
        <w:ind w:left="2835" w:hanging="567"/>
      </w:pPr>
      <w:r w:rsidRPr="00FF196B">
        <w:t>(</w:t>
      </w:r>
      <w:r w:rsidR="00CB1E80">
        <w:t>ii</w:t>
      </w:r>
      <w:r w:rsidRPr="00FF196B">
        <w:t>)</w:t>
      </w:r>
      <w:r w:rsidR="00087A8B">
        <w:tab/>
      </w:r>
      <w:proofErr w:type="gramStart"/>
      <w:r w:rsidRPr="00FF196B">
        <w:t>where</w:t>
      </w:r>
      <w:proofErr w:type="gramEnd"/>
      <w:r w:rsidRPr="00FF196B">
        <w:t xml:space="preserve"> the </w:t>
      </w:r>
      <w:r w:rsidR="009A36A5" w:rsidRPr="009A36A5">
        <w:t xml:space="preserve">annual investor statement </w:t>
      </w:r>
      <w:r w:rsidRPr="00FF196B">
        <w:t>do</w:t>
      </w:r>
      <w:r w:rsidR="00522F94">
        <w:t>es</w:t>
      </w:r>
      <w:r w:rsidRPr="00FF196B">
        <w:t xml:space="preserve"> not purport to include particulars of each transaction that would be required in quarterly reports for each quarter during the financial year of the scheme:</w:t>
      </w:r>
    </w:p>
    <w:p w:rsidR="000B313E" w:rsidRDefault="000B313E" w:rsidP="000B313E">
      <w:pPr>
        <w:ind w:left="3828" w:hanging="426"/>
      </w:pPr>
    </w:p>
    <w:p w:rsidR="000B313E" w:rsidRDefault="00FF196B" w:rsidP="000B313E">
      <w:pPr>
        <w:ind w:left="3402" w:hanging="567"/>
      </w:pPr>
      <w:r w:rsidRPr="00FF196B">
        <w:t>(</w:t>
      </w:r>
      <w:r w:rsidR="00CB1E80">
        <w:t>A</w:t>
      </w:r>
      <w:r w:rsidRPr="00FF196B">
        <w:t>)</w:t>
      </w:r>
      <w:r w:rsidR="00087A8B">
        <w:tab/>
      </w:r>
      <w:proofErr w:type="gramStart"/>
      <w:r w:rsidRPr="00FF196B">
        <w:t>any</w:t>
      </w:r>
      <w:proofErr w:type="gramEnd"/>
      <w:r w:rsidRPr="00FF196B">
        <w:t xml:space="preserve"> quarterly reports, are or have been given to members without material misstatements; and</w:t>
      </w:r>
    </w:p>
    <w:p w:rsidR="000B313E" w:rsidRDefault="000B313E" w:rsidP="000B313E">
      <w:pPr>
        <w:ind w:left="3402" w:hanging="567"/>
      </w:pPr>
    </w:p>
    <w:p w:rsidR="000B313E" w:rsidRDefault="00FF196B" w:rsidP="000B313E">
      <w:pPr>
        <w:ind w:left="3402" w:hanging="567"/>
      </w:pPr>
      <w:r>
        <w:t>(</w:t>
      </w:r>
      <w:r w:rsidR="00CB1E80">
        <w:t>B</w:t>
      </w:r>
      <w:r>
        <w:t>)</w:t>
      </w:r>
      <w:r w:rsidR="00087A8B">
        <w:tab/>
      </w:r>
      <w:proofErr w:type="gramStart"/>
      <w:r w:rsidRPr="00FF196B">
        <w:t>any</w:t>
      </w:r>
      <w:proofErr w:type="gramEnd"/>
      <w:r w:rsidRPr="00FF196B">
        <w:t xml:space="preserve"> information that is made accessible electronically under </w:t>
      </w:r>
      <w:r w:rsidR="00641BBF">
        <w:t>paragraph</w:t>
      </w:r>
      <w:r w:rsidR="00641BBF" w:rsidRPr="00FF196B">
        <w:t> </w:t>
      </w:r>
      <w:r w:rsidR="00087A8B">
        <w:t>(</w:t>
      </w:r>
      <w:r w:rsidR="00641BBF">
        <w:t>9</w:t>
      </w:r>
      <w:r w:rsidR="00087A8B">
        <w:t>)</w:t>
      </w:r>
      <w:r w:rsidR="00641BBF">
        <w:t>(b)</w:t>
      </w:r>
      <w:r w:rsidR="00087A8B" w:rsidRPr="00FF196B">
        <w:t xml:space="preserve"> </w:t>
      </w:r>
      <w:r w:rsidRPr="00FF196B">
        <w:t>in respect of the financial year is not materially misstated at each quarter's end in the financial year;</w:t>
      </w:r>
      <w:r w:rsidR="00522F94">
        <w:t xml:space="preserve"> and</w:t>
      </w:r>
    </w:p>
    <w:p w:rsidR="000B313E" w:rsidRDefault="000B313E" w:rsidP="000B313E">
      <w:pPr>
        <w:ind w:left="2694" w:hanging="851"/>
      </w:pPr>
    </w:p>
    <w:p w:rsidR="000B313E" w:rsidRDefault="007B08E7" w:rsidP="000B313E">
      <w:pPr>
        <w:ind w:left="2268" w:hanging="567"/>
      </w:pPr>
      <w:r>
        <w:t>(</w:t>
      </w:r>
      <w:r w:rsidR="00CB1E80">
        <w:t>b</w:t>
      </w:r>
      <w:r>
        <w:t>)</w:t>
      </w:r>
      <w:r>
        <w:tab/>
      </w:r>
      <w:r w:rsidRPr="007B08E7">
        <w:t xml:space="preserve">the auditor's opinion as to whether the aggregates of assets (other than assets held by a </w:t>
      </w:r>
      <w:r w:rsidR="00522F94">
        <w:t>member</w:t>
      </w:r>
      <w:r w:rsidRPr="007B08E7">
        <w:t xml:space="preserve">), liabilities, revenue and expenses shown in the </w:t>
      </w:r>
      <w:r w:rsidR="009A36A5" w:rsidRPr="009A36A5">
        <w:t xml:space="preserve">annual investor statement </w:t>
      </w:r>
      <w:r w:rsidRPr="007B08E7">
        <w:t xml:space="preserve">for the </w:t>
      </w:r>
      <w:r w:rsidR="00B35CFD">
        <w:t xml:space="preserve">financial year of the </w:t>
      </w:r>
      <w:r w:rsidRPr="007B08E7">
        <w:t>scheme have been properly reconciled in all material respects to the corresponding amounts shown in the reports prepared by the</w:t>
      </w:r>
      <w:r w:rsidR="00FA24E8">
        <w:t xml:space="preserve"> custodian</w:t>
      </w:r>
      <w:r w:rsidR="00EB73A3">
        <w:t xml:space="preserve"> </w:t>
      </w:r>
      <w:r w:rsidRPr="007B08E7">
        <w:t>and which have been independently audited; and</w:t>
      </w:r>
    </w:p>
    <w:p w:rsidR="000B313E" w:rsidRDefault="000B313E" w:rsidP="000B313E">
      <w:pPr>
        <w:ind w:left="2268" w:hanging="567"/>
      </w:pPr>
    </w:p>
    <w:p w:rsidR="000B313E" w:rsidRDefault="007B08E7" w:rsidP="000B313E">
      <w:pPr>
        <w:ind w:left="2268" w:hanging="567"/>
      </w:pPr>
      <w:r>
        <w:t>(</w:t>
      </w:r>
      <w:r w:rsidR="00CB1E80">
        <w:t>c</w:t>
      </w:r>
      <w:r>
        <w:t>)</w:t>
      </w:r>
      <w:r>
        <w:tab/>
      </w:r>
      <w:proofErr w:type="gramStart"/>
      <w:r w:rsidRPr="007B08E7">
        <w:t>the</w:t>
      </w:r>
      <w:proofErr w:type="gramEnd"/>
      <w:r w:rsidRPr="007B08E7">
        <w:t xml:space="preserve"> auditor's statement as to whether or not the auditor has any reason to believe that:</w:t>
      </w:r>
    </w:p>
    <w:p w:rsidR="000B313E" w:rsidRDefault="000B313E" w:rsidP="000B313E">
      <w:pPr>
        <w:ind w:left="3544" w:hanging="850"/>
      </w:pPr>
    </w:p>
    <w:p w:rsidR="000B313E" w:rsidRDefault="007B08E7" w:rsidP="000B313E">
      <w:pPr>
        <w:ind w:left="2835" w:hanging="567"/>
      </w:pPr>
      <w:r>
        <w:t>(</w:t>
      </w:r>
      <w:proofErr w:type="spellStart"/>
      <w:r w:rsidR="00CB1E80">
        <w:t>i</w:t>
      </w:r>
      <w:proofErr w:type="spellEnd"/>
      <w:r>
        <w:t>)</w:t>
      </w:r>
      <w:r>
        <w:tab/>
      </w:r>
      <w:proofErr w:type="gramStart"/>
      <w:r w:rsidRPr="007B08E7">
        <w:t>any</w:t>
      </w:r>
      <w:proofErr w:type="gramEnd"/>
      <w:r w:rsidRPr="007B08E7">
        <w:t xml:space="preserve"> </w:t>
      </w:r>
      <w:r w:rsidR="009A36A5" w:rsidRPr="009A36A5">
        <w:t xml:space="preserve">annual investor statement </w:t>
      </w:r>
      <w:r w:rsidRPr="007B08E7">
        <w:t>for the relevant financial year of the scheme given to any member is materially misstated; and</w:t>
      </w:r>
    </w:p>
    <w:p w:rsidR="000B313E" w:rsidRDefault="000B313E" w:rsidP="000B313E">
      <w:pPr>
        <w:ind w:left="2835" w:hanging="567"/>
      </w:pPr>
    </w:p>
    <w:p w:rsidR="000B313E" w:rsidRDefault="007B08E7" w:rsidP="000B313E">
      <w:pPr>
        <w:ind w:left="2835" w:hanging="567"/>
      </w:pPr>
      <w:r>
        <w:t>(</w:t>
      </w:r>
      <w:r w:rsidR="00CB1E80">
        <w:t>ii</w:t>
      </w:r>
      <w:r>
        <w:t>)</w:t>
      </w:r>
      <w:r>
        <w:tab/>
      </w:r>
      <w:proofErr w:type="gramStart"/>
      <w:r w:rsidRPr="007B08E7">
        <w:t>if</w:t>
      </w:r>
      <w:proofErr w:type="gramEnd"/>
      <w:r w:rsidRPr="007B08E7">
        <w:t xml:space="preserve"> the </w:t>
      </w:r>
      <w:r w:rsidR="009A36A5" w:rsidRPr="009A36A5">
        <w:t xml:space="preserve">annual investor statement </w:t>
      </w:r>
      <w:r w:rsidRPr="007B08E7">
        <w:t>do</w:t>
      </w:r>
      <w:r w:rsidR="009A36A5">
        <w:t>es</w:t>
      </w:r>
      <w:r w:rsidRPr="007B08E7">
        <w:t xml:space="preserve"> not generally purport to include particulars of each transaction that would be required in quarterly reports for each quarter during the financial year:</w:t>
      </w:r>
    </w:p>
    <w:p w:rsidR="000B313E" w:rsidRDefault="000B313E" w:rsidP="000B313E">
      <w:pPr>
        <w:ind w:left="4111" w:hanging="567"/>
      </w:pPr>
    </w:p>
    <w:p w:rsidR="000B313E" w:rsidRDefault="00FE33C9" w:rsidP="000B313E">
      <w:pPr>
        <w:ind w:left="3402" w:hanging="567"/>
      </w:pPr>
      <w:r>
        <w:t>(</w:t>
      </w:r>
      <w:r w:rsidR="00CB1E80">
        <w:t>A</w:t>
      </w:r>
      <w:r>
        <w:t>)</w:t>
      </w:r>
      <w:r>
        <w:tab/>
      </w:r>
      <w:proofErr w:type="gramStart"/>
      <w:r w:rsidRPr="00FE33C9">
        <w:t>any</w:t>
      </w:r>
      <w:proofErr w:type="gramEnd"/>
      <w:r w:rsidRPr="00FE33C9">
        <w:t xml:space="preserve"> quarterly reports given for the financial year are materially misstated; and</w:t>
      </w:r>
    </w:p>
    <w:p w:rsidR="000B313E" w:rsidRDefault="000B313E" w:rsidP="000B313E">
      <w:pPr>
        <w:ind w:left="3402" w:hanging="567"/>
      </w:pPr>
    </w:p>
    <w:p w:rsidR="000B313E" w:rsidRDefault="00FE33C9" w:rsidP="000B313E">
      <w:pPr>
        <w:ind w:left="3402" w:hanging="567"/>
      </w:pPr>
      <w:r>
        <w:t>(</w:t>
      </w:r>
      <w:r w:rsidR="00CB1E80">
        <w:t>B</w:t>
      </w:r>
      <w:r>
        <w:t>)</w:t>
      </w:r>
      <w:r>
        <w:tab/>
      </w:r>
      <w:r w:rsidRPr="00FE33C9">
        <w:t xml:space="preserve">any information accessible electronically by members under </w:t>
      </w:r>
      <w:r w:rsidR="00393C66">
        <w:t>paragraph</w:t>
      </w:r>
      <w:r w:rsidR="00393C66" w:rsidRPr="00FE33C9">
        <w:t> </w:t>
      </w:r>
      <w:r w:rsidR="0072177A">
        <w:t>(</w:t>
      </w:r>
      <w:r w:rsidR="00393C66">
        <w:t>9</w:t>
      </w:r>
      <w:r w:rsidR="0072177A">
        <w:t>)</w:t>
      </w:r>
      <w:r w:rsidR="00393C66">
        <w:t>(b)</w:t>
      </w:r>
      <w:r w:rsidR="0072177A" w:rsidRPr="00FE33C9">
        <w:t xml:space="preserve"> </w:t>
      </w:r>
      <w:r w:rsidRPr="00FE33C9">
        <w:t>that relates to</w:t>
      </w:r>
      <w:r w:rsidR="0072177A" w:rsidRPr="0072177A">
        <w:t xml:space="preserve"> </w:t>
      </w:r>
      <w:r w:rsidR="0072177A" w:rsidRPr="00FE33C9">
        <w:t>transactions during the financial year</w:t>
      </w:r>
      <w:r w:rsidR="0072177A">
        <w:t xml:space="preserve">, </w:t>
      </w:r>
      <w:r w:rsidR="0072177A" w:rsidRPr="00FE33C9">
        <w:t>assets held during the financial year and any corresponding liabilitie</w:t>
      </w:r>
      <w:r w:rsidR="0072177A">
        <w:t>s or</w:t>
      </w:r>
      <w:r w:rsidRPr="00FE33C9">
        <w:t xml:space="preserve"> </w:t>
      </w:r>
      <w:r w:rsidR="0072177A" w:rsidRPr="00FE33C9">
        <w:t xml:space="preserve">revenue and expenses for the financial year </w:t>
      </w:r>
      <w:r w:rsidRPr="00FE33C9">
        <w:t>was materially misstated at each quarter's end during the financial year</w:t>
      </w:r>
      <w:r w:rsidR="009A36A5">
        <w:t>;</w:t>
      </w:r>
    </w:p>
    <w:p w:rsidR="000B313E" w:rsidRDefault="000B313E" w:rsidP="000B313E">
      <w:pPr>
        <w:ind w:left="4536"/>
      </w:pPr>
    </w:p>
    <w:p w:rsidR="000B313E" w:rsidRDefault="00FE33C9" w:rsidP="000B313E">
      <w:pPr>
        <w:ind w:left="1701"/>
      </w:pPr>
      <w:proofErr w:type="gramStart"/>
      <w:r w:rsidRPr="00FE33C9">
        <w:t>and</w:t>
      </w:r>
      <w:proofErr w:type="gramEnd"/>
      <w:r w:rsidRPr="00FE33C9">
        <w:t xml:space="preserve"> no such report may contain any statement that has or purports to have the effect of excluding or disclaiming liability to members of the scheme as users of the report</w:t>
      </w:r>
      <w:r w:rsidR="00006918">
        <w:t>.</w:t>
      </w:r>
    </w:p>
    <w:p w:rsidR="000B313E" w:rsidRDefault="000B313E" w:rsidP="000B313E">
      <w:pPr>
        <w:ind w:left="567"/>
      </w:pPr>
    </w:p>
    <w:p w:rsidR="000B313E" w:rsidRDefault="00FD4348" w:rsidP="000B313E">
      <w:pPr>
        <w:ind w:left="1701" w:hanging="567"/>
      </w:pPr>
      <w:r>
        <w:rPr>
          <w:lang w:val="en-US"/>
        </w:rPr>
        <w:t>(</w:t>
      </w:r>
      <w:r w:rsidR="0006267B">
        <w:rPr>
          <w:lang w:val="en-US"/>
        </w:rPr>
        <w:t>1</w:t>
      </w:r>
      <w:r w:rsidR="00393C66">
        <w:rPr>
          <w:lang w:val="en-US"/>
        </w:rPr>
        <w:t>5</w:t>
      </w:r>
      <w:r w:rsidR="00164438">
        <w:rPr>
          <w:lang w:val="en-US"/>
        </w:rPr>
        <w:t>)</w:t>
      </w:r>
      <w:r w:rsidR="00164438">
        <w:rPr>
          <w:lang w:val="en-US"/>
        </w:rPr>
        <w:tab/>
      </w:r>
      <w:r w:rsidR="000F1F19">
        <w:t xml:space="preserve">A </w:t>
      </w:r>
      <w:r w:rsidR="00245D5D">
        <w:t xml:space="preserve">document </w:t>
      </w:r>
      <w:r w:rsidR="000F1F19">
        <w:t>is given to a person</w:t>
      </w:r>
      <w:r w:rsidR="0006267B">
        <w:t xml:space="preserve"> for the purpose</w:t>
      </w:r>
      <w:r w:rsidR="006432E1">
        <w:t>s</w:t>
      </w:r>
      <w:r w:rsidR="0006267B">
        <w:t xml:space="preserve"> of this section</w:t>
      </w:r>
      <w:r w:rsidR="000F1F19">
        <w:t>:</w:t>
      </w:r>
    </w:p>
    <w:p w:rsidR="000B313E" w:rsidRDefault="000B313E" w:rsidP="000B313E">
      <w:pPr>
        <w:ind w:left="1985" w:hanging="709"/>
      </w:pPr>
    </w:p>
    <w:p w:rsidR="000B313E" w:rsidRDefault="00CB1E80" w:rsidP="000B313E">
      <w:pPr>
        <w:ind w:left="2268" w:hanging="567"/>
      </w:pPr>
      <w:r>
        <w:t>(a</w:t>
      </w:r>
      <w:r w:rsidR="000F1F19" w:rsidRPr="000F1F19">
        <w:t>)</w:t>
      </w:r>
      <w:r w:rsidR="000F1F19" w:rsidRPr="000F1F19">
        <w:tab/>
      </w:r>
      <w:proofErr w:type="gramStart"/>
      <w:r w:rsidR="0006267B">
        <w:t>w</w:t>
      </w:r>
      <w:r w:rsidR="000F1F19" w:rsidRPr="000F1F19">
        <w:t>hen</w:t>
      </w:r>
      <w:proofErr w:type="gramEnd"/>
      <w:r w:rsidR="000F1F19" w:rsidRPr="000F1F19">
        <w:t xml:space="preserve"> it is received in accessible form by that person or their </w:t>
      </w:r>
      <w:r w:rsidR="00373735">
        <w:t xml:space="preserve">eligible </w:t>
      </w:r>
      <w:r w:rsidR="000F1F19" w:rsidRPr="000F1F19">
        <w:t>agent</w:t>
      </w:r>
      <w:r w:rsidR="00E652BC">
        <w:t xml:space="preserve">; </w:t>
      </w:r>
      <w:r w:rsidR="00B1338F">
        <w:t>or</w:t>
      </w:r>
    </w:p>
    <w:p w:rsidR="000B313E" w:rsidRDefault="000B313E" w:rsidP="000B313E">
      <w:pPr>
        <w:ind w:left="1985" w:hanging="709"/>
      </w:pPr>
    </w:p>
    <w:p w:rsidR="000B313E" w:rsidRDefault="00CB1E80" w:rsidP="000B313E">
      <w:pPr>
        <w:ind w:left="2268" w:hanging="567"/>
      </w:pPr>
      <w:r>
        <w:t>(b</w:t>
      </w:r>
      <w:r w:rsidR="000F1F19" w:rsidRPr="000F1F19">
        <w:t>)</w:t>
      </w:r>
      <w:r w:rsidR="000F1F19">
        <w:tab/>
      </w:r>
      <w:r w:rsidR="000F1F19" w:rsidRPr="000F1F19">
        <w:t xml:space="preserve">if there is no other way of sending the document that may reasonably be expected to result in it being received by that person or their eligible agent – when all reasonable steps are taken to send it to that person or their eligible agent; </w:t>
      </w:r>
      <w:r w:rsidR="00B1338F">
        <w:t>or</w:t>
      </w:r>
    </w:p>
    <w:p w:rsidR="000B313E" w:rsidRDefault="000B313E" w:rsidP="000B313E">
      <w:pPr>
        <w:ind w:left="2268" w:hanging="567"/>
      </w:pPr>
    </w:p>
    <w:p w:rsidR="000B313E" w:rsidRDefault="00CB1E80" w:rsidP="000B313E">
      <w:pPr>
        <w:ind w:left="2268" w:hanging="567"/>
      </w:pPr>
      <w:r>
        <w:t>(c</w:t>
      </w:r>
      <w:r w:rsidR="000F1F19" w:rsidRPr="000F1F19">
        <w:t>)</w:t>
      </w:r>
      <w:r w:rsidR="00BE121F">
        <w:tab/>
      </w:r>
      <w:r w:rsidR="000F1F19" w:rsidRPr="000F1F19">
        <w:t xml:space="preserve">one business day after an email is sent to </w:t>
      </w:r>
      <w:r w:rsidR="00FA24E8">
        <w:t xml:space="preserve">the </w:t>
      </w:r>
      <w:r w:rsidR="000F1F19" w:rsidRPr="000F1F19">
        <w:t xml:space="preserve">email address of the person or their eligible agent that the responsible entity reasonably believes is </w:t>
      </w:r>
      <w:r w:rsidR="00FA24E8">
        <w:t xml:space="preserve">the </w:t>
      </w:r>
      <w:r w:rsidR="00E84A9B">
        <w:t xml:space="preserve">email </w:t>
      </w:r>
      <w:r w:rsidR="000F1F19" w:rsidRPr="000F1F19">
        <w:t xml:space="preserve"> address of the person or eligible agent where the person has agreed to receive the document by email; </w:t>
      </w:r>
      <w:r w:rsidR="00B1338F">
        <w:t>or</w:t>
      </w:r>
    </w:p>
    <w:p w:rsidR="000B313E" w:rsidRDefault="000B313E" w:rsidP="000B313E">
      <w:pPr>
        <w:ind w:left="2268" w:hanging="567"/>
      </w:pPr>
    </w:p>
    <w:p w:rsidR="000B313E" w:rsidRDefault="00CB1E80" w:rsidP="000B313E">
      <w:pPr>
        <w:ind w:left="2268" w:hanging="567"/>
      </w:pPr>
      <w:r>
        <w:t>(d</w:t>
      </w:r>
      <w:r w:rsidR="000F1F19" w:rsidRPr="000F1F19">
        <w:t>)</w:t>
      </w:r>
      <w:r w:rsidR="00BE121F">
        <w:tab/>
      </w:r>
      <w:r w:rsidR="000F1F19" w:rsidRPr="000F1F19">
        <w:t xml:space="preserve">one business day after an email is sent containing a hypertext link to the document to the email address of the person or their eligible </w:t>
      </w:r>
      <w:r w:rsidR="000F1F19" w:rsidRPr="000F1F19">
        <w:lastRenderedPageBreak/>
        <w:t xml:space="preserve">agent that the responsible entity reasonably believes is </w:t>
      </w:r>
      <w:r w:rsidR="00FA24E8">
        <w:t xml:space="preserve">the </w:t>
      </w:r>
      <w:r w:rsidR="00B1338F">
        <w:t xml:space="preserve">email </w:t>
      </w:r>
      <w:r w:rsidR="000F1F19" w:rsidRPr="000F1F19">
        <w:t>address of the person or eligible agent where:</w:t>
      </w:r>
    </w:p>
    <w:p w:rsidR="000B313E" w:rsidRDefault="000B313E" w:rsidP="000B313E">
      <w:pPr>
        <w:ind w:left="1985" w:hanging="709"/>
      </w:pPr>
    </w:p>
    <w:p w:rsidR="000B313E" w:rsidRDefault="00CB1E80" w:rsidP="000B313E">
      <w:pPr>
        <w:ind w:left="2835" w:hanging="567"/>
      </w:pPr>
      <w:r>
        <w:t>(</w:t>
      </w:r>
      <w:proofErr w:type="spellStart"/>
      <w:r>
        <w:t>i</w:t>
      </w:r>
      <w:proofErr w:type="spellEnd"/>
      <w:r w:rsidR="000F1F19" w:rsidRPr="000F1F19">
        <w:t>)</w:t>
      </w:r>
      <w:r w:rsidR="000F1F19" w:rsidRPr="000F1F19">
        <w:tab/>
      </w:r>
      <w:proofErr w:type="gramStart"/>
      <w:r w:rsidR="000F1F19" w:rsidRPr="000F1F19">
        <w:t>the</w:t>
      </w:r>
      <w:proofErr w:type="gramEnd"/>
      <w:r w:rsidR="000F1F19" w:rsidRPr="000F1F19">
        <w:t xml:space="preserve"> person has agreed to receive documents in that manner;</w:t>
      </w:r>
      <w:r w:rsidR="00B1338F">
        <w:t xml:space="preserve"> and</w:t>
      </w:r>
    </w:p>
    <w:p w:rsidR="000B313E" w:rsidRDefault="000B313E" w:rsidP="000B313E">
      <w:pPr>
        <w:ind w:left="2835" w:hanging="567"/>
      </w:pPr>
    </w:p>
    <w:p w:rsidR="000B313E" w:rsidRDefault="00CB1E80" w:rsidP="000B313E">
      <w:pPr>
        <w:ind w:left="2835" w:hanging="567"/>
      </w:pPr>
      <w:r>
        <w:t>(ii</w:t>
      </w:r>
      <w:r w:rsidR="000F1F19" w:rsidRPr="000F1F19">
        <w:t>)</w:t>
      </w:r>
      <w:r w:rsidR="000F1F19" w:rsidRPr="000F1F19">
        <w:tab/>
        <w:t xml:space="preserve">the responsible entity has no reason to suspect that the person is unlikely by mere scrolling or use of direct hypertext links to be able to see all of the contents of the document by using the emailed hypertext link; </w:t>
      </w:r>
      <w:r w:rsidR="00B1338F">
        <w:t>and</w:t>
      </w:r>
    </w:p>
    <w:p w:rsidR="000B313E" w:rsidRDefault="000B313E" w:rsidP="000B313E">
      <w:pPr>
        <w:ind w:left="2835" w:hanging="567"/>
      </w:pPr>
    </w:p>
    <w:p w:rsidR="000B313E" w:rsidRDefault="00CB1E80" w:rsidP="000B313E">
      <w:pPr>
        <w:ind w:left="2835" w:hanging="567"/>
      </w:pPr>
      <w:r>
        <w:t>(iii</w:t>
      </w:r>
      <w:r w:rsidR="000F1F19" w:rsidRPr="000F1F19">
        <w:t>)</w:t>
      </w:r>
      <w:r w:rsidR="000F1F19" w:rsidRPr="000F1F19">
        <w:tab/>
      </w:r>
      <w:proofErr w:type="gramStart"/>
      <w:r w:rsidR="000F1F19" w:rsidRPr="000F1F19">
        <w:t>the</w:t>
      </w:r>
      <w:proofErr w:type="gramEnd"/>
      <w:r w:rsidR="000F1F19" w:rsidRPr="000F1F19">
        <w:t xml:space="preserve"> document can be downloaded free of charge (excluding any normal fees payable to the recipient's internet service provider); and</w:t>
      </w:r>
    </w:p>
    <w:p w:rsidR="000B313E" w:rsidRDefault="000B313E" w:rsidP="000B313E">
      <w:pPr>
        <w:ind w:left="2835" w:hanging="567"/>
      </w:pPr>
    </w:p>
    <w:p w:rsidR="000B313E" w:rsidRDefault="00CB1E80" w:rsidP="000B313E">
      <w:pPr>
        <w:ind w:left="2835" w:hanging="567"/>
      </w:pPr>
      <w:r>
        <w:t>(iv</w:t>
      </w:r>
      <w:r w:rsidR="000F1F19" w:rsidRPr="000F1F19">
        <w:t xml:space="preserve">) </w:t>
      </w:r>
      <w:r w:rsidR="000F1F19" w:rsidRPr="000F1F19">
        <w:tab/>
      </w:r>
      <w:proofErr w:type="gramStart"/>
      <w:r w:rsidR="000F1F19" w:rsidRPr="000F1F19">
        <w:t>the</w:t>
      </w:r>
      <w:proofErr w:type="gramEnd"/>
      <w:r w:rsidR="000F1F19" w:rsidRPr="000F1F19">
        <w:t xml:space="preserve"> hypertext link is accompanied by a prominent statement to the effect that the recipient is advised to access the document and download it; or</w:t>
      </w:r>
    </w:p>
    <w:p w:rsidR="000B313E" w:rsidRDefault="000B313E" w:rsidP="000B313E">
      <w:pPr>
        <w:ind w:left="1985" w:hanging="709"/>
      </w:pPr>
    </w:p>
    <w:p w:rsidR="000B313E" w:rsidRDefault="00CB1E80" w:rsidP="000B313E">
      <w:pPr>
        <w:ind w:left="2268" w:hanging="567"/>
      </w:pPr>
      <w:r>
        <w:t>(e</w:t>
      </w:r>
      <w:r w:rsidR="000F1F19" w:rsidRPr="000F1F19">
        <w:t>)</w:t>
      </w:r>
      <w:r w:rsidR="00BE121F">
        <w:tab/>
      </w:r>
      <w:r w:rsidR="000F1F19" w:rsidRPr="000F1F19">
        <w:t>when it would be delivered in the ordinary course of post, if it is posted as a letter prepaid from the responsible entity to an address of the person or their eligible agent that the responsible entity reasonably believes is the address of the person or eligible agent</w:t>
      </w:r>
      <w:r w:rsidR="00F116E4">
        <w:t>; or</w:t>
      </w:r>
      <w:r w:rsidR="00393C66">
        <w:br/>
      </w:r>
    </w:p>
    <w:p w:rsidR="000B313E" w:rsidRDefault="00F116E4" w:rsidP="000B313E">
      <w:pPr>
        <w:ind w:left="2268" w:hanging="567"/>
      </w:pPr>
      <w:r>
        <w:t>(f)</w:t>
      </w:r>
      <w:r>
        <w:tab/>
      </w:r>
      <w:proofErr w:type="gramStart"/>
      <w:r>
        <w:t>a</w:t>
      </w:r>
      <w:proofErr w:type="gramEnd"/>
      <w:r>
        <w:t xml:space="preserve"> copy of the document is given in accordance with any of paragraphs (a) to (e) and the giver takes reasonable steps to ensure that the document received by the person is complete and unaltered.</w:t>
      </w:r>
    </w:p>
    <w:p w:rsidR="000B313E" w:rsidRDefault="000B313E" w:rsidP="000B313E">
      <w:pPr>
        <w:ind w:left="1985" w:hanging="709"/>
      </w:pPr>
    </w:p>
    <w:p w:rsidR="000B313E" w:rsidRDefault="0090166D" w:rsidP="000B313E">
      <w:pPr>
        <w:pStyle w:val="Style7"/>
        <w:ind w:left="1701"/>
      </w:pPr>
      <w:r>
        <w:t>(</w:t>
      </w:r>
      <w:r w:rsidR="00E84A9B">
        <w:t>1</w:t>
      </w:r>
      <w:r w:rsidR="00393C66">
        <w:t>6</w:t>
      </w:r>
      <w:r>
        <w:t>)</w:t>
      </w:r>
      <w:r w:rsidR="00E84A9B">
        <w:tab/>
      </w:r>
      <w:r w:rsidR="000F1F19" w:rsidRPr="000F1F19">
        <w:t xml:space="preserve">For the purposes of </w:t>
      </w:r>
      <w:r w:rsidR="00E84A9B">
        <w:t>subsection (1</w:t>
      </w:r>
      <w:r w:rsidR="00393C66">
        <w:t>5</w:t>
      </w:r>
      <w:r w:rsidR="00E84A9B">
        <w:t>)</w:t>
      </w:r>
      <w:r w:rsidR="00F8023F">
        <w:t>:</w:t>
      </w:r>
      <w:r w:rsidR="000F1F19" w:rsidRPr="000F1F19">
        <w:t xml:space="preserve"> </w:t>
      </w:r>
    </w:p>
    <w:p w:rsidR="000B313E" w:rsidRDefault="000B313E" w:rsidP="000B313E">
      <w:pPr>
        <w:ind w:left="1985" w:hanging="709"/>
      </w:pPr>
    </w:p>
    <w:p w:rsidR="000B313E" w:rsidRDefault="00CB1E80" w:rsidP="000B313E">
      <w:pPr>
        <w:ind w:left="2268" w:hanging="567"/>
      </w:pPr>
      <w:r>
        <w:t>(a</w:t>
      </w:r>
      <w:r w:rsidR="0090166D">
        <w:t>)</w:t>
      </w:r>
      <w:r w:rsidR="0090166D">
        <w:tab/>
      </w:r>
      <w:proofErr w:type="gramStart"/>
      <w:r w:rsidR="000F1F19" w:rsidRPr="000F1F19">
        <w:t>an</w:t>
      </w:r>
      <w:proofErr w:type="gramEnd"/>
      <w:r w:rsidR="000F1F19" w:rsidRPr="000F1F19">
        <w:t xml:space="preserve"> email is sent when the email would be taken to be dispatched under section 14 of the </w:t>
      </w:r>
      <w:r w:rsidR="000F1F19" w:rsidRPr="000F1F19">
        <w:rPr>
          <w:i/>
          <w:iCs/>
        </w:rPr>
        <w:t>Electronic Transactions Act 199</w:t>
      </w:r>
      <w:r w:rsidR="000F1F19" w:rsidRPr="00107DC6">
        <w:rPr>
          <w:i/>
          <w:iCs/>
        </w:rPr>
        <w:t xml:space="preserve">9 </w:t>
      </w:r>
      <w:r w:rsidR="00D4464F" w:rsidRPr="00D4464F">
        <w:rPr>
          <w:iCs/>
        </w:rPr>
        <w:t>if it applied to that subsection</w:t>
      </w:r>
      <w:r w:rsidR="00D4464F" w:rsidRPr="00D4464F">
        <w:t>; and</w:t>
      </w:r>
    </w:p>
    <w:p w:rsidR="000B313E" w:rsidRDefault="000B313E" w:rsidP="000B313E">
      <w:pPr>
        <w:ind w:left="1985" w:hanging="709"/>
      </w:pPr>
    </w:p>
    <w:p w:rsidR="000B313E" w:rsidRDefault="00CB1E80" w:rsidP="000B313E">
      <w:pPr>
        <w:ind w:left="2268" w:hanging="567"/>
      </w:pPr>
      <w:r>
        <w:t>(</w:t>
      </w:r>
      <w:r w:rsidR="00F116E4">
        <w:t>b</w:t>
      </w:r>
      <w:r w:rsidR="0090166D">
        <w:t>)</w:t>
      </w:r>
      <w:r w:rsidR="0090166D">
        <w:tab/>
      </w:r>
      <w:proofErr w:type="gramStart"/>
      <w:r w:rsidR="00F8023F">
        <w:t>a</w:t>
      </w:r>
      <w:proofErr w:type="gramEnd"/>
      <w:r w:rsidR="000F1F19" w:rsidRPr="000F1F19">
        <w:t xml:space="preserve"> document is taken to be a copy of another document regardless</w:t>
      </w:r>
      <w:r w:rsidR="0090166D">
        <w:t xml:space="preserve"> </w:t>
      </w:r>
      <w:r w:rsidR="00157879">
        <w:t>of:</w:t>
      </w:r>
    </w:p>
    <w:p w:rsidR="000B313E" w:rsidRDefault="000B313E" w:rsidP="000B313E">
      <w:pPr>
        <w:ind w:left="1985" w:hanging="709"/>
      </w:pPr>
    </w:p>
    <w:p w:rsidR="000B313E" w:rsidRDefault="0090166D" w:rsidP="000B313E">
      <w:pPr>
        <w:ind w:left="2835" w:hanging="567"/>
      </w:pPr>
      <w:r>
        <w:t>(</w:t>
      </w:r>
      <w:proofErr w:type="spellStart"/>
      <w:r w:rsidR="00CB1E80">
        <w:t>i</w:t>
      </w:r>
      <w:proofErr w:type="spellEnd"/>
      <w:r w:rsidR="000F1F19" w:rsidRPr="000F1F19">
        <w:t>)</w:t>
      </w:r>
      <w:r w:rsidR="000F1F19" w:rsidRPr="000F1F19">
        <w:tab/>
      </w:r>
      <w:proofErr w:type="gramStart"/>
      <w:r w:rsidR="000F1F19" w:rsidRPr="000F1F19">
        <w:t>immaterial</w:t>
      </w:r>
      <w:proofErr w:type="gramEnd"/>
      <w:r w:rsidR="000F1F19" w:rsidRPr="000F1F19">
        <w:t xml:space="preserve"> differences in the sequence in which information is presented;</w:t>
      </w:r>
      <w:r w:rsidR="00B1338F">
        <w:t xml:space="preserve"> and</w:t>
      </w:r>
    </w:p>
    <w:p w:rsidR="000B313E" w:rsidRDefault="000B313E" w:rsidP="000B313E">
      <w:pPr>
        <w:ind w:left="2835" w:hanging="567"/>
      </w:pPr>
    </w:p>
    <w:p w:rsidR="000B313E" w:rsidRDefault="0090166D" w:rsidP="000B313E">
      <w:pPr>
        <w:ind w:left="2835" w:hanging="567"/>
      </w:pPr>
      <w:r>
        <w:t>(</w:t>
      </w:r>
      <w:r w:rsidR="00CB1E80">
        <w:t>ii</w:t>
      </w:r>
      <w:r w:rsidR="000F1F19" w:rsidRPr="000F1F19">
        <w:t>)</w:t>
      </w:r>
      <w:r w:rsidR="00BE121F">
        <w:tab/>
      </w:r>
      <w:proofErr w:type="gramStart"/>
      <w:r w:rsidR="000F1F19" w:rsidRPr="000F1F19">
        <w:t>prompts</w:t>
      </w:r>
      <w:proofErr w:type="gramEnd"/>
      <w:r w:rsidR="000F1F19" w:rsidRPr="000F1F19">
        <w:t xml:space="preserve"> and links if they are not likely to:</w:t>
      </w:r>
    </w:p>
    <w:p w:rsidR="000B313E" w:rsidRDefault="000B313E" w:rsidP="000B313E">
      <w:pPr>
        <w:ind w:left="1985" w:hanging="709"/>
      </w:pPr>
    </w:p>
    <w:p w:rsidR="000B313E" w:rsidRDefault="0090166D" w:rsidP="000B313E">
      <w:pPr>
        <w:pStyle w:val="Style6"/>
        <w:ind w:left="3402"/>
      </w:pPr>
      <w:r>
        <w:t>(</w:t>
      </w:r>
      <w:r w:rsidR="00CB1E80">
        <w:t>A</w:t>
      </w:r>
      <w:r w:rsidR="000F1F19" w:rsidRPr="000F1F19">
        <w:t>)</w:t>
      </w:r>
      <w:r w:rsidR="000F1F19" w:rsidRPr="000F1F19">
        <w:tab/>
      </w:r>
      <w:proofErr w:type="gramStart"/>
      <w:r w:rsidR="000F1F19" w:rsidRPr="000F1F19">
        <w:t>cause</w:t>
      </w:r>
      <w:proofErr w:type="gramEnd"/>
      <w:r w:rsidR="000F1F19" w:rsidRPr="000F1F19">
        <w:t xml:space="preserve"> a reasonabl</w:t>
      </w:r>
      <w:r w:rsidR="009A36A5">
        <w:t>e</w:t>
      </w:r>
      <w:r w:rsidR="000F1F19" w:rsidRPr="000F1F19">
        <w:t xml:space="preserve"> person to confuse the contents of the document with another document; or</w:t>
      </w:r>
    </w:p>
    <w:p w:rsidR="000B313E" w:rsidRDefault="000B313E" w:rsidP="000B313E">
      <w:pPr>
        <w:ind w:left="3969" w:hanging="567"/>
      </w:pPr>
    </w:p>
    <w:p w:rsidR="000B313E" w:rsidRDefault="0090166D" w:rsidP="000B313E">
      <w:pPr>
        <w:pStyle w:val="Style6"/>
        <w:ind w:left="3402"/>
      </w:pPr>
      <w:r>
        <w:t>(</w:t>
      </w:r>
      <w:r w:rsidR="00CB1E80">
        <w:t>B</w:t>
      </w:r>
      <w:r w:rsidR="000F1F19" w:rsidRPr="000F1F19">
        <w:t>)</w:t>
      </w:r>
      <w:r w:rsidR="000F1F19" w:rsidRPr="000F1F19">
        <w:tab/>
      </w:r>
      <w:proofErr w:type="gramStart"/>
      <w:r w:rsidR="000F1F19" w:rsidRPr="000F1F19">
        <w:t>reduce</w:t>
      </w:r>
      <w:proofErr w:type="gramEnd"/>
      <w:r w:rsidR="000F1F19" w:rsidRPr="000F1F19">
        <w:t xml:space="preserve"> the likelihood of a reasonabl</w:t>
      </w:r>
      <w:r w:rsidR="009A36A5">
        <w:t>e</w:t>
      </w:r>
      <w:r w:rsidR="000F1F19" w:rsidRPr="000F1F19">
        <w:t xml:space="preserve"> person reading any part of the document;</w:t>
      </w:r>
      <w:r w:rsidR="00B1338F">
        <w:t xml:space="preserve"> and</w:t>
      </w:r>
    </w:p>
    <w:p w:rsidR="000B313E" w:rsidRDefault="000B313E" w:rsidP="000B313E">
      <w:pPr>
        <w:ind w:left="3402" w:hanging="708"/>
      </w:pPr>
    </w:p>
    <w:p w:rsidR="000B313E" w:rsidRDefault="0090166D" w:rsidP="000B313E">
      <w:pPr>
        <w:ind w:left="2835" w:hanging="567"/>
      </w:pPr>
      <w:r>
        <w:t>(</w:t>
      </w:r>
      <w:r w:rsidR="00CB1E80">
        <w:t>iii</w:t>
      </w:r>
      <w:r w:rsidR="000F1F19" w:rsidRPr="000F1F19">
        <w:t>)</w:t>
      </w:r>
      <w:r w:rsidR="00BE121F">
        <w:tab/>
      </w:r>
      <w:proofErr w:type="gramStart"/>
      <w:r w:rsidR="000F1F19" w:rsidRPr="000F1F19">
        <w:t>the</w:t>
      </w:r>
      <w:proofErr w:type="gramEnd"/>
      <w:r w:rsidR="000F1F19" w:rsidRPr="000F1F19">
        <w:t xml:space="preserve"> absence from (or simplification </w:t>
      </w:r>
      <w:r w:rsidR="00B1338F">
        <w:t>i</w:t>
      </w:r>
      <w:r w:rsidR="000F1F19" w:rsidRPr="000F1F19">
        <w:t>n) the document of graphics of a promotional or decorative nature; and</w:t>
      </w:r>
    </w:p>
    <w:p w:rsidR="000B313E" w:rsidRDefault="000B313E" w:rsidP="000B313E">
      <w:pPr>
        <w:ind w:left="2835" w:hanging="567"/>
      </w:pPr>
    </w:p>
    <w:p w:rsidR="000B313E" w:rsidRDefault="00CB1E80" w:rsidP="000B313E">
      <w:pPr>
        <w:ind w:left="2835" w:hanging="567"/>
      </w:pPr>
      <w:r>
        <w:t>(iv</w:t>
      </w:r>
      <w:r w:rsidR="000F1F19" w:rsidRPr="000F1F19">
        <w:t>)</w:t>
      </w:r>
      <w:r w:rsidR="000F1F19" w:rsidRPr="000F1F19">
        <w:tab/>
      </w:r>
      <w:proofErr w:type="gramStart"/>
      <w:r w:rsidR="000F1F19" w:rsidRPr="000F1F19">
        <w:t>the</w:t>
      </w:r>
      <w:proofErr w:type="gramEnd"/>
      <w:r w:rsidR="000F1F19" w:rsidRPr="000F1F19">
        <w:t xml:space="preserve"> inclusion in the document of codes or features to control the display of the document which do not otherwise alter the sense or content of the document.</w:t>
      </w:r>
    </w:p>
    <w:p w:rsidR="000B313E" w:rsidRDefault="000B313E" w:rsidP="000B313E">
      <w:pPr>
        <w:ind w:left="2835" w:hanging="567"/>
      </w:pPr>
    </w:p>
    <w:p w:rsidR="000B313E" w:rsidRDefault="001A6F2E" w:rsidP="000B313E">
      <w:pPr>
        <w:pStyle w:val="Style7"/>
        <w:ind w:left="1701"/>
      </w:pPr>
      <w:r>
        <w:t>(1</w:t>
      </w:r>
      <w:r w:rsidR="00393C66">
        <w:t>7</w:t>
      </w:r>
      <w:r w:rsidR="00F116E4">
        <w:t>)</w:t>
      </w:r>
      <w:r w:rsidR="00F116E4">
        <w:tab/>
        <w:t xml:space="preserve">The responsible entity </w:t>
      </w:r>
      <w:r w:rsidR="00DE58DE">
        <w:t xml:space="preserve">of an IDPS-like scheme </w:t>
      </w:r>
      <w:r w:rsidR="00F116E4">
        <w:t>must ensure that it has and maintains the pol</w:t>
      </w:r>
      <w:r>
        <w:t>icies referred to in paragraph (2)</w:t>
      </w:r>
      <w:r w:rsidR="00F116E4">
        <w:t>(a).</w:t>
      </w:r>
    </w:p>
    <w:p w:rsidR="000B313E" w:rsidRDefault="000B313E" w:rsidP="000B313E">
      <w:pPr>
        <w:ind w:left="1134" w:hanging="567"/>
      </w:pPr>
    </w:p>
    <w:p w:rsidR="000B313E" w:rsidRDefault="00996CE4" w:rsidP="000B313E">
      <w:pPr>
        <w:pStyle w:val="Style7"/>
        <w:ind w:left="1701"/>
      </w:pPr>
      <w:r>
        <w:t>(18)</w:t>
      </w:r>
      <w:r w:rsidR="00DE58DE">
        <w:tab/>
      </w:r>
      <w:r w:rsidR="00DE58DE" w:rsidRPr="00DE58DE">
        <w:t xml:space="preserve">If a </w:t>
      </w:r>
      <w:r w:rsidR="00DE58DE">
        <w:t>member</w:t>
      </w:r>
      <w:r w:rsidR="00DE58DE" w:rsidRPr="00DE58DE">
        <w:t xml:space="preserve"> notifies the </w:t>
      </w:r>
      <w:r w:rsidR="00DE58DE">
        <w:t>responsible entity</w:t>
      </w:r>
      <w:r w:rsidR="00DE58DE" w:rsidRPr="00DE58DE">
        <w:t xml:space="preserve"> </w:t>
      </w:r>
      <w:r w:rsidR="00DE58DE">
        <w:t xml:space="preserve">of an IDPS-like scheme </w:t>
      </w:r>
      <w:r w:rsidR="00DE58DE" w:rsidRPr="00DE58DE">
        <w:t xml:space="preserve">that it has a complaint in relation to an accessible investment, the </w:t>
      </w:r>
      <w:r w:rsidR="00DE58DE">
        <w:t>responsible entity</w:t>
      </w:r>
      <w:r w:rsidR="00DE58DE" w:rsidRPr="00DE58DE">
        <w:t xml:space="preserve"> must take reasonable steps to facilitate resolution of the dispute between the </w:t>
      </w:r>
      <w:r w:rsidR="00DE58DE">
        <w:t>member</w:t>
      </w:r>
      <w:r w:rsidR="00DE58DE" w:rsidRPr="00DE58DE">
        <w:t xml:space="preserve"> and the issuer of the accessible investment, including informing the </w:t>
      </w:r>
      <w:r w:rsidR="00DE58DE">
        <w:t>member</w:t>
      </w:r>
      <w:r w:rsidR="00DE58DE" w:rsidRPr="00DE58DE">
        <w:t xml:space="preserve"> whether the issuer has an internal dispute resolution system that is available to the </w:t>
      </w:r>
      <w:r w:rsidR="00DE58DE">
        <w:t>member</w:t>
      </w:r>
      <w:r w:rsidR="00DE58DE" w:rsidRPr="00DE58DE">
        <w:t>.</w:t>
      </w:r>
    </w:p>
    <w:p w:rsidR="00996CE4" w:rsidRDefault="00996CE4">
      <w:pPr>
        <w:ind w:left="567" w:hanging="567"/>
      </w:pPr>
    </w:p>
    <w:p w:rsidR="000B313E" w:rsidRDefault="00C8152C" w:rsidP="000B313E">
      <w:pPr>
        <w:pStyle w:val="Style7"/>
        <w:ind w:left="1701"/>
      </w:pPr>
      <w:r w:rsidRPr="00C8152C">
        <w:t>(1</w:t>
      </w:r>
      <w:r w:rsidR="003E789F">
        <w:t>9</w:t>
      </w:r>
      <w:r w:rsidRPr="00C8152C">
        <w:t>)</w:t>
      </w:r>
      <w:r w:rsidRPr="00C8152C">
        <w:tab/>
        <w:t xml:space="preserve">In this section: </w:t>
      </w:r>
    </w:p>
    <w:p w:rsidR="000B313E" w:rsidRDefault="000B313E" w:rsidP="000B313E">
      <w:pPr>
        <w:ind w:left="1701" w:hanging="567"/>
      </w:pPr>
    </w:p>
    <w:p w:rsidR="000B313E" w:rsidRDefault="00C8152C" w:rsidP="000B313E">
      <w:pPr>
        <w:ind w:left="1701"/>
      </w:pPr>
      <w:proofErr w:type="gramStart"/>
      <w:r w:rsidRPr="00C8152C">
        <w:rPr>
          <w:b/>
          <w:i/>
        </w:rPr>
        <w:t>accessible</w:t>
      </w:r>
      <w:proofErr w:type="gramEnd"/>
      <w:r w:rsidRPr="00C8152C">
        <w:rPr>
          <w:b/>
          <w:i/>
        </w:rPr>
        <w:t xml:space="preserve"> financial products</w:t>
      </w:r>
      <w:r w:rsidRPr="00C8152C">
        <w:t xml:space="preserve"> means financial products that may be held through an IDPS-like scheme.</w:t>
      </w:r>
    </w:p>
    <w:p w:rsidR="000B313E" w:rsidRDefault="000B313E" w:rsidP="000B313E">
      <w:pPr>
        <w:ind w:left="1701"/>
        <w:rPr>
          <w:bCs/>
          <w:iCs/>
        </w:rPr>
      </w:pPr>
    </w:p>
    <w:p w:rsidR="000B313E" w:rsidRDefault="00C8152C" w:rsidP="000B313E">
      <w:pPr>
        <w:ind w:left="1701"/>
      </w:pPr>
      <w:proofErr w:type="gramStart"/>
      <w:r w:rsidRPr="00C8152C">
        <w:rPr>
          <w:b/>
          <w:i/>
        </w:rPr>
        <w:t>accessible</w:t>
      </w:r>
      <w:proofErr w:type="gramEnd"/>
      <w:r w:rsidRPr="00C8152C">
        <w:rPr>
          <w:b/>
          <w:i/>
        </w:rPr>
        <w:t xml:space="preserve"> investments</w:t>
      </w:r>
      <w:r w:rsidRPr="00C8152C">
        <w:t xml:space="preserve"> means assets that may be held through an IDPS-like scheme, including accessible securities and accessible financial products.</w:t>
      </w:r>
    </w:p>
    <w:p w:rsidR="000B313E" w:rsidRDefault="000B313E" w:rsidP="000B313E">
      <w:pPr>
        <w:ind w:left="1701"/>
        <w:rPr>
          <w:bCs/>
          <w:iCs/>
        </w:rPr>
      </w:pPr>
    </w:p>
    <w:p w:rsidR="000B313E" w:rsidRDefault="00C8152C" w:rsidP="000B313E">
      <w:pPr>
        <w:ind w:left="1701"/>
        <w:rPr>
          <w:b/>
          <w:i/>
        </w:rPr>
      </w:pPr>
      <w:proofErr w:type="gramStart"/>
      <w:r w:rsidRPr="00C8152C">
        <w:rPr>
          <w:b/>
          <w:bCs/>
          <w:i/>
          <w:iCs/>
        </w:rPr>
        <w:t>accessible</w:t>
      </w:r>
      <w:proofErr w:type="gramEnd"/>
      <w:r w:rsidRPr="00C8152C">
        <w:rPr>
          <w:b/>
          <w:bCs/>
          <w:i/>
          <w:iCs/>
        </w:rPr>
        <w:t xml:space="preserve"> securities</w:t>
      </w:r>
      <w:r w:rsidRPr="00C8152C">
        <w:t xml:space="preserve"> means securities that may be held through an IDPS-like scheme. </w:t>
      </w:r>
      <w:r w:rsidRPr="00C8152C">
        <w:br/>
      </w:r>
    </w:p>
    <w:p w:rsidR="000B313E" w:rsidRDefault="00C8152C" w:rsidP="000B313E">
      <w:pPr>
        <w:ind w:left="1701"/>
        <w:rPr>
          <w:b/>
          <w:i/>
        </w:rPr>
      </w:pPr>
      <w:proofErr w:type="gramStart"/>
      <w:r w:rsidRPr="00C8152C">
        <w:rPr>
          <w:b/>
          <w:bCs/>
          <w:i/>
          <w:iCs/>
        </w:rPr>
        <w:t>annual</w:t>
      </w:r>
      <w:proofErr w:type="gramEnd"/>
      <w:r w:rsidRPr="00C8152C">
        <w:rPr>
          <w:b/>
          <w:bCs/>
          <w:i/>
          <w:iCs/>
        </w:rPr>
        <w:t xml:space="preserve"> investor statement </w:t>
      </w:r>
      <w:r w:rsidR="009155CA">
        <w:rPr>
          <w:bCs/>
          <w:iCs/>
        </w:rPr>
        <w:t>has the meaning given by paragraph (1</w:t>
      </w:r>
      <w:r w:rsidR="00DE58DE">
        <w:rPr>
          <w:bCs/>
          <w:iCs/>
        </w:rPr>
        <w:t>3</w:t>
      </w:r>
      <w:r w:rsidRPr="00C8152C">
        <w:rPr>
          <w:bCs/>
          <w:iCs/>
        </w:rPr>
        <w:t>)</w:t>
      </w:r>
      <w:r w:rsidR="009155CA">
        <w:rPr>
          <w:bCs/>
          <w:iCs/>
        </w:rPr>
        <w:t>(a)</w:t>
      </w:r>
      <w:r w:rsidRPr="00C8152C">
        <w:rPr>
          <w:bCs/>
          <w:iCs/>
        </w:rPr>
        <w:t>.</w:t>
      </w:r>
    </w:p>
    <w:p w:rsidR="000B313E" w:rsidRDefault="000B313E" w:rsidP="000B313E">
      <w:pPr>
        <w:ind w:left="1701"/>
        <w:rPr>
          <w:b/>
          <w:i/>
        </w:rPr>
      </w:pPr>
    </w:p>
    <w:p w:rsidR="000B313E" w:rsidRDefault="00C8152C" w:rsidP="000B313E">
      <w:pPr>
        <w:ind w:left="1701"/>
        <w:rPr>
          <w:bCs/>
          <w:iCs/>
        </w:rPr>
      </w:pPr>
      <w:proofErr w:type="gramStart"/>
      <w:r w:rsidRPr="00C8152C">
        <w:rPr>
          <w:b/>
          <w:i/>
        </w:rPr>
        <w:t>client</w:t>
      </w:r>
      <w:proofErr w:type="gramEnd"/>
      <w:r w:rsidRPr="00C8152C">
        <w:t>, in relation to a custodial arrangement, has the same meaning as in subsection 1012IA(1).</w:t>
      </w:r>
    </w:p>
    <w:p w:rsidR="000B313E" w:rsidRDefault="000B313E" w:rsidP="000B313E">
      <w:pPr>
        <w:ind w:left="1701"/>
        <w:rPr>
          <w:bCs/>
          <w:iCs/>
        </w:rPr>
      </w:pPr>
    </w:p>
    <w:p w:rsidR="000B313E" w:rsidRDefault="00C8152C" w:rsidP="000B313E">
      <w:pPr>
        <w:ind w:left="1701"/>
        <w:rPr>
          <w:bCs/>
          <w:iCs/>
        </w:rPr>
      </w:pPr>
      <w:proofErr w:type="gramStart"/>
      <w:r w:rsidRPr="00C8152C">
        <w:rPr>
          <w:b/>
          <w:bCs/>
          <w:i/>
          <w:iCs/>
        </w:rPr>
        <w:t>custodial</w:t>
      </w:r>
      <w:proofErr w:type="gramEnd"/>
      <w:r w:rsidRPr="00C8152C">
        <w:rPr>
          <w:b/>
          <w:bCs/>
          <w:i/>
          <w:iCs/>
        </w:rPr>
        <w:t xml:space="preserve"> arrangement</w:t>
      </w:r>
      <w:r w:rsidRPr="00C8152C">
        <w:rPr>
          <w:bCs/>
          <w:iCs/>
        </w:rPr>
        <w:t xml:space="preserve"> has the same meaning as in subsection 1012IA(1).</w:t>
      </w:r>
    </w:p>
    <w:p w:rsidR="000B313E" w:rsidRDefault="000B313E" w:rsidP="000B313E">
      <w:pPr>
        <w:ind w:left="1701"/>
        <w:rPr>
          <w:bCs/>
          <w:iCs/>
        </w:rPr>
      </w:pPr>
    </w:p>
    <w:p w:rsidR="000B313E" w:rsidRDefault="00DE58DE" w:rsidP="000B313E">
      <w:pPr>
        <w:ind w:left="1701"/>
        <w:rPr>
          <w:bCs/>
          <w:iCs/>
        </w:rPr>
      </w:pPr>
      <w:proofErr w:type="gramStart"/>
      <w:r w:rsidRPr="00DE58DE">
        <w:rPr>
          <w:b/>
          <w:bCs/>
          <w:i/>
          <w:iCs/>
        </w:rPr>
        <w:t>custodian</w:t>
      </w:r>
      <w:proofErr w:type="gramEnd"/>
      <w:r w:rsidRPr="00DE58DE">
        <w:rPr>
          <w:bCs/>
          <w:iCs/>
        </w:rPr>
        <w:t xml:space="preserve"> means a person that holds property of an IDPS-like scheme and who may also be the responsible entity of the scheme.</w:t>
      </w:r>
    </w:p>
    <w:p w:rsidR="000B313E" w:rsidRDefault="000B313E" w:rsidP="000B313E">
      <w:pPr>
        <w:ind w:left="1701"/>
        <w:rPr>
          <w:bCs/>
          <w:iCs/>
        </w:rPr>
      </w:pPr>
    </w:p>
    <w:p w:rsidR="000B313E" w:rsidRDefault="00C8152C" w:rsidP="000B313E">
      <w:pPr>
        <w:ind w:left="1701"/>
      </w:pPr>
      <w:proofErr w:type="gramStart"/>
      <w:r w:rsidRPr="00C8152C">
        <w:rPr>
          <w:b/>
          <w:i/>
        </w:rPr>
        <w:t>defective</w:t>
      </w:r>
      <w:proofErr w:type="gramEnd"/>
      <w:r w:rsidRPr="00C8152C">
        <w:t xml:space="preserve"> in relation to:</w:t>
      </w:r>
    </w:p>
    <w:p w:rsidR="000B313E" w:rsidRDefault="000B313E" w:rsidP="000B313E">
      <w:pPr>
        <w:ind w:left="1701"/>
      </w:pPr>
    </w:p>
    <w:p w:rsidR="000B313E" w:rsidRDefault="00C8152C" w:rsidP="000B313E">
      <w:pPr>
        <w:ind w:left="2268" w:hanging="567"/>
      </w:pPr>
      <w:r w:rsidRPr="00C8152C">
        <w:lastRenderedPageBreak/>
        <w:t>(a)</w:t>
      </w:r>
      <w:r w:rsidRPr="00C8152C">
        <w:tab/>
      </w:r>
      <w:proofErr w:type="gramStart"/>
      <w:r w:rsidRPr="00C8152C">
        <w:t>a</w:t>
      </w:r>
      <w:proofErr w:type="gramEnd"/>
      <w:r w:rsidRPr="00C8152C">
        <w:t xml:space="preserve"> Product Disclosure Statement has the same meaning as in section 1021B; and</w:t>
      </w:r>
    </w:p>
    <w:p w:rsidR="000B313E" w:rsidRDefault="000B313E" w:rsidP="000B313E">
      <w:pPr>
        <w:ind w:left="2268" w:hanging="567"/>
      </w:pPr>
    </w:p>
    <w:p w:rsidR="000B313E" w:rsidRDefault="00C8152C" w:rsidP="000B313E">
      <w:pPr>
        <w:ind w:left="2268" w:hanging="567"/>
      </w:pPr>
      <w:r w:rsidRPr="00C8152C">
        <w:t>(b)</w:t>
      </w:r>
      <w:r w:rsidRPr="00C8152C">
        <w:tab/>
        <w:t xml:space="preserve">a disclosure document means a disclosure document in relation to which a person offering securities under the disclosure document must deal under subsection 724(2) with any applications for securities made under the disclosure document that have not resulted in an issue or transfer of the securities. </w:t>
      </w:r>
    </w:p>
    <w:p w:rsidR="000B313E" w:rsidRDefault="000B313E" w:rsidP="000B313E">
      <w:pPr>
        <w:ind w:left="1701"/>
        <w:rPr>
          <w:bCs/>
          <w:iCs/>
        </w:rPr>
      </w:pPr>
    </w:p>
    <w:p w:rsidR="000B313E" w:rsidRDefault="00C8152C" w:rsidP="000B313E">
      <w:pPr>
        <w:ind w:left="1701"/>
        <w:rPr>
          <w:bCs/>
          <w:iCs/>
        </w:rPr>
      </w:pPr>
      <w:proofErr w:type="gramStart"/>
      <w:r w:rsidRPr="00C8152C">
        <w:rPr>
          <w:b/>
          <w:bCs/>
          <w:i/>
          <w:iCs/>
        </w:rPr>
        <w:t>disclosure</w:t>
      </w:r>
      <w:proofErr w:type="gramEnd"/>
      <w:r w:rsidRPr="00C8152C">
        <w:rPr>
          <w:b/>
          <w:bCs/>
          <w:i/>
          <w:iCs/>
        </w:rPr>
        <w:t xml:space="preserve"> document</w:t>
      </w:r>
      <w:r w:rsidRPr="00C8152C">
        <w:rPr>
          <w:bCs/>
          <w:iCs/>
        </w:rPr>
        <w:t xml:space="preserve"> means a prospectus, a profile statement or an offer information statement a copy of which is lodged with ASIC, or a document required by an instrument under section 741 setting out information about </w:t>
      </w:r>
      <w:r w:rsidR="00DE58DE">
        <w:rPr>
          <w:bCs/>
          <w:iCs/>
        </w:rPr>
        <w:t xml:space="preserve">an </w:t>
      </w:r>
      <w:r w:rsidRPr="00C8152C">
        <w:rPr>
          <w:bCs/>
          <w:iCs/>
        </w:rPr>
        <w:t>offer of accessible securities.</w:t>
      </w:r>
    </w:p>
    <w:p w:rsidR="000B313E" w:rsidRDefault="000B313E" w:rsidP="000B313E">
      <w:pPr>
        <w:ind w:left="1701"/>
        <w:rPr>
          <w:bCs/>
          <w:iCs/>
        </w:rPr>
      </w:pPr>
    </w:p>
    <w:p w:rsidR="000B313E" w:rsidRDefault="00C8152C" w:rsidP="000B313E">
      <w:pPr>
        <w:ind w:left="1701"/>
      </w:pPr>
      <w:proofErr w:type="gramStart"/>
      <w:r w:rsidRPr="00C8152C">
        <w:rPr>
          <w:b/>
          <w:bCs/>
          <w:i/>
          <w:iCs/>
        </w:rPr>
        <w:t>distribution</w:t>
      </w:r>
      <w:proofErr w:type="gramEnd"/>
      <w:r w:rsidRPr="00C8152C">
        <w:rPr>
          <w:b/>
          <w:bCs/>
          <w:i/>
          <w:iCs/>
        </w:rPr>
        <w:t xml:space="preserve"> reinvestment plan</w:t>
      </w:r>
      <w:r w:rsidRPr="00C8152C">
        <w:t xml:space="preserve"> means a written arrangement between the responsible entity of an IDPS-like scheme and a member to the effect that the member instructs the responsible entity to:</w:t>
      </w:r>
    </w:p>
    <w:p w:rsidR="000B313E" w:rsidRDefault="000B313E" w:rsidP="000B313E">
      <w:pPr>
        <w:ind w:left="1701"/>
      </w:pPr>
    </w:p>
    <w:p w:rsidR="000B313E" w:rsidRDefault="00C8152C" w:rsidP="000B313E">
      <w:pPr>
        <w:ind w:left="2268" w:hanging="567"/>
      </w:pPr>
      <w:r w:rsidRPr="00C8152C">
        <w:t>(a)</w:t>
      </w:r>
      <w:r w:rsidRPr="00C8152C">
        <w:tab/>
      </w:r>
      <w:proofErr w:type="gramStart"/>
      <w:r w:rsidRPr="00C8152C">
        <w:t>reinvest</w:t>
      </w:r>
      <w:proofErr w:type="gramEnd"/>
      <w:r w:rsidRPr="00C8152C">
        <w:t xml:space="preserve"> distributions from specified accessible investments </w:t>
      </w:r>
      <w:r w:rsidR="00DE58DE">
        <w:t>held through the scheme by</w:t>
      </w:r>
      <w:r w:rsidRPr="00C8152C">
        <w:t xml:space="preserve"> the member in some or all of the accessible investments held through the scheme by the member; and </w:t>
      </w:r>
    </w:p>
    <w:p w:rsidR="000B313E" w:rsidRDefault="000B313E" w:rsidP="000B313E">
      <w:pPr>
        <w:ind w:left="2268" w:hanging="567"/>
      </w:pPr>
    </w:p>
    <w:p w:rsidR="000B313E" w:rsidRDefault="00C8152C" w:rsidP="000B313E">
      <w:pPr>
        <w:ind w:left="2268" w:hanging="567"/>
      </w:pPr>
      <w:r w:rsidRPr="00C8152C">
        <w:t>(b)</w:t>
      </w:r>
      <w:r w:rsidRPr="00C8152C">
        <w:tab/>
      </w:r>
      <w:proofErr w:type="gramStart"/>
      <w:r w:rsidRPr="00C8152C">
        <w:t>carry</w:t>
      </w:r>
      <w:proofErr w:type="gramEnd"/>
      <w:r w:rsidRPr="00C8152C">
        <w:t xml:space="preserve"> out the reinvestment of distributions referred to in paragraph (a) according to an agreed method,</w:t>
      </w:r>
    </w:p>
    <w:p w:rsidR="000B313E" w:rsidRDefault="000B313E" w:rsidP="000B313E">
      <w:pPr>
        <w:ind w:left="1701"/>
      </w:pPr>
    </w:p>
    <w:p w:rsidR="000B313E" w:rsidRDefault="00C8152C" w:rsidP="000B313E">
      <w:pPr>
        <w:ind w:left="1701"/>
      </w:pPr>
      <w:proofErr w:type="gramStart"/>
      <w:r w:rsidRPr="00C8152C">
        <w:t>where</w:t>
      </w:r>
      <w:proofErr w:type="gramEnd"/>
      <w:r w:rsidRPr="00C8152C">
        <w:t xml:space="preserve"> before entering into the arrangement, the member has been given a Product Disclosure Statement for the scheme containing a statement to the effect that the member may not have: </w:t>
      </w:r>
    </w:p>
    <w:p w:rsidR="000B313E" w:rsidRDefault="000B313E" w:rsidP="000B313E">
      <w:pPr>
        <w:ind w:left="1701"/>
      </w:pPr>
    </w:p>
    <w:p w:rsidR="000B313E" w:rsidRDefault="00C8152C" w:rsidP="000B313E">
      <w:pPr>
        <w:ind w:left="2268" w:hanging="567"/>
      </w:pPr>
      <w:r w:rsidRPr="00C8152C">
        <w:t>(c)</w:t>
      </w:r>
      <w:r w:rsidRPr="00C8152C">
        <w:tab/>
      </w:r>
      <w:proofErr w:type="gramStart"/>
      <w:r w:rsidRPr="00C8152C">
        <w:t>the</w:t>
      </w:r>
      <w:proofErr w:type="gramEnd"/>
      <w:r w:rsidRPr="00C8152C">
        <w:t xml:space="preserve"> current Product Disclosure Statement for an accessible financial product held through the scheme; or </w:t>
      </w:r>
    </w:p>
    <w:p w:rsidR="000B313E" w:rsidRDefault="000B313E" w:rsidP="000B313E">
      <w:pPr>
        <w:ind w:left="2268" w:hanging="567"/>
      </w:pPr>
    </w:p>
    <w:p w:rsidR="000B313E" w:rsidRDefault="00C8152C" w:rsidP="000B313E">
      <w:pPr>
        <w:ind w:left="2268" w:hanging="567"/>
      </w:pPr>
      <w:r w:rsidRPr="00C8152C">
        <w:t>(d)</w:t>
      </w:r>
      <w:r w:rsidRPr="00C8152C">
        <w:tab/>
      </w:r>
      <w:proofErr w:type="gramStart"/>
      <w:r w:rsidRPr="00C8152C">
        <w:t>the</w:t>
      </w:r>
      <w:proofErr w:type="gramEnd"/>
      <w:r w:rsidRPr="00C8152C">
        <w:t xml:space="preserve"> current disclosure document for accessible securities held through the scheme; </w:t>
      </w:r>
    </w:p>
    <w:p w:rsidR="000B313E" w:rsidRDefault="000B313E" w:rsidP="000B313E">
      <w:pPr>
        <w:ind w:left="1701"/>
      </w:pPr>
    </w:p>
    <w:p w:rsidR="000B313E" w:rsidRDefault="00C8152C" w:rsidP="000B313E">
      <w:pPr>
        <w:ind w:left="1701"/>
      </w:pPr>
      <w:proofErr w:type="gramStart"/>
      <w:r w:rsidRPr="00C8152C">
        <w:t>at</w:t>
      </w:r>
      <w:proofErr w:type="gramEnd"/>
      <w:r w:rsidRPr="00C8152C">
        <w:t xml:space="preserve"> the time an additional holding of the accessible financial product or accessible securit</w:t>
      </w:r>
      <w:r w:rsidR="00DE58DE">
        <w:t>ies</w:t>
      </w:r>
      <w:r w:rsidRPr="00C8152C">
        <w:t xml:space="preserve"> is acquired under the distribution reinvestment plan. </w:t>
      </w:r>
    </w:p>
    <w:p w:rsidR="000B313E" w:rsidRDefault="000B313E" w:rsidP="000B313E">
      <w:pPr>
        <w:ind w:left="1701"/>
      </w:pPr>
    </w:p>
    <w:p w:rsidR="000B313E" w:rsidRDefault="00C8152C" w:rsidP="000B313E">
      <w:pPr>
        <w:ind w:left="1701"/>
      </w:pPr>
      <w:proofErr w:type="gramStart"/>
      <w:r w:rsidRPr="00C8152C">
        <w:rPr>
          <w:b/>
          <w:bCs/>
          <w:i/>
          <w:iCs/>
        </w:rPr>
        <w:t>eligible</w:t>
      </w:r>
      <w:proofErr w:type="gramEnd"/>
      <w:r w:rsidRPr="00C8152C">
        <w:rPr>
          <w:b/>
          <w:bCs/>
          <w:i/>
          <w:iCs/>
        </w:rPr>
        <w:t xml:space="preserve"> agent</w:t>
      </w:r>
      <w:r w:rsidRPr="00C8152C">
        <w:t>, in relation to a person</w:t>
      </w:r>
      <w:r w:rsidR="00236C4E">
        <w:t xml:space="preserve"> who is </w:t>
      </w:r>
      <w:r w:rsidR="00DE58DE">
        <w:t xml:space="preserve">a </w:t>
      </w:r>
      <w:r w:rsidR="00236C4E">
        <w:t>member of an IDPS-like scheme</w:t>
      </w:r>
      <w:r w:rsidRPr="00C8152C">
        <w:t>, means an agent of the person, other than the responsible entity</w:t>
      </w:r>
      <w:r w:rsidR="00236C4E">
        <w:t xml:space="preserve"> of the scheme</w:t>
      </w:r>
      <w:r w:rsidRPr="00C8152C">
        <w:t xml:space="preserve"> or an associate of the responsible entity, who is authorised under an eligible agreement. </w:t>
      </w:r>
    </w:p>
    <w:p w:rsidR="000B313E" w:rsidRDefault="000B313E" w:rsidP="000B313E">
      <w:pPr>
        <w:ind w:left="1701"/>
      </w:pPr>
    </w:p>
    <w:p w:rsidR="000B313E" w:rsidRDefault="00C8152C" w:rsidP="000B313E">
      <w:pPr>
        <w:ind w:left="1701"/>
      </w:pPr>
      <w:proofErr w:type="gramStart"/>
      <w:r w:rsidRPr="00C8152C">
        <w:rPr>
          <w:b/>
          <w:bCs/>
          <w:i/>
          <w:iCs/>
        </w:rPr>
        <w:lastRenderedPageBreak/>
        <w:t>eligible</w:t>
      </w:r>
      <w:proofErr w:type="gramEnd"/>
      <w:r w:rsidRPr="00C8152C">
        <w:rPr>
          <w:b/>
          <w:bCs/>
          <w:i/>
          <w:iCs/>
        </w:rPr>
        <w:t xml:space="preserve"> agreement</w:t>
      </w:r>
      <w:r w:rsidRPr="00C8152C">
        <w:t>, in relation to an eligible agent, means a written agreement between the person and the agent which authorises the agent to receive a document on the person’s behalf in relation to the IDPS-like scheme.</w:t>
      </w:r>
    </w:p>
    <w:p w:rsidR="000B313E" w:rsidRDefault="000B313E" w:rsidP="000B313E">
      <w:pPr>
        <w:ind w:left="1701"/>
        <w:rPr>
          <w:lang w:val="en-US"/>
        </w:rPr>
      </w:pPr>
    </w:p>
    <w:p w:rsidR="000B313E" w:rsidRDefault="00C8152C" w:rsidP="000B313E">
      <w:pPr>
        <w:ind w:left="1701"/>
      </w:pPr>
      <w:r w:rsidRPr="00C8152C" w:rsidDel="00277BA3">
        <w:rPr>
          <w:bCs/>
          <w:iCs/>
          <w:lang w:val="en-US"/>
        </w:rPr>
        <w:t xml:space="preserve"> </w:t>
      </w:r>
      <w:r w:rsidRPr="00C8152C">
        <w:rPr>
          <w:b/>
          <w:i/>
        </w:rPr>
        <w:t>financial assets</w:t>
      </w:r>
      <w:r w:rsidRPr="00C8152C">
        <w:t xml:space="preserve"> has the same meaning as that term has in paragraph 11 of Accounting Standard AASB </w:t>
      </w:r>
      <w:r w:rsidR="00B014AC">
        <w:t xml:space="preserve">132 </w:t>
      </w:r>
      <w:r w:rsidR="00B014AC" w:rsidRPr="004519DC">
        <w:rPr>
          <w:i/>
        </w:rPr>
        <w:t>Financial Instruments: Presentation</w:t>
      </w:r>
      <w:r w:rsidR="00B014AC">
        <w:t xml:space="preserve"> as in force on 28 June 2013 and as amended from time to time by a disallowable legislative instrument within the meaning of the </w:t>
      </w:r>
      <w:r w:rsidR="00B014AC" w:rsidRPr="00B014AC">
        <w:rPr>
          <w:i/>
        </w:rPr>
        <w:t>Legislative Instruments Act 2003</w:t>
      </w:r>
      <w:r w:rsidR="00B014AC">
        <w:t>.</w:t>
      </w:r>
      <w:r w:rsidRPr="00C8152C">
        <w:t xml:space="preserve"> </w:t>
      </w:r>
    </w:p>
    <w:p w:rsidR="000B313E" w:rsidRDefault="000B313E" w:rsidP="000B313E">
      <w:pPr>
        <w:ind w:left="1701"/>
      </w:pPr>
    </w:p>
    <w:p w:rsidR="000B313E" w:rsidRDefault="00C8152C" w:rsidP="000B313E">
      <w:pPr>
        <w:ind w:left="1701"/>
      </w:pPr>
      <w:r w:rsidRPr="00C8152C">
        <w:rPr>
          <w:b/>
          <w:i/>
        </w:rPr>
        <w:t>IDPS</w:t>
      </w:r>
      <w:r w:rsidRPr="00C8152C">
        <w:t xml:space="preserve"> has the same meaning as in ASIC Class Order [CO 13/763].</w:t>
      </w:r>
    </w:p>
    <w:p w:rsidR="000B313E" w:rsidRDefault="000B313E" w:rsidP="000B313E">
      <w:pPr>
        <w:ind w:left="1701"/>
      </w:pPr>
    </w:p>
    <w:p w:rsidR="000B313E" w:rsidRDefault="00C8152C" w:rsidP="000B313E">
      <w:pPr>
        <w:ind w:left="1701"/>
      </w:pPr>
      <w:r w:rsidRPr="00C8152C">
        <w:rPr>
          <w:b/>
          <w:i/>
        </w:rPr>
        <w:t>IDPS-like scheme</w:t>
      </w:r>
      <w:r w:rsidRPr="00C8152C">
        <w:t xml:space="preserve"> means a registered managed investment scheme which has a constitution that has provisions to the effect that: </w:t>
      </w:r>
    </w:p>
    <w:p w:rsidR="000B313E" w:rsidRDefault="000B313E" w:rsidP="000B313E">
      <w:pPr>
        <w:ind w:left="1701"/>
      </w:pPr>
    </w:p>
    <w:p w:rsidR="000B313E" w:rsidRDefault="00C8152C" w:rsidP="000B313E">
      <w:pPr>
        <w:ind w:left="2268" w:hanging="567"/>
      </w:pPr>
      <w:r w:rsidRPr="00C8152C">
        <w:t>(a)</w:t>
      </w:r>
      <w:r w:rsidRPr="00C8152C">
        <w:tab/>
      </w:r>
      <w:proofErr w:type="gramStart"/>
      <w:r w:rsidRPr="00C8152C">
        <w:t>a</w:t>
      </w:r>
      <w:proofErr w:type="gramEnd"/>
      <w:r w:rsidRPr="00C8152C">
        <w:t xml:space="preserve"> member may give a </w:t>
      </w:r>
      <w:r w:rsidR="00C97D87">
        <w:t>direction</w:t>
      </w:r>
      <w:r w:rsidR="00C97D87" w:rsidRPr="00C8152C">
        <w:t xml:space="preserve"> </w:t>
      </w:r>
      <w:r w:rsidRPr="00C8152C">
        <w:t>that an amount of money corresponding to part or all of the amount invested by the member in the scheme be invested in specified accessible investments; and</w:t>
      </w:r>
    </w:p>
    <w:p w:rsidR="000B313E" w:rsidRDefault="000B313E" w:rsidP="000B313E">
      <w:pPr>
        <w:ind w:left="2268" w:hanging="567"/>
      </w:pPr>
    </w:p>
    <w:p w:rsidR="000B313E" w:rsidRDefault="00C8152C" w:rsidP="000B313E">
      <w:pPr>
        <w:ind w:left="2268" w:hanging="567"/>
        <w:rPr>
          <w:b/>
          <w:i/>
        </w:rPr>
      </w:pPr>
      <w:r w:rsidRPr="00C8152C">
        <w:t>(b)</w:t>
      </w:r>
      <w:r w:rsidRPr="00C8152C">
        <w:tab/>
      </w:r>
      <w:proofErr w:type="gramStart"/>
      <w:r w:rsidRPr="00C8152C">
        <w:t>the</w:t>
      </w:r>
      <w:proofErr w:type="gramEnd"/>
      <w:r w:rsidRPr="00C8152C">
        <w:t xml:space="preserve"> distributions of capital and income from the scheme to the member in relation to their interests in the scheme will be determined by reference to amounts received by the responsible entity or a custodian in relation to the accessible investments acquired </w:t>
      </w:r>
      <w:r w:rsidR="005E0D65">
        <w:t>under</w:t>
      </w:r>
      <w:r w:rsidRPr="00C8152C">
        <w:t xml:space="preserve"> that </w:t>
      </w:r>
      <w:r w:rsidR="00C97D87">
        <w:t>direction</w:t>
      </w:r>
      <w:r w:rsidRPr="00C8152C">
        <w:t>.</w:t>
      </w:r>
    </w:p>
    <w:p w:rsidR="000B313E" w:rsidRDefault="000B313E" w:rsidP="000B313E">
      <w:pPr>
        <w:ind w:left="1701"/>
      </w:pPr>
    </w:p>
    <w:p w:rsidR="000B313E" w:rsidRDefault="00C8152C" w:rsidP="000B313E">
      <w:pPr>
        <w:ind w:left="1701"/>
      </w:pPr>
      <w:proofErr w:type="gramStart"/>
      <w:r w:rsidRPr="00C8152C">
        <w:rPr>
          <w:b/>
          <w:i/>
        </w:rPr>
        <w:t>internal</w:t>
      </w:r>
      <w:proofErr w:type="gramEnd"/>
      <w:r w:rsidRPr="00C8152C">
        <w:rPr>
          <w:b/>
          <w:i/>
        </w:rPr>
        <w:t xml:space="preserve"> controls and other procedures</w:t>
      </w:r>
      <w:r w:rsidRPr="00C8152C">
        <w:t xml:space="preserve"> of a responsible entity include any alternative controls and procedures employed by the responsible entity to address deficiencies in the design or operation of established internal controls or other procedures.</w:t>
      </w:r>
    </w:p>
    <w:p w:rsidR="000B313E" w:rsidRDefault="000B313E" w:rsidP="000B313E">
      <w:pPr>
        <w:ind w:left="1701"/>
      </w:pPr>
    </w:p>
    <w:p w:rsidR="000B313E" w:rsidRDefault="00236C4E" w:rsidP="000B313E">
      <w:pPr>
        <w:ind w:left="1701"/>
        <w:rPr>
          <w:bCs/>
          <w:iCs/>
        </w:rPr>
      </w:pPr>
      <w:proofErr w:type="gramStart"/>
      <w:r>
        <w:rPr>
          <w:b/>
          <w:bCs/>
          <w:i/>
          <w:iCs/>
        </w:rPr>
        <w:t>missing</w:t>
      </w:r>
      <w:proofErr w:type="gramEnd"/>
      <w:r>
        <w:rPr>
          <w:b/>
          <w:bCs/>
          <w:i/>
          <w:iCs/>
        </w:rPr>
        <w:t xml:space="preserve"> document</w:t>
      </w:r>
      <w:r w:rsidRPr="00236C4E">
        <w:rPr>
          <w:bCs/>
          <w:iCs/>
        </w:rPr>
        <w:t xml:space="preserve"> has the same meaning as in the definition of </w:t>
      </w:r>
      <w:r w:rsidRPr="00236C4E">
        <w:rPr>
          <w:b/>
          <w:bCs/>
          <w:i/>
          <w:iCs/>
        </w:rPr>
        <w:t>regular savings plan</w:t>
      </w:r>
      <w:r w:rsidRPr="00236C4E">
        <w:rPr>
          <w:bCs/>
          <w:iCs/>
        </w:rPr>
        <w:t>.</w:t>
      </w:r>
    </w:p>
    <w:p w:rsidR="000B313E" w:rsidRDefault="000B313E" w:rsidP="000B313E">
      <w:pPr>
        <w:ind w:left="1701"/>
      </w:pPr>
    </w:p>
    <w:p w:rsidR="000B313E" w:rsidRDefault="00C8152C" w:rsidP="000B313E">
      <w:pPr>
        <w:ind w:left="1701"/>
      </w:pPr>
      <w:r w:rsidRPr="00C8152C">
        <w:rPr>
          <w:b/>
          <w:i/>
        </w:rPr>
        <w:t>NCS</w:t>
      </w:r>
      <w:r w:rsidRPr="00C8152C">
        <w:t xml:space="preserve"> has the same meaning as in ASIC Class Order [CO 02/295]</w:t>
      </w:r>
      <w:r w:rsidR="00B014AC" w:rsidRPr="00B014AC">
        <w:t xml:space="preserve"> as in force on 28 June 2013 and as amended from time to time by a disallowable legislative instrument within the meaning of the </w:t>
      </w:r>
      <w:r w:rsidR="00B014AC" w:rsidRPr="00B014AC">
        <w:rPr>
          <w:i/>
        </w:rPr>
        <w:t>Legislative Instruments Act 2003</w:t>
      </w:r>
      <w:r w:rsidRPr="00C8152C">
        <w:t>.</w:t>
      </w:r>
    </w:p>
    <w:p w:rsidR="000B313E" w:rsidRDefault="000B313E" w:rsidP="000B313E">
      <w:pPr>
        <w:ind w:left="1701"/>
        <w:rPr>
          <w:b/>
          <w:bCs/>
          <w:i/>
          <w:iCs/>
        </w:rPr>
      </w:pPr>
    </w:p>
    <w:p w:rsidR="000B313E" w:rsidRDefault="00C8152C" w:rsidP="000B313E">
      <w:pPr>
        <w:ind w:left="1701"/>
        <w:rPr>
          <w:bCs/>
          <w:iCs/>
          <w:lang w:val="en-US"/>
        </w:rPr>
      </w:pPr>
      <w:proofErr w:type="gramStart"/>
      <w:r w:rsidRPr="00C8152C">
        <w:rPr>
          <w:b/>
          <w:bCs/>
          <w:i/>
          <w:iCs/>
          <w:lang w:val="en-US"/>
        </w:rPr>
        <w:t>quarter</w:t>
      </w:r>
      <w:proofErr w:type="gramEnd"/>
      <w:r w:rsidRPr="00C8152C">
        <w:rPr>
          <w:bCs/>
          <w:iCs/>
          <w:lang w:val="en-US"/>
        </w:rPr>
        <w:t xml:space="preserve"> means a period of three months ending on a quarter day. </w:t>
      </w:r>
    </w:p>
    <w:p w:rsidR="000B313E" w:rsidRDefault="000B313E" w:rsidP="000B313E">
      <w:pPr>
        <w:ind w:left="1701"/>
        <w:rPr>
          <w:bCs/>
          <w:iCs/>
          <w:lang w:val="en-US"/>
        </w:rPr>
      </w:pPr>
    </w:p>
    <w:p w:rsidR="000B313E" w:rsidRDefault="00C8152C" w:rsidP="000B313E">
      <w:pPr>
        <w:ind w:left="1701"/>
        <w:rPr>
          <w:lang w:val="en-US"/>
        </w:rPr>
      </w:pPr>
      <w:proofErr w:type="gramStart"/>
      <w:r w:rsidRPr="00C8152C">
        <w:rPr>
          <w:b/>
          <w:i/>
          <w:lang w:val="en-US"/>
        </w:rPr>
        <w:t>quarter’s</w:t>
      </w:r>
      <w:proofErr w:type="gramEnd"/>
      <w:r w:rsidRPr="00C8152C">
        <w:rPr>
          <w:b/>
          <w:i/>
          <w:lang w:val="en-US"/>
        </w:rPr>
        <w:t xml:space="preserve"> end </w:t>
      </w:r>
      <w:r w:rsidRPr="00C8152C">
        <w:rPr>
          <w:lang w:val="en-US"/>
        </w:rPr>
        <w:t xml:space="preserve">means, in relation to electronic access to information under </w:t>
      </w:r>
      <w:r w:rsidR="00B67F76" w:rsidRPr="00236C4E">
        <w:rPr>
          <w:lang w:val="en-US"/>
        </w:rPr>
        <w:t>paragraph</w:t>
      </w:r>
      <w:r w:rsidR="00B67F76" w:rsidRPr="00236C4E">
        <w:t xml:space="preserve"> </w:t>
      </w:r>
      <w:r w:rsidR="00B67F76" w:rsidRPr="00236C4E">
        <w:rPr>
          <w:lang w:val="en-US"/>
        </w:rPr>
        <w:t>(</w:t>
      </w:r>
      <w:r w:rsidR="00F50CF5" w:rsidRPr="00F50CF5">
        <w:rPr>
          <w:lang w:val="en-US"/>
        </w:rPr>
        <w:t>9</w:t>
      </w:r>
      <w:r w:rsidR="00B67F76" w:rsidRPr="00236C4E">
        <w:rPr>
          <w:lang w:val="en-US"/>
        </w:rPr>
        <w:t>)(b):</w:t>
      </w:r>
      <w:r w:rsidRPr="00C8152C">
        <w:rPr>
          <w:lang w:val="en-US"/>
        </w:rPr>
        <w:br/>
      </w:r>
    </w:p>
    <w:p w:rsidR="000B313E" w:rsidRDefault="00C8152C" w:rsidP="000B313E">
      <w:pPr>
        <w:ind w:left="2268" w:hanging="567"/>
        <w:rPr>
          <w:lang w:val="en-US"/>
        </w:rPr>
      </w:pPr>
      <w:r w:rsidRPr="00C8152C">
        <w:rPr>
          <w:lang w:val="en-US"/>
        </w:rPr>
        <w:t xml:space="preserve">(a) </w:t>
      </w:r>
      <w:r w:rsidR="00BE0B99">
        <w:rPr>
          <w:lang w:val="en-US"/>
        </w:rPr>
        <w:tab/>
      </w:r>
      <w:proofErr w:type="gramStart"/>
      <w:r w:rsidRPr="00C8152C">
        <w:rPr>
          <w:lang w:val="en-US"/>
        </w:rPr>
        <w:t>the</w:t>
      </w:r>
      <w:proofErr w:type="gramEnd"/>
      <w:r w:rsidRPr="00C8152C">
        <w:rPr>
          <w:lang w:val="en-US"/>
        </w:rPr>
        <w:t xml:space="preserve"> end of the day that is a quarter day; or</w:t>
      </w:r>
      <w:r w:rsidRPr="00C8152C">
        <w:rPr>
          <w:lang w:val="en-US"/>
        </w:rPr>
        <w:br/>
      </w:r>
    </w:p>
    <w:p w:rsidR="000B313E" w:rsidRDefault="00C8152C" w:rsidP="000B313E">
      <w:pPr>
        <w:ind w:left="2268" w:hanging="567"/>
        <w:rPr>
          <w:lang w:val="en-US"/>
        </w:rPr>
      </w:pPr>
      <w:r w:rsidRPr="00C8152C">
        <w:rPr>
          <w:lang w:val="en-US"/>
        </w:rPr>
        <w:lastRenderedPageBreak/>
        <w:t xml:space="preserve">(b) </w:t>
      </w:r>
      <w:r w:rsidRPr="00C8152C">
        <w:rPr>
          <w:lang w:val="en-US"/>
        </w:rPr>
        <w:tab/>
      </w:r>
      <w:proofErr w:type="gramStart"/>
      <w:r w:rsidRPr="00C8152C">
        <w:rPr>
          <w:lang w:val="en-US"/>
        </w:rPr>
        <w:t>where</w:t>
      </w:r>
      <w:proofErr w:type="gramEnd"/>
      <w:r w:rsidRPr="00C8152C">
        <w:rPr>
          <w:lang w:val="en-US"/>
        </w:rPr>
        <w:t xml:space="preserve"> such access is not given at the time mentioned in paragraph (a)</w:t>
      </w:r>
      <w:r w:rsidR="00BE0B99">
        <w:rPr>
          <w:lang w:val="en-US"/>
        </w:rPr>
        <w:t xml:space="preserve">, </w:t>
      </w:r>
      <w:r w:rsidRPr="00C8152C">
        <w:rPr>
          <w:lang w:val="en-US"/>
        </w:rPr>
        <w:t>the time at which access is first given after that time.</w:t>
      </w:r>
    </w:p>
    <w:p w:rsidR="000B313E" w:rsidRDefault="000B313E" w:rsidP="000B313E">
      <w:pPr>
        <w:ind w:left="1701"/>
        <w:rPr>
          <w:b/>
          <w:bCs/>
          <w:i/>
          <w:iCs/>
          <w:lang w:val="en-US"/>
        </w:rPr>
      </w:pPr>
    </w:p>
    <w:p w:rsidR="000B313E" w:rsidRDefault="00C8152C" w:rsidP="000B313E">
      <w:pPr>
        <w:ind w:left="1701"/>
        <w:rPr>
          <w:b/>
          <w:i/>
          <w:lang w:val="en-US"/>
        </w:rPr>
      </w:pPr>
      <w:proofErr w:type="gramStart"/>
      <w:r w:rsidRPr="00C8152C">
        <w:rPr>
          <w:b/>
          <w:i/>
          <w:lang w:val="en-US"/>
        </w:rPr>
        <w:t>quarterly</w:t>
      </w:r>
      <w:proofErr w:type="gramEnd"/>
      <w:r w:rsidRPr="00C8152C">
        <w:rPr>
          <w:b/>
          <w:i/>
          <w:lang w:val="en-US"/>
        </w:rPr>
        <w:t xml:space="preserve"> report </w:t>
      </w:r>
      <w:r w:rsidRPr="00C8152C">
        <w:rPr>
          <w:lang w:val="en-US"/>
        </w:rPr>
        <w:t>means a report for a quarter under subsection (1</w:t>
      </w:r>
      <w:r w:rsidR="00236C4E">
        <w:rPr>
          <w:lang w:val="en-US"/>
        </w:rPr>
        <w:t>1</w:t>
      </w:r>
      <w:r w:rsidRPr="00C8152C">
        <w:rPr>
          <w:lang w:val="en-US"/>
        </w:rPr>
        <w:t>).</w:t>
      </w:r>
    </w:p>
    <w:p w:rsidR="000B313E" w:rsidRDefault="000B313E" w:rsidP="000B313E">
      <w:pPr>
        <w:ind w:left="1701"/>
        <w:rPr>
          <w:b/>
          <w:bCs/>
          <w:i/>
          <w:iCs/>
          <w:lang w:val="en-US"/>
        </w:rPr>
      </w:pPr>
    </w:p>
    <w:p w:rsidR="000B313E" w:rsidRDefault="00236C4E" w:rsidP="000B313E">
      <w:pPr>
        <w:ind w:left="1701"/>
        <w:rPr>
          <w:bCs/>
          <w:iCs/>
        </w:rPr>
      </w:pPr>
      <w:proofErr w:type="gramStart"/>
      <w:r w:rsidRPr="00236C4E">
        <w:rPr>
          <w:b/>
          <w:bCs/>
          <w:i/>
          <w:iCs/>
        </w:rPr>
        <w:t>regular</w:t>
      </w:r>
      <w:proofErr w:type="gramEnd"/>
      <w:r w:rsidRPr="00236C4E">
        <w:rPr>
          <w:b/>
          <w:bCs/>
          <w:i/>
          <w:iCs/>
        </w:rPr>
        <w:t xml:space="preserve"> savings acquisition</w:t>
      </w:r>
      <w:r>
        <w:rPr>
          <w:bCs/>
          <w:iCs/>
        </w:rPr>
        <w:t xml:space="preserve"> has the same meaning as in the definition of </w:t>
      </w:r>
      <w:r w:rsidR="00F50CF5" w:rsidRPr="00F50CF5">
        <w:rPr>
          <w:b/>
          <w:bCs/>
          <w:i/>
          <w:iCs/>
        </w:rPr>
        <w:t>regular savings plan</w:t>
      </w:r>
      <w:r>
        <w:rPr>
          <w:bCs/>
          <w:iCs/>
        </w:rPr>
        <w:t>.</w:t>
      </w:r>
    </w:p>
    <w:p w:rsidR="000B313E" w:rsidRDefault="000B313E" w:rsidP="000B313E">
      <w:pPr>
        <w:ind w:left="1701"/>
        <w:rPr>
          <w:bCs/>
          <w:iCs/>
        </w:rPr>
      </w:pPr>
    </w:p>
    <w:p w:rsidR="000B313E" w:rsidRDefault="00C8152C" w:rsidP="000B313E">
      <w:pPr>
        <w:ind w:left="1701"/>
      </w:pPr>
      <w:proofErr w:type="gramStart"/>
      <w:r w:rsidRPr="00C8152C">
        <w:rPr>
          <w:b/>
          <w:bCs/>
          <w:i/>
          <w:iCs/>
        </w:rPr>
        <w:t>regular</w:t>
      </w:r>
      <w:proofErr w:type="gramEnd"/>
      <w:r w:rsidRPr="00C8152C">
        <w:rPr>
          <w:b/>
          <w:bCs/>
          <w:i/>
          <w:iCs/>
        </w:rPr>
        <w:t xml:space="preserve"> savings plan</w:t>
      </w:r>
      <w:r w:rsidRPr="00C8152C">
        <w:t xml:space="preserve"> means a written arrangement between the responsible entity of an IDPS-like scheme and a member to the effect that:</w:t>
      </w:r>
    </w:p>
    <w:p w:rsidR="000B313E" w:rsidRDefault="000B313E" w:rsidP="000B313E">
      <w:pPr>
        <w:ind w:left="1701"/>
        <w:rPr>
          <w:b/>
          <w:bCs/>
          <w:i/>
          <w:iCs/>
        </w:rPr>
      </w:pPr>
    </w:p>
    <w:p w:rsidR="000B313E" w:rsidRDefault="00C8152C" w:rsidP="000B313E">
      <w:pPr>
        <w:ind w:left="2268" w:hanging="567"/>
      </w:pPr>
      <w:r w:rsidRPr="00C8152C">
        <w:t>(a)</w:t>
      </w:r>
      <w:r w:rsidRPr="00C8152C">
        <w:tab/>
        <w:t xml:space="preserve">the member instructs the responsible entity to acquire specified accessible financial products by way of periodic payments of a specified amount and at specified intervals (each such acquisition is a </w:t>
      </w:r>
      <w:r w:rsidRPr="00C8152C">
        <w:rPr>
          <w:b/>
          <w:i/>
        </w:rPr>
        <w:t>regular savings acquisition</w:t>
      </w:r>
      <w:r w:rsidRPr="00C8152C">
        <w:t>); and</w:t>
      </w:r>
    </w:p>
    <w:p w:rsidR="000B313E" w:rsidRDefault="000B313E" w:rsidP="000B313E">
      <w:pPr>
        <w:ind w:left="2268" w:hanging="567"/>
      </w:pPr>
    </w:p>
    <w:p w:rsidR="000B313E" w:rsidRDefault="00C8152C" w:rsidP="000B313E">
      <w:pPr>
        <w:ind w:left="2268" w:hanging="567"/>
      </w:pPr>
      <w:r w:rsidRPr="00C8152C">
        <w:t>(b)</w:t>
      </w:r>
      <w:r w:rsidRPr="00C8152C">
        <w:tab/>
        <w:t xml:space="preserve">the member acknowledges that under the regular savings plan a regular savings acquisition of an accessible financial product may occur without the member having been given a current Product Disclosure Statement </w:t>
      </w:r>
      <w:r w:rsidR="008503C0" w:rsidRPr="008503C0">
        <w:t xml:space="preserve"> (</w:t>
      </w:r>
      <w:r w:rsidR="008503C0" w:rsidRPr="008503C0">
        <w:rPr>
          <w:b/>
          <w:i/>
        </w:rPr>
        <w:t>missing document</w:t>
      </w:r>
      <w:r w:rsidR="008503C0" w:rsidRPr="008503C0">
        <w:t xml:space="preserve">) </w:t>
      </w:r>
      <w:r w:rsidRPr="00C8152C">
        <w:t>in relation to the accessible financial product; and</w:t>
      </w:r>
    </w:p>
    <w:p w:rsidR="000B313E" w:rsidRDefault="000B313E" w:rsidP="000B313E">
      <w:pPr>
        <w:ind w:left="2268" w:hanging="567"/>
      </w:pPr>
    </w:p>
    <w:p w:rsidR="000B313E" w:rsidRDefault="00C8152C" w:rsidP="000B313E">
      <w:pPr>
        <w:ind w:left="2268" w:hanging="567"/>
      </w:pPr>
      <w:r w:rsidRPr="00C8152C">
        <w:t>(c)</w:t>
      </w:r>
      <w:r w:rsidRPr="00C8152C">
        <w:tab/>
        <w:t>the responsible entity agrees to give access to the member to what it reasonably believes is the most current missing document relating to an accessible financial product (unless this would not be required if the acquisition were not under a regular savings plan) that may be acquired under the regular savings plan as soon as reasonably practicable and in any event by the fifth business day after the responsible entity receives what the responsible entity reasonably believes is the most current missing document; and</w:t>
      </w:r>
    </w:p>
    <w:p w:rsidR="000B313E" w:rsidRDefault="000B313E" w:rsidP="000B313E">
      <w:pPr>
        <w:ind w:left="2268" w:hanging="567"/>
      </w:pPr>
    </w:p>
    <w:p w:rsidR="000B313E" w:rsidRDefault="00C8152C" w:rsidP="000B313E">
      <w:pPr>
        <w:ind w:left="2268" w:hanging="567"/>
      </w:pPr>
      <w:r w:rsidRPr="00C8152C">
        <w:t>(d)</w:t>
      </w:r>
      <w:r w:rsidRPr="00C8152C">
        <w:tab/>
        <w:t>the member acknowledges that regular savings acquisitions will continue to be made under the regular savings plan until the member instructs the responsible entity otherwise or the arrangement constituting the regular savings plan is terminated; and</w:t>
      </w:r>
    </w:p>
    <w:p w:rsidR="000B313E" w:rsidRDefault="000B313E" w:rsidP="000B313E">
      <w:pPr>
        <w:ind w:left="1701"/>
      </w:pPr>
    </w:p>
    <w:p w:rsidR="000B313E" w:rsidRDefault="00C8152C" w:rsidP="000B313E">
      <w:pPr>
        <w:ind w:left="1701"/>
      </w:pPr>
      <w:proofErr w:type="gramStart"/>
      <w:r w:rsidRPr="00C8152C">
        <w:t>where</w:t>
      </w:r>
      <w:proofErr w:type="gramEnd"/>
      <w:r w:rsidRPr="00C8152C">
        <w:t xml:space="preserve"> the member:</w:t>
      </w:r>
      <w:r w:rsidRPr="00C8152C">
        <w:br/>
      </w:r>
    </w:p>
    <w:p w:rsidR="000B313E" w:rsidRDefault="00C8152C" w:rsidP="000B313E">
      <w:pPr>
        <w:ind w:left="2268" w:hanging="567"/>
      </w:pPr>
      <w:r w:rsidRPr="00C8152C">
        <w:t>(e)</w:t>
      </w:r>
      <w:r w:rsidRPr="00C8152C">
        <w:tab/>
      </w:r>
      <w:proofErr w:type="gramStart"/>
      <w:r w:rsidRPr="00C8152C">
        <w:t>before</w:t>
      </w:r>
      <w:proofErr w:type="gramEnd"/>
      <w:r w:rsidRPr="00C8152C">
        <w:t xml:space="preserve"> entering into the arrangement has been given the Product Disclosure Statement of the IDPS-like scheme containing a statement; and</w:t>
      </w:r>
    </w:p>
    <w:p w:rsidR="000B313E" w:rsidRDefault="000B313E" w:rsidP="000B313E">
      <w:pPr>
        <w:ind w:left="2268" w:hanging="567"/>
      </w:pPr>
    </w:p>
    <w:p w:rsidR="000B313E" w:rsidRDefault="00C8152C" w:rsidP="000B313E">
      <w:pPr>
        <w:ind w:left="2268" w:hanging="567"/>
      </w:pPr>
      <w:r w:rsidRPr="00C8152C">
        <w:t>(f)</w:t>
      </w:r>
      <w:r w:rsidRPr="00C8152C">
        <w:tab/>
      </w:r>
      <w:proofErr w:type="gramStart"/>
      <w:r w:rsidRPr="00C8152C">
        <w:t>has</w:t>
      </w:r>
      <w:proofErr w:type="gramEnd"/>
      <w:r w:rsidRPr="00C8152C">
        <w:t xml:space="preserve"> been given advice quarterly in writing;</w:t>
      </w:r>
    </w:p>
    <w:p w:rsidR="000B313E" w:rsidRDefault="000B313E" w:rsidP="000B313E">
      <w:pPr>
        <w:ind w:left="2268" w:hanging="567"/>
      </w:pPr>
    </w:p>
    <w:p w:rsidR="000B313E" w:rsidRDefault="00C8152C" w:rsidP="000B313E">
      <w:pPr>
        <w:ind w:left="1701"/>
      </w:pPr>
      <w:proofErr w:type="gramStart"/>
      <w:r w:rsidRPr="00C8152C">
        <w:t>to</w:t>
      </w:r>
      <w:proofErr w:type="gramEnd"/>
      <w:r w:rsidRPr="00C8152C">
        <w:t xml:space="preserve"> the effect that the member may not have the current Product Disclosure Statement for an accessible financial product at the time a regular savings acquisition of the accessible financial product is made. </w:t>
      </w:r>
    </w:p>
    <w:p w:rsidR="000B313E" w:rsidRDefault="000B313E" w:rsidP="000B313E">
      <w:pPr>
        <w:ind w:left="1701" w:hanging="567"/>
      </w:pPr>
    </w:p>
    <w:p w:rsidR="000B313E" w:rsidRDefault="00C8152C" w:rsidP="000B313E">
      <w:pPr>
        <w:ind w:left="1701" w:hanging="567"/>
      </w:pPr>
      <w:r w:rsidRPr="00C8152C">
        <w:t>(</w:t>
      </w:r>
      <w:r w:rsidR="00F80767">
        <w:t>20</w:t>
      </w:r>
      <w:r w:rsidRPr="00C8152C">
        <w:t>)</w:t>
      </w:r>
      <w:r w:rsidRPr="00C8152C">
        <w:tab/>
        <w:t xml:space="preserve">For the purposes of this section: </w:t>
      </w:r>
    </w:p>
    <w:p w:rsidR="000B313E" w:rsidRDefault="000B313E" w:rsidP="000B313E">
      <w:pPr>
        <w:ind w:left="1701" w:hanging="567"/>
      </w:pPr>
    </w:p>
    <w:p w:rsidR="000B313E" w:rsidRDefault="00C8152C" w:rsidP="000B313E">
      <w:pPr>
        <w:pStyle w:val="Style4"/>
        <w:ind w:left="2268"/>
      </w:pPr>
      <w:r w:rsidRPr="00C8152C">
        <w:t>(a)</w:t>
      </w:r>
      <w:r w:rsidRPr="00C8152C">
        <w:tab/>
      </w:r>
      <w:proofErr w:type="gramStart"/>
      <w:r w:rsidRPr="00C8152C">
        <w:t>the</w:t>
      </w:r>
      <w:proofErr w:type="gramEnd"/>
      <w:r w:rsidRPr="00C8152C">
        <w:t xml:space="preserve"> circumstances in which the responsible entity</w:t>
      </w:r>
      <w:r w:rsidR="00B014AC">
        <w:t xml:space="preserve"> </w:t>
      </w:r>
      <w:r w:rsidRPr="00C8152C">
        <w:t xml:space="preserve">of an IDPS-like scheme </w:t>
      </w:r>
      <w:r w:rsidR="00B014AC" w:rsidRPr="00B014AC">
        <w:t xml:space="preserve">or a custodian </w:t>
      </w:r>
      <w:r w:rsidRPr="00C8152C">
        <w:t xml:space="preserve">acquires an accessible investment </w:t>
      </w:r>
      <w:r w:rsidR="005E0D65">
        <w:t>under</w:t>
      </w:r>
      <w:r w:rsidRPr="00C8152C">
        <w:t xml:space="preserve"> a </w:t>
      </w:r>
      <w:r w:rsidR="00C97D87">
        <w:t>direction</w:t>
      </w:r>
      <w:r w:rsidR="00C97D87" w:rsidRPr="00C8152C">
        <w:t xml:space="preserve"> </w:t>
      </w:r>
      <w:r w:rsidRPr="00C8152C">
        <w:t>of a member include:</w:t>
      </w:r>
    </w:p>
    <w:p w:rsidR="000B313E" w:rsidRDefault="000B313E" w:rsidP="000B313E">
      <w:pPr>
        <w:ind w:left="1701" w:hanging="567"/>
      </w:pPr>
    </w:p>
    <w:p w:rsidR="000B313E" w:rsidRDefault="00C8152C" w:rsidP="000B313E">
      <w:pPr>
        <w:pStyle w:val="Style5"/>
        <w:ind w:left="2835"/>
      </w:pPr>
      <w:r w:rsidRPr="00C8152C">
        <w:t>(</w:t>
      </w:r>
      <w:proofErr w:type="spellStart"/>
      <w:r w:rsidRPr="00C8152C">
        <w:t>i</w:t>
      </w:r>
      <w:proofErr w:type="spellEnd"/>
      <w:r w:rsidRPr="00C8152C">
        <w:t>)</w:t>
      </w:r>
      <w:r w:rsidRPr="00C8152C">
        <w:tab/>
      </w:r>
      <w:proofErr w:type="gramStart"/>
      <w:r w:rsidRPr="00C8152C">
        <w:t>an</w:t>
      </w:r>
      <w:proofErr w:type="gramEnd"/>
      <w:r w:rsidRPr="00C8152C">
        <w:t xml:space="preserve"> allocation of entitlements relating to an accessible investment to the interest of the member; and</w:t>
      </w:r>
      <w:r w:rsidRPr="00C8152C">
        <w:br/>
      </w:r>
    </w:p>
    <w:p w:rsidR="000B313E" w:rsidRDefault="00C8152C" w:rsidP="000B313E">
      <w:pPr>
        <w:pStyle w:val="Style5"/>
        <w:ind w:left="2835"/>
      </w:pPr>
      <w:r w:rsidRPr="00C8152C">
        <w:t>(ii)</w:t>
      </w:r>
      <w:r w:rsidRPr="00C8152C">
        <w:tab/>
      </w:r>
      <w:proofErr w:type="gramStart"/>
      <w:r w:rsidRPr="00C8152C">
        <w:t>an</w:t>
      </w:r>
      <w:proofErr w:type="gramEnd"/>
      <w:r w:rsidRPr="00C8152C">
        <w:t xml:space="preserve"> increased investment in an accessible financial product in respect of which a member’s interest has been allocated entitlements;</w:t>
      </w:r>
    </w:p>
    <w:p w:rsidR="000B313E" w:rsidRDefault="000B313E" w:rsidP="000B313E">
      <w:pPr>
        <w:ind w:left="1701" w:hanging="567"/>
      </w:pPr>
    </w:p>
    <w:p w:rsidR="000B313E" w:rsidRDefault="005E0D65" w:rsidP="000B313E">
      <w:pPr>
        <w:pStyle w:val="Style5"/>
        <w:ind w:left="2835"/>
      </w:pPr>
      <w:proofErr w:type="gramStart"/>
      <w:r>
        <w:t>under</w:t>
      </w:r>
      <w:proofErr w:type="gramEnd"/>
      <w:r w:rsidR="00C8152C" w:rsidRPr="00C8152C">
        <w:t xml:space="preserve"> a </w:t>
      </w:r>
      <w:r w:rsidR="00C97D87">
        <w:t>direction</w:t>
      </w:r>
      <w:r w:rsidR="00C97D87" w:rsidRPr="00C8152C">
        <w:t xml:space="preserve"> </w:t>
      </w:r>
      <w:r w:rsidR="00C8152C" w:rsidRPr="00C8152C">
        <w:t>of the member; and</w:t>
      </w:r>
    </w:p>
    <w:p w:rsidR="000B313E" w:rsidRDefault="000B313E" w:rsidP="000B313E">
      <w:pPr>
        <w:ind w:left="1701" w:hanging="567"/>
        <w:rPr>
          <w:b/>
          <w:i/>
        </w:rPr>
      </w:pPr>
    </w:p>
    <w:p w:rsidR="000B313E" w:rsidRDefault="00C8152C" w:rsidP="000B313E">
      <w:pPr>
        <w:pStyle w:val="Style4"/>
        <w:ind w:left="2268"/>
        <w:rPr>
          <w:lang w:val="en-US"/>
        </w:rPr>
      </w:pPr>
      <w:r w:rsidRPr="00C8152C">
        <w:t>(b)</w:t>
      </w:r>
      <w:r w:rsidRPr="00C8152C">
        <w:tab/>
      </w:r>
      <w:proofErr w:type="gramStart"/>
      <w:r w:rsidRPr="00C8152C">
        <w:t>a</w:t>
      </w:r>
      <w:proofErr w:type="gramEnd"/>
      <w:r w:rsidRPr="00C8152C">
        <w:t xml:space="preserve"> financial product is of the same kind as another financial product if the products would be of the same kind for the purposes of section 1012D.</w:t>
      </w:r>
      <w:r w:rsidR="009155CA">
        <w:t>”.</w:t>
      </w:r>
    </w:p>
    <w:p w:rsidR="000437EA" w:rsidRDefault="000437EA">
      <w:pPr>
        <w:ind w:left="2127" w:hanging="709"/>
        <w:rPr>
          <w:lang w:val="en-US"/>
        </w:rPr>
      </w:pPr>
    </w:p>
    <w:p w:rsidR="00236C4E" w:rsidRDefault="00EE55AB">
      <w:pPr>
        <w:ind w:left="567" w:hanging="567"/>
        <w:rPr>
          <w:lang w:val="en-US"/>
        </w:rPr>
      </w:pPr>
      <w:r>
        <w:rPr>
          <w:lang w:val="en-US"/>
        </w:rPr>
        <w:t>7</w:t>
      </w:r>
      <w:r w:rsidR="00003CD8">
        <w:rPr>
          <w:lang w:val="en-US"/>
        </w:rPr>
        <w:t>.</w:t>
      </w:r>
      <w:r w:rsidR="003F4DE0">
        <w:rPr>
          <w:lang w:val="en-US"/>
        </w:rPr>
        <w:tab/>
      </w:r>
      <w:r w:rsidR="006D2B72">
        <w:rPr>
          <w:lang w:val="en-US"/>
        </w:rPr>
        <w:t>Div</w:t>
      </w:r>
      <w:r w:rsidR="00167B47">
        <w:rPr>
          <w:lang w:val="en-US"/>
        </w:rPr>
        <w:t>ision</w:t>
      </w:r>
      <w:r w:rsidR="006D2B72">
        <w:rPr>
          <w:lang w:val="en-US"/>
        </w:rPr>
        <w:t xml:space="preserve"> 5 of Part 7.9</w:t>
      </w:r>
      <w:r w:rsidR="00A61F93">
        <w:rPr>
          <w:lang w:val="en-US"/>
        </w:rPr>
        <w:t xml:space="preserve"> appl</w:t>
      </w:r>
      <w:r w:rsidR="006D2B72">
        <w:rPr>
          <w:lang w:val="en-US"/>
        </w:rPr>
        <w:t>ies</w:t>
      </w:r>
      <w:r w:rsidR="00A61F93" w:rsidRPr="00A61F93">
        <w:rPr>
          <w:lang w:val="en-US"/>
        </w:rPr>
        <w:t xml:space="preserve"> </w:t>
      </w:r>
      <w:r w:rsidR="00335307">
        <w:rPr>
          <w:lang w:val="en-US"/>
        </w:rPr>
        <w:t xml:space="preserve">in relation to </w:t>
      </w:r>
      <w:r w:rsidR="00BB7926">
        <w:rPr>
          <w:lang w:val="en-US"/>
        </w:rPr>
        <w:t xml:space="preserve">the responsible entity of an IDPS-like scheme </w:t>
      </w:r>
      <w:r w:rsidR="00A61F93" w:rsidRPr="00A61F93">
        <w:rPr>
          <w:lang w:val="en-US"/>
        </w:rPr>
        <w:t xml:space="preserve">as if the provisions of that </w:t>
      </w:r>
      <w:r w:rsidR="00167B47">
        <w:rPr>
          <w:lang w:val="en-US"/>
        </w:rPr>
        <w:t>Division</w:t>
      </w:r>
      <w:r w:rsidR="00167B47" w:rsidRPr="00A61F93">
        <w:rPr>
          <w:lang w:val="en-US"/>
        </w:rPr>
        <w:t xml:space="preserve"> </w:t>
      </w:r>
      <w:r w:rsidR="00A61F93" w:rsidRPr="00A61F93">
        <w:rPr>
          <w:lang w:val="en-US"/>
        </w:rPr>
        <w:t>were modified or varied as follows:</w:t>
      </w:r>
    </w:p>
    <w:p w:rsidR="000437EA" w:rsidRDefault="000437EA">
      <w:pPr>
        <w:ind w:left="567" w:hanging="567"/>
        <w:rPr>
          <w:lang w:val="en-US"/>
        </w:rPr>
      </w:pPr>
    </w:p>
    <w:p w:rsidR="004F7BA3" w:rsidRDefault="00BD1D4E">
      <w:pPr>
        <w:ind w:left="1134" w:hanging="567"/>
        <w:rPr>
          <w:lang w:val="en-US"/>
        </w:rPr>
      </w:pPr>
      <w:r>
        <w:rPr>
          <w:lang w:val="en-US"/>
        </w:rPr>
        <w:t>(a</w:t>
      </w:r>
      <w:r w:rsidR="00A61F93">
        <w:rPr>
          <w:lang w:val="en-US"/>
        </w:rPr>
        <w:t>)</w:t>
      </w:r>
      <w:r w:rsidR="006D2B72">
        <w:rPr>
          <w:lang w:val="en-US"/>
        </w:rPr>
        <w:tab/>
      </w:r>
      <w:proofErr w:type="gramStart"/>
      <w:r w:rsidR="00616FA2">
        <w:rPr>
          <w:lang w:val="en-US"/>
        </w:rPr>
        <w:t>i</w:t>
      </w:r>
      <w:r w:rsidR="006D2B72">
        <w:rPr>
          <w:lang w:val="en-US"/>
        </w:rPr>
        <w:t>n</w:t>
      </w:r>
      <w:proofErr w:type="gramEnd"/>
      <w:r w:rsidR="006D2B72">
        <w:rPr>
          <w:lang w:val="en-US"/>
        </w:rPr>
        <w:t xml:space="preserve"> subsection 1019A(1), after “(2),”, </w:t>
      </w:r>
      <w:r w:rsidR="00006918">
        <w:rPr>
          <w:lang w:val="en-US"/>
        </w:rPr>
        <w:t xml:space="preserve">omit </w:t>
      </w:r>
      <w:r w:rsidR="006D2B72">
        <w:rPr>
          <w:lang w:val="en-US"/>
        </w:rPr>
        <w:t>“this Division” and substitute “sections 1019A and 1019B”</w:t>
      </w:r>
      <w:r w:rsidR="0015687C">
        <w:rPr>
          <w:lang w:val="en-US"/>
        </w:rPr>
        <w:t>;</w:t>
      </w:r>
      <w:r w:rsidR="00616FA2">
        <w:rPr>
          <w:lang w:val="en-US"/>
        </w:rPr>
        <w:t xml:space="preserve"> and</w:t>
      </w:r>
    </w:p>
    <w:p w:rsidR="000437EA" w:rsidRDefault="000437EA">
      <w:pPr>
        <w:ind w:left="567" w:hanging="567"/>
        <w:rPr>
          <w:lang w:val="en-US"/>
        </w:rPr>
      </w:pPr>
    </w:p>
    <w:p w:rsidR="004F7BA3" w:rsidRDefault="00BD1D4E">
      <w:pPr>
        <w:ind w:left="1134" w:hanging="567"/>
        <w:rPr>
          <w:lang w:val="en-US"/>
        </w:rPr>
      </w:pPr>
      <w:r>
        <w:rPr>
          <w:lang w:val="en-US"/>
        </w:rPr>
        <w:t>(b</w:t>
      </w:r>
      <w:r w:rsidR="006D2B72">
        <w:rPr>
          <w:lang w:val="en-US"/>
        </w:rPr>
        <w:t>)</w:t>
      </w:r>
      <w:r w:rsidR="006D2B72">
        <w:rPr>
          <w:lang w:val="en-US"/>
        </w:rPr>
        <w:tab/>
      </w:r>
      <w:proofErr w:type="gramStart"/>
      <w:r w:rsidR="00616FA2">
        <w:rPr>
          <w:lang w:val="en-US"/>
        </w:rPr>
        <w:t>a</w:t>
      </w:r>
      <w:r w:rsidR="00A61F93">
        <w:rPr>
          <w:lang w:val="en-US"/>
        </w:rPr>
        <w:t>fter</w:t>
      </w:r>
      <w:proofErr w:type="gramEnd"/>
      <w:r w:rsidR="00A61F93">
        <w:rPr>
          <w:lang w:val="en-US"/>
        </w:rPr>
        <w:t xml:space="preserve"> subparagraph 1019A(1)(a)(v) omit “and”, </w:t>
      </w:r>
      <w:r w:rsidR="0015687C">
        <w:rPr>
          <w:lang w:val="en-US"/>
        </w:rPr>
        <w:t xml:space="preserve">and </w:t>
      </w:r>
      <w:r w:rsidR="00006918">
        <w:rPr>
          <w:lang w:val="en-US"/>
        </w:rPr>
        <w:t>substitute</w:t>
      </w:r>
      <w:r w:rsidR="0015687C">
        <w:rPr>
          <w:lang w:val="en-US"/>
        </w:rPr>
        <w:t>:</w:t>
      </w:r>
    </w:p>
    <w:p w:rsidR="000437EA" w:rsidRDefault="000437EA">
      <w:pPr>
        <w:ind w:left="1418" w:hanging="851"/>
        <w:rPr>
          <w:lang w:val="en-US"/>
        </w:rPr>
      </w:pPr>
    </w:p>
    <w:p w:rsidR="000437EA" w:rsidRDefault="00A61F93" w:rsidP="00DE58DE">
      <w:pPr>
        <w:ind w:left="1134"/>
        <w:rPr>
          <w:lang w:val="en-US"/>
        </w:rPr>
      </w:pPr>
      <w:r>
        <w:rPr>
          <w:lang w:val="en-US"/>
        </w:rPr>
        <w:t>“</w:t>
      </w:r>
    </w:p>
    <w:p w:rsidR="000437EA" w:rsidRDefault="00A61F93" w:rsidP="00DE58DE">
      <w:pPr>
        <w:ind w:left="1134"/>
        <w:rPr>
          <w:lang w:val="en-US"/>
        </w:rPr>
      </w:pPr>
      <w:proofErr w:type="gramStart"/>
      <w:r>
        <w:rPr>
          <w:lang w:val="en-US"/>
        </w:rPr>
        <w:t>but</w:t>
      </w:r>
      <w:proofErr w:type="gramEnd"/>
      <w:r>
        <w:rPr>
          <w:lang w:val="en-US"/>
        </w:rPr>
        <w:t xml:space="preserve"> not includ</w:t>
      </w:r>
      <w:r w:rsidR="006432E1">
        <w:rPr>
          <w:lang w:val="en-US"/>
        </w:rPr>
        <w:t>ing</w:t>
      </w:r>
      <w:r w:rsidR="00167B47">
        <w:rPr>
          <w:lang w:val="en-US"/>
        </w:rPr>
        <w:t>:</w:t>
      </w:r>
      <w:r>
        <w:rPr>
          <w:lang w:val="en-US"/>
        </w:rPr>
        <w:t xml:space="preserve"> </w:t>
      </w:r>
    </w:p>
    <w:p w:rsidR="000437EA" w:rsidRDefault="000437EA">
      <w:pPr>
        <w:ind w:left="1418"/>
        <w:rPr>
          <w:lang w:val="en-US"/>
        </w:rPr>
      </w:pPr>
    </w:p>
    <w:p w:rsidR="00E92E3E" w:rsidRDefault="00A61F93" w:rsidP="00DE58DE">
      <w:pPr>
        <w:ind w:left="1701" w:hanging="567"/>
        <w:rPr>
          <w:lang w:val="en-US"/>
        </w:rPr>
      </w:pPr>
      <w:r>
        <w:rPr>
          <w:lang w:val="en-US"/>
        </w:rPr>
        <w:t>(vi)</w:t>
      </w:r>
      <w:r>
        <w:rPr>
          <w:lang w:val="en-US"/>
        </w:rPr>
        <w:tab/>
      </w:r>
      <w:proofErr w:type="gramStart"/>
      <w:r>
        <w:rPr>
          <w:lang w:val="en-US"/>
        </w:rPr>
        <w:t>an</w:t>
      </w:r>
      <w:proofErr w:type="gramEnd"/>
      <w:r>
        <w:rPr>
          <w:lang w:val="en-US"/>
        </w:rPr>
        <w:t xml:space="preserve"> interest in an </w:t>
      </w:r>
      <w:r w:rsidR="0039112D" w:rsidRPr="0039112D">
        <w:rPr>
          <w:lang w:val="en-US"/>
        </w:rPr>
        <w:t>IDPS-like scheme</w:t>
      </w:r>
      <w:r>
        <w:rPr>
          <w:lang w:val="en-US"/>
        </w:rPr>
        <w:t xml:space="preserve"> </w:t>
      </w:r>
      <w:r w:rsidR="00C37650">
        <w:rPr>
          <w:lang w:val="en-US"/>
        </w:rPr>
        <w:t>(</w:t>
      </w:r>
      <w:r w:rsidR="0015687C">
        <w:rPr>
          <w:lang w:val="en-US"/>
        </w:rPr>
        <w:t xml:space="preserve">as defined in </w:t>
      </w:r>
      <w:r w:rsidR="006432E1">
        <w:rPr>
          <w:lang w:val="en-US"/>
        </w:rPr>
        <w:t>sub</w:t>
      </w:r>
      <w:r w:rsidR="0015687C">
        <w:rPr>
          <w:lang w:val="en-US"/>
        </w:rPr>
        <w:t>section 1013DAB</w:t>
      </w:r>
      <w:r w:rsidR="006432E1">
        <w:rPr>
          <w:lang w:val="en-US"/>
        </w:rPr>
        <w:t>(1</w:t>
      </w:r>
      <w:r w:rsidR="009F1C17">
        <w:rPr>
          <w:lang w:val="en-US"/>
        </w:rPr>
        <w:t>9</w:t>
      </w:r>
      <w:r w:rsidR="006432E1">
        <w:rPr>
          <w:lang w:val="en-US"/>
        </w:rPr>
        <w:t>)</w:t>
      </w:r>
      <w:r w:rsidR="00C37650">
        <w:rPr>
          <w:lang w:val="en-US"/>
        </w:rPr>
        <w:t>)</w:t>
      </w:r>
      <w:r w:rsidR="0015687C">
        <w:rPr>
          <w:lang w:val="en-US"/>
        </w:rPr>
        <w:t>; or</w:t>
      </w:r>
    </w:p>
    <w:p w:rsidR="000437EA" w:rsidRDefault="000437EA" w:rsidP="00DE58DE">
      <w:pPr>
        <w:ind w:left="1701" w:hanging="567"/>
        <w:rPr>
          <w:lang w:val="en-US"/>
        </w:rPr>
      </w:pPr>
    </w:p>
    <w:p w:rsidR="00196826" w:rsidRDefault="00A61F93" w:rsidP="00DE58DE">
      <w:pPr>
        <w:ind w:left="1701" w:hanging="567"/>
        <w:rPr>
          <w:lang w:val="en-US"/>
        </w:rPr>
      </w:pPr>
      <w:r>
        <w:rPr>
          <w:lang w:val="en-US"/>
        </w:rPr>
        <w:t>(vii)</w:t>
      </w:r>
      <w:r>
        <w:rPr>
          <w:lang w:val="en-US"/>
        </w:rPr>
        <w:tab/>
      </w:r>
      <w:proofErr w:type="gramStart"/>
      <w:r>
        <w:rPr>
          <w:lang w:val="en-US"/>
        </w:rPr>
        <w:t>a</w:t>
      </w:r>
      <w:proofErr w:type="gramEnd"/>
      <w:r>
        <w:rPr>
          <w:lang w:val="en-US"/>
        </w:rPr>
        <w:t xml:space="preserve"> managed investment product held by a client because the </w:t>
      </w:r>
      <w:r w:rsidR="00EF4D9A">
        <w:rPr>
          <w:lang w:val="en-US"/>
        </w:rPr>
        <w:t xml:space="preserve">legal ownership of </w:t>
      </w:r>
      <w:r>
        <w:rPr>
          <w:lang w:val="en-US"/>
        </w:rPr>
        <w:t xml:space="preserve">a financial product is held by </w:t>
      </w:r>
      <w:r w:rsidR="0015687C">
        <w:rPr>
          <w:lang w:val="en-US"/>
        </w:rPr>
        <w:t xml:space="preserve">a </w:t>
      </w:r>
      <w:r w:rsidR="006432E1">
        <w:rPr>
          <w:lang w:val="en-US"/>
        </w:rPr>
        <w:t xml:space="preserve">person </w:t>
      </w:r>
      <w:r>
        <w:rPr>
          <w:lang w:val="en-US"/>
        </w:rPr>
        <w:t>for the client as part of the IDPS-like scheme</w:t>
      </w:r>
      <w:r w:rsidR="000F193B">
        <w:rPr>
          <w:lang w:val="en-US"/>
        </w:rPr>
        <w:t>.”; and</w:t>
      </w:r>
    </w:p>
    <w:p w:rsidR="000437EA" w:rsidRDefault="000437EA">
      <w:pPr>
        <w:ind w:left="567"/>
        <w:rPr>
          <w:lang w:val="en-US"/>
        </w:rPr>
      </w:pPr>
    </w:p>
    <w:p w:rsidR="000437EA" w:rsidRDefault="00BD1D4E" w:rsidP="00DE58DE">
      <w:pPr>
        <w:tabs>
          <w:tab w:val="left" w:pos="1134"/>
        </w:tabs>
        <w:ind w:left="567"/>
        <w:rPr>
          <w:lang w:val="en-US"/>
        </w:rPr>
      </w:pPr>
      <w:r>
        <w:rPr>
          <w:lang w:val="en-US"/>
        </w:rPr>
        <w:t>(c</w:t>
      </w:r>
      <w:r w:rsidR="00A61F93">
        <w:rPr>
          <w:lang w:val="en-US"/>
        </w:rPr>
        <w:t>)</w:t>
      </w:r>
      <w:r w:rsidR="006D2B72">
        <w:rPr>
          <w:lang w:val="en-US"/>
        </w:rPr>
        <w:tab/>
      </w:r>
      <w:proofErr w:type="gramStart"/>
      <w:r w:rsidR="00616FA2">
        <w:rPr>
          <w:lang w:val="en-US"/>
        </w:rPr>
        <w:t>a</w:t>
      </w:r>
      <w:r w:rsidR="006D2B72">
        <w:rPr>
          <w:lang w:val="en-US"/>
        </w:rPr>
        <w:t>fter</w:t>
      </w:r>
      <w:proofErr w:type="gramEnd"/>
      <w:r w:rsidR="006D2B72">
        <w:rPr>
          <w:lang w:val="en-US"/>
        </w:rPr>
        <w:t xml:space="preserve"> section 1019B insert:</w:t>
      </w:r>
    </w:p>
    <w:p w:rsidR="000437EA" w:rsidRDefault="000437EA">
      <w:pPr>
        <w:ind w:left="567"/>
        <w:rPr>
          <w:lang w:val="en-US"/>
        </w:rPr>
      </w:pPr>
    </w:p>
    <w:p w:rsidR="000437EA" w:rsidRDefault="006D2B72">
      <w:pPr>
        <w:ind w:left="1418" w:hanging="851"/>
        <w:rPr>
          <w:lang w:val="en-US"/>
        </w:rPr>
      </w:pPr>
      <w:r>
        <w:rPr>
          <w:lang w:val="en-US"/>
        </w:rPr>
        <w:t>“</w:t>
      </w:r>
      <w:r w:rsidR="0039112D" w:rsidRPr="0039112D">
        <w:rPr>
          <w:b/>
          <w:lang w:val="en-US"/>
        </w:rPr>
        <w:t>1019BA Cooling-off for IDPS-like schemes</w:t>
      </w:r>
    </w:p>
    <w:p w:rsidR="000437EA" w:rsidRDefault="000437EA">
      <w:pPr>
        <w:ind w:left="1418" w:hanging="851"/>
        <w:rPr>
          <w:lang w:val="en-US"/>
        </w:rPr>
      </w:pPr>
    </w:p>
    <w:p w:rsidR="00E92E3E" w:rsidRDefault="0015687C" w:rsidP="00E92E3E">
      <w:pPr>
        <w:ind w:left="1134" w:hanging="425"/>
        <w:rPr>
          <w:lang w:val="en-US"/>
        </w:rPr>
      </w:pPr>
      <w:r>
        <w:rPr>
          <w:lang w:val="en-US"/>
        </w:rPr>
        <w:lastRenderedPageBreak/>
        <w:t>(1)</w:t>
      </w:r>
      <w:r>
        <w:rPr>
          <w:lang w:val="en-US"/>
        </w:rPr>
        <w:tab/>
      </w:r>
      <w:r w:rsidR="00F22231">
        <w:rPr>
          <w:lang w:val="en-US"/>
        </w:rPr>
        <w:t>The responsible entity of an IDPS-like scheme must</w:t>
      </w:r>
      <w:r w:rsidR="009D29CA">
        <w:rPr>
          <w:lang w:val="en-US"/>
        </w:rPr>
        <w:t>:</w:t>
      </w:r>
    </w:p>
    <w:p w:rsidR="000437EA" w:rsidRDefault="000437EA">
      <w:pPr>
        <w:ind w:left="567" w:firstLine="851"/>
        <w:rPr>
          <w:lang w:val="en-US"/>
        </w:rPr>
      </w:pPr>
    </w:p>
    <w:p w:rsidR="00406735" w:rsidRDefault="00F22231">
      <w:pPr>
        <w:pStyle w:val="Style4"/>
        <w:rPr>
          <w:lang w:val="en-US"/>
        </w:rPr>
      </w:pPr>
      <w:r>
        <w:rPr>
          <w:lang w:val="en-US"/>
        </w:rPr>
        <w:t>(</w:t>
      </w:r>
      <w:proofErr w:type="gramStart"/>
      <w:r w:rsidR="0015687C">
        <w:rPr>
          <w:lang w:val="en-US"/>
        </w:rPr>
        <w:t>a</w:t>
      </w:r>
      <w:proofErr w:type="gramEnd"/>
      <w:r>
        <w:rPr>
          <w:lang w:val="en-US"/>
        </w:rPr>
        <w:t>)</w:t>
      </w:r>
      <w:r>
        <w:rPr>
          <w:lang w:val="en-US"/>
        </w:rPr>
        <w:tab/>
        <w:t xml:space="preserve">take all reasonable steps to comply with a request made during the </w:t>
      </w:r>
      <w:r w:rsidRPr="007248F2">
        <w:rPr>
          <w:lang w:val="en-US"/>
        </w:rPr>
        <w:t>cooling-off period</w:t>
      </w:r>
      <w:r>
        <w:rPr>
          <w:lang w:val="en-US"/>
        </w:rPr>
        <w:t xml:space="preserve"> by </w:t>
      </w:r>
      <w:r w:rsidR="00D2029D">
        <w:rPr>
          <w:lang w:val="en-US"/>
        </w:rPr>
        <w:t xml:space="preserve">a </w:t>
      </w:r>
      <w:r>
        <w:rPr>
          <w:lang w:val="en-US"/>
        </w:rPr>
        <w:t xml:space="preserve">member </w:t>
      </w:r>
      <w:r w:rsidR="00D2029D">
        <w:rPr>
          <w:lang w:val="en-US"/>
        </w:rPr>
        <w:t xml:space="preserve">of the scheme </w:t>
      </w:r>
      <w:r>
        <w:rPr>
          <w:lang w:val="en-US"/>
        </w:rPr>
        <w:t>to:</w:t>
      </w:r>
    </w:p>
    <w:p w:rsidR="000437EA" w:rsidRDefault="000437EA">
      <w:pPr>
        <w:ind w:left="2127" w:hanging="709"/>
        <w:rPr>
          <w:lang w:val="en-US"/>
        </w:rPr>
      </w:pPr>
    </w:p>
    <w:p w:rsidR="00406735" w:rsidRDefault="00BD1D4E">
      <w:pPr>
        <w:pStyle w:val="Style5"/>
        <w:rPr>
          <w:lang w:val="en-US"/>
        </w:rPr>
      </w:pPr>
      <w:r>
        <w:rPr>
          <w:lang w:val="en-US"/>
        </w:rPr>
        <w:t>(</w:t>
      </w:r>
      <w:proofErr w:type="spellStart"/>
      <w:r w:rsidR="0015687C">
        <w:rPr>
          <w:lang w:val="en-US"/>
        </w:rPr>
        <w:t>i</w:t>
      </w:r>
      <w:proofErr w:type="spellEnd"/>
      <w:r w:rsidR="00F22231">
        <w:rPr>
          <w:lang w:val="en-US"/>
        </w:rPr>
        <w:t>)</w:t>
      </w:r>
      <w:r w:rsidR="00F22231">
        <w:rPr>
          <w:lang w:val="en-US"/>
        </w:rPr>
        <w:tab/>
      </w:r>
      <w:proofErr w:type="spellStart"/>
      <w:proofErr w:type="gramStart"/>
      <w:r w:rsidR="00F22231">
        <w:rPr>
          <w:lang w:val="en-US"/>
        </w:rPr>
        <w:t>reali</w:t>
      </w:r>
      <w:r w:rsidR="004473B8">
        <w:rPr>
          <w:lang w:val="en-US"/>
        </w:rPr>
        <w:t>s</w:t>
      </w:r>
      <w:r w:rsidR="00F22231">
        <w:rPr>
          <w:lang w:val="en-US"/>
        </w:rPr>
        <w:t>e</w:t>
      </w:r>
      <w:proofErr w:type="spellEnd"/>
      <w:proofErr w:type="gramEnd"/>
      <w:r w:rsidR="00F22231">
        <w:rPr>
          <w:lang w:val="en-US"/>
        </w:rPr>
        <w:t xml:space="preserve"> an accessible </w:t>
      </w:r>
      <w:r w:rsidR="006E7BD8">
        <w:rPr>
          <w:lang w:val="en-US"/>
        </w:rPr>
        <w:t xml:space="preserve">financial product </w:t>
      </w:r>
      <w:r w:rsidR="00F22231">
        <w:rPr>
          <w:lang w:val="en-US"/>
        </w:rPr>
        <w:t xml:space="preserve">that has been acquired </w:t>
      </w:r>
      <w:r w:rsidR="005E0D65">
        <w:rPr>
          <w:lang w:val="en-US"/>
        </w:rPr>
        <w:t>under</w:t>
      </w:r>
      <w:r w:rsidR="00107DC6">
        <w:rPr>
          <w:lang w:val="en-US"/>
        </w:rPr>
        <w:t xml:space="preserve"> a </w:t>
      </w:r>
      <w:r w:rsidR="00C97D87">
        <w:rPr>
          <w:lang w:val="en-US"/>
        </w:rPr>
        <w:t xml:space="preserve">direction </w:t>
      </w:r>
      <w:r w:rsidR="00107DC6">
        <w:rPr>
          <w:lang w:val="en-US"/>
        </w:rPr>
        <w:t>given by</w:t>
      </w:r>
      <w:r w:rsidR="000F193B">
        <w:rPr>
          <w:lang w:val="en-US"/>
        </w:rPr>
        <w:t xml:space="preserve"> the member</w:t>
      </w:r>
      <w:r w:rsidR="007248F2">
        <w:rPr>
          <w:lang w:val="en-US"/>
        </w:rPr>
        <w:t xml:space="preserve"> </w:t>
      </w:r>
      <w:r w:rsidR="00EF4D9A">
        <w:rPr>
          <w:lang w:val="en-US"/>
        </w:rPr>
        <w:t>in relation to the IDPS interest acquired</w:t>
      </w:r>
      <w:r w:rsidR="00584680">
        <w:rPr>
          <w:lang w:val="en-US"/>
        </w:rPr>
        <w:t xml:space="preserve"> by the member</w:t>
      </w:r>
      <w:r w:rsidR="00F22231">
        <w:rPr>
          <w:lang w:val="en-US"/>
        </w:rPr>
        <w:t xml:space="preserve">; </w:t>
      </w:r>
      <w:r w:rsidR="00EF4D9A">
        <w:rPr>
          <w:lang w:val="en-US"/>
        </w:rPr>
        <w:t>or</w:t>
      </w:r>
    </w:p>
    <w:p w:rsidR="00406735" w:rsidRDefault="00406735">
      <w:pPr>
        <w:pStyle w:val="Style5"/>
        <w:rPr>
          <w:lang w:val="en-US"/>
        </w:rPr>
      </w:pPr>
    </w:p>
    <w:p w:rsidR="00406735" w:rsidRDefault="00BD1D4E">
      <w:pPr>
        <w:pStyle w:val="Style5"/>
        <w:rPr>
          <w:lang w:val="en-US"/>
        </w:rPr>
      </w:pPr>
      <w:r>
        <w:rPr>
          <w:lang w:val="en-US"/>
        </w:rPr>
        <w:t>(</w:t>
      </w:r>
      <w:r w:rsidR="0015687C">
        <w:rPr>
          <w:lang w:val="en-US"/>
        </w:rPr>
        <w:t>ii</w:t>
      </w:r>
      <w:r w:rsidR="00F22231">
        <w:rPr>
          <w:lang w:val="en-US"/>
        </w:rPr>
        <w:t>)</w:t>
      </w:r>
      <w:r w:rsidR="00F22231">
        <w:rPr>
          <w:lang w:val="en-US"/>
        </w:rPr>
        <w:tab/>
      </w:r>
      <w:proofErr w:type="gramStart"/>
      <w:r w:rsidR="00F22231">
        <w:rPr>
          <w:lang w:val="en-US"/>
        </w:rPr>
        <w:t>return</w:t>
      </w:r>
      <w:proofErr w:type="gramEnd"/>
      <w:r w:rsidR="00F22231">
        <w:rPr>
          <w:lang w:val="en-US"/>
        </w:rPr>
        <w:t xml:space="preserve"> any moneys </w:t>
      </w:r>
      <w:r w:rsidR="00EF4D9A">
        <w:rPr>
          <w:lang w:val="en-US"/>
        </w:rPr>
        <w:t>held for</w:t>
      </w:r>
      <w:r w:rsidR="00F22231">
        <w:rPr>
          <w:lang w:val="en-US"/>
        </w:rPr>
        <w:t xml:space="preserve"> the member</w:t>
      </w:r>
      <w:r w:rsidR="00D05653">
        <w:rPr>
          <w:lang w:val="en-US"/>
        </w:rPr>
        <w:t xml:space="preserve"> </w:t>
      </w:r>
      <w:r w:rsidR="00EF4D9A">
        <w:rPr>
          <w:lang w:val="en-US"/>
        </w:rPr>
        <w:t>in relation to the IDPS interest acquired</w:t>
      </w:r>
      <w:r w:rsidR="007248F2">
        <w:rPr>
          <w:lang w:val="en-US"/>
        </w:rPr>
        <w:t>;</w:t>
      </w:r>
    </w:p>
    <w:p w:rsidR="000437EA" w:rsidRDefault="000437EA">
      <w:pPr>
        <w:ind w:left="2835" w:hanging="708"/>
        <w:rPr>
          <w:lang w:val="en-US"/>
        </w:rPr>
      </w:pPr>
    </w:p>
    <w:p w:rsidR="00406735" w:rsidRDefault="004473B8">
      <w:pPr>
        <w:pStyle w:val="Style5"/>
        <w:ind w:left="1701" w:firstLine="0"/>
        <w:rPr>
          <w:lang w:val="en-US"/>
        </w:rPr>
      </w:pPr>
      <w:proofErr w:type="gramStart"/>
      <w:r>
        <w:rPr>
          <w:lang w:val="en-US"/>
        </w:rPr>
        <w:t>u</w:t>
      </w:r>
      <w:r w:rsidR="00F22231">
        <w:rPr>
          <w:lang w:val="en-US"/>
        </w:rPr>
        <w:t>nless</w:t>
      </w:r>
      <w:proofErr w:type="gramEnd"/>
      <w:r w:rsidR="00F22231">
        <w:rPr>
          <w:lang w:val="en-US"/>
        </w:rPr>
        <w:t xml:space="preserve"> the responsible entity reasonably considers that it would not be fair to all members;</w:t>
      </w:r>
      <w:r w:rsidR="00105658">
        <w:rPr>
          <w:lang w:val="en-US"/>
        </w:rPr>
        <w:t xml:space="preserve"> and</w:t>
      </w:r>
    </w:p>
    <w:p w:rsidR="000437EA" w:rsidRDefault="000437EA">
      <w:pPr>
        <w:ind w:left="2835" w:hanging="708"/>
        <w:rPr>
          <w:lang w:val="en-US"/>
        </w:rPr>
      </w:pPr>
    </w:p>
    <w:p w:rsidR="00406735" w:rsidRDefault="00F22231">
      <w:pPr>
        <w:pStyle w:val="Style4"/>
        <w:rPr>
          <w:lang w:val="en-US"/>
        </w:rPr>
      </w:pPr>
      <w:r>
        <w:rPr>
          <w:lang w:val="en-US"/>
        </w:rPr>
        <w:t>(</w:t>
      </w:r>
      <w:r w:rsidR="0015687C">
        <w:rPr>
          <w:lang w:val="en-US"/>
        </w:rPr>
        <w:t>b</w:t>
      </w:r>
      <w:r>
        <w:rPr>
          <w:lang w:val="en-US"/>
        </w:rPr>
        <w:t>)</w:t>
      </w:r>
      <w:r>
        <w:rPr>
          <w:lang w:val="en-US"/>
        </w:rPr>
        <w:tab/>
        <w:t xml:space="preserve">pay to the member upon a </w:t>
      </w:r>
      <w:proofErr w:type="spellStart"/>
      <w:r>
        <w:rPr>
          <w:lang w:val="en-US"/>
        </w:rPr>
        <w:t>reali</w:t>
      </w:r>
      <w:r w:rsidR="00D2029D">
        <w:rPr>
          <w:lang w:val="en-US"/>
        </w:rPr>
        <w:t>s</w:t>
      </w:r>
      <w:r>
        <w:rPr>
          <w:lang w:val="en-US"/>
        </w:rPr>
        <w:t>ation</w:t>
      </w:r>
      <w:proofErr w:type="spellEnd"/>
      <w:r>
        <w:rPr>
          <w:lang w:val="en-US"/>
        </w:rPr>
        <w:t xml:space="preserve"> of an accessible </w:t>
      </w:r>
      <w:r w:rsidR="006E7BD8">
        <w:rPr>
          <w:lang w:val="en-US"/>
        </w:rPr>
        <w:t xml:space="preserve">financial product </w:t>
      </w:r>
      <w:r w:rsidR="005E0D65">
        <w:rPr>
          <w:lang w:val="en-US"/>
        </w:rPr>
        <w:t>under</w:t>
      </w:r>
      <w:r>
        <w:rPr>
          <w:lang w:val="en-US"/>
        </w:rPr>
        <w:t xml:space="preserve"> </w:t>
      </w:r>
      <w:r w:rsidR="00D05653">
        <w:rPr>
          <w:lang w:val="en-US"/>
        </w:rPr>
        <w:t xml:space="preserve">subparagraph </w:t>
      </w:r>
      <w:r>
        <w:rPr>
          <w:lang w:val="en-US"/>
        </w:rPr>
        <w:t>(1)</w:t>
      </w:r>
      <w:r w:rsidR="00D05653">
        <w:rPr>
          <w:lang w:val="en-US"/>
        </w:rPr>
        <w:t>(a)(</w:t>
      </w:r>
      <w:proofErr w:type="spellStart"/>
      <w:r w:rsidR="00D05653">
        <w:rPr>
          <w:lang w:val="en-US"/>
        </w:rPr>
        <w:t>i</w:t>
      </w:r>
      <w:proofErr w:type="spellEnd"/>
      <w:r w:rsidR="00D05653">
        <w:rPr>
          <w:lang w:val="en-US"/>
        </w:rPr>
        <w:t>)</w:t>
      </w:r>
      <w:r>
        <w:rPr>
          <w:lang w:val="en-US"/>
        </w:rPr>
        <w:t xml:space="preserve"> the amount paid by the member in connection with </w:t>
      </w:r>
      <w:r w:rsidR="00D05653">
        <w:rPr>
          <w:lang w:val="en-US"/>
        </w:rPr>
        <w:t>the acquisition</w:t>
      </w:r>
      <w:r w:rsidR="00D2029D">
        <w:rPr>
          <w:lang w:val="en-US"/>
        </w:rPr>
        <w:t>,</w:t>
      </w:r>
      <w:r>
        <w:rPr>
          <w:lang w:val="en-US"/>
        </w:rPr>
        <w:t xml:space="preserve"> including any fees payable to the responsible entity in connection with the acquisition but excluding any moneys returned under subparagraph (1)</w:t>
      </w:r>
      <w:r w:rsidR="00BD1D4E">
        <w:rPr>
          <w:lang w:val="en-US"/>
        </w:rPr>
        <w:t>(a</w:t>
      </w:r>
      <w:r>
        <w:rPr>
          <w:lang w:val="en-US"/>
        </w:rPr>
        <w:t>)</w:t>
      </w:r>
      <w:r w:rsidR="00D05653">
        <w:rPr>
          <w:lang w:val="en-US"/>
        </w:rPr>
        <w:t xml:space="preserve">(ii) </w:t>
      </w:r>
      <w:r>
        <w:rPr>
          <w:lang w:val="en-US"/>
        </w:rPr>
        <w:t>(</w:t>
      </w:r>
      <w:r w:rsidR="00E92E3E" w:rsidRPr="00E92E3E">
        <w:rPr>
          <w:lang w:val="en-US"/>
        </w:rPr>
        <w:t>the</w:t>
      </w:r>
      <w:r w:rsidR="00E92E3E" w:rsidRPr="00E92E3E">
        <w:rPr>
          <w:b/>
          <w:i/>
          <w:lang w:val="en-US"/>
        </w:rPr>
        <w:t xml:space="preserve"> member’s investment amount</w:t>
      </w:r>
      <w:r>
        <w:rPr>
          <w:lang w:val="en-US"/>
        </w:rPr>
        <w:t>) less:</w:t>
      </w:r>
    </w:p>
    <w:p w:rsidR="000437EA" w:rsidRDefault="000437EA">
      <w:pPr>
        <w:ind w:left="2127" w:hanging="709"/>
        <w:rPr>
          <w:lang w:val="en-US"/>
        </w:rPr>
      </w:pPr>
    </w:p>
    <w:p w:rsidR="00406735" w:rsidRDefault="00BD1D4E">
      <w:pPr>
        <w:pStyle w:val="Style5"/>
        <w:rPr>
          <w:lang w:val="en-US"/>
        </w:rPr>
      </w:pPr>
      <w:r>
        <w:rPr>
          <w:lang w:val="en-US"/>
        </w:rPr>
        <w:t>(</w:t>
      </w:r>
      <w:proofErr w:type="spellStart"/>
      <w:r w:rsidR="007248F2">
        <w:rPr>
          <w:lang w:val="en-US"/>
        </w:rPr>
        <w:t>i</w:t>
      </w:r>
      <w:proofErr w:type="spellEnd"/>
      <w:r w:rsidR="00F22231">
        <w:rPr>
          <w:lang w:val="en-US"/>
        </w:rPr>
        <w:t>)</w:t>
      </w:r>
      <w:r w:rsidR="00F22231">
        <w:rPr>
          <w:lang w:val="en-US"/>
        </w:rPr>
        <w:tab/>
        <w:t>the amount</w:t>
      </w:r>
      <w:r w:rsidR="006E7BD8">
        <w:rPr>
          <w:lang w:val="en-US"/>
        </w:rPr>
        <w:t>,</w:t>
      </w:r>
      <w:r w:rsidR="00F22231">
        <w:rPr>
          <w:lang w:val="en-US"/>
        </w:rPr>
        <w:t xml:space="preserve"> if any</w:t>
      </w:r>
      <w:r w:rsidR="006E7BD8">
        <w:rPr>
          <w:lang w:val="en-US"/>
        </w:rPr>
        <w:t>,</w:t>
      </w:r>
      <w:r w:rsidR="00F22231">
        <w:rPr>
          <w:lang w:val="en-US"/>
        </w:rPr>
        <w:t xml:space="preserve"> by which the member’s investment amount (net of any fees payable to the responsible entity) exceeds the amount received upon a </w:t>
      </w:r>
      <w:proofErr w:type="spellStart"/>
      <w:r w:rsidR="00F22231">
        <w:rPr>
          <w:lang w:val="en-US"/>
        </w:rPr>
        <w:t>reali</w:t>
      </w:r>
      <w:r w:rsidR="00D2029D">
        <w:rPr>
          <w:lang w:val="en-US"/>
        </w:rPr>
        <w:t>s</w:t>
      </w:r>
      <w:r w:rsidR="00F22231">
        <w:rPr>
          <w:lang w:val="en-US"/>
        </w:rPr>
        <w:t>ation</w:t>
      </w:r>
      <w:proofErr w:type="spellEnd"/>
      <w:r w:rsidR="00F22231">
        <w:rPr>
          <w:lang w:val="en-US"/>
        </w:rPr>
        <w:t xml:space="preserve"> of the </w:t>
      </w:r>
      <w:r w:rsidR="006E7BD8">
        <w:rPr>
          <w:lang w:val="en-US"/>
        </w:rPr>
        <w:t xml:space="preserve">accessible financial product </w:t>
      </w:r>
      <w:r w:rsidR="005E0D65">
        <w:rPr>
          <w:lang w:val="en-US"/>
        </w:rPr>
        <w:t>under</w:t>
      </w:r>
      <w:r w:rsidR="005A5BFA">
        <w:rPr>
          <w:lang w:val="en-US"/>
        </w:rPr>
        <w:t xml:space="preserve"> </w:t>
      </w:r>
      <w:r w:rsidR="00D05653">
        <w:rPr>
          <w:lang w:val="en-US"/>
        </w:rPr>
        <w:t xml:space="preserve">subparagraph </w:t>
      </w:r>
      <w:r w:rsidR="005A5BFA">
        <w:rPr>
          <w:lang w:val="en-US"/>
        </w:rPr>
        <w:t>(1)</w:t>
      </w:r>
      <w:r w:rsidR="00D05653">
        <w:rPr>
          <w:lang w:val="en-US"/>
        </w:rPr>
        <w:t>(a)(</w:t>
      </w:r>
      <w:proofErr w:type="spellStart"/>
      <w:r w:rsidR="00D05653">
        <w:rPr>
          <w:lang w:val="en-US"/>
        </w:rPr>
        <w:t>i</w:t>
      </w:r>
      <w:proofErr w:type="spellEnd"/>
      <w:r w:rsidR="00D05653">
        <w:rPr>
          <w:lang w:val="en-US"/>
        </w:rPr>
        <w:t>)</w:t>
      </w:r>
      <w:r w:rsidR="005A5BFA">
        <w:rPr>
          <w:lang w:val="en-US"/>
        </w:rPr>
        <w:t xml:space="preserve"> (net of any fees payable to the responsible entity); and</w:t>
      </w:r>
    </w:p>
    <w:p w:rsidR="00406735" w:rsidRDefault="00406735">
      <w:pPr>
        <w:pStyle w:val="Style5"/>
        <w:rPr>
          <w:lang w:val="en-US"/>
        </w:rPr>
      </w:pPr>
    </w:p>
    <w:p w:rsidR="00406735" w:rsidRDefault="00BD1D4E">
      <w:pPr>
        <w:pStyle w:val="Style5"/>
        <w:rPr>
          <w:lang w:val="en-US"/>
        </w:rPr>
      </w:pPr>
      <w:r>
        <w:rPr>
          <w:lang w:val="en-US"/>
        </w:rPr>
        <w:t>(</w:t>
      </w:r>
      <w:r w:rsidR="00D05653">
        <w:rPr>
          <w:lang w:val="en-US"/>
        </w:rPr>
        <w:t>ii</w:t>
      </w:r>
      <w:r w:rsidR="005A5BFA">
        <w:rPr>
          <w:lang w:val="en-US"/>
        </w:rPr>
        <w:t>)</w:t>
      </w:r>
      <w:r w:rsidR="005A5BFA">
        <w:rPr>
          <w:lang w:val="en-US"/>
        </w:rPr>
        <w:tab/>
        <w:t xml:space="preserve">any amount that would be permitted by Regulation 7.9.67(7) to be deducted if it applied to the </w:t>
      </w:r>
      <w:proofErr w:type="spellStart"/>
      <w:r w:rsidR="005A5BFA">
        <w:rPr>
          <w:lang w:val="en-US"/>
        </w:rPr>
        <w:t>reali</w:t>
      </w:r>
      <w:r w:rsidR="00D2029D">
        <w:rPr>
          <w:lang w:val="en-US"/>
        </w:rPr>
        <w:t>s</w:t>
      </w:r>
      <w:r w:rsidR="005A5BFA">
        <w:rPr>
          <w:lang w:val="en-US"/>
        </w:rPr>
        <w:t>ation</w:t>
      </w:r>
      <w:proofErr w:type="spellEnd"/>
      <w:r w:rsidR="005A5BFA">
        <w:rPr>
          <w:lang w:val="en-US"/>
        </w:rPr>
        <w:t xml:space="preserve"> of the accessible financial product </w:t>
      </w:r>
      <w:r w:rsidR="005E0D65">
        <w:rPr>
          <w:lang w:val="en-US"/>
        </w:rPr>
        <w:t>under</w:t>
      </w:r>
      <w:r w:rsidR="005A5BFA">
        <w:rPr>
          <w:lang w:val="en-US"/>
        </w:rPr>
        <w:t xml:space="preserve"> subsection (1) as being an exercise by the member of a right to return the accessible financial product; and</w:t>
      </w:r>
    </w:p>
    <w:p w:rsidR="000437EA" w:rsidRDefault="000437EA">
      <w:pPr>
        <w:ind w:left="2835" w:hanging="708"/>
        <w:rPr>
          <w:lang w:val="en-US"/>
        </w:rPr>
      </w:pPr>
    </w:p>
    <w:p w:rsidR="00406735" w:rsidRDefault="005A5BFA">
      <w:pPr>
        <w:pStyle w:val="Style4"/>
        <w:rPr>
          <w:lang w:val="en-US"/>
        </w:rPr>
      </w:pPr>
      <w:r>
        <w:rPr>
          <w:lang w:val="en-US"/>
        </w:rPr>
        <w:t>(</w:t>
      </w:r>
      <w:r w:rsidR="00D05653">
        <w:rPr>
          <w:lang w:val="en-US"/>
        </w:rPr>
        <w:t>c</w:t>
      </w:r>
      <w:r>
        <w:rPr>
          <w:lang w:val="en-US"/>
        </w:rPr>
        <w:t>)</w:t>
      </w:r>
      <w:r>
        <w:rPr>
          <w:lang w:val="en-US"/>
        </w:rPr>
        <w:tab/>
      </w:r>
      <w:r w:rsidR="00C37650">
        <w:rPr>
          <w:lang w:val="en-US"/>
        </w:rPr>
        <w:t xml:space="preserve">inform </w:t>
      </w:r>
      <w:r>
        <w:rPr>
          <w:lang w:val="en-US"/>
        </w:rPr>
        <w:t xml:space="preserve">members of the requirements imposed on the responsible entity under </w:t>
      </w:r>
      <w:r w:rsidR="00616FA2">
        <w:rPr>
          <w:lang w:val="en-US"/>
        </w:rPr>
        <w:t xml:space="preserve">paragraph </w:t>
      </w:r>
      <w:r>
        <w:rPr>
          <w:lang w:val="en-US"/>
        </w:rPr>
        <w:t>(</w:t>
      </w:r>
      <w:r w:rsidR="00616FA2">
        <w:rPr>
          <w:lang w:val="en-US"/>
        </w:rPr>
        <w:t>a</w:t>
      </w:r>
      <w:r>
        <w:rPr>
          <w:lang w:val="en-US"/>
        </w:rPr>
        <w:t>) and (</w:t>
      </w:r>
      <w:r w:rsidR="00616FA2">
        <w:rPr>
          <w:lang w:val="en-US"/>
        </w:rPr>
        <w:t>b</w:t>
      </w:r>
      <w:r>
        <w:rPr>
          <w:lang w:val="en-US"/>
        </w:rPr>
        <w:t xml:space="preserve">) in any confirmation of a transaction involving </w:t>
      </w:r>
      <w:r w:rsidR="00C37650">
        <w:rPr>
          <w:lang w:val="en-US"/>
        </w:rPr>
        <w:t>an</w:t>
      </w:r>
      <w:r>
        <w:rPr>
          <w:lang w:val="en-US"/>
        </w:rPr>
        <w:t xml:space="preserve"> interest</w:t>
      </w:r>
      <w:r w:rsidR="00C37650">
        <w:rPr>
          <w:lang w:val="en-US"/>
        </w:rPr>
        <w:t xml:space="preserve"> in the scheme</w:t>
      </w:r>
      <w:r>
        <w:rPr>
          <w:lang w:val="en-US"/>
        </w:rPr>
        <w:t xml:space="preserve"> and in any Product Disclosure Statement of the scheme.</w:t>
      </w:r>
      <w:r w:rsidR="007248F2">
        <w:rPr>
          <w:lang w:val="en-US"/>
        </w:rPr>
        <w:br/>
      </w:r>
    </w:p>
    <w:p w:rsidR="004F7BA3" w:rsidRDefault="007248F2">
      <w:pPr>
        <w:pStyle w:val="Style3"/>
        <w:rPr>
          <w:lang w:val="en-US"/>
        </w:rPr>
      </w:pPr>
      <w:r>
        <w:rPr>
          <w:lang w:val="en-US"/>
        </w:rPr>
        <w:t>(2)</w:t>
      </w:r>
      <w:r>
        <w:rPr>
          <w:lang w:val="en-US"/>
        </w:rPr>
        <w:tab/>
      </w:r>
      <w:r w:rsidR="00AF486E">
        <w:rPr>
          <w:lang w:val="en-US"/>
        </w:rPr>
        <w:t>In this section:</w:t>
      </w:r>
      <w:r>
        <w:rPr>
          <w:lang w:val="en-US"/>
        </w:rPr>
        <w:t xml:space="preserve"> </w:t>
      </w:r>
    </w:p>
    <w:p w:rsidR="00406735" w:rsidRDefault="00406735">
      <w:pPr>
        <w:pStyle w:val="Style4"/>
        <w:rPr>
          <w:lang w:val="en-US"/>
        </w:rPr>
      </w:pPr>
    </w:p>
    <w:p w:rsidR="004F7BA3" w:rsidRDefault="00D4464F">
      <w:pPr>
        <w:pStyle w:val="Style4"/>
        <w:ind w:left="1134" w:firstLine="0"/>
        <w:rPr>
          <w:lang w:val="en-US"/>
        </w:rPr>
      </w:pPr>
      <w:proofErr w:type="gramStart"/>
      <w:r w:rsidRPr="00D4464F">
        <w:rPr>
          <w:b/>
          <w:i/>
          <w:lang w:val="en-US"/>
        </w:rPr>
        <w:t>accessible</w:t>
      </w:r>
      <w:proofErr w:type="gramEnd"/>
      <w:r w:rsidRPr="00D4464F">
        <w:rPr>
          <w:b/>
          <w:i/>
          <w:lang w:val="en-US"/>
        </w:rPr>
        <w:t xml:space="preserve"> financial product</w:t>
      </w:r>
      <w:r w:rsidR="00584680">
        <w:rPr>
          <w:lang w:val="en-US"/>
        </w:rPr>
        <w:t xml:space="preserve"> has the same meaning as in subsection 1013DAB(1</w:t>
      </w:r>
      <w:r w:rsidR="00F80767">
        <w:rPr>
          <w:lang w:val="en-US"/>
        </w:rPr>
        <w:t>9</w:t>
      </w:r>
      <w:r w:rsidR="00584680">
        <w:rPr>
          <w:lang w:val="en-US"/>
        </w:rPr>
        <w:t>); and</w:t>
      </w:r>
    </w:p>
    <w:p w:rsidR="00406735" w:rsidRDefault="00406735">
      <w:pPr>
        <w:pStyle w:val="Style4"/>
        <w:rPr>
          <w:lang w:val="en-US"/>
        </w:rPr>
      </w:pPr>
    </w:p>
    <w:p w:rsidR="004F7BA3" w:rsidRDefault="00D4464F">
      <w:pPr>
        <w:pStyle w:val="Style4"/>
        <w:ind w:left="1134" w:firstLine="0"/>
        <w:rPr>
          <w:lang w:val="en-US"/>
        </w:rPr>
      </w:pPr>
      <w:proofErr w:type="gramStart"/>
      <w:r w:rsidRPr="00D4464F">
        <w:rPr>
          <w:b/>
          <w:i/>
          <w:lang w:val="en-US"/>
        </w:rPr>
        <w:t>cooling-off</w:t>
      </w:r>
      <w:proofErr w:type="gramEnd"/>
      <w:r w:rsidRPr="00D4464F">
        <w:rPr>
          <w:b/>
          <w:i/>
          <w:lang w:val="en-US"/>
        </w:rPr>
        <w:t xml:space="preserve"> period</w:t>
      </w:r>
      <w:r w:rsidR="007248F2">
        <w:rPr>
          <w:lang w:val="en-US"/>
        </w:rPr>
        <w:t xml:space="preserve"> means </w:t>
      </w:r>
      <w:r w:rsidR="004C7EC6">
        <w:rPr>
          <w:lang w:val="en-US"/>
        </w:rPr>
        <w:t>the period of 14 days starting on the earlier of:</w:t>
      </w:r>
    </w:p>
    <w:p w:rsidR="004F7BA3" w:rsidRDefault="004F7BA3">
      <w:pPr>
        <w:pStyle w:val="Style4"/>
        <w:ind w:left="851" w:firstLine="0"/>
        <w:rPr>
          <w:lang w:val="en-US"/>
        </w:rPr>
      </w:pPr>
    </w:p>
    <w:p w:rsidR="004F7BA3" w:rsidRDefault="004C7EC6">
      <w:pPr>
        <w:pStyle w:val="Style1"/>
        <w:ind w:left="1701"/>
        <w:rPr>
          <w:lang w:val="en-US"/>
        </w:rPr>
      </w:pPr>
      <w:r>
        <w:rPr>
          <w:lang w:val="en-US"/>
        </w:rPr>
        <w:lastRenderedPageBreak/>
        <w:t>(</w:t>
      </w:r>
      <w:r w:rsidR="005A26C8">
        <w:rPr>
          <w:lang w:val="en-US"/>
        </w:rPr>
        <w:t>a</w:t>
      </w:r>
      <w:r>
        <w:rPr>
          <w:lang w:val="en-US"/>
        </w:rPr>
        <w:t>)</w:t>
      </w:r>
      <w:r>
        <w:rPr>
          <w:lang w:val="en-US"/>
        </w:rPr>
        <w:tab/>
      </w:r>
      <w:proofErr w:type="gramStart"/>
      <w:r>
        <w:rPr>
          <w:lang w:val="en-US"/>
        </w:rPr>
        <w:t>the</w:t>
      </w:r>
      <w:proofErr w:type="gramEnd"/>
      <w:r>
        <w:rPr>
          <w:lang w:val="en-US"/>
        </w:rPr>
        <w:t xml:space="preserve"> time when the confirmation requirement (if applicable) </w:t>
      </w:r>
      <w:r w:rsidR="001142F9">
        <w:rPr>
          <w:lang w:val="en-US"/>
        </w:rPr>
        <w:t xml:space="preserve">for the IDPS interest </w:t>
      </w:r>
      <w:r>
        <w:rPr>
          <w:lang w:val="en-US"/>
        </w:rPr>
        <w:t>is complied with; or</w:t>
      </w:r>
      <w:r>
        <w:rPr>
          <w:lang w:val="en-US"/>
        </w:rPr>
        <w:br/>
      </w:r>
    </w:p>
    <w:p w:rsidR="004F7BA3" w:rsidRDefault="004C7EC6">
      <w:pPr>
        <w:pStyle w:val="Style1"/>
        <w:ind w:left="1701"/>
        <w:rPr>
          <w:lang w:val="en-US"/>
        </w:rPr>
      </w:pPr>
      <w:r>
        <w:rPr>
          <w:lang w:val="en-US"/>
        </w:rPr>
        <w:t>(</w:t>
      </w:r>
      <w:r w:rsidR="005A26C8">
        <w:rPr>
          <w:lang w:val="en-US"/>
        </w:rPr>
        <w:t>b</w:t>
      </w:r>
      <w:r>
        <w:rPr>
          <w:lang w:val="en-US"/>
        </w:rPr>
        <w:t>)</w:t>
      </w:r>
      <w:r>
        <w:rPr>
          <w:lang w:val="en-US"/>
        </w:rPr>
        <w:tab/>
      </w:r>
      <w:proofErr w:type="gramStart"/>
      <w:r>
        <w:rPr>
          <w:lang w:val="en-US"/>
        </w:rPr>
        <w:t>the</w:t>
      </w:r>
      <w:proofErr w:type="gramEnd"/>
      <w:r>
        <w:rPr>
          <w:lang w:val="en-US"/>
        </w:rPr>
        <w:t xml:space="preserve"> end of the 5th day after the day on which the IDPS interest w</w:t>
      </w:r>
      <w:r w:rsidR="00584680">
        <w:rPr>
          <w:lang w:val="en-US"/>
        </w:rPr>
        <w:t>as issued or sold to the member; and</w:t>
      </w:r>
      <w:r w:rsidR="00237854">
        <w:rPr>
          <w:lang w:val="en-US"/>
        </w:rPr>
        <w:t xml:space="preserve"> </w:t>
      </w:r>
    </w:p>
    <w:p w:rsidR="00406735" w:rsidRDefault="00406735">
      <w:pPr>
        <w:pStyle w:val="Style1"/>
        <w:rPr>
          <w:lang w:val="en-US"/>
        </w:rPr>
      </w:pPr>
    </w:p>
    <w:p w:rsidR="00406735" w:rsidRDefault="00584680">
      <w:pPr>
        <w:pStyle w:val="Style4"/>
        <w:rPr>
          <w:b/>
          <w:i/>
          <w:lang w:val="en-US"/>
        </w:rPr>
      </w:pPr>
      <w:r>
        <w:rPr>
          <w:b/>
          <w:i/>
          <w:lang w:val="en-US"/>
        </w:rPr>
        <w:t xml:space="preserve">IDPS interest </w:t>
      </w:r>
      <w:r w:rsidR="00D4464F" w:rsidRPr="00D4464F">
        <w:rPr>
          <w:lang w:val="en-US"/>
        </w:rPr>
        <w:t>means an interest in an IDPS-like scheme; and</w:t>
      </w:r>
    </w:p>
    <w:p w:rsidR="00406735" w:rsidRDefault="00406735">
      <w:pPr>
        <w:pStyle w:val="Style4"/>
        <w:rPr>
          <w:b/>
          <w:i/>
          <w:lang w:val="en-US"/>
        </w:rPr>
      </w:pPr>
    </w:p>
    <w:p w:rsidR="008C7B73" w:rsidRDefault="00D4464F">
      <w:pPr>
        <w:ind w:left="1701" w:hanging="567"/>
        <w:rPr>
          <w:lang w:val="en-US"/>
        </w:rPr>
      </w:pPr>
      <w:r w:rsidRPr="00D4464F">
        <w:rPr>
          <w:b/>
          <w:i/>
          <w:lang w:val="en-US"/>
        </w:rPr>
        <w:t>IDPS-like scheme</w:t>
      </w:r>
      <w:r w:rsidR="00584680">
        <w:rPr>
          <w:lang w:val="en-US"/>
        </w:rPr>
        <w:t xml:space="preserve"> has the same meaning as in subsection </w:t>
      </w:r>
      <w:proofErr w:type="gramStart"/>
      <w:r w:rsidR="00584680">
        <w:rPr>
          <w:lang w:val="en-US"/>
        </w:rPr>
        <w:t>1013DAB(</w:t>
      </w:r>
      <w:proofErr w:type="gramEnd"/>
      <w:r w:rsidR="00584680">
        <w:rPr>
          <w:lang w:val="en-US"/>
        </w:rPr>
        <w:t>1</w:t>
      </w:r>
      <w:r w:rsidR="003E789F">
        <w:rPr>
          <w:lang w:val="en-US"/>
        </w:rPr>
        <w:t>9</w:t>
      </w:r>
      <w:r w:rsidR="00584680">
        <w:rPr>
          <w:lang w:val="en-US"/>
        </w:rPr>
        <w:t>).</w:t>
      </w:r>
      <w:r w:rsidR="00C81690">
        <w:rPr>
          <w:lang w:val="en-US"/>
        </w:rPr>
        <w:t>”.</w:t>
      </w:r>
    </w:p>
    <w:p w:rsidR="00616FA2" w:rsidRDefault="00616FA2">
      <w:pPr>
        <w:ind w:left="567" w:hanging="567"/>
        <w:rPr>
          <w:lang w:val="en-US"/>
        </w:rPr>
      </w:pPr>
    </w:p>
    <w:p w:rsidR="00CD00F1" w:rsidRPr="00CD00F1" w:rsidRDefault="00F50CF5" w:rsidP="00CD00F1">
      <w:pPr>
        <w:ind w:left="567" w:hanging="567"/>
        <w:rPr>
          <w:b/>
        </w:rPr>
      </w:pPr>
      <w:r w:rsidRPr="00F50CF5">
        <w:rPr>
          <w:b/>
        </w:rPr>
        <w:t>Declaration – IDPS-like scheme dispute resolution</w:t>
      </w:r>
    </w:p>
    <w:p w:rsidR="00CD00F1" w:rsidRPr="00CD00F1" w:rsidRDefault="00CD00F1" w:rsidP="00CD00F1">
      <w:pPr>
        <w:ind w:left="567" w:hanging="567"/>
      </w:pPr>
    </w:p>
    <w:p w:rsidR="00CD00F1" w:rsidRDefault="00EE55AB" w:rsidP="006236DE">
      <w:pPr>
        <w:ind w:left="567" w:hanging="567"/>
        <w:rPr>
          <w:lang w:val="en-US"/>
        </w:rPr>
      </w:pPr>
      <w:r>
        <w:rPr>
          <w:iCs/>
        </w:rPr>
        <w:t>8</w:t>
      </w:r>
      <w:r w:rsidR="00E23717">
        <w:rPr>
          <w:iCs/>
        </w:rPr>
        <w:t>.</w:t>
      </w:r>
      <w:r w:rsidR="00E23717">
        <w:rPr>
          <w:iCs/>
        </w:rPr>
        <w:tab/>
      </w:r>
      <w:r w:rsidR="00CD00F1" w:rsidRPr="00CD00F1">
        <w:rPr>
          <w:iCs/>
        </w:rPr>
        <w:t xml:space="preserve">Part 7.6 of the Act (other than Divisions 4 and 8) applies in relation to </w:t>
      </w:r>
      <w:r w:rsidR="008503C0">
        <w:rPr>
          <w:iCs/>
        </w:rPr>
        <w:t>a</w:t>
      </w:r>
      <w:r w:rsidR="00CD00F1">
        <w:rPr>
          <w:iCs/>
        </w:rPr>
        <w:t xml:space="preserve"> responsible entity</w:t>
      </w:r>
      <w:r w:rsidR="00CD00F1" w:rsidRPr="00CD00F1">
        <w:rPr>
          <w:iCs/>
        </w:rPr>
        <w:t xml:space="preserve"> of an IDPS as if </w:t>
      </w:r>
      <w:r w:rsidR="00DF31CF">
        <w:rPr>
          <w:iCs/>
        </w:rPr>
        <w:t>that Part</w:t>
      </w:r>
      <w:r w:rsidR="00CD00F1" w:rsidRPr="00CD00F1">
        <w:rPr>
          <w:iCs/>
        </w:rPr>
        <w:t xml:space="preserve"> wer</w:t>
      </w:r>
      <w:r w:rsidR="00084A21">
        <w:rPr>
          <w:iCs/>
        </w:rPr>
        <w:t>e varied or modified by, af</w:t>
      </w:r>
      <w:r w:rsidR="00084A21" w:rsidRPr="008503C0">
        <w:rPr>
          <w:iCs/>
        </w:rPr>
        <w:t xml:space="preserve">ter </w:t>
      </w:r>
      <w:r w:rsidR="000B313E" w:rsidRPr="000B313E">
        <w:rPr>
          <w:iCs/>
        </w:rPr>
        <w:t>section 912ADA</w:t>
      </w:r>
      <w:r w:rsidR="00DF31CF" w:rsidRPr="008503C0">
        <w:rPr>
          <w:iCs/>
        </w:rPr>
        <w:t xml:space="preserve"> </w:t>
      </w:r>
      <w:r w:rsidR="000B313E" w:rsidRPr="000B313E">
        <w:rPr>
          <w:iCs/>
        </w:rPr>
        <w:t xml:space="preserve">(as notionally inserted by ASIC Class Order [CO 13/763]), </w:t>
      </w:r>
      <w:r w:rsidR="00A32CB6">
        <w:rPr>
          <w:iCs/>
        </w:rPr>
        <w:t>inserting</w:t>
      </w:r>
      <w:r w:rsidR="00F80767">
        <w:rPr>
          <w:iCs/>
        </w:rPr>
        <w:t>:</w:t>
      </w:r>
    </w:p>
    <w:p w:rsidR="00CD00F1" w:rsidRDefault="00CD00F1">
      <w:pPr>
        <w:ind w:left="567" w:hanging="567"/>
        <w:rPr>
          <w:lang w:val="en-US"/>
        </w:rPr>
      </w:pPr>
    </w:p>
    <w:p w:rsidR="000B313E" w:rsidRDefault="00F80767" w:rsidP="000B313E">
      <w:pPr>
        <w:pStyle w:val="Style4"/>
        <w:tabs>
          <w:tab w:val="left" w:pos="1134"/>
        </w:tabs>
        <w:ind w:left="1134"/>
        <w:rPr>
          <w:highlight w:val="yellow"/>
        </w:rPr>
      </w:pPr>
      <w:r>
        <w:rPr>
          <w:b/>
        </w:rPr>
        <w:t>“</w:t>
      </w:r>
      <w:r w:rsidR="00CD00F1" w:rsidRPr="008111D2">
        <w:rPr>
          <w:b/>
        </w:rPr>
        <w:t>912AD</w:t>
      </w:r>
      <w:r w:rsidR="00CD00F1">
        <w:rPr>
          <w:b/>
        </w:rPr>
        <w:t>B</w:t>
      </w:r>
      <w:r w:rsidR="00CD00F1" w:rsidRPr="008111D2">
        <w:rPr>
          <w:b/>
        </w:rPr>
        <w:tab/>
        <w:t>IDPS</w:t>
      </w:r>
      <w:r w:rsidR="00CD00F1">
        <w:rPr>
          <w:b/>
        </w:rPr>
        <w:t>-like scheme</w:t>
      </w:r>
      <w:r w:rsidR="00CD00F1" w:rsidRPr="008111D2">
        <w:rPr>
          <w:b/>
        </w:rPr>
        <w:t xml:space="preserve"> dispute resolution</w:t>
      </w:r>
    </w:p>
    <w:p w:rsidR="00CD00F1" w:rsidRDefault="00CD00F1" w:rsidP="00CD00F1">
      <w:pPr>
        <w:pStyle w:val="ListB"/>
        <w:ind w:left="360" w:firstLine="0"/>
        <w:rPr>
          <w:lang w:val="en-AU"/>
        </w:rPr>
      </w:pPr>
    </w:p>
    <w:p w:rsidR="00CD00F1" w:rsidRDefault="00CD00F1" w:rsidP="00CD00F1">
      <w:pPr>
        <w:pStyle w:val="Style3"/>
      </w:pPr>
      <w:r>
        <w:t>(1)</w:t>
      </w:r>
      <w:r>
        <w:tab/>
        <w:t>If a financial services licensee who issues accessible financial products through an IDPS</w:t>
      </w:r>
      <w:r w:rsidR="00084A21">
        <w:t>-like scheme</w:t>
      </w:r>
      <w:r>
        <w:t xml:space="preserve"> provides a notice in writing to </w:t>
      </w:r>
      <w:r w:rsidR="00084A21">
        <w:t xml:space="preserve">the responsible entity of the scheme </w:t>
      </w:r>
      <w:r>
        <w:t>that states that it will comply with the internal dispute resolution requirements of this section, the licensee must have and maintain an internal dispute resolution procedure that:</w:t>
      </w:r>
    </w:p>
    <w:p w:rsidR="00CD00F1" w:rsidRDefault="00CD00F1" w:rsidP="00CD00F1">
      <w:pPr>
        <w:pStyle w:val="Style3"/>
      </w:pPr>
    </w:p>
    <w:p w:rsidR="00CD00F1" w:rsidRDefault="00CD00F1" w:rsidP="00CD00F1">
      <w:pPr>
        <w:pStyle w:val="Style4"/>
      </w:pPr>
      <w:r>
        <w:t>(a)</w:t>
      </w:r>
      <w:r>
        <w:tab/>
      </w:r>
      <w:proofErr w:type="gramStart"/>
      <w:r>
        <w:t>covers</w:t>
      </w:r>
      <w:proofErr w:type="gramEnd"/>
      <w:r>
        <w:t xml:space="preserve"> complaints against the licensee by each person who: </w:t>
      </w:r>
    </w:p>
    <w:p w:rsidR="00CD00F1" w:rsidRDefault="00CD00F1" w:rsidP="00CD00F1">
      <w:pPr>
        <w:pStyle w:val="ListB"/>
        <w:rPr>
          <w:lang w:val="en-AU"/>
        </w:rPr>
      </w:pPr>
    </w:p>
    <w:p w:rsidR="00CD00F1" w:rsidRDefault="00CD00F1" w:rsidP="00CD00F1">
      <w:pPr>
        <w:pStyle w:val="Style5"/>
      </w:pPr>
      <w:r>
        <w:t>(</w:t>
      </w:r>
      <w:proofErr w:type="spellStart"/>
      <w:r>
        <w:t>i</w:t>
      </w:r>
      <w:proofErr w:type="spellEnd"/>
      <w:r>
        <w:t>)</w:t>
      </w:r>
      <w:r>
        <w:tab/>
      </w:r>
      <w:proofErr w:type="gramStart"/>
      <w:r>
        <w:t>holds</w:t>
      </w:r>
      <w:proofErr w:type="gramEnd"/>
      <w:r>
        <w:t xml:space="preserve"> through the </w:t>
      </w:r>
      <w:r w:rsidR="00084A21">
        <w:t>scheme</w:t>
      </w:r>
      <w:r>
        <w:t xml:space="preserve"> an accessible financial product issued by the licensee; and</w:t>
      </w:r>
    </w:p>
    <w:p w:rsidR="00CD00F1" w:rsidRDefault="00CD00F1" w:rsidP="00CD00F1">
      <w:pPr>
        <w:pStyle w:val="ListB"/>
        <w:rPr>
          <w:lang w:val="en-AU"/>
        </w:rPr>
      </w:pPr>
    </w:p>
    <w:p w:rsidR="00CD00F1" w:rsidRDefault="00CD00F1" w:rsidP="00CD00F1">
      <w:pPr>
        <w:pStyle w:val="Style5"/>
      </w:pPr>
      <w:r>
        <w:t>(ii)</w:t>
      </w:r>
      <w:r>
        <w:tab/>
      </w:r>
      <w:proofErr w:type="gramStart"/>
      <w:r>
        <w:t>if</w:t>
      </w:r>
      <w:proofErr w:type="gramEnd"/>
      <w:r>
        <w:t xml:space="preserve"> the licensee had issued the accessible financial product to the person directly</w:t>
      </w:r>
      <w:r w:rsidR="00DF31CF">
        <w:t xml:space="preserve">, </w:t>
      </w:r>
      <w:r w:rsidR="00DF31CF" w:rsidRPr="00DF31CF">
        <w:t>would have been</w:t>
      </w:r>
      <w:r w:rsidR="00DF31CF">
        <w:t xml:space="preserve"> issued the product as</w:t>
      </w:r>
      <w:r w:rsidR="00DF31CF" w:rsidRPr="00DF31CF">
        <w:t xml:space="preserve"> a retail client</w:t>
      </w:r>
      <w:r>
        <w:t>;</w:t>
      </w:r>
      <w:r>
        <w:br/>
      </w:r>
    </w:p>
    <w:p w:rsidR="00CD00F1" w:rsidRDefault="00543BFC" w:rsidP="00CD00F1">
      <w:pPr>
        <w:pStyle w:val="Style6"/>
        <w:ind w:left="1701" w:firstLine="0"/>
      </w:pPr>
      <w:proofErr w:type="gramStart"/>
      <w:r w:rsidRPr="00543BFC">
        <w:t>where</w:t>
      </w:r>
      <w:proofErr w:type="gramEnd"/>
      <w:r w:rsidRPr="00543BFC">
        <w:t xml:space="preserve"> the complaints are made in connection with the accessible financial product; </w:t>
      </w:r>
      <w:r>
        <w:t>and</w:t>
      </w:r>
    </w:p>
    <w:p w:rsidR="00CD00F1" w:rsidRDefault="00CD00F1" w:rsidP="00CD00F1">
      <w:pPr>
        <w:pStyle w:val="Style6"/>
        <w:ind w:left="2268" w:firstLine="0"/>
      </w:pPr>
    </w:p>
    <w:p w:rsidR="00CD00F1" w:rsidRDefault="00CD00F1" w:rsidP="00CD00F1">
      <w:pPr>
        <w:pStyle w:val="Style4"/>
      </w:pPr>
      <w:r>
        <w:t>(b)</w:t>
      </w:r>
      <w:r>
        <w:tab/>
      </w:r>
      <w:proofErr w:type="gramStart"/>
      <w:r>
        <w:t>complies</w:t>
      </w:r>
      <w:proofErr w:type="gramEnd"/>
      <w:r>
        <w:t xml:space="preserve"> with the following standards and requirements:</w:t>
      </w:r>
    </w:p>
    <w:p w:rsidR="00CD00F1" w:rsidRDefault="00CD00F1" w:rsidP="00CD00F1">
      <w:pPr>
        <w:pStyle w:val="Style4"/>
      </w:pPr>
    </w:p>
    <w:p w:rsidR="006A1C49" w:rsidRDefault="00FA1996">
      <w:pPr>
        <w:pStyle w:val="Style5"/>
      </w:pPr>
      <w:r>
        <w:t>(</w:t>
      </w:r>
      <w:proofErr w:type="spellStart"/>
      <w:r>
        <w:t>i</w:t>
      </w:r>
      <w:proofErr w:type="spellEnd"/>
      <w:r>
        <w:t>)</w:t>
      </w:r>
      <w:r>
        <w:tab/>
      </w:r>
      <w:proofErr w:type="gramStart"/>
      <w:r w:rsidR="00CD00F1">
        <w:t>the</w:t>
      </w:r>
      <w:proofErr w:type="gramEnd"/>
      <w:r w:rsidR="00CD00F1">
        <w:t xml:space="preserve"> procedure covers a “complaint” as</w:t>
      </w:r>
      <w:r>
        <w:t xml:space="preserve"> </w:t>
      </w:r>
      <w:r w:rsidR="00CD00F1">
        <w:t>defined in AS ISO</w:t>
      </w:r>
      <w:r>
        <w:t xml:space="preserve"> 10002</w:t>
      </w:r>
      <w:r w:rsidRPr="00FA1996">
        <w:t>—</w:t>
      </w:r>
      <w:r>
        <w:t xml:space="preserve">2006;  </w:t>
      </w:r>
      <w:r>
        <w:br/>
      </w:r>
    </w:p>
    <w:p w:rsidR="006A1C49" w:rsidRDefault="00CD00F1">
      <w:pPr>
        <w:pStyle w:val="Style5"/>
      </w:pPr>
      <w:r>
        <w:t xml:space="preserve">(ii) </w:t>
      </w:r>
      <w:r>
        <w:tab/>
      </w:r>
      <w:proofErr w:type="gramStart"/>
      <w:r>
        <w:t>the</w:t>
      </w:r>
      <w:proofErr w:type="gramEnd"/>
      <w:r>
        <w:t xml:space="preserve"> “Guiding principles” in section 4 of AS ISO</w:t>
      </w:r>
      <w:r w:rsidR="00FA1996">
        <w:t xml:space="preserve"> 10002</w:t>
      </w:r>
      <w:r w:rsidR="00FA1996" w:rsidRPr="00FA1996">
        <w:t>—</w:t>
      </w:r>
      <w:r w:rsidR="00FA1996">
        <w:t xml:space="preserve">2006; </w:t>
      </w:r>
      <w:r>
        <w:t xml:space="preserve"> </w:t>
      </w:r>
    </w:p>
    <w:p w:rsidR="00CD00F1" w:rsidRDefault="00CD00F1" w:rsidP="00CD00F1">
      <w:pPr>
        <w:pStyle w:val="Style5"/>
      </w:pPr>
    </w:p>
    <w:p w:rsidR="00CD00F1" w:rsidRDefault="00CD00F1" w:rsidP="00CD00F1">
      <w:pPr>
        <w:pStyle w:val="Style5"/>
      </w:pPr>
      <w:r>
        <w:t xml:space="preserve">(iii) </w:t>
      </w:r>
      <w:r>
        <w:tab/>
      </w:r>
      <w:proofErr w:type="gramStart"/>
      <w:r>
        <w:t>the</w:t>
      </w:r>
      <w:proofErr w:type="gramEnd"/>
      <w:r>
        <w:t xml:space="preserve"> following sections of AS ISO 10002—2006:</w:t>
      </w:r>
      <w:r>
        <w:br/>
      </w:r>
    </w:p>
    <w:p w:rsidR="00CD00F1" w:rsidRDefault="00CD00F1" w:rsidP="00CD00F1">
      <w:pPr>
        <w:pStyle w:val="Style6"/>
      </w:pPr>
      <w:r>
        <w:lastRenderedPageBreak/>
        <w:t xml:space="preserve">(A) </w:t>
      </w:r>
      <w:r w:rsidR="00FA1996">
        <w:tab/>
      </w:r>
      <w:proofErr w:type="gramStart"/>
      <w:r>
        <w:t>section</w:t>
      </w:r>
      <w:proofErr w:type="gramEnd"/>
      <w:r>
        <w:t xml:space="preserve"> 5.1—Commitment;</w:t>
      </w:r>
      <w:r>
        <w:br/>
      </w:r>
    </w:p>
    <w:p w:rsidR="00CD00F1" w:rsidRDefault="00CD00F1" w:rsidP="00CD00F1">
      <w:pPr>
        <w:pStyle w:val="Style6"/>
      </w:pPr>
      <w:r>
        <w:t xml:space="preserve">(B) </w:t>
      </w:r>
      <w:r w:rsidR="00FA1996">
        <w:tab/>
      </w:r>
      <w:proofErr w:type="gramStart"/>
      <w:r>
        <w:t>section</w:t>
      </w:r>
      <w:proofErr w:type="gramEnd"/>
      <w:r>
        <w:t xml:space="preserve"> 6.4—Resources;</w:t>
      </w:r>
      <w:r>
        <w:br/>
      </w:r>
    </w:p>
    <w:p w:rsidR="00CD00F1" w:rsidRDefault="00CD00F1" w:rsidP="00CD00F1">
      <w:pPr>
        <w:pStyle w:val="Style6"/>
      </w:pPr>
      <w:r>
        <w:t xml:space="preserve">(C) </w:t>
      </w:r>
      <w:r w:rsidR="00FA1996">
        <w:tab/>
      </w:r>
      <w:proofErr w:type="gramStart"/>
      <w:r>
        <w:t>section</w:t>
      </w:r>
      <w:proofErr w:type="gramEnd"/>
      <w:r>
        <w:t xml:space="preserve"> 8.1—Collection of Information; </w:t>
      </w:r>
      <w:r>
        <w:br/>
      </w:r>
    </w:p>
    <w:p w:rsidR="00CD00F1" w:rsidRDefault="00CD00F1" w:rsidP="00CD00F1">
      <w:pPr>
        <w:pStyle w:val="Style6"/>
      </w:pPr>
      <w:r>
        <w:t xml:space="preserve">(D) </w:t>
      </w:r>
      <w:r w:rsidR="00FA1996">
        <w:tab/>
      </w:r>
      <w:proofErr w:type="gramStart"/>
      <w:r>
        <w:t>section</w:t>
      </w:r>
      <w:proofErr w:type="gramEnd"/>
      <w:r>
        <w:t xml:space="preserve"> 8.2—Analysis and evaluation of complaints; and</w:t>
      </w:r>
    </w:p>
    <w:p w:rsidR="00CD00F1" w:rsidRDefault="00CD00F1" w:rsidP="00CD00F1">
      <w:pPr>
        <w:pStyle w:val="Style6"/>
      </w:pPr>
    </w:p>
    <w:p w:rsidR="00FA1996" w:rsidRPr="00FA1996" w:rsidRDefault="00CD00F1" w:rsidP="00FA1996">
      <w:pPr>
        <w:pStyle w:val="Style5"/>
      </w:pPr>
      <w:r>
        <w:t xml:space="preserve">(iv) </w:t>
      </w:r>
      <w:r>
        <w:tab/>
      </w:r>
      <w:proofErr w:type="gramStart"/>
      <w:r>
        <w:t>the</w:t>
      </w:r>
      <w:proofErr w:type="gramEnd"/>
      <w:r>
        <w:t xml:space="preserve"> procedure must include adequate measures for informing</w:t>
      </w:r>
      <w:r w:rsidR="00FA1996" w:rsidRPr="00FA1996">
        <w:t xml:space="preserve"> complainants about the availability and accessibility of an </w:t>
      </w:r>
      <w:r w:rsidR="00FA1996">
        <w:t xml:space="preserve">external </w:t>
      </w:r>
      <w:r>
        <w:t>dispute resolution scheme (if any) of which the relevant</w:t>
      </w:r>
      <w:r w:rsidR="00FA1996" w:rsidRPr="00FA1996">
        <w:t xml:space="preserve"> person is a member.</w:t>
      </w:r>
    </w:p>
    <w:p w:rsidR="006A1C49" w:rsidRDefault="00FA1996">
      <w:pPr>
        <w:pStyle w:val="Style5"/>
        <w:ind w:left="0" w:firstLine="0"/>
      </w:pPr>
      <w:r>
        <w:t xml:space="preserve"> </w:t>
      </w:r>
    </w:p>
    <w:p w:rsidR="00CD00F1" w:rsidRDefault="00CD00F1" w:rsidP="00CD00F1">
      <w:pPr>
        <w:pStyle w:val="Style5"/>
      </w:pPr>
      <w:r w:rsidRPr="008111D2">
        <w:rPr>
          <w:sz w:val="20"/>
        </w:rPr>
        <w:t xml:space="preserve">Note: </w:t>
      </w:r>
      <w:r w:rsidR="00DF31CF">
        <w:rPr>
          <w:sz w:val="20"/>
        </w:rPr>
        <w:t xml:space="preserve">A notice under subsection </w:t>
      </w:r>
      <w:proofErr w:type="gramStart"/>
      <w:r w:rsidR="00DF31CF">
        <w:rPr>
          <w:sz w:val="20"/>
        </w:rPr>
        <w:t>912ADB</w:t>
      </w:r>
      <w:r w:rsidRPr="008111D2">
        <w:rPr>
          <w:sz w:val="20"/>
        </w:rPr>
        <w:t>(</w:t>
      </w:r>
      <w:proofErr w:type="gramEnd"/>
      <w:r w:rsidRPr="008111D2">
        <w:rPr>
          <w:sz w:val="20"/>
        </w:rPr>
        <w:t>1) cannot be revoked.</w:t>
      </w:r>
    </w:p>
    <w:p w:rsidR="00CD00F1" w:rsidRDefault="00CD00F1" w:rsidP="00CD00F1">
      <w:pPr>
        <w:pStyle w:val="Style5"/>
      </w:pPr>
    </w:p>
    <w:p w:rsidR="00CD00F1" w:rsidRDefault="00CD00F1" w:rsidP="00CD00F1">
      <w:pPr>
        <w:pStyle w:val="Style3"/>
      </w:pPr>
      <w:r w:rsidRPr="008111D2">
        <w:rPr>
          <w:bCs/>
          <w:iCs/>
        </w:rPr>
        <w:t>(2)</w:t>
      </w:r>
      <w:r w:rsidRPr="008111D2">
        <w:rPr>
          <w:bCs/>
          <w:iCs/>
        </w:rPr>
        <w:tab/>
      </w:r>
      <w:r>
        <w:rPr>
          <w:bCs/>
          <w:iCs/>
        </w:rPr>
        <w:t xml:space="preserve">In this section, </w:t>
      </w:r>
      <w:r w:rsidRPr="00692BD3">
        <w:rPr>
          <w:b/>
          <w:bCs/>
          <w:i/>
          <w:iCs/>
        </w:rPr>
        <w:t xml:space="preserve">AS ISO 10002—2006 </w:t>
      </w:r>
      <w:r w:rsidRPr="00692BD3">
        <w:t>means</w:t>
      </w:r>
      <w:r>
        <w:t xml:space="preserve"> </w:t>
      </w:r>
      <w:r w:rsidRPr="00692BD3">
        <w:t>Australian Standard AS ISO 10002—</w:t>
      </w:r>
      <w:r>
        <w:t xml:space="preserve">2006 </w:t>
      </w:r>
      <w:r w:rsidRPr="00692BD3">
        <w:t>known as Customer Satisfaction—Guidelines for complaints</w:t>
      </w:r>
      <w:r>
        <w:t xml:space="preserve"> </w:t>
      </w:r>
      <w:r w:rsidRPr="00692BD3">
        <w:t>handling in organizations published by Standards Australia as in force</w:t>
      </w:r>
      <w:r>
        <w:t xml:space="preserve"> </w:t>
      </w:r>
      <w:r w:rsidRPr="00692BD3">
        <w:t>as at 5 April 2006.</w:t>
      </w:r>
      <w:proofErr w:type="gramStart"/>
      <w:r>
        <w:t>”.</w:t>
      </w:r>
      <w:proofErr w:type="gramEnd"/>
      <w:r>
        <w:t xml:space="preserve"> </w:t>
      </w:r>
    </w:p>
    <w:p w:rsidR="000B313E" w:rsidRDefault="000B313E" w:rsidP="000B313E">
      <w:pPr>
        <w:rPr>
          <w:lang w:val="en-US"/>
        </w:rPr>
      </w:pPr>
    </w:p>
    <w:p w:rsidR="000437EA" w:rsidRDefault="00EE55AB">
      <w:pPr>
        <w:ind w:left="567" w:hanging="567"/>
        <w:rPr>
          <w:lang w:val="en-US"/>
        </w:rPr>
      </w:pPr>
      <w:r>
        <w:rPr>
          <w:lang w:val="en-US"/>
        </w:rPr>
        <w:t>9</w:t>
      </w:r>
      <w:r w:rsidR="00BD1D4E">
        <w:rPr>
          <w:lang w:val="en-US"/>
        </w:rPr>
        <w:t>.</w:t>
      </w:r>
      <w:r w:rsidR="00BD1D4E">
        <w:rPr>
          <w:lang w:val="en-US"/>
        </w:rPr>
        <w:tab/>
        <w:t xml:space="preserve">Chapter 5C </w:t>
      </w:r>
      <w:r w:rsidR="00F80767">
        <w:rPr>
          <w:lang w:val="en-US"/>
        </w:rPr>
        <w:t xml:space="preserve">of the Act </w:t>
      </w:r>
      <w:r w:rsidR="00BD1D4E">
        <w:rPr>
          <w:lang w:val="en-US"/>
        </w:rPr>
        <w:t xml:space="preserve">applies in relation to </w:t>
      </w:r>
      <w:r w:rsidR="00D05653">
        <w:rPr>
          <w:lang w:val="en-US"/>
        </w:rPr>
        <w:t xml:space="preserve">a responsible entity of an </w:t>
      </w:r>
      <w:r w:rsidR="00BD1D4E">
        <w:rPr>
          <w:lang w:val="en-US"/>
        </w:rPr>
        <w:t>IDPS-like scheme as if</w:t>
      </w:r>
      <w:r w:rsidR="00270B9A">
        <w:rPr>
          <w:lang w:val="en-US"/>
        </w:rPr>
        <w:t xml:space="preserve"> the provisions of that </w:t>
      </w:r>
      <w:r w:rsidR="007E371C">
        <w:rPr>
          <w:lang w:val="en-US"/>
        </w:rPr>
        <w:t>C</w:t>
      </w:r>
      <w:r w:rsidR="00270B9A">
        <w:rPr>
          <w:lang w:val="en-US"/>
        </w:rPr>
        <w:t>hapter were varied or modified as follow</w:t>
      </w:r>
      <w:r w:rsidR="00D05653">
        <w:rPr>
          <w:lang w:val="en-US"/>
        </w:rPr>
        <w:t>s</w:t>
      </w:r>
      <w:r w:rsidR="00270B9A">
        <w:rPr>
          <w:lang w:val="en-US"/>
        </w:rPr>
        <w:t>:</w:t>
      </w:r>
    </w:p>
    <w:p w:rsidR="000437EA" w:rsidRDefault="00BD1D4E">
      <w:pPr>
        <w:ind w:left="1418"/>
        <w:rPr>
          <w:lang w:val="en-US"/>
        </w:rPr>
      </w:pPr>
      <w:r>
        <w:rPr>
          <w:lang w:val="en-US"/>
        </w:rPr>
        <w:t xml:space="preserve"> </w:t>
      </w:r>
    </w:p>
    <w:p w:rsidR="00E92E3E" w:rsidRPr="00E23717" w:rsidRDefault="00B67F76" w:rsidP="00E92E3E">
      <w:pPr>
        <w:ind w:left="1134" w:hanging="567"/>
      </w:pPr>
      <w:r>
        <w:t>(a)</w:t>
      </w:r>
      <w:r>
        <w:tab/>
      </w:r>
      <w:proofErr w:type="gramStart"/>
      <w:r>
        <w:t>omit</w:t>
      </w:r>
      <w:proofErr w:type="gramEnd"/>
      <w:r>
        <w:t xml:space="preserve"> subsection 601GA(4) and substitute:</w:t>
      </w:r>
    </w:p>
    <w:p w:rsidR="000437EA" w:rsidRPr="00E23717" w:rsidRDefault="000437EA">
      <w:pPr>
        <w:ind w:left="567" w:hanging="567"/>
      </w:pPr>
    </w:p>
    <w:p w:rsidR="00E92E3E" w:rsidRPr="00E23717" w:rsidRDefault="00B67F76" w:rsidP="00E92E3E">
      <w:pPr>
        <w:ind w:left="1701" w:hanging="567"/>
      </w:pPr>
      <w:r>
        <w:t>“(4)</w:t>
      </w:r>
      <w:r>
        <w:tab/>
      </w:r>
      <w:proofErr w:type="gramStart"/>
      <w:r>
        <w:t>If</w:t>
      </w:r>
      <w:proofErr w:type="gramEnd"/>
      <w:r>
        <w:t xml:space="preserve"> members are to have a right to withdraw from the scheme, the scheme’s constitution must:</w:t>
      </w:r>
    </w:p>
    <w:p w:rsidR="000437EA" w:rsidRPr="00E23717" w:rsidRDefault="000437EA">
      <w:pPr>
        <w:ind w:left="2268"/>
      </w:pPr>
    </w:p>
    <w:p w:rsidR="00406735" w:rsidRPr="00E23717" w:rsidRDefault="00B67F76">
      <w:pPr>
        <w:pStyle w:val="Style5"/>
      </w:pPr>
      <w:r>
        <w:t>(a)</w:t>
      </w:r>
      <w:r>
        <w:tab/>
      </w:r>
      <w:proofErr w:type="gramStart"/>
      <w:r>
        <w:t>specify</w:t>
      </w:r>
      <w:proofErr w:type="gramEnd"/>
      <w:r>
        <w:t xml:space="preserve"> the right; and</w:t>
      </w:r>
    </w:p>
    <w:p w:rsidR="000437EA" w:rsidRPr="00E23717" w:rsidRDefault="000437EA">
      <w:pPr>
        <w:ind w:left="2835" w:hanging="567"/>
      </w:pPr>
    </w:p>
    <w:p w:rsidR="00406735" w:rsidRPr="00E23717" w:rsidRDefault="00B67F76">
      <w:pPr>
        <w:pStyle w:val="Style5"/>
      </w:pPr>
      <w:r>
        <w:t>(b)</w:t>
      </w:r>
      <w:r>
        <w:tab/>
      </w:r>
      <w:proofErr w:type="gramStart"/>
      <w:r>
        <w:t>set</w:t>
      </w:r>
      <w:proofErr w:type="gramEnd"/>
      <w:r>
        <w:t xml:space="preserve"> out how a withdrawal request will be dealt with where that request relates to an investment which is subject to a minimum holding requirement or the realisation of which might otherwise adversely affect members other than the requesting member.</w:t>
      </w:r>
    </w:p>
    <w:p w:rsidR="000437EA" w:rsidRPr="00E23717" w:rsidRDefault="000437EA">
      <w:pPr>
        <w:ind w:left="2835" w:hanging="567"/>
      </w:pPr>
    </w:p>
    <w:p w:rsidR="00E92E3E" w:rsidRPr="00E23717" w:rsidRDefault="00B67F76" w:rsidP="00E92E3E">
      <w:pPr>
        <w:ind w:left="1701"/>
      </w:pPr>
      <w:r>
        <w:t>The right to withdraw, and any provisions in the constitution setting out procedures for making and dealing with withdrawal requests, must be fair to all members.</w:t>
      </w:r>
      <w:proofErr w:type="gramStart"/>
      <w:r>
        <w:t>”;</w:t>
      </w:r>
      <w:proofErr w:type="gramEnd"/>
      <w:r>
        <w:t xml:space="preserve"> and</w:t>
      </w:r>
    </w:p>
    <w:p w:rsidR="000437EA" w:rsidRPr="00E23717" w:rsidRDefault="000437EA">
      <w:pPr>
        <w:ind w:left="2268"/>
      </w:pPr>
    </w:p>
    <w:p w:rsidR="00196826" w:rsidRDefault="00B67F76">
      <w:pPr>
        <w:ind w:left="1134" w:hanging="567"/>
        <w:rPr>
          <w:b/>
        </w:rPr>
      </w:pPr>
      <w:r>
        <w:t>(b)</w:t>
      </w:r>
      <w:r>
        <w:tab/>
      </w:r>
      <w:proofErr w:type="gramStart"/>
      <w:r>
        <w:t>omit</w:t>
      </w:r>
      <w:proofErr w:type="gramEnd"/>
      <w:r>
        <w:t xml:space="preserve"> section 601KA and substitute:</w:t>
      </w:r>
    </w:p>
    <w:p w:rsidR="00E92E3E" w:rsidRPr="00E23717" w:rsidRDefault="00E92E3E" w:rsidP="00E92E3E">
      <w:pPr>
        <w:ind w:left="1134" w:hanging="567"/>
      </w:pPr>
    </w:p>
    <w:p w:rsidR="00406735" w:rsidRPr="00E23717" w:rsidRDefault="00B67F76">
      <w:pPr>
        <w:ind w:left="1134"/>
      </w:pPr>
      <w:r>
        <w:t>“The responsible entity must not allow a member to withdraw from the scheme otherwise than in accordance with the scheme’s constitution or the conditions of an exemption under this Act.</w:t>
      </w:r>
      <w:proofErr w:type="gramStart"/>
      <w:r>
        <w:t>”;</w:t>
      </w:r>
      <w:proofErr w:type="gramEnd"/>
      <w:r>
        <w:t xml:space="preserve"> and</w:t>
      </w:r>
    </w:p>
    <w:p w:rsidR="000437EA" w:rsidRPr="00E23717" w:rsidRDefault="000437EA">
      <w:pPr>
        <w:ind w:left="1418" w:hanging="851"/>
      </w:pPr>
    </w:p>
    <w:p w:rsidR="00196826" w:rsidRDefault="00B67F76">
      <w:pPr>
        <w:ind w:left="1134" w:hanging="567"/>
        <w:rPr>
          <w:b/>
          <w:bCs/>
        </w:rPr>
      </w:pPr>
      <w:r>
        <w:t>(c)</w:t>
      </w:r>
      <w:r>
        <w:tab/>
      </w:r>
      <w:proofErr w:type="gramStart"/>
      <w:r>
        <w:t>omit</w:t>
      </w:r>
      <w:proofErr w:type="gramEnd"/>
      <w:r>
        <w:t xml:space="preserve"> sections 601KB to 601KE.</w:t>
      </w:r>
      <w:r w:rsidR="00670CCD">
        <w:t xml:space="preserve"> </w:t>
      </w:r>
    </w:p>
    <w:p w:rsidR="00BA0175" w:rsidRDefault="00BA0175">
      <w:pPr>
        <w:ind w:left="567" w:hanging="567"/>
        <w:rPr>
          <w:lang w:val="en-US"/>
        </w:rPr>
      </w:pPr>
      <w:bookmarkStart w:id="0" w:name="_Ref337569903"/>
    </w:p>
    <w:p w:rsidR="008A5CFA" w:rsidRDefault="008A5CFA">
      <w:pPr>
        <w:ind w:left="567" w:hanging="567"/>
        <w:rPr>
          <w:b/>
          <w:bCs/>
        </w:rPr>
      </w:pPr>
      <w:r>
        <w:rPr>
          <w:b/>
          <w:lang w:val="en-US"/>
        </w:rPr>
        <w:lastRenderedPageBreak/>
        <w:t xml:space="preserve">Declaration </w:t>
      </w:r>
      <w:r w:rsidR="00F50CF5" w:rsidRPr="00F50CF5">
        <w:rPr>
          <w:b/>
          <w:lang w:val="en-US"/>
        </w:rPr>
        <w:t xml:space="preserve">- </w:t>
      </w:r>
      <w:r w:rsidR="001142F9">
        <w:rPr>
          <w:b/>
          <w:bCs/>
        </w:rPr>
        <w:t>offers of securities through an IDPS</w:t>
      </w:r>
      <w:r w:rsidR="00DF31CF">
        <w:rPr>
          <w:b/>
          <w:bCs/>
        </w:rPr>
        <w:t>-like scheme</w:t>
      </w:r>
    </w:p>
    <w:p w:rsidR="005A47C5" w:rsidRPr="008A5CFA" w:rsidRDefault="005A47C5">
      <w:pPr>
        <w:ind w:left="567" w:hanging="567"/>
        <w:rPr>
          <w:b/>
          <w:lang w:val="en-US"/>
        </w:rPr>
      </w:pPr>
    </w:p>
    <w:p w:rsidR="000437EA" w:rsidRDefault="00BB71D4">
      <w:pPr>
        <w:ind w:left="567" w:hanging="567"/>
        <w:rPr>
          <w:lang w:val="en-US"/>
        </w:rPr>
      </w:pPr>
      <w:r>
        <w:rPr>
          <w:lang w:val="en-US"/>
        </w:rPr>
        <w:t>1</w:t>
      </w:r>
      <w:r w:rsidR="00E23717">
        <w:rPr>
          <w:lang w:val="en-US"/>
        </w:rPr>
        <w:t>0</w:t>
      </w:r>
      <w:r w:rsidR="00FF562D">
        <w:rPr>
          <w:lang w:val="en-US"/>
        </w:rPr>
        <w:t>.</w:t>
      </w:r>
      <w:r w:rsidR="00FF562D">
        <w:rPr>
          <w:lang w:val="en-US"/>
        </w:rPr>
        <w:tab/>
      </w:r>
      <w:r w:rsidR="00847231">
        <w:rPr>
          <w:lang w:val="en-US"/>
        </w:rPr>
        <w:t>Chapter 6D</w:t>
      </w:r>
      <w:r w:rsidR="00FF562D">
        <w:rPr>
          <w:lang w:val="en-US"/>
        </w:rPr>
        <w:t xml:space="preserve"> </w:t>
      </w:r>
      <w:r w:rsidR="00F80767">
        <w:rPr>
          <w:lang w:val="en-US"/>
        </w:rPr>
        <w:t xml:space="preserve">of the Act </w:t>
      </w:r>
      <w:r w:rsidR="00FF562D">
        <w:rPr>
          <w:lang w:val="en-US"/>
        </w:rPr>
        <w:t xml:space="preserve">applies </w:t>
      </w:r>
      <w:r w:rsidR="00616FA2">
        <w:rPr>
          <w:lang w:val="en-US"/>
        </w:rPr>
        <w:t xml:space="preserve">in relation to the responsible entity of an IDPS-like scheme </w:t>
      </w:r>
      <w:r w:rsidR="00DF671E">
        <w:rPr>
          <w:lang w:val="en-US"/>
        </w:rPr>
        <w:t>as i</w:t>
      </w:r>
      <w:r w:rsidR="00FF562D" w:rsidRPr="00FF562D">
        <w:rPr>
          <w:lang w:val="en-US"/>
        </w:rPr>
        <w:t>f the provisions of that</w:t>
      </w:r>
      <w:r w:rsidR="00847231">
        <w:rPr>
          <w:lang w:val="en-US"/>
        </w:rPr>
        <w:t xml:space="preserve"> Chapter</w:t>
      </w:r>
      <w:r w:rsidR="00FF562D" w:rsidRPr="00FF562D">
        <w:rPr>
          <w:lang w:val="en-US"/>
        </w:rPr>
        <w:t xml:space="preserve"> were modified or varied</w:t>
      </w:r>
      <w:r w:rsidR="00EC406D">
        <w:rPr>
          <w:lang w:val="en-US"/>
        </w:rPr>
        <w:t xml:space="preserve"> by, </w:t>
      </w:r>
      <w:r w:rsidR="001142F9">
        <w:rPr>
          <w:lang w:val="en-US"/>
        </w:rPr>
        <w:t xml:space="preserve">before </w:t>
      </w:r>
      <w:r w:rsidR="007370B8">
        <w:rPr>
          <w:lang w:val="en-US"/>
        </w:rPr>
        <w:t xml:space="preserve">section </w:t>
      </w:r>
      <w:r w:rsidR="00FF562D">
        <w:rPr>
          <w:lang w:val="en-US"/>
        </w:rPr>
        <w:t>70</w:t>
      </w:r>
      <w:r w:rsidR="001142F9">
        <w:rPr>
          <w:lang w:val="en-US"/>
        </w:rPr>
        <w:t>5</w:t>
      </w:r>
      <w:r w:rsidR="00FF562D" w:rsidRPr="00FF562D">
        <w:rPr>
          <w:lang w:val="en-US"/>
        </w:rPr>
        <w:t xml:space="preserve"> insert</w:t>
      </w:r>
      <w:r w:rsidR="00EC406D">
        <w:rPr>
          <w:lang w:val="en-US"/>
        </w:rPr>
        <w:t>ing</w:t>
      </w:r>
      <w:r w:rsidR="00006918">
        <w:rPr>
          <w:lang w:val="en-US"/>
        </w:rPr>
        <w:t>:</w:t>
      </w:r>
    </w:p>
    <w:p w:rsidR="000437EA" w:rsidRDefault="000437EA">
      <w:pPr>
        <w:ind w:left="567" w:hanging="567"/>
        <w:rPr>
          <w:lang w:val="en-US"/>
        </w:rPr>
      </w:pPr>
    </w:p>
    <w:p w:rsidR="006A1C49" w:rsidRDefault="00FF562D">
      <w:pPr>
        <w:pStyle w:val="Style4"/>
        <w:ind w:left="1134"/>
        <w:rPr>
          <w:lang w:val="en-US"/>
        </w:rPr>
      </w:pPr>
      <w:r>
        <w:rPr>
          <w:lang w:val="en-US"/>
        </w:rPr>
        <w:t>“</w:t>
      </w:r>
      <w:r w:rsidR="001142F9" w:rsidRPr="007007A5">
        <w:rPr>
          <w:b/>
          <w:lang w:val="en-US"/>
        </w:rPr>
        <w:t>704</w:t>
      </w:r>
      <w:r w:rsidR="001142F9">
        <w:rPr>
          <w:b/>
          <w:lang w:val="en-US"/>
        </w:rPr>
        <w:t>B</w:t>
      </w:r>
      <w:r w:rsidR="007007A5" w:rsidRPr="007007A5">
        <w:rPr>
          <w:b/>
          <w:lang w:val="en-US"/>
        </w:rPr>
        <w:tab/>
        <w:t>Offers through an IDPS-like scheme</w:t>
      </w:r>
    </w:p>
    <w:p w:rsidR="006A1C49" w:rsidRDefault="006A1C49">
      <w:pPr>
        <w:pStyle w:val="Style3"/>
        <w:ind w:left="567"/>
        <w:rPr>
          <w:lang w:val="en-US"/>
        </w:rPr>
      </w:pPr>
    </w:p>
    <w:p w:rsidR="006A1C49" w:rsidRDefault="00616FA2">
      <w:pPr>
        <w:pStyle w:val="Style4"/>
        <w:ind w:left="1134"/>
        <w:rPr>
          <w:lang w:val="en-US"/>
        </w:rPr>
      </w:pPr>
      <w:r>
        <w:rPr>
          <w:lang w:val="en-US"/>
        </w:rPr>
        <w:t>(1)</w:t>
      </w:r>
      <w:r>
        <w:rPr>
          <w:lang w:val="en-US"/>
        </w:rPr>
        <w:tab/>
      </w:r>
      <w:r w:rsidR="00EC406D" w:rsidRPr="008427AE">
        <w:rPr>
          <w:lang w:val="en-US"/>
        </w:rPr>
        <w:t xml:space="preserve">A </w:t>
      </w:r>
      <w:r w:rsidR="00D4464F" w:rsidRPr="00D4464F">
        <w:rPr>
          <w:lang w:val="en-US"/>
        </w:rPr>
        <w:t xml:space="preserve">person who </w:t>
      </w:r>
      <w:r w:rsidR="00F80767">
        <w:rPr>
          <w:lang w:val="en-US"/>
        </w:rPr>
        <w:t xml:space="preserve">makes an </w:t>
      </w:r>
      <w:r w:rsidR="00D4464F" w:rsidRPr="00D4464F">
        <w:rPr>
          <w:lang w:val="en-US"/>
        </w:rPr>
        <w:t>offer</w:t>
      </w:r>
      <w:r w:rsidR="00F80767">
        <w:rPr>
          <w:lang w:val="en-US"/>
        </w:rPr>
        <w:t xml:space="preserve"> of</w:t>
      </w:r>
      <w:r w:rsidR="00D4464F" w:rsidRPr="00D4464F">
        <w:rPr>
          <w:lang w:val="en-US"/>
        </w:rPr>
        <w:t xml:space="preserve"> </w:t>
      </w:r>
      <w:r w:rsidR="00DF671E">
        <w:rPr>
          <w:lang w:val="en-US"/>
        </w:rPr>
        <w:t xml:space="preserve">accessible </w:t>
      </w:r>
      <w:r w:rsidR="00D4464F" w:rsidRPr="00D4464F">
        <w:rPr>
          <w:lang w:val="en-US"/>
        </w:rPr>
        <w:t xml:space="preserve">securities </w:t>
      </w:r>
      <w:r w:rsidR="00DF671E" w:rsidRPr="00DF671E">
        <w:rPr>
          <w:lang w:val="en-US"/>
        </w:rPr>
        <w:t xml:space="preserve">(as defined in subsection </w:t>
      </w:r>
      <w:proofErr w:type="gramStart"/>
      <w:r w:rsidR="00DF671E" w:rsidRPr="00DF671E">
        <w:rPr>
          <w:lang w:val="en-US"/>
        </w:rPr>
        <w:t>1013DAB(</w:t>
      </w:r>
      <w:proofErr w:type="gramEnd"/>
      <w:r w:rsidR="00DF671E" w:rsidRPr="00DF671E">
        <w:rPr>
          <w:lang w:val="en-US"/>
        </w:rPr>
        <w:t>1</w:t>
      </w:r>
      <w:r w:rsidR="003E789F">
        <w:rPr>
          <w:lang w:val="en-US"/>
        </w:rPr>
        <w:t>9</w:t>
      </w:r>
      <w:r w:rsidR="00DF671E" w:rsidRPr="00DF671E">
        <w:rPr>
          <w:lang w:val="en-US"/>
        </w:rPr>
        <w:t xml:space="preserve">)) </w:t>
      </w:r>
      <w:r>
        <w:rPr>
          <w:lang w:val="en-US"/>
        </w:rPr>
        <w:t xml:space="preserve">or interests in accessible securities </w:t>
      </w:r>
      <w:r w:rsidR="007A3256" w:rsidRPr="008427AE">
        <w:rPr>
          <w:lang w:val="en-US"/>
        </w:rPr>
        <w:t>through</w:t>
      </w:r>
      <w:r w:rsidR="007A3256">
        <w:rPr>
          <w:lang w:val="en-US"/>
        </w:rPr>
        <w:t xml:space="preserve"> an IDPS-like scheme</w:t>
      </w:r>
      <w:r w:rsidR="003C3EA0">
        <w:rPr>
          <w:lang w:val="en-US"/>
        </w:rPr>
        <w:t xml:space="preserve"> (as defined in </w:t>
      </w:r>
      <w:r w:rsidR="00482204">
        <w:rPr>
          <w:lang w:val="en-US"/>
        </w:rPr>
        <w:t xml:space="preserve">subsection </w:t>
      </w:r>
      <w:r w:rsidR="008427AE">
        <w:rPr>
          <w:lang w:val="en-US"/>
        </w:rPr>
        <w:t>10</w:t>
      </w:r>
      <w:r w:rsidR="00482204">
        <w:rPr>
          <w:lang w:val="en-US"/>
        </w:rPr>
        <w:t>13DAB(1</w:t>
      </w:r>
      <w:r w:rsidR="003E789F">
        <w:rPr>
          <w:lang w:val="en-US"/>
        </w:rPr>
        <w:t>9</w:t>
      </w:r>
      <w:r w:rsidR="00482204">
        <w:rPr>
          <w:lang w:val="en-US"/>
        </w:rPr>
        <w:t>)</w:t>
      </w:r>
      <w:r w:rsidR="003C3EA0">
        <w:rPr>
          <w:lang w:val="en-US"/>
        </w:rPr>
        <w:t>)</w:t>
      </w:r>
      <w:r w:rsidR="007A3256">
        <w:rPr>
          <w:lang w:val="en-US"/>
        </w:rPr>
        <w:t xml:space="preserve"> that </w:t>
      </w:r>
      <w:r w:rsidR="003C3EA0">
        <w:rPr>
          <w:lang w:val="en-US"/>
        </w:rPr>
        <w:t xml:space="preserve">needs </w:t>
      </w:r>
      <w:r w:rsidR="007A3256">
        <w:rPr>
          <w:lang w:val="en-US"/>
        </w:rPr>
        <w:t>disclosure</w:t>
      </w:r>
      <w:r w:rsidR="003C3EA0">
        <w:rPr>
          <w:lang w:val="en-US"/>
        </w:rPr>
        <w:t xml:space="preserve"> under this Part</w:t>
      </w:r>
      <w:r w:rsidR="00615573">
        <w:rPr>
          <w:lang w:val="en-US"/>
        </w:rPr>
        <w:t>:</w:t>
      </w:r>
      <w:r w:rsidR="007A3256">
        <w:rPr>
          <w:lang w:val="en-US"/>
        </w:rPr>
        <w:t xml:space="preserve"> </w:t>
      </w:r>
    </w:p>
    <w:p w:rsidR="006A1C49" w:rsidRDefault="006A1C49">
      <w:pPr>
        <w:pStyle w:val="Style3"/>
        <w:ind w:left="567"/>
        <w:rPr>
          <w:lang w:val="en-US"/>
        </w:rPr>
      </w:pPr>
    </w:p>
    <w:p w:rsidR="006A1C49" w:rsidRDefault="00615573">
      <w:pPr>
        <w:pStyle w:val="Style5"/>
        <w:ind w:left="1701"/>
        <w:rPr>
          <w:lang w:val="en-US"/>
        </w:rPr>
      </w:pPr>
      <w:r>
        <w:rPr>
          <w:lang w:val="en-US"/>
        </w:rPr>
        <w:t>(</w:t>
      </w:r>
      <w:r w:rsidR="00616FA2">
        <w:rPr>
          <w:lang w:val="en-US"/>
        </w:rPr>
        <w:t>a</w:t>
      </w:r>
      <w:r>
        <w:rPr>
          <w:lang w:val="en-US"/>
        </w:rPr>
        <w:t>)</w:t>
      </w:r>
      <w:r>
        <w:rPr>
          <w:lang w:val="en-US"/>
        </w:rPr>
        <w:tab/>
      </w:r>
      <w:proofErr w:type="gramStart"/>
      <w:r w:rsidR="00EC406D">
        <w:rPr>
          <w:lang w:val="en-US"/>
        </w:rPr>
        <w:t>must</w:t>
      </w:r>
      <w:proofErr w:type="gramEnd"/>
      <w:r w:rsidR="00006918">
        <w:rPr>
          <w:lang w:val="en-US"/>
        </w:rPr>
        <w:t xml:space="preserve"> </w:t>
      </w:r>
      <w:r w:rsidR="00FF562D">
        <w:rPr>
          <w:lang w:val="en-US"/>
        </w:rPr>
        <w:t>promptly notify the responsible entity</w:t>
      </w:r>
      <w:r w:rsidR="00A6594D" w:rsidRPr="00A6594D">
        <w:rPr>
          <w:lang w:val="en-US"/>
        </w:rPr>
        <w:t xml:space="preserve"> of </w:t>
      </w:r>
      <w:r w:rsidR="00FF562D">
        <w:rPr>
          <w:lang w:val="en-US"/>
        </w:rPr>
        <w:t xml:space="preserve">the </w:t>
      </w:r>
      <w:r w:rsidR="0039112D" w:rsidRPr="0039112D">
        <w:rPr>
          <w:lang w:val="en-US"/>
        </w:rPr>
        <w:t>scheme</w:t>
      </w:r>
      <w:r w:rsidR="00FF562D">
        <w:rPr>
          <w:lang w:val="en-US"/>
        </w:rPr>
        <w:t xml:space="preserve"> </w:t>
      </w:r>
      <w:r w:rsidR="00A6594D" w:rsidRPr="00A6594D">
        <w:rPr>
          <w:lang w:val="en-US"/>
        </w:rPr>
        <w:t>if:</w:t>
      </w:r>
      <w:bookmarkEnd w:id="0"/>
    </w:p>
    <w:p w:rsidR="006A1C49" w:rsidRDefault="006A1C49">
      <w:pPr>
        <w:ind w:left="993" w:hanging="993"/>
        <w:rPr>
          <w:lang w:val="en-US"/>
        </w:rPr>
      </w:pPr>
    </w:p>
    <w:p w:rsidR="006A1C49" w:rsidRDefault="00EC406D">
      <w:pPr>
        <w:pStyle w:val="Style6"/>
        <w:ind w:left="2268"/>
      </w:pPr>
      <w:r>
        <w:t>(</w:t>
      </w:r>
      <w:proofErr w:type="spellStart"/>
      <w:r w:rsidR="00616FA2">
        <w:t>i</w:t>
      </w:r>
      <w:proofErr w:type="spellEnd"/>
      <w:r>
        <w:t>)</w:t>
      </w:r>
      <w:r>
        <w:tab/>
      </w:r>
      <w:proofErr w:type="gramStart"/>
      <w:r w:rsidR="00847231">
        <w:t>a</w:t>
      </w:r>
      <w:proofErr w:type="gramEnd"/>
      <w:r w:rsidR="00847231">
        <w:t xml:space="preserve"> </w:t>
      </w:r>
      <w:r w:rsidR="00A6594D" w:rsidRPr="00A6594D">
        <w:t xml:space="preserve">supplementary or replacement document has been lodged in relation to the disclosure document; or </w:t>
      </w:r>
    </w:p>
    <w:p w:rsidR="006A1C49" w:rsidRDefault="006A1C49">
      <w:pPr>
        <w:pStyle w:val="Style6"/>
        <w:ind w:left="2268"/>
      </w:pPr>
    </w:p>
    <w:p w:rsidR="006A1C49" w:rsidRDefault="00EC406D">
      <w:pPr>
        <w:pStyle w:val="Style6"/>
        <w:ind w:left="2268"/>
      </w:pPr>
      <w:r>
        <w:t>(</w:t>
      </w:r>
      <w:r w:rsidR="00616FA2">
        <w:t>ii</w:t>
      </w:r>
      <w:r>
        <w:t>)</w:t>
      </w:r>
      <w:r>
        <w:tab/>
      </w:r>
      <w:proofErr w:type="gramStart"/>
      <w:r w:rsidR="00A6594D" w:rsidRPr="00A6594D">
        <w:t>the</w:t>
      </w:r>
      <w:proofErr w:type="gramEnd"/>
      <w:r w:rsidR="00A6594D" w:rsidRPr="00A6594D">
        <w:t xml:space="preserve"> </w:t>
      </w:r>
      <w:r w:rsidR="007E5E93">
        <w:t>person</w:t>
      </w:r>
      <w:r w:rsidR="00715CEA">
        <w:t xml:space="preserve"> is prohibited </w:t>
      </w:r>
      <w:r w:rsidR="002351CD">
        <w:t xml:space="preserve">under Division 1 of Part 6D.3 </w:t>
      </w:r>
      <w:r w:rsidR="00715CEA">
        <w:t>from making</w:t>
      </w:r>
      <w:r w:rsidR="00A6594D" w:rsidRPr="00A6594D">
        <w:t xml:space="preserve"> offers of securities under the disclosure document; or </w:t>
      </w:r>
    </w:p>
    <w:p w:rsidR="006A1C49" w:rsidRDefault="006A1C49">
      <w:pPr>
        <w:pStyle w:val="Style6"/>
        <w:ind w:left="2268"/>
      </w:pPr>
    </w:p>
    <w:p w:rsidR="006A1C49" w:rsidRDefault="00EC406D">
      <w:pPr>
        <w:pStyle w:val="Style6"/>
        <w:ind w:left="2268"/>
      </w:pPr>
      <w:r>
        <w:t>(</w:t>
      </w:r>
      <w:r w:rsidR="00616FA2">
        <w:t>iii</w:t>
      </w:r>
      <w:r>
        <w:t>)</w:t>
      </w:r>
      <w:r>
        <w:tab/>
      </w:r>
      <w:proofErr w:type="gramStart"/>
      <w:r w:rsidR="00A6594D" w:rsidRPr="00A6594D">
        <w:t>the</w:t>
      </w:r>
      <w:proofErr w:type="gramEnd"/>
      <w:r w:rsidR="00A6594D" w:rsidRPr="00A6594D">
        <w:t xml:space="preserve"> disclosure document is withdrawn before </w:t>
      </w:r>
      <w:r w:rsidR="002351CD">
        <w:t>the</w:t>
      </w:r>
      <w:r w:rsidR="00A6594D" w:rsidRPr="00A6594D">
        <w:t xml:space="preserve"> expiry</w:t>
      </w:r>
      <w:r w:rsidR="002351CD">
        <w:t xml:space="preserve"> date specified in the </w:t>
      </w:r>
      <w:r w:rsidR="00615573">
        <w:t>disclosure document; and</w:t>
      </w:r>
    </w:p>
    <w:p w:rsidR="006A1C49" w:rsidRDefault="006A1C49">
      <w:pPr>
        <w:pStyle w:val="Style6"/>
        <w:ind w:left="2268"/>
      </w:pPr>
    </w:p>
    <w:p w:rsidR="006A1C49" w:rsidRDefault="00615573">
      <w:pPr>
        <w:pStyle w:val="Style5"/>
        <w:ind w:left="1701"/>
      </w:pPr>
      <w:r>
        <w:t>(</w:t>
      </w:r>
      <w:r w:rsidR="00616FA2">
        <w:t>b</w:t>
      </w:r>
      <w:r>
        <w:t>)</w:t>
      </w:r>
      <w:r>
        <w:tab/>
      </w:r>
      <w:proofErr w:type="gramStart"/>
      <w:r>
        <w:t>must</w:t>
      </w:r>
      <w:proofErr w:type="gramEnd"/>
      <w:r>
        <w:t xml:space="preserve"> </w:t>
      </w:r>
      <w:r w:rsidR="00DF671E">
        <w:t>not issue</w:t>
      </w:r>
      <w:r>
        <w:t xml:space="preserve"> </w:t>
      </w:r>
      <w:r w:rsidR="00DF671E">
        <w:t xml:space="preserve">any accessible </w:t>
      </w:r>
      <w:r>
        <w:t>securities through the scheme if the person is aware of any non-compliance by the responsible entity of the scheme with the requirements of</w:t>
      </w:r>
      <w:r w:rsidR="00DF671E">
        <w:t xml:space="preserve"> 1013DAB</w:t>
      </w:r>
      <w:r w:rsidR="003B52AA">
        <w:t>.</w:t>
      </w:r>
      <w:r w:rsidR="00616FA2">
        <w:t xml:space="preserve"> </w:t>
      </w:r>
    </w:p>
    <w:p w:rsidR="006A1C49" w:rsidRDefault="006A1C49">
      <w:pPr>
        <w:pStyle w:val="Style4"/>
        <w:ind w:left="1134"/>
      </w:pPr>
    </w:p>
    <w:p w:rsidR="006A1C49" w:rsidRDefault="00616FA2">
      <w:pPr>
        <w:pStyle w:val="Style4"/>
        <w:ind w:left="1134"/>
        <w:rPr>
          <w:lang w:val="en-US"/>
        </w:rPr>
      </w:pPr>
      <w:r>
        <w:t>(2)</w:t>
      </w:r>
      <w:r>
        <w:tab/>
        <w:t xml:space="preserve">Nothing in this Part or Part 6D.3 requires a disclosure document for offers of accessible securities or interests in accessible securities through an IDPS-like scheme to include information about the </w:t>
      </w:r>
      <w:r w:rsidRPr="00616FA2">
        <w:rPr>
          <w:lang w:val="en-US"/>
        </w:rPr>
        <w:t>scheme or the rights attached to the accessible securities where they differ from the rights that a person would have if they acquired the accessible securities directly.</w:t>
      </w:r>
    </w:p>
    <w:p w:rsidR="004F7BA3" w:rsidRDefault="004F7BA3" w:rsidP="003B52AA">
      <w:pPr>
        <w:pStyle w:val="Style4"/>
        <w:ind w:left="0" w:firstLine="0"/>
        <w:rPr>
          <w:lang w:val="en-US"/>
        </w:rPr>
      </w:pPr>
    </w:p>
    <w:p w:rsidR="006A1C49" w:rsidRDefault="00DF31CF">
      <w:pPr>
        <w:pStyle w:val="Style4"/>
        <w:ind w:left="1134"/>
      </w:pPr>
      <w:r w:rsidRPr="00DF31CF">
        <w:rPr>
          <w:lang w:val="en-US"/>
        </w:rPr>
        <w:t>(3)</w:t>
      </w:r>
      <w:r w:rsidRPr="00DF31CF">
        <w:rPr>
          <w:lang w:val="en-US"/>
        </w:rPr>
        <w:tab/>
        <w:t>Subsection (2) does not apply in relation to an offer of accessible securities or interests in accessible securities if ASIC has given a notice in writing to the person making the offer stating that subsection (2) does not apply in relation to offers of securities by the person and has not withdrawn that notice.</w:t>
      </w:r>
      <w:proofErr w:type="gramStart"/>
      <w:r w:rsidR="00EE55AB">
        <w:t>”.</w:t>
      </w:r>
      <w:proofErr w:type="gramEnd"/>
    </w:p>
    <w:p w:rsidR="00196826" w:rsidRDefault="00196826">
      <w:pPr>
        <w:pStyle w:val="Style4"/>
      </w:pPr>
    </w:p>
    <w:p w:rsidR="00DF31CF" w:rsidRPr="008A5CFA" w:rsidRDefault="00DF31CF" w:rsidP="00DF31CF">
      <w:pPr>
        <w:ind w:left="567" w:hanging="567"/>
        <w:rPr>
          <w:b/>
          <w:lang w:val="en-US"/>
        </w:rPr>
      </w:pPr>
      <w:r>
        <w:rPr>
          <w:b/>
          <w:lang w:val="en-US"/>
        </w:rPr>
        <w:t>Order</w:t>
      </w:r>
    </w:p>
    <w:p w:rsidR="00DF31CF" w:rsidRDefault="00DF31CF" w:rsidP="00DF31CF">
      <w:pPr>
        <w:ind w:left="567" w:hanging="567"/>
        <w:rPr>
          <w:lang w:val="en-US"/>
        </w:rPr>
      </w:pPr>
    </w:p>
    <w:p w:rsidR="00DF31CF" w:rsidRDefault="00EE55AB" w:rsidP="00DF31CF">
      <w:pPr>
        <w:ind w:left="567" w:hanging="567"/>
        <w:rPr>
          <w:lang w:val="en-US"/>
        </w:rPr>
      </w:pPr>
      <w:r>
        <w:rPr>
          <w:lang w:val="en-US"/>
        </w:rPr>
        <w:t>11</w:t>
      </w:r>
      <w:r w:rsidR="00DF31CF">
        <w:rPr>
          <w:lang w:val="en-US"/>
        </w:rPr>
        <w:t>.</w:t>
      </w:r>
      <w:r w:rsidR="00DF31CF">
        <w:rPr>
          <w:lang w:val="en-US"/>
        </w:rPr>
        <w:tab/>
      </w:r>
      <w:r w:rsidR="008503C0">
        <w:rPr>
          <w:lang w:val="en-US"/>
        </w:rPr>
        <w:t>An</w:t>
      </w:r>
      <w:r w:rsidR="00DF31CF">
        <w:rPr>
          <w:lang w:val="en-US"/>
        </w:rPr>
        <w:t xml:space="preserve"> IDPS-like scheme </w:t>
      </w:r>
      <w:r w:rsidR="008503C0">
        <w:rPr>
          <w:lang w:val="en-US"/>
        </w:rPr>
        <w:t xml:space="preserve">does not have to comply with </w:t>
      </w:r>
      <w:r w:rsidR="00DF31CF">
        <w:rPr>
          <w:lang w:val="en-US"/>
        </w:rPr>
        <w:t>subparagraphs 314(1</w:t>
      </w:r>
      <w:proofErr w:type="gramStart"/>
      <w:r w:rsidR="00DF31CF">
        <w:rPr>
          <w:lang w:val="en-US"/>
        </w:rPr>
        <w:t>)(</w:t>
      </w:r>
      <w:proofErr w:type="gramEnd"/>
      <w:r w:rsidR="00DF31CF">
        <w:rPr>
          <w:lang w:val="en-US"/>
        </w:rPr>
        <w:t>a)(</w:t>
      </w:r>
      <w:proofErr w:type="spellStart"/>
      <w:r w:rsidR="00DF31CF">
        <w:rPr>
          <w:lang w:val="en-US"/>
        </w:rPr>
        <w:t>i</w:t>
      </w:r>
      <w:proofErr w:type="spellEnd"/>
      <w:r w:rsidR="00DF31CF">
        <w:rPr>
          <w:lang w:val="en-US"/>
        </w:rPr>
        <w:t>) and 314(1)(a)(iii)</w:t>
      </w:r>
      <w:r w:rsidR="00DF31CF" w:rsidRPr="00813BE8">
        <w:t xml:space="preserve"> on condition that the responsible entity must and for a</w:t>
      </w:r>
      <w:r w:rsidR="00DF31CF">
        <w:t>s long as the responsible entity</w:t>
      </w:r>
      <w:r w:rsidR="00DF31CF" w:rsidRPr="00813BE8">
        <w:t>:</w:t>
      </w:r>
    </w:p>
    <w:p w:rsidR="00DF31CF" w:rsidRPr="00813BE8" w:rsidRDefault="00DF31CF" w:rsidP="00DF31CF">
      <w:pPr>
        <w:ind w:left="567" w:hanging="567"/>
      </w:pPr>
    </w:p>
    <w:p w:rsidR="00DF31CF" w:rsidRDefault="00DF31CF" w:rsidP="00DF31CF">
      <w:pPr>
        <w:ind w:left="1134" w:hanging="567"/>
      </w:pPr>
      <w:r>
        <w:lastRenderedPageBreak/>
        <w:t>(a)</w:t>
      </w:r>
      <w:r>
        <w:tab/>
      </w:r>
      <w:r w:rsidRPr="00813BE8">
        <w:t>send</w:t>
      </w:r>
      <w:r>
        <w:t>s</w:t>
      </w:r>
      <w:r w:rsidRPr="00813BE8">
        <w:t xml:space="preserve"> to </w:t>
      </w:r>
      <w:r>
        <w:t>e</w:t>
      </w:r>
      <w:r w:rsidRPr="00813BE8">
        <w:t>a</w:t>
      </w:r>
      <w:r>
        <w:t>ch</w:t>
      </w:r>
      <w:r w:rsidRPr="00813BE8">
        <w:t xml:space="preserve"> member on request a copy of the financial report for the IDPS-like scheme and the auditor's report on that financial report as would be required to be sent in accordance with </w:t>
      </w:r>
      <w:r>
        <w:t>subparagraphs</w:t>
      </w:r>
      <w:r w:rsidRPr="00813BE8">
        <w:t xml:space="preserve"> 314(1)</w:t>
      </w:r>
      <w:r>
        <w:t>(a)(</w:t>
      </w:r>
      <w:proofErr w:type="spellStart"/>
      <w:r>
        <w:t>i</w:t>
      </w:r>
      <w:proofErr w:type="spellEnd"/>
      <w:r>
        <w:t xml:space="preserve">) and </w:t>
      </w:r>
      <w:r>
        <w:rPr>
          <w:lang w:val="en-US"/>
        </w:rPr>
        <w:t>314(1)(a)(iii)</w:t>
      </w:r>
      <w:r w:rsidRPr="00813BE8">
        <w:t xml:space="preserve"> of the Act; and </w:t>
      </w:r>
    </w:p>
    <w:p w:rsidR="00DF31CF" w:rsidRPr="00813BE8" w:rsidRDefault="00DF31CF" w:rsidP="00DF31CF">
      <w:pPr>
        <w:ind w:left="1134" w:hanging="567"/>
      </w:pPr>
    </w:p>
    <w:p w:rsidR="00DF31CF" w:rsidRDefault="00DF31CF" w:rsidP="00DF31CF">
      <w:pPr>
        <w:ind w:left="1134" w:hanging="567"/>
        <w:rPr>
          <w:lang w:val="en-US"/>
        </w:rPr>
      </w:pPr>
      <w:r>
        <w:t>(b)</w:t>
      </w:r>
      <w:r>
        <w:tab/>
      </w:r>
      <w:proofErr w:type="gramStart"/>
      <w:r>
        <w:t>notifies</w:t>
      </w:r>
      <w:proofErr w:type="gramEnd"/>
      <w:r w:rsidRPr="00813BE8">
        <w:t xml:space="preserve"> members of their right to request the information referred to in paragraph (a) in the annual report given to members in accordance with </w:t>
      </w:r>
      <w:r>
        <w:t>paragraph 1013DAB(13)(a) (as notionally inserted by this instrument)</w:t>
      </w:r>
      <w:r w:rsidRPr="00813BE8">
        <w:t xml:space="preserve">. </w:t>
      </w:r>
    </w:p>
    <w:p w:rsidR="00196826" w:rsidRDefault="00196826">
      <w:pPr>
        <w:rPr>
          <w:b/>
        </w:rPr>
      </w:pPr>
    </w:p>
    <w:p w:rsidR="004437FF" w:rsidRDefault="00D7641C">
      <w:pPr>
        <w:ind w:left="567" w:hanging="567"/>
        <w:rPr>
          <w:b/>
        </w:rPr>
      </w:pPr>
      <w:r>
        <w:rPr>
          <w:b/>
        </w:rPr>
        <w:t>Revocation, consequential and transitional</w:t>
      </w:r>
    </w:p>
    <w:p w:rsidR="00196826" w:rsidRDefault="00196826"/>
    <w:p w:rsidR="00C8152C" w:rsidRDefault="00E23717" w:rsidP="00C8152C">
      <w:pPr>
        <w:ind w:left="567" w:hanging="567"/>
      </w:pPr>
      <w:r>
        <w:t>1</w:t>
      </w:r>
      <w:r w:rsidR="00EE55AB">
        <w:t>2</w:t>
      </w:r>
      <w:r w:rsidR="00C8152C" w:rsidRPr="00C8152C">
        <w:t>.</w:t>
      </w:r>
      <w:r w:rsidR="00C8152C" w:rsidRPr="00C8152C">
        <w:tab/>
        <w:t>ASIC Class Order [CO 02/296]</w:t>
      </w:r>
      <w:r w:rsidR="008D1551">
        <w:t xml:space="preserve"> is revoked</w:t>
      </w:r>
      <w:r w:rsidR="00C8152C" w:rsidRPr="00C8152C">
        <w:t>.</w:t>
      </w:r>
    </w:p>
    <w:p w:rsidR="007C6BF1" w:rsidRDefault="007C6BF1" w:rsidP="00C8152C">
      <w:pPr>
        <w:ind w:left="567" w:hanging="567"/>
      </w:pPr>
    </w:p>
    <w:p w:rsidR="006A1C49" w:rsidRDefault="007C6BF1">
      <w:pPr>
        <w:pStyle w:val="ListParagraph"/>
        <w:numPr>
          <w:ilvl w:val="0"/>
          <w:numId w:val="3"/>
        </w:numPr>
        <w:ind w:left="567" w:hanging="567"/>
      </w:pPr>
      <w:r w:rsidRPr="007C6BF1">
        <w:t>ASIC Class Order [CO 02/295] is varied by, in paragraph 1</w:t>
      </w:r>
      <w:r>
        <w:t>, omitting “[CO 02/296</w:t>
      </w:r>
      <w:r w:rsidRPr="007C6BF1">
        <w:t>]” in the definition of “IDPS</w:t>
      </w:r>
      <w:r>
        <w:t>-like scheme</w:t>
      </w:r>
      <w:r w:rsidRPr="007C6BF1">
        <w:t>” and substituting “[CO 13/</w:t>
      </w:r>
      <w:r>
        <w:t>762</w:t>
      </w:r>
      <w:r w:rsidRPr="007C6BF1">
        <w:t>]”.</w:t>
      </w:r>
      <w:r>
        <w:br/>
      </w:r>
    </w:p>
    <w:p w:rsidR="006A1C49" w:rsidRDefault="007C6BF1">
      <w:pPr>
        <w:pStyle w:val="ListParagraph"/>
        <w:numPr>
          <w:ilvl w:val="0"/>
          <w:numId w:val="3"/>
        </w:numPr>
        <w:ind w:left="567" w:hanging="567"/>
      </w:pPr>
      <w:r w:rsidRPr="007C6BF1">
        <w:t>ASIC Cla</w:t>
      </w:r>
      <w:r>
        <w:t>ss Order [CO 09/42</w:t>
      </w:r>
      <w:r w:rsidRPr="007C6BF1">
        <w:t xml:space="preserve">5] is varied by, in </w:t>
      </w:r>
      <w:r>
        <w:t>sub</w:t>
      </w:r>
      <w:r w:rsidRPr="007C6BF1">
        <w:t>paragraph 1</w:t>
      </w:r>
      <w:r>
        <w:t>4(a), omitting “[CO 02/296</w:t>
      </w:r>
      <w:r w:rsidRPr="007C6BF1">
        <w:t xml:space="preserve">]” </w:t>
      </w:r>
      <w:r>
        <w:t xml:space="preserve">in the definition of </w:t>
      </w:r>
      <w:r w:rsidR="00F50CF5" w:rsidRPr="00F50CF5">
        <w:rPr>
          <w:b/>
          <w:i/>
        </w:rPr>
        <w:t>IDPS-like scheme</w:t>
      </w:r>
      <w:r w:rsidRPr="007C6BF1">
        <w:t xml:space="preserve"> and substituting “[CO 13/</w:t>
      </w:r>
      <w:r>
        <w:t>762</w:t>
      </w:r>
      <w:r w:rsidRPr="007C6BF1">
        <w:t>]”.</w:t>
      </w:r>
      <w:r>
        <w:br/>
      </w:r>
    </w:p>
    <w:p w:rsidR="006A1C49" w:rsidRDefault="006529FA">
      <w:pPr>
        <w:pStyle w:val="ListParagraph"/>
        <w:numPr>
          <w:ilvl w:val="0"/>
          <w:numId w:val="3"/>
        </w:numPr>
        <w:ind w:left="567" w:hanging="567"/>
      </w:pPr>
      <w:r>
        <w:t xml:space="preserve">Paragraphs </w:t>
      </w:r>
      <w:r w:rsidR="00EE55AB">
        <w:t>4</w:t>
      </w:r>
      <w:r>
        <w:t xml:space="preserve"> to </w:t>
      </w:r>
      <w:r w:rsidR="00EE55AB">
        <w:t>10</w:t>
      </w:r>
      <w:r>
        <w:t xml:space="preserve"> do not apply in relation to a responsible entity of a</w:t>
      </w:r>
      <w:r w:rsidR="00704F61">
        <w:t>n existing</w:t>
      </w:r>
      <w:r>
        <w:t xml:space="preserve"> IDPS-like scheme </w:t>
      </w:r>
      <w:r w:rsidR="0099326C">
        <w:t xml:space="preserve">or any other person involved in the preparation of a Product Disclosure Statement for an interest in the scheme </w:t>
      </w:r>
      <w:r>
        <w:t xml:space="preserve">until the earlier </w:t>
      </w:r>
      <w:r w:rsidR="00203F0B" w:rsidRPr="00203F0B">
        <w:t xml:space="preserve">of (the </w:t>
      </w:r>
      <w:r w:rsidR="00203F0B">
        <w:rPr>
          <w:b/>
          <w:i/>
        </w:rPr>
        <w:t>application</w:t>
      </w:r>
      <w:r w:rsidR="00203F0B" w:rsidRPr="00203F0B">
        <w:rPr>
          <w:b/>
          <w:i/>
        </w:rPr>
        <w:t xml:space="preserve"> date</w:t>
      </w:r>
      <w:r w:rsidR="00203F0B" w:rsidRPr="00203F0B">
        <w:t>):</w:t>
      </w:r>
    </w:p>
    <w:p w:rsidR="0039112D" w:rsidRDefault="0039112D" w:rsidP="0039112D"/>
    <w:p w:rsidR="0039112D" w:rsidRDefault="00203F0B" w:rsidP="0039112D">
      <w:pPr>
        <w:pStyle w:val="Style3"/>
      </w:pPr>
      <w:r>
        <w:t>(a)</w:t>
      </w:r>
      <w:r>
        <w:tab/>
      </w:r>
      <w:r w:rsidR="00503296">
        <w:t>t</w:t>
      </w:r>
      <w:r w:rsidR="0099326C">
        <w:t>he responsible entity</w:t>
      </w:r>
      <w:r w:rsidR="00503296">
        <w:t xml:space="preserve"> </w:t>
      </w:r>
      <w:r w:rsidR="00DF31CF" w:rsidRPr="00DF31CF">
        <w:t xml:space="preserve">both lodging with ASIC and </w:t>
      </w:r>
      <w:r w:rsidR="00503296">
        <w:t xml:space="preserve">publishing on its website </w:t>
      </w:r>
      <w:r w:rsidR="00DF31CF">
        <w:t xml:space="preserve">a notice </w:t>
      </w:r>
      <w:r w:rsidR="00503296">
        <w:t>that it will rely on this instrument</w:t>
      </w:r>
      <w:r w:rsidR="00DF31CF">
        <w:t xml:space="preserve"> in relation to the IDPS-like scheme</w:t>
      </w:r>
      <w:r w:rsidR="00503296">
        <w:t>; and</w:t>
      </w:r>
    </w:p>
    <w:p w:rsidR="0039112D" w:rsidRDefault="0039112D" w:rsidP="0039112D">
      <w:pPr>
        <w:pStyle w:val="Style4"/>
        <w:ind w:left="1854" w:firstLine="0"/>
        <w:rPr>
          <w:sz w:val="20"/>
        </w:rPr>
      </w:pPr>
    </w:p>
    <w:p w:rsidR="0039112D" w:rsidRPr="0039112D" w:rsidRDefault="0039112D" w:rsidP="0039112D">
      <w:pPr>
        <w:pStyle w:val="Style4"/>
        <w:ind w:left="1134" w:firstLine="0"/>
        <w:rPr>
          <w:sz w:val="20"/>
        </w:rPr>
      </w:pPr>
      <w:r w:rsidRPr="0039112D">
        <w:rPr>
          <w:sz w:val="20"/>
        </w:rPr>
        <w:t xml:space="preserve">Note: A notice under subparagraph </w:t>
      </w:r>
      <w:r w:rsidR="00007A1B">
        <w:rPr>
          <w:sz w:val="20"/>
        </w:rPr>
        <w:t>1</w:t>
      </w:r>
      <w:r w:rsidR="00EE55AB">
        <w:rPr>
          <w:sz w:val="20"/>
        </w:rPr>
        <w:t>5</w:t>
      </w:r>
      <w:r w:rsidR="00007A1B">
        <w:rPr>
          <w:sz w:val="20"/>
        </w:rPr>
        <w:t>(a</w:t>
      </w:r>
      <w:r w:rsidRPr="0039112D">
        <w:rPr>
          <w:sz w:val="20"/>
        </w:rPr>
        <w:t>) cannot be revoked.</w:t>
      </w:r>
      <w:r w:rsidRPr="0039112D">
        <w:rPr>
          <w:sz w:val="20"/>
        </w:rPr>
        <w:br/>
      </w:r>
    </w:p>
    <w:p w:rsidR="0039112D" w:rsidRDefault="00503296" w:rsidP="0039112D">
      <w:pPr>
        <w:pStyle w:val="Style3"/>
      </w:pPr>
      <w:r>
        <w:t>(</w:t>
      </w:r>
      <w:r w:rsidR="00203F0B">
        <w:t>b</w:t>
      </w:r>
      <w:r>
        <w:t>)</w:t>
      </w:r>
      <w:r>
        <w:tab/>
        <w:t>1 July 2014</w:t>
      </w:r>
      <w:r w:rsidR="00704F61">
        <w:t>.</w:t>
      </w:r>
    </w:p>
    <w:p w:rsidR="0039112D" w:rsidRDefault="0039112D" w:rsidP="0039112D">
      <w:pPr>
        <w:pStyle w:val="Style3"/>
      </w:pPr>
    </w:p>
    <w:p w:rsidR="00704F61" w:rsidRDefault="00E23717" w:rsidP="00704F61">
      <w:pPr>
        <w:ind w:left="567" w:hanging="567"/>
      </w:pPr>
      <w:r>
        <w:t>1</w:t>
      </w:r>
      <w:r w:rsidR="00EE55AB">
        <w:t>6</w:t>
      </w:r>
      <w:r w:rsidR="00503296">
        <w:t>.</w:t>
      </w:r>
      <w:r w:rsidR="00007A1B">
        <w:tab/>
      </w:r>
      <w:r w:rsidR="00704F61">
        <w:t xml:space="preserve">Paragraph </w:t>
      </w:r>
      <w:r w:rsidR="00EE55AB">
        <w:t>11</w:t>
      </w:r>
      <w:r w:rsidR="00DF671E">
        <w:t xml:space="preserve"> </w:t>
      </w:r>
      <w:r w:rsidR="00704F61">
        <w:t>does not apply to an existing IDPS-like scheme until the application date.</w:t>
      </w:r>
    </w:p>
    <w:p w:rsidR="00DF31CF" w:rsidRDefault="00DF31CF" w:rsidP="00704F61">
      <w:pPr>
        <w:ind w:left="567" w:hanging="567"/>
      </w:pPr>
    </w:p>
    <w:p w:rsidR="0099326C" w:rsidRDefault="00E23717" w:rsidP="00704F61">
      <w:pPr>
        <w:ind w:left="567" w:hanging="567"/>
      </w:pPr>
      <w:r>
        <w:t>17</w:t>
      </w:r>
      <w:r w:rsidR="00704F61">
        <w:t>.</w:t>
      </w:r>
      <w:r w:rsidR="00704F61">
        <w:tab/>
      </w:r>
      <w:r w:rsidR="00203F0B" w:rsidRPr="00203F0B">
        <w:t>ASIC Class Order</w:t>
      </w:r>
      <w:r w:rsidR="00203F0B" w:rsidRPr="00203F0B">
        <w:rPr>
          <w:iCs/>
        </w:rPr>
        <w:t xml:space="preserve"> [</w:t>
      </w:r>
      <w:r w:rsidR="00CE79E3">
        <w:rPr>
          <w:iCs/>
        </w:rPr>
        <w:t xml:space="preserve">CO </w:t>
      </w:r>
      <w:r w:rsidR="00203F0B" w:rsidRPr="00203F0B">
        <w:rPr>
          <w:iCs/>
        </w:rPr>
        <w:t xml:space="preserve">02/296] </w:t>
      </w:r>
      <w:r w:rsidR="00203F0B" w:rsidRPr="00203F0B">
        <w:t>as in force immediately before the commencement of this instrument continues to apply</w:t>
      </w:r>
      <w:r w:rsidR="00DF31CF">
        <w:t xml:space="preserve">, despite paragraph </w:t>
      </w:r>
      <w:r w:rsidR="00EE55AB">
        <w:t>12</w:t>
      </w:r>
      <w:r w:rsidR="0099326C">
        <w:t>:</w:t>
      </w:r>
      <w:r w:rsidR="00704F61">
        <w:t xml:space="preserve"> </w:t>
      </w:r>
    </w:p>
    <w:p w:rsidR="0099326C" w:rsidRDefault="0099326C" w:rsidP="00704F61">
      <w:pPr>
        <w:ind w:left="567" w:hanging="567"/>
      </w:pPr>
    </w:p>
    <w:p w:rsidR="0039112D" w:rsidRDefault="0099326C" w:rsidP="0039112D">
      <w:pPr>
        <w:pStyle w:val="Style3"/>
      </w:pPr>
      <w:r>
        <w:t>(a)</w:t>
      </w:r>
      <w:r>
        <w:tab/>
        <w:t xml:space="preserve">in relation to </w:t>
      </w:r>
      <w:r w:rsidR="00203F0B" w:rsidRPr="00203F0B">
        <w:t xml:space="preserve">the </w:t>
      </w:r>
      <w:r w:rsidR="00704F61">
        <w:t xml:space="preserve">responsible entity for an existing IDPS-like </w:t>
      </w:r>
      <w:r w:rsidR="00203F0B" w:rsidRPr="00203F0B">
        <w:t>scheme</w:t>
      </w:r>
      <w:r>
        <w:t xml:space="preserve"> and</w:t>
      </w:r>
      <w:r w:rsidRPr="0099326C">
        <w:t xml:space="preserve"> </w:t>
      </w:r>
      <w:r w:rsidR="00E3456A">
        <w:t xml:space="preserve">to </w:t>
      </w:r>
      <w:r w:rsidRPr="0099326C">
        <w:t>any other person involved in the preparation of a Product Disclosure Statement for an interest in the scheme</w:t>
      </w:r>
      <w:r>
        <w:t>; and</w:t>
      </w:r>
    </w:p>
    <w:p w:rsidR="0039112D" w:rsidRDefault="0039112D" w:rsidP="0039112D">
      <w:pPr>
        <w:pStyle w:val="Style3"/>
      </w:pPr>
    </w:p>
    <w:p w:rsidR="0039112D" w:rsidRDefault="0099326C" w:rsidP="0039112D">
      <w:pPr>
        <w:pStyle w:val="Style3"/>
      </w:pPr>
      <w:r>
        <w:t>(b)</w:t>
      </w:r>
      <w:r>
        <w:tab/>
      </w:r>
      <w:proofErr w:type="gramStart"/>
      <w:r w:rsidRPr="0099326C">
        <w:t>to</w:t>
      </w:r>
      <w:proofErr w:type="gramEnd"/>
      <w:r w:rsidRPr="0099326C">
        <w:t xml:space="preserve"> </w:t>
      </w:r>
      <w:r w:rsidR="00442840">
        <w:t>the</w:t>
      </w:r>
      <w:r w:rsidRPr="0099326C">
        <w:t xml:space="preserve"> existing IDPS-like scheme</w:t>
      </w:r>
      <w:r>
        <w:t xml:space="preserve">; </w:t>
      </w:r>
    </w:p>
    <w:p w:rsidR="0039112D" w:rsidRDefault="0039112D" w:rsidP="0039112D">
      <w:pPr>
        <w:ind w:left="567"/>
      </w:pPr>
    </w:p>
    <w:p w:rsidR="0039112D" w:rsidRDefault="00203F0B" w:rsidP="0039112D">
      <w:pPr>
        <w:ind w:left="567"/>
      </w:pPr>
      <w:proofErr w:type="gramStart"/>
      <w:r w:rsidRPr="00203F0B">
        <w:t>in</w:t>
      </w:r>
      <w:proofErr w:type="gramEnd"/>
      <w:r w:rsidRPr="00203F0B">
        <w:t xml:space="preserve"> relation to the period endin</w:t>
      </w:r>
      <w:r w:rsidR="00704F61">
        <w:t>g immediately before the applicat</w:t>
      </w:r>
      <w:r w:rsidRPr="00203F0B">
        <w:t>ion date.</w:t>
      </w:r>
    </w:p>
    <w:p w:rsidR="0039112D" w:rsidRDefault="0039112D" w:rsidP="0039112D"/>
    <w:p w:rsidR="00007A1B" w:rsidRPr="00007A1B" w:rsidRDefault="00E23717" w:rsidP="00007A1B">
      <w:pPr>
        <w:ind w:left="567" w:hanging="567"/>
      </w:pPr>
      <w:r>
        <w:lastRenderedPageBreak/>
        <w:t>18</w:t>
      </w:r>
      <w:r w:rsidR="0099326C">
        <w:t>.</w:t>
      </w:r>
      <w:r w:rsidR="0099326C">
        <w:tab/>
      </w:r>
      <w:r w:rsidR="00EE55AB">
        <w:t xml:space="preserve">Until 1 July 2014, </w:t>
      </w:r>
      <w:r w:rsidR="00007A1B" w:rsidRPr="00007A1B">
        <w:t xml:space="preserve">Part 7.9 of the Act applies to a responsible entity covered by </w:t>
      </w:r>
      <w:r w:rsidR="00007A1B">
        <w:t>sub</w:t>
      </w:r>
      <w:r w:rsidR="00007A1B" w:rsidRPr="00007A1B">
        <w:t>paragraph</w:t>
      </w:r>
      <w:r w:rsidR="0069075E">
        <w:t xml:space="preserve"> 1</w:t>
      </w:r>
      <w:r w:rsidR="00EE55AB">
        <w:t>5</w:t>
      </w:r>
      <w:r w:rsidR="0069075E">
        <w:t>(a)</w:t>
      </w:r>
      <w:r w:rsidR="00007A1B">
        <w:t xml:space="preserve"> </w:t>
      </w:r>
      <w:r w:rsidR="00EE55AB" w:rsidRPr="00EE55AB">
        <w:t xml:space="preserve">in relation to an IDPS-like scheme </w:t>
      </w:r>
      <w:r w:rsidR="00007A1B" w:rsidRPr="00007A1B">
        <w:t xml:space="preserve">as if </w:t>
      </w:r>
      <w:r w:rsidR="00DF671E">
        <w:t xml:space="preserve">the </w:t>
      </w:r>
      <w:r w:rsidR="00007A1B" w:rsidRPr="00007A1B">
        <w:t>provisions of that Part were modified or varied by inserting after section 1013DAB</w:t>
      </w:r>
      <w:r w:rsidR="00DF671E">
        <w:t xml:space="preserve"> (as notionally inserted by this instrument)</w:t>
      </w:r>
      <w:r w:rsidR="00007A1B" w:rsidRPr="00007A1B">
        <w:t>:</w:t>
      </w:r>
    </w:p>
    <w:p w:rsidR="00007A1B" w:rsidRDefault="00007A1B" w:rsidP="00007A1B">
      <w:pPr>
        <w:ind w:left="567" w:hanging="567"/>
      </w:pPr>
    </w:p>
    <w:p w:rsidR="0039112D" w:rsidRDefault="0039112D" w:rsidP="0039112D">
      <w:pPr>
        <w:ind w:left="1134" w:hanging="567"/>
        <w:rPr>
          <w:b/>
        </w:rPr>
      </w:pPr>
      <w:r w:rsidRPr="0039112D">
        <w:t>“</w:t>
      </w:r>
      <w:r w:rsidRPr="0039112D">
        <w:rPr>
          <w:b/>
        </w:rPr>
        <w:t>1013DAC</w:t>
      </w:r>
      <w:r w:rsidR="00007A1B" w:rsidRPr="00007A1B">
        <w:rPr>
          <w:b/>
        </w:rPr>
        <w:t xml:space="preserve"> Notice of reliance</w:t>
      </w:r>
    </w:p>
    <w:p w:rsidR="0039112D" w:rsidRPr="0039112D" w:rsidRDefault="0039112D" w:rsidP="0039112D">
      <w:pPr>
        <w:ind w:left="1134" w:hanging="567"/>
      </w:pPr>
    </w:p>
    <w:p w:rsidR="00196826" w:rsidRDefault="0039112D">
      <w:pPr>
        <w:ind w:left="567"/>
      </w:pPr>
      <w:r w:rsidRPr="0039112D">
        <w:t>A responsible entity that has elected to rely on ASIC Class Order [CO 13/</w:t>
      </w:r>
      <w:r w:rsidR="00CE79E3">
        <w:t>762</w:t>
      </w:r>
      <w:r w:rsidRPr="0039112D">
        <w:t>] in relation to a</w:t>
      </w:r>
      <w:r w:rsidR="00E30CBC">
        <w:t>n IDPS-like scheme (as defined in subsection 1013DAB(1</w:t>
      </w:r>
      <w:r w:rsidR="003E789F">
        <w:t>9</w:t>
      </w:r>
      <w:r w:rsidR="00E30CBC">
        <w:t>))</w:t>
      </w:r>
      <w:r w:rsidRPr="0039112D">
        <w:t xml:space="preserve"> must publish and maintain on its website a notice that it will rely on that instrument.”</w:t>
      </w:r>
      <w:r w:rsidR="0067381C">
        <w:t>.</w:t>
      </w:r>
    </w:p>
    <w:p w:rsidR="0015205D" w:rsidRDefault="0015205D">
      <w:pPr>
        <w:ind w:left="567" w:hanging="567"/>
      </w:pPr>
    </w:p>
    <w:p w:rsidR="000437EA" w:rsidRDefault="00BE32CE">
      <w:pPr>
        <w:ind w:left="567" w:hanging="567"/>
        <w:rPr>
          <w:b/>
          <w:bCs/>
        </w:rPr>
      </w:pPr>
      <w:r w:rsidRPr="00BE32CE">
        <w:rPr>
          <w:b/>
          <w:bCs/>
        </w:rPr>
        <w:t xml:space="preserve">Interpretation </w:t>
      </w:r>
    </w:p>
    <w:p w:rsidR="000437EA" w:rsidRDefault="000437EA">
      <w:pPr>
        <w:ind w:left="567" w:hanging="567"/>
      </w:pPr>
    </w:p>
    <w:p w:rsidR="00E92E3E" w:rsidRDefault="00E23717" w:rsidP="00E92E3E">
      <w:pPr>
        <w:ind w:left="567" w:hanging="567"/>
        <w:rPr>
          <w:lang w:val="en-US"/>
        </w:rPr>
      </w:pPr>
      <w:r>
        <w:rPr>
          <w:lang w:val="en-US"/>
        </w:rPr>
        <w:t>19</w:t>
      </w:r>
      <w:r w:rsidR="00BE32CE">
        <w:rPr>
          <w:lang w:val="en-US"/>
        </w:rPr>
        <w:t>.</w:t>
      </w:r>
      <w:r w:rsidR="00BE32CE">
        <w:rPr>
          <w:lang w:val="en-US"/>
        </w:rPr>
        <w:tab/>
      </w:r>
      <w:proofErr w:type="gramStart"/>
      <w:r w:rsidR="00BE32CE" w:rsidRPr="00BE32CE">
        <w:rPr>
          <w:lang w:val="en-US"/>
        </w:rPr>
        <w:t>In</w:t>
      </w:r>
      <w:proofErr w:type="gramEnd"/>
      <w:r w:rsidR="00BE32CE" w:rsidRPr="00BE32CE">
        <w:rPr>
          <w:lang w:val="en-US"/>
        </w:rPr>
        <w:t xml:space="preserve"> this instrument:</w:t>
      </w:r>
    </w:p>
    <w:p w:rsidR="00E92E3E" w:rsidRDefault="00E92E3E" w:rsidP="00E92E3E">
      <w:pPr>
        <w:ind w:left="567" w:hanging="567"/>
        <w:rPr>
          <w:b/>
          <w:i/>
        </w:rPr>
      </w:pPr>
    </w:p>
    <w:p w:rsidR="0053008A" w:rsidRPr="0053008A" w:rsidRDefault="0053008A" w:rsidP="0053008A">
      <w:pPr>
        <w:ind w:left="567"/>
        <w:rPr>
          <w:b/>
          <w:i/>
        </w:rPr>
      </w:pPr>
      <w:proofErr w:type="gramStart"/>
      <w:r w:rsidRPr="0053008A">
        <w:rPr>
          <w:b/>
          <w:i/>
        </w:rPr>
        <w:t>accessible</w:t>
      </w:r>
      <w:proofErr w:type="gramEnd"/>
      <w:r w:rsidRPr="0053008A">
        <w:rPr>
          <w:b/>
          <w:i/>
        </w:rPr>
        <w:t xml:space="preserve"> financial products</w:t>
      </w:r>
      <w:r w:rsidR="00D4464F" w:rsidRPr="00D4464F">
        <w:t xml:space="preserve">  means financial products that may be held through an IDPS-like scheme.</w:t>
      </w:r>
    </w:p>
    <w:p w:rsidR="0053008A" w:rsidRPr="0053008A" w:rsidRDefault="0053008A" w:rsidP="0053008A">
      <w:pPr>
        <w:ind w:left="567"/>
        <w:rPr>
          <w:b/>
          <w:bCs/>
          <w:i/>
          <w:iCs/>
        </w:rPr>
      </w:pPr>
    </w:p>
    <w:p w:rsidR="0053008A" w:rsidRPr="0053008A" w:rsidRDefault="0053008A" w:rsidP="0053008A">
      <w:pPr>
        <w:ind w:left="567"/>
        <w:rPr>
          <w:b/>
          <w:i/>
        </w:rPr>
      </w:pPr>
      <w:proofErr w:type="gramStart"/>
      <w:r w:rsidRPr="0053008A">
        <w:rPr>
          <w:b/>
          <w:i/>
        </w:rPr>
        <w:t>accessible</w:t>
      </w:r>
      <w:proofErr w:type="gramEnd"/>
      <w:r w:rsidRPr="0053008A">
        <w:rPr>
          <w:b/>
          <w:i/>
        </w:rPr>
        <w:t xml:space="preserve"> investments means </w:t>
      </w:r>
      <w:r w:rsidR="00D4464F" w:rsidRPr="00D4464F">
        <w:t>assets that may be held through an IDPS-like scheme, including accessible securities and accessible financial products.</w:t>
      </w:r>
    </w:p>
    <w:p w:rsidR="0053008A" w:rsidRPr="0053008A" w:rsidRDefault="0053008A" w:rsidP="0053008A">
      <w:pPr>
        <w:ind w:left="567"/>
        <w:rPr>
          <w:b/>
          <w:bCs/>
          <w:i/>
          <w:iCs/>
        </w:rPr>
      </w:pPr>
    </w:p>
    <w:p w:rsidR="0053008A" w:rsidRDefault="0053008A" w:rsidP="0053008A">
      <w:pPr>
        <w:ind w:left="567"/>
        <w:rPr>
          <w:b/>
          <w:i/>
        </w:rPr>
      </w:pPr>
      <w:proofErr w:type="gramStart"/>
      <w:r w:rsidRPr="0053008A">
        <w:rPr>
          <w:b/>
          <w:bCs/>
          <w:i/>
          <w:iCs/>
        </w:rPr>
        <w:t>accessible</w:t>
      </w:r>
      <w:proofErr w:type="gramEnd"/>
      <w:r w:rsidRPr="0053008A">
        <w:rPr>
          <w:b/>
          <w:bCs/>
          <w:i/>
          <w:iCs/>
        </w:rPr>
        <w:t xml:space="preserve"> securities</w:t>
      </w:r>
      <w:r w:rsidRPr="0053008A">
        <w:rPr>
          <w:b/>
          <w:i/>
        </w:rPr>
        <w:t xml:space="preserve"> </w:t>
      </w:r>
      <w:r w:rsidR="00D4464F" w:rsidRPr="00D4464F">
        <w:t>means securities that may be held through an IDPS-like scheme.</w:t>
      </w:r>
    </w:p>
    <w:p w:rsidR="0053008A" w:rsidRDefault="0053008A" w:rsidP="0053008A">
      <w:pPr>
        <w:ind w:left="567"/>
        <w:rPr>
          <w:b/>
          <w:i/>
        </w:rPr>
      </w:pPr>
    </w:p>
    <w:p w:rsidR="0069075E" w:rsidRDefault="0069075E" w:rsidP="00E92E3E">
      <w:pPr>
        <w:ind w:left="567"/>
      </w:pPr>
      <w:proofErr w:type="gramStart"/>
      <w:r>
        <w:rPr>
          <w:b/>
          <w:i/>
        </w:rPr>
        <w:t>application</w:t>
      </w:r>
      <w:proofErr w:type="gramEnd"/>
      <w:r>
        <w:rPr>
          <w:b/>
          <w:i/>
        </w:rPr>
        <w:t xml:space="preserve"> date</w:t>
      </w:r>
      <w:r w:rsidR="0039112D" w:rsidRPr="0039112D">
        <w:t>, in relation to an existing IDPS-like scheme, has the meaning given by paragraph 1</w:t>
      </w:r>
      <w:r w:rsidR="00EE55AB">
        <w:t>5</w:t>
      </w:r>
      <w:r w:rsidR="0039112D" w:rsidRPr="0039112D">
        <w:t>.</w:t>
      </w:r>
    </w:p>
    <w:p w:rsidR="00CE79E3" w:rsidRDefault="00CE79E3" w:rsidP="00E92E3E">
      <w:pPr>
        <w:ind w:left="567"/>
        <w:rPr>
          <w:b/>
          <w:i/>
        </w:rPr>
      </w:pPr>
    </w:p>
    <w:p w:rsidR="00CE79E3" w:rsidRDefault="00CE79E3" w:rsidP="00E92E3E">
      <w:pPr>
        <w:ind w:left="567"/>
        <w:rPr>
          <w:b/>
          <w:i/>
        </w:rPr>
      </w:pPr>
      <w:proofErr w:type="gramStart"/>
      <w:r w:rsidRPr="00CE79E3">
        <w:rPr>
          <w:b/>
          <w:bCs/>
          <w:i/>
          <w:iCs/>
        </w:rPr>
        <w:t>custodian</w:t>
      </w:r>
      <w:proofErr w:type="gramEnd"/>
      <w:r w:rsidRPr="00CE79E3">
        <w:rPr>
          <w:b/>
          <w:bCs/>
          <w:i/>
          <w:iCs/>
        </w:rPr>
        <w:t xml:space="preserve"> </w:t>
      </w:r>
      <w:r w:rsidR="007007A5" w:rsidRPr="007007A5">
        <w:rPr>
          <w:bCs/>
          <w:iCs/>
        </w:rPr>
        <w:t>means a person that holds property of an IDPS-like scheme and who may also be the responsible entity of the scheme.</w:t>
      </w:r>
    </w:p>
    <w:p w:rsidR="0069075E" w:rsidRDefault="0069075E" w:rsidP="00E92E3E">
      <w:pPr>
        <w:ind w:left="567"/>
        <w:rPr>
          <w:b/>
          <w:i/>
        </w:rPr>
      </w:pPr>
    </w:p>
    <w:p w:rsidR="00203F0B" w:rsidRDefault="00203F0B" w:rsidP="00E92E3E">
      <w:pPr>
        <w:ind w:left="567"/>
      </w:pPr>
      <w:proofErr w:type="gramStart"/>
      <w:r>
        <w:rPr>
          <w:b/>
          <w:i/>
        </w:rPr>
        <w:t>existing</w:t>
      </w:r>
      <w:proofErr w:type="gramEnd"/>
      <w:r>
        <w:rPr>
          <w:b/>
          <w:i/>
        </w:rPr>
        <w:t xml:space="preserve"> IDPS-like scheme </w:t>
      </w:r>
      <w:r w:rsidR="0039112D" w:rsidRPr="0039112D">
        <w:t xml:space="preserve">means an IDPS-like scheme that was an IDPS-like scheme immediately </w:t>
      </w:r>
      <w:r w:rsidR="005E0D65">
        <w:t>before</w:t>
      </w:r>
      <w:r w:rsidR="0039112D" w:rsidRPr="0039112D">
        <w:t xml:space="preserve"> </w:t>
      </w:r>
      <w:r w:rsidR="008503C0">
        <w:t xml:space="preserve">the </w:t>
      </w:r>
      <w:r w:rsidR="00E3456A">
        <w:t>commencement</w:t>
      </w:r>
      <w:r w:rsidR="0039112D" w:rsidRPr="0039112D">
        <w:t xml:space="preserve"> of this instrument.</w:t>
      </w:r>
    </w:p>
    <w:p w:rsidR="00203F0B" w:rsidRDefault="00203F0B" w:rsidP="00E92E3E">
      <w:pPr>
        <w:ind w:left="567"/>
        <w:rPr>
          <w:b/>
          <w:i/>
        </w:rPr>
      </w:pPr>
    </w:p>
    <w:p w:rsidR="00E92E3E" w:rsidRDefault="004437FF" w:rsidP="00E92E3E">
      <w:pPr>
        <w:ind w:left="567"/>
      </w:pPr>
      <w:r w:rsidRPr="00561FF5">
        <w:rPr>
          <w:b/>
          <w:i/>
        </w:rPr>
        <w:t>IDPS-like scheme</w:t>
      </w:r>
      <w:r>
        <w:t xml:space="preserve"> </w:t>
      </w:r>
      <w:r w:rsidRPr="00F76FF1">
        <w:t xml:space="preserve">means a registered managed investment scheme which has a constitution that has provisions to the effect that: </w:t>
      </w:r>
    </w:p>
    <w:p w:rsidR="004437FF" w:rsidRDefault="004437FF" w:rsidP="004437FF">
      <w:pPr>
        <w:ind w:left="2835" w:hanging="708"/>
      </w:pPr>
    </w:p>
    <w:p w:rsidR="00406735" w:rsidRDefault="004437FF">
      <w:pPr>
        <w:pStyle w:val="Style3"/>
      </w:pPr>
      <w:r>
        <w:t>(</w:t>
      </w:r>
      <w:r w:rsidR="00AE1269">
        <w:t>a</w:t>
      </w:r>
      <w:r>
        <w:t>)</w:t>
      </w:r>
      <w:r>
        <w:tab/>
      </w:r>
      <w:proofErr w:type="gramStart"/>
      <w:r w:rsidRPr="00F76FF1">
        <w:t>a</w:t>
      </w:r>
      <w:proofErr w:type="gramEnd"/>
      <w:r w:rsidRPr="00F76FF1">
        <w:t xml:space="preserve"> member may </w:t>
      </w:r>
      <w:r w:rsidR="00A631DE">
        <w:t xml:space="preserve">give a </w:t>
      </w:r>
      <w:r w:rsidR="00C97D87">
        <w:t>direction</w:t>
      </w:r>
      <w:r w:rsidR="00C97D87" w:rsidRPr="00F76FF1">
        <w:t xml:space="preserve"> </w:t>
      </w:r>
      <w:r w:rsidRPr="00F76FF1">
        <w:t xml:space="preserve">that an amount of money corresponding to part or all of the amount invested by the member in the scheme be invested in specified </w:t>
      </w:r>
      <w:r w:rsidRPr="00952A16">
        <w:t>accessible investments; and</w:t>
      </w:r>
    </w:p>
    <w:p w:rsidR="00406735" w:rsidRDefault="00406735">
      <w:pPr>
        <w:pStyle w:val="Style3"/>
      </w:pPr>
    </w:p>
    <w:p w:rsidR="00196826" w:rsidRDefault="004437FF">
      <w:pPr>
        <w:pStyle w:val="Style3"/>
      </w:pPr>
      <w:r>
        <w:t>(</w:t>
      </w:r>
      <w:r w:rsidR="00AE1269">
        <w:t>b</w:t>
      </w:r>
      <w:r w:rsidRPr="00F76FF1">
        <w:t>)</w:t>
      </w:r>
      <w:r w:rsidRPr="00F76FF1">
        <w:tab/>
      </w:r>
      <w:proofErr w:type="gramStart"/>
      <w:r w:rsidRPr="00F76FF1">
        <w:t>the</w:t>
      </w:r>
      <w:proofErr w:type="gramEnd"/>
      <w:r w:rsidRPr="00F76FF1">
        <w:t xml:space="preserve"> distributions of capital and income from the scheme to the member in relation to their interests in the scheme will be determined by reference to amounts received by the </w:t>
      </w:r>
      <w:r>
        <w:t>responsible entity or a custodian</w:t>
      </w:r>
      <w:r w:rsidRPr="00F76FF1">
        <w:t xml:space="preserve"> in relation to the accessible investments acquired </w:t>
      </w:r>
      <w:r w:rsidR="005E0D65">
        <w:t xml:space="preserve">under </w:t>
      </w:r>
      <w:r w:rsidRPr="00F76FF1">
        <w:t xml:space="preserve">that </w:t>
      </w:r>
      <w:r w:rsidR="00C97D87">
        <w:t>direction</w:t>
      </w:r>
      <w:r>
        <w:t>.</w:t>
      </w:r>
      <w:r w:rsidR="00E3456A">
        <w:br/>
      </w:r>
    </w:p>
    <w:p w:rsidR="004F7BA3" w:rsidRDefault="0067381C">
      <w:pPr>
        <w:pStyle w:val="Style3"/>
        <w:ind w:left="567" w:firstLine="0"/>
      </w:pPr>
      <w:proofErr w:type="gramStart"/>
      <w:r w:rsidRPr="0067381C">
        <w:rPr>
          <w:b/>
          <w:bCs/>
          <w:i/>
          <w:iCs/>
        </w:rPr>
        <w:lastRenderedPageBreak/>
        <w:t>issuer</w:t>
      </w:r>
      <w:proofErr w:type="gramEnd"/>
      <w:r w:rsidRPr="0067381C">
        <w:t xml:space="preserve"> means a person who is capable of issuing, transferring or making available accessible securities.</w:t>
      </w:r>
    </w:p>
    <w:p w:rsidR="0067381C" w:rsidRDefault="0067381C">
      <w:pPr>
        <w:pStyle w:val="Style3"/>
      </w:pPr>
    </w:p>
    <w:p w:rsidR="0067381C" w:rsidRDefault="0067381C">
      <w:pPr>
        <w:pStyle w:val="Style3"/>
      </w:pPr>
      <w:proofErr w:type="gramStart"/>
      <w:r w:rsidRPr="0067381C">
        <w:rPr>
          <w:b/>
          <w:i/>
        </w:rPr>
        <w:t>securities</w:t>
      </w:r>
      <w:proofErr w:type="gramEnd"/>
      <w:r w:rsidRPr="0067381C">
        <w:t xml:space="preserve"> has the meaning given by section 92(4).</w:t>
      </w:r>
    </w:p>
    <w:p w:rsidR="00006918" w:rsidRDefault="00006918" w:rsidP="00006918">
      <w:pPr>
        <w:ind w:left="567" w:hanging="567"/>
      </w:pPr>
    </w:p>
    <w:p w:rsidR="009D5134" w:rsidRDefault="009D5134" w:rsidP="00006918">
      <w:pPr>
        <w:ind w:left="567" w:hanging="567"/>
      </w:pPr>
    </w:p>
    <w:p w:rsidR="009D5134" w:rsidRDefault="009D5134" w:rsidP="00006918">
      <w:pPr>
        <w:ind w:left="567" w:hanging="567"/>
      </w:pPr>
    </w:p>
    <w:p w:rsidR="009D5134" w:rsidRPr="00006918" w:rsidRDefault="009D5134" w:rsidP="00006918">
      <w:pPr>
        <w:ind w:left="567" w:hanging="567"/>
      </w:pPr>
    </w:p>
    <w:p w:rsidR="00006918" w:rsidRPr="00006918" w:rsidRDefault="00006918" w:rsidP="00006918">
      <w:pPr>
        <w:ind w:left="567" w:hanging="567"/>
      </w:pPr>
      <w:r w:rsidRPr="00006918">
        <w:t xml:space="preserve">Dated this </w:t>
      </w:r>
      <w:r w:rsidR="008115C6">
        <w:t>28</w:t>
      </w:r>
      <w:r w:rsidRPr="00006918">
        <w:rPr>
          <w:vertAlign w:val="superscript"/>
        </w:rPr>
        <w:t>th</w:t>
      </w:r>
      <w:r w:rsidRPr="00006918">
        <w:t xml:space="preserve"> day of June 2013</w:t>
      </w:r>
    </w:p>
    <w:p w:rsidR="00006918" w:rsidRPr="00006918" w:rsidRDefault="00006918" w:rsidP="00006918">
      <w:pPr>
        <w:ind w:left="567" w:hanging="567"/>
      </w:pPr>
    </w:p>
    <w:p w:rsidR="00006918" w:rsidRPr="00006918" w:rsidRDefault="00006918" w:rsidP="00006918">
      <w:pPr>
        <w:ind w:left="567" w:hanging="567"/>
      </w:pPr>
    </w:p>
    <w:p w:rsidR="00006918" w:rsidRPr="00006918" w:rsidRDefault="00006918" w:rsidP="00006918">
      <w:pPr>
        <w:ind w:left="567" w:hanging="567"/>
      </w:pPr>
    </w:p>
    <w:p w:rsidR="00006918" w:rsidRPr="00006918" w:rsidRDefault="00006918" w:rsidP="00006918">
      <w:pPr>
        <w:ind w:left="567" w:hanging="567"/>
      </w:pPr>
    </w:p>
    <w:p w:rsidR="00006918" w:rsidRPr="00006918" w:rsidRDefault="00006918" w:rsidP="00006918">
      <w:pPr>
        <w:ind w:left="567" w:hanging="567"/>
      </w:pPr>
      <w:r w:rsidRPr="00006918">
        <w:t>Signed by Stephen Yen PSM</w:t>
      </w:r>
    </w:p>
    <w:p w:rsidR="00006918" w:rsidRPr="00006918" w:rsidRDefault="00006918" w:rsidP="00006918">
      <w:pPr>
        <w:ind w:left="567" w:hanging="567"/>
      </w:pPr>
      <w:proofErr w:type="gramStart"/>
      <w:r w:rsidRPr="00006918">
        <w:t>as</w:t>
      </w:r>
      <w:proofErr w:type="gramEnd"/>
      <w:r w:rsidRPr="00006918">
        <w:t xml:space="preserve"> a delegate of the Australian Securities and Investments Commission</w:t>
      </w:r>
    </w:p>
    <w:p w:rsidR="000437EA" w:rsidRDefault="000437EA" w:rsidP="00006918">
      <w:pPr>
        <w:ind w:left="567" w:hanging="567"/>
      </w:pPr>
    </w:p>
    <w:sectPr w:rsidR="000437EA" w:rsidSect="00CF4792">
      <w:headerReference w:type="default" r:id="rId11"/>
      <w:headerReference w:type="first" r:id="rId12"/>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C53" w:rsidRDefault="00130C53" w:rsidP="00F6591E">
      <w:r>
        <w:separator/>
      </w:r>
    </w:p>
  </w:endnote>
  <w:endnote w:type="continuationSeparator" w:id="0">
    <w:p w:rsidR="00130C53" w:rsidRDefault="00130C53" w:rsidP="00F6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C53" w:rsidRDefault="00130C53" w:rsidP="00F6591E">
      <w:r>
        <w:separator/>
      </w:r>
    </w:p>
  </w:footnote>
  <w:footnote w:type="continuationSeparator" w:id="0">
    <w:p w:rsidR="00130C53" w:rsidRDefault="00130C53" w:rsidP="00F6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49" w:rsidRDefault="005C4FDC">
    <w:pPr>
      <w:pStyle w:val="Header"/>
      <w:jc w:val="center"/>
    </w:pPr>
    <w:fldSimple w:instr=" PAGE   \* MERGEFORMAT ">
      <w:r w:rsidR="008115C6">
        <w:rPr>
          <w:noProof/>
        </w:rPr>
        <w:t>25</w:t>
      </w:r>
    </w:fldSimple>
  </w:p>
  <w:p w:rsidR="006A1C49" w:rsidRDefault="006A1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49" w:rsidRDefault="006A1C49">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82A"/>
    <w:multiLevelType w:val="multilevel"/>
    <w:tmpl w:val="1E1EC0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644E13"/>
    <w:multiLevelType w:val="hybridMultilevel"/>
    <w:tmpl w:val="7F3C97AA"/>
    <w:lvl w:ilvl="0" w:tplc="3AF426C4">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nsid w:val="324075EC"/>
    <w:multiLevelType w:val="multilevel"/>
    <w:tmpl w:val="34CE51FC"/>
    <w:lvl w:ilvl="0">
      <w:start w:val="13"/>
      <w:numFmt w:val="decimal"/>
      <w:lvlText w:val="%1."/>
      <w:lvlJc w:val="left"/>
      <w:pPr>
        <w:ind w:left="360" w:hanging="360"/>
      </w:pPr>
      <w:rPr>
        <w:rFonts w:hint="default"/>
        <w:i w:val="0"/>
      </w:rPr>
    </w:lvl>
    <w:lvl w:ilvl="1">
      <w:start w:val="1"/>
      <w:numFmt w:val="lowerLetter"/>
      <w:lvlText w:val="(%2)"/>
      <w:lvlJc w:val="left"/>
      <w:pPr>
        <w:ind w:left="1211" w:hanging="360"/>
      </w:pPr>
      <w:rPr>
        <w:rFonts w:hint="default"/>
        <w:i w:val="0"/>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sz w:val="24"/>
        <w:szCs w:val="24"/>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52E062F"/>
    <w:multiLevelType w:val="hybridMultilevel"/>
    <w:tmpl w:val="AA701CD6"/>
    <w:lvl w:ilvl="0" w:tplc="B6CAE9B6">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09"/>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23B01"/>
    <w:rsid w:val="0000193F"/>
    <w:rsid w:val="00003CD8"/>
    <w:rsid w:val="00003E3F"/>
    <w:rsid w:val="00004207"/>
    <w:rsid w:val="00005C53"/>
    <w:rsid w:val="00006918"/>
    <w:rsid w:val="00007A1B"/>
    <w:rsid w:val="00012B9B"/>
    <w:rsid w:val="00015BA9"/>
    <w:rsid w:val="0002085F"/>
    <w:rsid w:val="000224DD"/>
    <w:rsid w:val="0002547E"/>
    <w:rsid w:val="00026E4C"/>
    <w:rsid w:val="00027435"/>
    <w:rsid w:val="0003184F"/>
    <w:rsid w:val="00031A94"/>
    <w:rsid w:val="000321F5"/>
    <w:rsid w:val="00032E6F"/>
    <w:rsid w:val="000341AB"/>
    <w:rsid w:val="00034EDC"/>
    <w:rsid w:val="000372FE"/>
    <w:rsid w:val="0004054C"/>
    <w:rsid w:val="0004060B"/>
    <w:rsid w:val="0004062A"/>
    <w:rsid w:val="000437EA"/>
    <w:rsid w:val="000508DD"/>
    <w:rsid w:val="00051593"/>
    <w:rsid w:val="00054C12"/>
    <w:rsid w:val="00055276"/>
    <w:rsid w:val="00056959"/>
    <w:rsid w:val="000600A4"/>
    <w:rsid w:val="00060571"/>
    <w:rsid w:val="000620EF"/>
    <w:rsid w:val="00062604"/>
    <w:rsid w:val="0006267B"/>
    <w:rsid w:val="00063158"/>
    <w:rsid w:val="00066AA9"/>
    <w:rsid w:val="00070070"/>
    <w:rsid w:val="00070900"/>
    <w:rsid w:val="00073AC3"/>
    <w:rsid w:val="000744FB"/>
    <w:rsid w:val="000745B2"/>
    <w:rsid w:val="000761C2"/>
    <w:rsid w:val="00080957"/>
    <w:rsid w:val="000825E8"/>
    <w:rsid w:val="00082AD5"/>
    <w:rsid w:val="00084A21"/>
    <w:rsid w:val="00086890"/>
    <w:rsid w:val="000878AF"/>
    <w:rsid w:val="00087A8B"/>
    <w:rsid w:val="0009005C"/>
    <w:rsid w:val="00090375"/>
    <w:rsid w:val="000904FA"/>
    <w:rsid w:val="000907BC"/>
    <w:rsid w:val="000960F7"/>
    <w:rsid w:val="0009667E"/>
    <w:rsid w:val="000A1DA8"/>
    <w:rsid w:val="000A2121"/>
    <w:rsid w:val="000A371C"/>
    <w:rsid w:val="000A3C30"/>
    <w:rsid w:val="000A5847"/>
    <w:rsid w:val="000A5BEB"/>
    <w:rsid w:val="000A7F3B"/>
    <w:rsid w:val="000B2C54"/>
    <w:rsid w:val="000B313E"/>
    <w:rsid w:val="000B4A79"/>
    <w:rsid w:val="000B51F5"/>
    <w:rsid w:val="000B767C"/>
    <w:rsid w:val="000B7F65"/>
    <w:rsid w:val="000C18FD"/>
    <w:rsid w:val="000C67F8"/>
    <w:rsid w:val="000D200B"/>
    <w:rsid w:val="000D2704"/>
    <w:rsid w:val="000D2FD3"/>
    <w:rsid w:val="000D43B6"/>
    <w:rsid w:val="000D63F3"/>
    <w:rsid w:val="000D7253"/>
    <w:rsid w:val="000E0648"/>
    <w:rsid w:val="000E3266"/>
    <w:rsid w:val="000E3F1B"/>
    <w:rsid w:val="000F08C3"/>
    <w:rsid w:val="000F193B"/>
    <w:rsid w:val="000F1F19"/>
    <w:rsid w:val="000F2836"/>
    <w:rsid w:val="000F2A1F"/>
    <w:rsid w:val="000F345E"/>
    <w:rsid w:val="000F430F"/>
    <w:rsid w:val="001022E6"/>
    <w:rsid w:val="00102BBD"/>
    <w:rsid w:val="0010365A"/>
    <w:rsid w:val="00105658"/>
    <w:rsid w:val="00105FEE"/>
    <w:rsid w:val="00106A68"/>
    <w:rsid w:val="00107DC6"/>
    <w:rsid w:val="001111DB"/>
    <w:rsid w:val="0011147C"/>
    <w:rsid w:val="00111A47"/>
    <w:rsid w:val="00112D13"/>
    <w:rsid w:val="00112E67"/>
    <w:rsid w:val="001142F9"/>
    <w:rsid w:val="00120268"/>
    <w:rsid w:val="00122D9F"/>
    <w:rsid w:val="00123284"/>
    <w:rsid w:val="00130C53"/>
    <w:rsid w:val="0013253D"/>
    <w:rsid w:val="001325D6"/>
    <w:rsid w:val="00132F88"/>
    <w:rsid w:val="001334C1"/>
    <w:rsid w:val="00135901"/>
    <w:rsid w:val="00136596"/>
    <w:rsid w:val="00136D8D"/>
    <w:rsid w:val="001377CA"/>
    <w:rsid w:val="001437FB"/>
    <w:rsid w:val="001447B4"/>
    <w:rsid w:val="00145588"/>
    <w:rsid w:val="00146875"/>
    <w:rsid w:val="00146A38"/>
    <w:rsid w:val="00150205"/>
    <w:rsid w:val="001513D6"/>
    <w:rsid w:val="0015205D"/>
    <w:rsid w:val="0015413B"/>
    <w:rsid w:val="0015604D"/>
    <w:rsid w:val="0015648E"/>
    <w:rsid w:val="0015672D"/>
    <w:rsid w:val="0015687C"/>
    <w:rsid w:val="00157879"/>
    <w:rsid w:val="001633B1"/>
    <w:rsid w:val="00164021"/>
    <w:rsid w:val="00164438"/>
    <w:rsid w:val="00165A4B"/>
    <w:rsid w:val="001673FC"/>
    <w:rsid w:val="00167B47"/>
    <w:rsid w:val="00172FE5"/>
    <w:rsid w:val="00174E71"/>
    <w:rsid w:val="00175C44"/>
    <w:rsid w:val="0017660F"/>
    <w:rsid w:val="00176D16"/>
    <w:rsid w:val="00180F1B"/>
    <w:rsid w:val="00181ADD"/>
    <w:rsid w:val="00181BB6"/>
    <w:rsid w:val="00182EFB"/>
    <w:rsid w:val="001836F7"/>
    <w:rsid w:val="00185B93"/>
    <w:rsid w:val="0018716C"/>
    <w:rsid w:val="00187462"/>
    <w:rsid w:val="0019066D"/>
    <w:rsid w:val="00192764"/>
    <w:rsid w:val="00194734"/>
    <w:rsid w:val="00194D9D"/>
    <w:rsid w:val="001955B6"/>
    <w:rsid w:val="00196826"/>
    <w:rsid w:val="00196F78"/>
    <w:rsid w:val="001A01A1"/>
    <w:rsid w:val="001A2ED9"/>
    <w:rsid w:val="001A37EE"/>
    <w:rsid w:val="001A4FB5"/>
    <w:rsid w:val="001A6F2E"/>
    <w:rsid w:val="001B54EE"/>
    <w:rsid w:val="001B6C08"/>
    <w:rsid w:val="001B6D8C"/>
    <w:rsid w:val="001C0EBC"/>
    <w:rsid w:val="001C37E5"/>
    <w:rsid w:val="001C4DEB"/>
    <w:rsid w:val="001C766A"/>
    <w:rsid w:val="001D20BE"/>
    <w:rsid w:val="001D42ED"/>
    <w:rsid w:val="001D5318"/>
    <w:rsid w:val="001D5E13"/>
    <w:rsid w:val="001D686D"/>
    <w:rsid w:val="001E04DF"/>
    <w:rsid w:val="001E06DF"/>
    <w:rsid w:val="001E1A6A"/>
    <w:rsid w:val="001E39B4"/>
    <w:rsid w:val="001E5210"/>
    <w:rsid w:val="001E61D8"/>
    <w:rsid w:val="001E61DF"/>
    <w:rsid w:val="001E6BDD"/>
    <w:rsid w:val="001F03E0"/>
    <w:rsid w:val="001F14A7"/>
    <w:rsid w:val="001F2C88"/>
    <w:rsid w:val="001F3F9E"/>
    <w:rsid w:val="001F4156"/>
    <w:rsid w:val="001F4810"/>
    <w:rsid w:val="001F52FF"/>
    <w:rsid w:val="001F61A3"/>
    <w:rsid w:val="001F77E9"/>
    <w:rsid w:val="001F78A8"/>
    <w:rsid w:val="00202FD9"/>
    <w:rsid w:val="002036B6"/>
    <w:rsid w:val="002036FD"/>
    <w:rsid w:val="00203BE3"/>
    <w:rsid w:val="00203F0B"/>
    <w:rsid w:val="00206585"/>
    <w:rsid w:val="00206821"/>
    <w:rsid w:val="00210857"/>
    <w:rsid w:val="002117D0"/>
    <w:rsid w:val="00213503"/>
    <w:rsid w:val="002163E2"/>
    <w:rsid w:val="00217D52"/>
    <w:rsid w:val="002213A5"/>
    <w:rsid w:val="002217E3"/>
    <w:rsid w:val="00223E31"/>
    <w:rsid w:val="00223F26"/>
    <w:rsid w:val="00224290"/>
    <w:rsid w:val="00224396"/>
    <w:rsid w:val="00227A74"/>
    <w:rsid w:val="00230618"/>
    <w:rsid w:val="0023139B"/>
    <w:rsid w:val="00234547"/>
    <w:rsid w:val="00235029"/>
    <w:rsid w:val="002351CD"/>
    <w:rsid w:val="0023569D"/>
    <w:rsid w:val="00236C4E"/>
    <w:rsid w:val="00236FC8"/>
    <w:rsid w:val="00237854"/>
    <w:rsid w:val="00245D5D"/>
    <w:rsid w:val="00246161"/>
    <w:rsid w:val="00247F6F"/>
    <w:rsid w:val="0025075A"/>
    <w:rsid w:val="00251E2F"/>
    <w:rsid w:val="0025243E"/>
    <w:rsid w:val="00257EAC"/>
    <w:rsid w:val="0026211D"/>
    <w:rsid w:val="00262C18"/>
    <w:rsid w:val="00262E7B"/>
    <w:rsid w:val="00264551"/>
    <w:rsid w:val="002651E5"/>
    <w:rsid w:val="0026569B"/>
    <w:rsid w:val="00266139"/>
    <w:rsid w:val="00266927"/>
    <w:rsid w:val="00266D21"/>
    <w:rsid w:val="00267DF3"/>
    <w:rsid w:val="00270B9A"/>
    <w:rsid w:val="00272E5B"/>
    <w:rsid w:val="00272EE1"/>
    <w:rsid w:val="00273218"/>
    <w:rsid w:val="002764CE"/>
    <w:rsid w:val="00276824"/>
    <w:rsid w:val="00277BA3"/>
    <w:rsid w:val="00281138"/>
    <w:rsid w:val="002845F4"/>
    <w:rsid w:val="00286691"/>
    <w:rsid w:val="00286FF3"/>
    <w:rsid w:val="00290FC5"/>
    <w:rsid w:val="0029278B"/>
    <w:rsid w:val="00292F19"/>
    <w:rsid w:val="00293F5E"/>
    <w:rsid w:val="00294979"/>
    <w:rsid w:val="00295646"/>
    <w:rsid w:val="00295C39"/>
    <w:rsid w:val="00297A38"/>
    <w:rsid w:val="002A0047"/>
    <w:rsid w:val="002A226C"/>
    <w:rsid w:val="002A3649"/>
    <w:rsid w:val="002A40F3"/>
    <w:rsid w:val="002A4CE0"/>
    <w:rsid w:val="002A53E2"/>
    <w:rsid w:val="002A61D5"/>
    <w:rsid w:val="002A6658"/>
    <w:rsid w:val="002A6794"/>
    <w:rsid w:val="002A78F8"/>
    <w:rsid w:val="002B001E"/>
    <w:rsid w:val="002B0DA2"/>
    <w:rsid w:val="002B1FAC"/>
    <w:rsid w:val="002B3AA8"/>
    <w:rsid w:val="002B4E04"/>
    <w:rsid w:val="002B4E24"/>
    <w:rsid w:val="002B59A6"/>
    <w:rsid w:val="002B7A6D"/>
    <w:rsid w:val="002B7AA2"/>
    <w:rsid w:val="002B7AD7"/>
    <w:rsid w:val="002C0E82"/>
    <w:rsid w:val="002C269D"/>
    <w:rsid w:val="002C2DC4"/>
    <w:rsid w:val="002C4CE0"/>
    <w:rsid w:val="002C6009"/>
    <w:rsid w:val="002C7665"/>
    <w:rsid w:val="002D2359"/>
    <w:rsid w:val="002D26B2"/>
    <w:rsid w:val="002D2F2F"/>
    <w:rsid w:val="002D54A2"/>
    <w:rsid w:val="002D5881"/>
    <w:rsid w:val="002D5AC4"/>
    <w:rsid w:val="002D5C95"/>
    <w:rsid w:val="002D6A11"/>
    <w:rsid w:val="002D70B9"/>
    <w:rsid w:val="002E0E2F"/>
    <w:rsid w:val="002E1273"/>
    <w:rsid w:val="002E5730"/>
    <w:rsid w:val="002E591C"/>
    <w:rsid w:val="002E7644"/>
    <w:rsid w:val="002F1F0D"/>
    <w:rsid w:val="002F2597"/>
    <w:rsid w:val="002F3DA2"/>
    <w:rsid w:val="002F3DF2"/>
    <w:rsid w:val="002F3F9D"/>
    <w:rsid w:val="002F4118"/>
    <w:rsid w:val="002F6011"/>
    <w:rsid w:val="002F60BC"/>
    <w:rsid w:val="002F6796"/>
    <w:rsid w:val="00301A2C"/>
    <w:rsid w:val="00304347"/>
    <w:rsid w:val="00304F9B"/>
    <w:rsid w:val="0030706C"/>
    <w:rsid w:val="003076E4"/>
    <w:rsid w:val="00307DA6"/>
    <w:rsid w:val="00312AEB"/>
    <w:rsid w:val="003158DB"/>
    <w:rsid w:val="00315F52"/>
    <w:rsid w:val="003165F7"/>
    <w:rsid w:val="003165FE"/>
    <w:rsid w:val="0032008C"/>
    <w:rsid w:val="00320CE4"/>
    <w:rsid w:val="00322D6F"/>
    <w:rsid w:val="0032348D"/>
    <w:rsid w:val="00323A4F"/>
    <w:rsid w:val="00323D7E"/>
    <w:rsid w:val="00325F18"/>
    <w:rsid w:val="00330327"/>
    <w:rsid w:val="00330871"/>
    <w:rsid w:val="0033274A"/>
    <w:rsid w:val="0033276B"/>
    <w:rsid w:val="00333153"/>
    <w:rsid w:val="00335307"/>
    <w:rsid w:val="0033574F"/>
    <w:rsid w:val="003369BB"/>
    <w:rsid w:val="0033706A"/>
    <w:rsid w:val="0033716B"/>
    <w:rsid w:val="003433B9"/>
    <w:rsid w:val="003436FE"/>
    <w:rsid w:val="00344F84"/>
    <w:rsid w:val="00345F33"/>
    <w:rsid w:val="00347AE5"/>
    <w:rsid w:val="00347B72"/>
    <w:rsid w:val="00351436"/>
    <w:rsid w:val="00352077"/>
    <w:rsid w:val="003528B7"/>
    <w:rsid w:val="003528DF"/>
    <w:rsid w:val="00352DAB"/>
    <w:rsid w:val="00353285"/>
    <w:rsid w:val="003568FA"/>
    <w:rsid w:val="00361419"/>
    <w:rsid w:val="003629B9"/>
    <w:rsid w:val="0036435A"/>
    <w:rsid w:val="00364A8A"/>
    <w:rsid w:val="00365ABC"/>
    <w:rsid w:val="0036614F"/>
    <w:rsid w:val="003726C9"/>
    <w:rsid w:val="00373372"/>
    <w:rsid w:val="00373735"/>
    <w:rsid w:val="00373B65"/>
    <w:rsid w:val="00374EB8"/>
    <w:rsid w:val="00381058"/>
    <w:rsid w:val="003822C1"/>
    <w:rsid w:val="00382311"/>
    <w:rsid w:val="00383F74"/>
    <w:rsid w:val="00384E1F"/>
    <w:rsid w:val="00386AD8"/>
    <w:rsid w:val="0039112D"/>
    <w:rsid w:val="00391B1E"/>
    <w:rsid w:val="00391DD2"/>
    <w:rsid w:val="0039296D"/>
    <w:rsid w:val="00393C66"/>
    <w:rsid w:val="00394CE8"/>
    <w:rsid w:val="00395093"/>
    <w:rsid w:val="003A43D3"/>
    <w:rsid w:val="003A493A"/>
    <w:rsid w:val="003A4A10"/>
    <w:rsid w:val="003A653F"/>
    <w:rsid w:val="003A6798"/>
    <w:rsid w:val="003B146B"/>
    <w:rsid w:val="003B52AA"/>
    <w:rsid w:val="003B55E9"/>
    <w:rsid w:val="003B5C94"/>
    <w:rsid w:val="003B6C83"/>
    <w:rsid w:val="003C1229"/>
    <w:rsid w:val="003C201B"/>
    <w:rsid w:val="003C3EA0"/>
    <w:rsid w:val="003C4632"/>
    <w:rsid w:val="003C4BEA"/>
    <w:rsid w:val="003C4BF8"/>
    <w:rsid w:val="003C63B6"/>
    <w:rsid w:val="003C6A76"/>
    <w:rsid w:val="003D39D1"/>
    <w:rsid w:val="003D3C25"/>
    <w:rsid w:val="003D46C3"/>
    <w:rsid w:val="003D4F51"/>
    <w:rsid w:val="003D6E99"/>
    <w:rsid w:val="003D740E"/>
    <w:rsid w:val="003D7918"/>
    <w:rsid w:val="003E138B"/>
    <w:rsid w:val="003E154B"/>
    <w:rsid w:val="003E604C"/>
    <w:rsid w:val="003E789F"/>
    <w:rsid w:val="003E7C04"/>
    <w:rsid w:val="003E7CA5"/>
    <w:rsid w:val="003F2029"/>
    <w:rsid w:val="003F2EAB"/>
    <w:rsid w:val="003F4DE0"/>
    <w:rsid w:val="00400C88"/>
    <w:rsid w:val="00405A9A"/>
    <w:rsid w:val="00406735"/>
    <w:rsid w:val="00406BBB"/>
    <w:rsid w:val="00412427"/>
    <w:rsid w:val="00412D0F"/>
    <w:rsid w:val="00413546"/>
    <w:rsid w:val="00415C40"/>
    <w:rsid w:val="004170C9"/>
    <w:rsid w:val="00417507"/>
    <w:rsid w:val="00417B1F"/>
    <w:rsid w:val="00421CD7"/>
    <w:rsid w:val="004224AF"/>
    <w:rsid w:val="004225D2"/>
    <w:rsid w:val="00422DA3"/>
    <w:rsid w:val="00423C0D"/>
    <w:rsid w:val="00427923"/>
    <w:rsid w:val="0043055A"/>
    <w:rsid w:val="0043329B"/>
    <w:rsid w:val="00433802"/>
    <w:rsid w:val="00434D34"/>
    <w:rsid w:val="00435669"/>
    <w:rsid w:val="00436CD3"/>
    <w:rsid w:val="00437EF5"/>
    <w:rsid w:val="00440403"/>
    <w:rsid w:val="0044151D"/>
    <w:rsid w:val="00441B40"/>
    <w:rsid w:val="00441ECD"/>
    <w:rsid w:val="00442840"/>
    <w:rsid w:val="004437FF"/>
    <w:rsid w:val="0044499A"/>
    <w:rsid w:val="004473B8"/>
    <w:rsid w:val="00447BCD"/>
    <w:rsid w:val="00447CCF"/>
    <w:rsid w:val="004500CA"/>
    <w:rsid w:val="004507F8"/>
    <w:rsid w:val="004519DC"/>
    <w:rsid w:val="00452480"/>
    <w:rsid w:val="00452697"/>
    <w:rsid w:val="004526F8"/>
    <w:rsid w:val="00454181"/>
    <w:rsid w:val="00454CEB"/>
    <w:rsid w:val="00454E8C"/>
    <w:rsid w:val="00455361"/>
    <w:rsid w:val="00455F16"/>
    <w:rsid w:val="00457B8C"/>
    <w:rsid w:val="00460453"/>
    <w:rsid w:val="00466FEA"/>
    <w:rsid w:val="00470D71"/>
    <w:rsid w:val="00472ABC"/>
    <w:rsid w:val="00473F3B"/>
    <w:rsid w:val="00476501"/>
    <w:rsid w:val="00476AB6"/>
    <w:rsid w:val="004805D0"/>
    <w:rsid w:val="00482204"/>
    <w:rsid w:val="00485AF1"/>
    <w:rsid w:val="00486504"/>
    <w:rsid w:val="00486920"/>
    <w:rsid w:val="00487F42"/>
    <w:rsid w:val="0049068E"/>
    <w:rsid w:val="00492015"/>
    <w:rsid w:val="00493736"/>
    <w:rsid w:val="00493E10"/>
    <w:rsid w:val="0049409D"/>
    <w:rsid w:val="00494CA4"/>
    <w:rsid w:val="00494FB7"/>
    <w:rsid w:val="00497264"/>
    <w:rsid w:val="004976D2"/>
    <w:rsid w:val="004A003A"/>
    <w:rsid w:val="004A007C"/>
    <w:rsid w:val="004A0BB2"/>
    <w:rsid w:val="004A0C16"/>
    <w:rsid w:val="004A2006"/>
    <w:rsid w:val="004A3BF5"/>
    <w:rsid w:val="004A44C8"/>
    <w:rsid w:val="004A6465"/>
    <w:rsid w:val="004B0A7D"/>
    <w:rsid w:val="004B0E59"/>
    <w:rsid w:val="004B3B80"/>
    <w:rsid w:val="004B3F58"/>
    <w:rsid w:val="004B4702"/>
    <w:rsid w:val="004B6EC8"/>
    <w:rsid w:val="004C043E"/>
    <w:rsid w:val="004C0D1F"/>
    <w:rsid w:val="004C3C5F"/>
    <w:rsid w:val="004C3D64"/>
    <w:rsid w:val="004C7EC6"/>
    <w:rsid w:val="004D0FB9"/>
    <w:rsid w:val="004D165D"/>
    <w:rsid w:val="004D1C0D"/>
    <w:rsid w:val="004D212B"/>
    <w:rsid w:val="004D2469"/>
    <w:rsid w:val="004D39FC"/>
    <w:rsid w:val="004D4373"/>
    <w:rsid w:val="004D4706"/>
    <w:rsid w:val="004E516B"/>
    <w:rsid w:val="004E58CF"/>
    <w:rsid w:val="004F0712"/>
    <w:rsid w:val="004F156F"/>
    <w:rsid w:val="004F19BA"/>
    <w:rsid w:val="004F3B47"/>
    <w:rsid w:val="004F4978"/>
    <w:rsid w:val="004F4CCE"/>
    <w:rsid w:val="004F6B1D"/>
    <w:rsid w:val="004F791D"/>
    <w:rsid w:val="004F7BA3"/>
    <w:rsid w:val="00501184"/>
    <w:rsid w:val="005021A6"/>
    <w:rsid w:val="005026B7"/>
    <w:rsid w:val="0050320A"/>
    <w:rsid w:val="00503296"/>
    <w:rsid w:val="00505F6B"/>
    <w:rsid w:val="00511056"/>
    <w:rsid w:val="005116FA"/>
    <w:rsid w:val="00513D9D"/>
    <w:rsid w:val="00514198"/>
    <w:rsid w:val="005149EA"/>
    <w:rsid w:val="00514C00"/>
    <w:rsid w:val="00516882"/>
    <w:rsid w:val="0052115E"/>
    <w:rsid w:val="00521C23"/>
    <w:rsid w:val="00522170"/>
    <w:rsid w:val="00522F94"/>
    <w:rsid w:val="00523136"/>
    <w:rsid w:val="005233DD"/>
    <w:rsid w:val="00523B01"/>
    <w:rsid w:val="00525D20"/>
    <w:rsid w:val="00526741"/>
    <w:rsid w:val="00526798"/>
    <w:rsid w:val="00526C17"/>
    <w:rsid w:val="00527631"/>
    <w:rsid w:val="0053008A"/>
    <w:rsid w:val="00531963"/>
    <w:rsid w:val="00531A64"/>
    <w:rsid w:val="00535A6C"/>
    <w:rsid w:val="00536A98"/>
    <w:rsid w:val="00537A2C"/>
    <w:rsid w:val="005409E8"/>
    <w:rsid w:val="005423D7"/>
    <w:rsid w:val="00542A4E"/>
    <w:rsid w:val="00543BFC"/>
    <w:rsid w:val="00544B8D"/>
    <w:rsid w:val="00545C51"/>
    <w:rsid w:val="00547F33"/>
    <w:rsid w:val="00547F9F"/>
    <w:rsid w:val="0055009A"/>
    <w:rsid w:val="00553736"/>
    <w:rsid w:val="00557B87"/>
    <w:rsid w:val="00557F85"/>
    <w:rsid w:val="0056044E"/>
    <w:rsid w:val="00561D71"/>
    <w:rsid w:val="00561FF5"/>
    <w:rsid w:val="00564234"/>
    <w:rsid w:val="0056595B"/>
    <w:rsid w:val="00566732"/>
    <w:rsid w:val="00566832"/>
    <w:rsid w:val="005679CF"/>
    <w:rsid w:val="00570E86"/>
    <w:rsid w:val="00572948"/>
    <w:rsid w:val="005740F9"/>
    <w:rsid w:val="00574AA5"/>
    <w:rsid w:val="005771B7"/>
    <w:rsid w:val="00580082"/>
    <w:rsid w:val="0058108D"/>
    <w:rsid w:val="00581A02"/>
    <w:rsid w:val="00582539"/>
    <w:rsid w:val="00582DAD"/>
    <w:rsid w:val="00583C33"/>
    <w:rsid w:val="00584680"/>
    <w:rsid w:val="005852A9"/>
    <w:rsid w:val="005863C0"/>
    <w:rsid w:val="00591CCF"/>
    <w:rsid w:val="00595024"/>
    <w:rsid w:val="005958B8"/>
    <w:rsid w:val="00597947"/>
    <w:rsid w:val="00597A3A"/>
    <w:rsid w:val="005A0716"/>
    <w:rsid w:val="005A20E2"/>
    <w:rsid w:val="005A26C8"/>
    <w:rsid w:val="005A47C5"/>
    <w:rsid w:val="005A5BFA"/>
    <w:rsid w:val="005A6BB7"/>
    <w:rsid w:val="005A7A24"/>
    <w:rsid w:val="005B3026"/>
    <w:rsid w:val="005B3375"/>
    <w:rsid w:val="005B33A6"/>
    <w:rsid w:val="005B3C78"/>
    <w:rsid w:val="005B5195"/>
    <w:rsid w:val="005B6026"/>
    <w:rsid w:val="005C0F8E"/>
    <w:rsid w:val="005C388E"/>
    <w:rsid w:val="005C4168"/>
    <w:rsid w:val="005C48F6"/>
    <w:rsid w:val="005C4FDC"/>
    <w:rsid w:val="005C5B61"/>
    <w:rsid w:val="005C767E"/>
    <w:rsid w:val="005C7EDE"/>
    <w:rsid w:val="005D02F4"/>
    <w:rsid w:val="005D181D"/>
    <w:rsid w:val="005D4CFB"/>
    <w:rsid w:val="005D677F"/>
    <w:rsid w:val="005D67CC"/>
    <w:rsid w:val="005E0D65"/>
    <w:rsid w:val="005E0FCB"/>
    <w:rsid w:val="005E3901"/>
    <w:rsid w:val="005E55D3"/>
    <w:rsid w:val="005E6018"/>
    <w:rsid w:val="005F07C8"/>
    <w:rsid w:val="005F17A0"/>
    <w:rsid w:val="005F465C"/>
    <w:rsid w:val="005F60E2"/>
    <w:rsid w:val="005F68A6"/>
    <w:rsid w:val="005F6AF0"/>
    <w:rsid w:val="005F75DA"/>
    <w:rsid w:val="0060031D"/>
    <w:rsid w:val="00600FF7"/>
    <w:rsid w:val="006013BB"/>
    <w:rsid w:val="0060181D"/>
    <w:rsid w:val="00602C70"/>
    <w:rsid w:val="00603C77"/>
    <w:rsid w:val="00606049"/>
    <w:rsid w:val="006060D8"/>
    <w:rsid w:val="00611F48"/>
    <w:rsid w:val="00615573"/>
    <w:rsid w:val="00616FA2"/>
    <w:rsid w:val="00620260"/>
    <w:rsid w:val="006207A5"/>
    <w:rsid w:val="00620A20"/>
    <w:rsid w:val="00622E04"/>
    <w:rsid w:val="006236DE"/>
    <w:rsid w:val="00624FC8"/>
    <w:rsid w:val="00634267"/>
    <w:rsid w:val="006343FE"/>
    <w:rsid w:val="006347CE"/>
    <w:rsid w:val="00634804"/>
    <w:rsid w:val="00634A68"/>
    <w:rsid w:val="00635DBA"/>
    <w:rsid w:val="00636ED9"/>
    <w:rsid w:val="00641005"/>
    <w:rsid w:val="00641BBF"/>
    <w:rsid w:val="00641C98"/>
    <w:rsid w:val="0064289C"/>
    <w:rsid w:val="006432E1"/>
    <w:rsid w:val="006502FF"/>
    <w:rsid w:val="006529FA"/>
    <w:rsid w:val="006538BC"/>
    <w:rsid w:val="006541DE"/>
    <w:rsid w:val="0065532D"/>
    <w:rsid w:val="006565B8"/>
    <w:rsid w:val="0066338E"/>
    <w:rsid w:val="00670CCD"/>
    <w:rsid w:val="006725F0"/>
    <w:rsid w:val="006727A3"/>
    <w:rsid w:val="00672C54"/>
    <w:rsid w:val="00673355"/>
    <w:rsid w:val="0067381C"/>
    <w:rsid w:val="00675AE0"/>
    <w:rsid w:val="006769C7"/>
    <w:rsid w:val="00676D22"/>
    <w:rsid w:val="0067751E"/>
    <w:rsid w:val="0067765D"/>
    <w:rsid w:val="00677C85"/>
    <w:rsid w:val="00681951"/>
    <w:rsid w:val="00682B29"/>
    <w:rsid w:val="00687915"/>
    <w:rsid w:val="00687B3F"/>
    <w:rsid w:val="0069075E"/>
    <w:rsid w:val="00691047"/>
    <w:rsid w:val="006918DF"/>
    <w:rsid w:val="00692D15"/>
    <w:rsid w:val="006971FF"/>
    <w:rsid w:val="006A1C49"/>
    <w:rsid w:val="006A437D"/>
    <w:rsid w:val="006A567A"/>
    <w:rsid w:val="006A5F1F"/>
    <w:rsid w:val="006A6A0B"/>
    <w:rsid w:val="006A7FE7"/>
    <w:rsid w:val="006B0C87"/>
    <w:rsid w:val="006B0F24"/>
    <w:rsid w:val="006B1AF3"/>
    <w:rsid w:val="006B3821"/>
    <w:rsid w:val="006B3AD5"/>
    <w:rsid w:val="006B5B33"/>
    <w:rsid w:val="006B5DCA"/>
    <w:rsid w:val="006C150C"/>
    <w:rsid w:val="006C27EE"/>
    <w:rsid w:val="006C4AC1"/>
    <w:rsid w:val="006C52B1"/>
    <w:rsid w:val="006C5F3B"/>
    <w:rsid w:val="006D0E67"/>
    <w:rsid w:val="006D22AD"/>
    <w:rsid w:val="006D2B72"/>
    <w:rsid w:val="006D4B97"/>
    <w:rsid w:val="006E1AB3"/>
    <w:rsid w:val="006E1BB4"/>
    <w:rsid w:val="006E32E7"/>
    <w:rsid w:val="006E3454"/>
    <w:rsid w:val="006E3FCE"/>
    <w:rsid w:val="006E4A2E"/>
    <w:rsid w:val="006E4E33"/>
    <w:rsid w:val="006E508A"/>
    <w:rsid w:val="006E6A27"/>
    <w:rsid w:val="006E7BD8"/>
    <w:rsid w:val="006F005C"/>
    <w:rsid w:val="006F07CF"/>
    <w:rsid w:val="006F174C"/>
    <w:rsid w:val="006F1F16"/>
    <w:rsid w:val="006F1F56"/>
    <w:rsid w:val="006F3ECD"/>
    <w:rsid w:val="006F48A8"/>
    <w:rsid w:val="006F603D"/>
    <w:rsid w:val="006F7CAC"/>
    <w:rsid w:val="007007A5"/>
    <w:rsid w:val="00702E33"/>
    <w:rsid w:val="00704E71"/>
    <w:rsid w:val="00704F61"/>
    <w:rsid w:val="00705B82"/>
    <w:rsid w:val="00707C83"/>
    <w:rsid w:val="00711699"/>
    <w:rsid w:val="00711B62"/>
    <w:rsid w:val="007128D7"/>
    <w:rsid w:val="00713E09"/>
    <w:rsid w:val="0071503A"/>
    <w:rsid w:val="00715CEA"/>
    <w:rsid w:val="00717CA6"/>
    <w:rsid w:val="00720352"/>
    <w:rsid w:val="0072177A"/>
    <w:rsid w:val="007227CE"/>
    <w:rsid w:val="007236C6"/>
    <w:rsid w:val="007239D1"/>
    <w:rsid w:val="007248F2"/>
    <w:rsid w:val="00724BE5"/>
    <w:rsid w:val="007251DB"/>
    <w:rsid w:val="00727181"/>
    <w:rsid w:val="00727E63"/>
    <w:rsid w:val="007339FE"/>
    <w:rsid w:val="007361CD"/>
    <w:rsid w:val="00736887"/>
    <w:rsid w:val="007370B8"/>
    <w:rsid w:val="00737AD1"/>
    <w:rsid w:val="00743FCA"/>
    <w:rsid w:val="00754A9C"/>
    <w:rsid w:val="00756747"/>
    <w:rsid w:val="00756944"/>
    <w:rsid w:val="00761587"/>
    <w:rsid w:val="00761FBB"/>
    <w:rsid w:val="00762BC1"/>
    <w:rsid w:val="00763E76"/>
    <w:rsid w:val="00766FF9"/>
    <w:rsid w:val="00767A12"/>
    <w:rsid w:val="00770AA3"/>
    <w:rsid w:val="00772031"/>
    <w:rsid w:val="0077213F"/>
    <w:rsid w:val="00772B82"/>
    <w:rsid w:val="00772DF2"/>
    <w:rsid w:val="007731CB"/>
    <w:rsid w:val="007762C4"/>
    <w:rsid w:val="00777443"/>
    <w:rsid w:val="00777571"/>
    <w:rsid w:val="0077768E"/>
    <w:rsid w:val="00777A9F"/>
    <w:rsid w:val="00780A04"/>
    <w:rsid w:val="00781B14"/>
    <w:rsid w:val="00781D03"/>
    <w:rsid w:val="00781F1E"/>
    <w:rsid w:val="00782B8B"/>
    <w:rsid w:val="00783597"/>
    <w:rsid w:val="007860BA"/>
    <w:rsid w:val="007916E0"/>
    <w:rsid w:val="00793E47"/>
    <w:rsid w:val="00794A8D"/>
    <w:rsid w:val="00794B26"/>
    <w:rsid w:val="00796967"/>
    <w:rsid w:val="00797136"/>
    <w:rsid w:val="007A0B11"/>
    <w:rsid w:val="007A0E16"/>
    <w:rsid w:val="007A3256"/>
    <w:rsid w:val="007A5BB3"/>
    <w:rsid w:val="007A64A5"/>
    <w:rsid w:val="007A651A"/>
    <w:rsid w:val="007A719C"/>
    <w:rsid w:val="007A72F0"/>
    <w:rsid w:val="007B08E7"/>
    <w:rsid w:val="007B1065"/>
    <w:rsid w:val="007B125C"/>
    <w:rsid w:val="007B1322"/>
    <w:rsid w:val="007B1836"/>
    <w:rsid w:val="007B285F"/>
    <w:rsid w:val="007B34AC"/>
    <w:rsid w:val="007B6A7B"/>
    <w:rsid w:val="007B76FF"/>
    <w:rsid w:val="007C3AEC"/>
    <w:rsid w:val="007C3D9F"/>
    <w:rsid w:val="007C4647"/>
    <w:rsid w:val="007C6BF1"/>
    <w:rsid w:val="007D1B0E"/>
    <w:rsid w:val="007D2427"/>
    <w:rsid w:val="007D2A71"/>
    <w:rsid w:val="007D7B54"/>
    <w:rsid w:val="007E0F38"/>
    <w:rsid w:val="007E11BE"/>
    <w:rsid w:val="007E1EA0"/>
    <w:rsid w:val="007E2B86"/>
    <w:rsid w:val="007E2EC5"/>
    <w:rsid w:val="007E371C"/>
    <w:rsid w:val="007E4360"/>
    <w:rsid w:val="007E5E93"/>
    <w:rsid w:val="007F024D"/>
    <w:rsid w:val="007F145D"/>
    <w:rsid w:val="007F18CE"/>
    <w:rsid w:val="007F2095"/>
    <w:rsid w:val="008004DB"/>
    <w:rsid w:val="008008C1"/>
    <w:rsid w:val="00806603"/>
    <w:rsid w:val="00810E01"/>
    <w:rsid w:val="008115C6"/>
    <w:rsid w:val="0081295D"/>
    <w:rsid w:val="00813BE8"/>
    <w:rsid w:val="00820780"/>
    <w:rsid w:val="008222D7"/>
    <w:rsid w:val="008233E0"/>
    <w:rsid w:val="00824CCF"/>
    <w:rsid w:val="00825233"/>
    <w:rsid w:val="0082577E"/>
    <w:rsid w:val="00830A6D"/>
    <w:rsid w:val="008322AF"/>
    <w:rsid w:val="00833917"/>
    <w:rsid w:val="008343B2"/>
    <w:rsid w:val="008365E7"/>
    <w:rsid w:val="008367D0"/>
    <w:rsid w:val="008404A7"/>
    <w:rsid w:val="008412E6"/>
    <w:rsid w:val="008427AE"/>
    <w:rsid w:val="0084457F"/>
    <w:rsid w:val="00844DAC"/>
    <w:rsid w:val="00846616"/>
    <w:rsid w:val="00846973"/>
    <w:rsid w:val="00846C07"/>
    <w:rsid w:val="00847231"/>
    <w:rsid w:val="008503C0"/>
    <w:rsid w:val="008508A2"/>
    <w:rsid w:val="00851E35"/>
    <w:rsid w:val="00853E6A"/>
    <w:rsid w:val="00855924"/>
    <w:rsid w:val="00855AEF"/>
    <w:rsid w:val="0085686A"/>
    <w:rsid w:val="00866E11"/>
    <w:rsid w:val="0086728C"/>
    <w:rsid w:val="00867386"/>
    <w:rsid w:val="00867CBE"/>
    <w:rsid w:val="00872988"/>
    <w:rsid w:val="00873EA1"/>
    <w:rsid w:val="00874D82"/>
    <w:rsid w:val="0087511D"/>
    <w:rsid w:val="008776CB"/>
    <w:rsid w:val="00881687"/>
    <w:rsid w:val="008842BB"/>
    <w:rsid w:val="008850F0"/>
    <w:rsid w:val="00886F1A"/>
    <w:rsid w:val="00887D89"/>
    <w:rsid w:val="00893778"/>
    <w:rsid w:val="00894A7C"/>
    <w:rsid w:val="00895681"/>
    <w:rsid w:val="00895EE3"/>
    <w:rsid w:val="0089641A"/>
    <w:rsid w:val="008A12F5"/>
    <w:rsid w:val="008A5CFA"/>
    <w:rsid w:val="008A6B19"/>
    <w:rsid w:val="008A7E98"/>
    <w:rsid w:val="008B08BF"/>
    <w:rsid w:val="008B1757"/>
    <w:rsid w:val="008B3A50"/>
    <w:rsid w:val="008B6487"/>
    <w:rsid w:val="008B7719"/>
    <w:rsid w:val="008C147D"/>
    <w:rsid w:val="008C205E"/>
    <w:rsid w:val="008C2A7C"/>
    <w:rsid w:val="008C6247"/>
    <w:rsid w:val="008C782C"/>
    <w:rsid w:val="008C7B73"/>
    <w:rsid w:val="008C7FB9"/>
    <w:rsid w:val="008D0E70"/>
    <w:rsid w:val="008D132A"/>
    <w:rsid w:val="008D1551"/>
    <w:rsid w:val="008D6D4E"/>
    <w:rsid w:val="008D73C0"/>
    <w:rsid w:val="008E1762"/>
    <w:rsid w:val="008E3019"/>
    <w:rsid w:val="008E3028"/>
    <w:rsid w:val="008E40B0"/>
    <w:rsid w:val="008E7748"/>
    <w:rsid w:val="008F13DE"/>
    <w:rsid w:val="008F35B9"/>
    <w:rsid w:val="008F59B2"/>
    <w:rsid w:val="008F67BD"/>
    <w:rsid w:val="008F6D54"/>
    <w:rsid w:val="0090166D"/>
    <w:rsid w:val="009023E4"/>
    <w:rsid w:val="009035E0"/>
    <w:rsid w:val="009040F6"/>
    <w:rsid w:val="00905230"/>
    <w:rsid w:val="00905DC8"/>
    <w:rsid w:val="009061CB"/>
    <w:rsid w:val="00907AE2"/>
    <w:rsid w:val="00911106"/>
    <w:rsid w:val="00911E8F"/>
    <w:rsid w:val="00912798"/>
    <w:rsid w:val="009127C2"/>
    <w:rsid w:val="009139AC"/>
    <w:rsid w:val="00913FAB"/>
    <w:rsid w:val="00915324"/>
    <w:rsid w:val="009155CA"/>
    <w:rsid w:val="00915D1B"/>
    <w:rsid w:val="009205BB"/>
    <w:rsid w:val="00921C57"/>
    <w:rsid w:val="009220C7"/>
    <w:rsid w:val="00922332"/>
    <w:rsid w:val="00923BE4"/>
    <w:rsid w:val="0092420F"/>
    <w:rsid w:val="00924312"/>
    <w:rsid w:val="00924623"/>
    <w:rsid w:val="00925B99"/>
    <w:rsid w:val="00925EBD"/>
    <w:rsid w:val="009266C3"/>
    <w:rsid w:val="009271BD"/>
    <w:rsid w:val="00927D58"/>
    <w:rsid w:val="0093179B"/>
    <w:rsid w:val="0093277A"/>
    <w:rsid w:val="00933D14"/>
    <w:rsid w:val="0093477B"/>
    <w:rsid w:val="00941F7E"/>
    <w:rsid w:val="009426A5"/>
    <w:rsid w:val="00943A86"/>
    <w:rsid w:val="00946212"/>
    <w:rsid w:val="0094645C"/>
    <w:rsid w:val="00947485"/>
    <w:rsid w:val="00947510"/>
    <w:rsid w:val="009476B8"/>
    <w:rsid w:val="009508B3"/>
    <w:rsid w:val="009509F2"/>
    <w:rsid w:val="009514CE"/>
    <w:rsid w:val="00952860"/>
    <w:rsid w:val="00952A16"/>
    <w:rsid w:val="00952F80"/>
    <w:rsid w:val="00954112"/>
    <w:rsid w:val="00954658"/>
    <w:rsid w:val="00954C70"/>
    <w:rsid w:val="00955866"/>
    <w:rsid w:val="00960642"/>
    <w:rsid w:val="00962789"/>
    <w:rsid w:val="00963538"/>
    <w:rsid w:val="00964BBB"/>
    <w:rsid w:val="00965008"/>
    <w:rsid w:val="00965750"/>
    <w:rsid w:val="00971114"/>
    <w:rsid w:val="00973F84"/>
    <w:rsid w:val="00974846"/>
    <w:rsid w:val="00976B8D"/>
    <w:rsid w:val="009772BB"/>
    <w:rsid w:val="00980AD8"/>
    <w:rsid w:val="00981396"/>
    <w:rsid w:val="0098160A"/>
    <w:rsid w:val="0098306E"/>
    <w:rsid w:val="0098499F"/>
    <w:rsid w:val="00984A4F"/>
    <w:rsid w:val="00984EAF"/>
    <w:rsid w:val="00985BFF"/>
    <w:rsid w:val="0098622E"/>
    <w:rsid w:val="0098698A"/>
    <w:rsid w:val="0098773E"/>
    <w:rsid w:val="0099000B"/>
    <w:rsid w:val="00990369"/>
    <w:rsid w:val="009910B4"/>
    <w:rsid w:val="0099326C"/>
    <w:rsid w:val="0099617B"/>
    <w:rsid w:val="00996CE4"/>
    <w:rsid w:val="00996FF3"/>
    <w:rsid w:val="00997029"/>
    <w:rsid w:val="009974B3"/>
    <w:rsid w:val="009A1BEB"/>
    <w:rsid w:val="009A24EB"/>
    <w:rsid w:val="009A36A5"/>
    <w:rsid w:val="009A5D89"/>
    <w:rsid w:val="009A5DA0"/>
    <w:rsid w:val="009B1404"/>
    <w:rsid w:val="009B19F3"/>
    <w:rsid w:val="009C0AF5"/>
    <w:rsid w:val="009C1CBD"/>
    <w:rsid w:val="009C37DE"/>
    <w:rsid w:val="009C5725"/>
    <w:rsid w:val="009C7D9E"/>
    <w:rsid w:val="009D080A"/>
    <w:rsid w:val="009D1798"/>
    <w:rsid w:val="009D29CA"/>
    <w:rsid w:val="009D5134"/>
    <w:rsid w:val="009D5630"/>
    <w:rsid w:val="009D6CC9"/>
    <w:rsid w:val="009D744D"/>
    <w:rsid w:val="009E08A7"/>
    <w:rsid w:val="009E2704"/>
    <w:rsid w:val="009E2A01"/>
    <w:rsid w:val="009E41D4"/>
    <w:rsid w:val="009E5FA4"/>
    <w:rsid w:val="009E653D"/>
    <w:rsid w:val="009E6CAE"/>
    <w:rsid w:val="009E6D93"/>
    <w:rsid w:val="009F08DA"/>
    <w:rsid w:val="009F1BDA"/>
    <w:rsid w:val="009F1C17"/>
    <w:rsid w:val="009F1DA4"/>
    <w:rsid w:val="009F42E5"/>
    <w:rsid w:val="009F4FAC"/>
    <w:rsid w:val="009F54D2"/>
    <w:rsid w:val="009F5601"/>
    <w:rsid w:val="009F7FD3"/>
    <w:rsid w:val="00A05A8D"/>
    <w:rsid w:val="00A1102C"/>
    <w:rsid w:val="00A131C0"/>
    <w:rsid w:val="00A13663"/>
    <w:rsid w:val="00A13D26"/>
    <w:rsid w:val="00A154E5"/>
    <w:rsid w:val="00A172CE"/>
    <w:rsid w:val="00A2079B"/>
    <w:rsid w:val="00A27002"/>
    <w:rsid w:val="00A30A17"/>
    <w:rsid w:val="00A3158C"/>
    <w:rsid w:val="00A32725"/>
    <w:rsid w:val="00A32859"/>
    <w:rsid w:val="00A32CB6"/>
    <w:rsid w:val="00A33163"/>
    <w:rsid w:val="00A36691"/>
    <w:rsid w:val="00A37158"/>
    <w:rsid w:val="00A3789A"/>
    <w:rsid w:val="00A4004F"/>
    <w:rsid w:val="00A40688"/>
    <w:rsid w:val="00A41169"/>
    <w:rsid w:val="00A42358"/>
    <w:rsid w:val="00A479EC"/>
    <w:rsid w:val="00A51F88"/>
    <w:rsid w:val="00A539CF"/>
    <w:rsid w:val="00A53E1A"/>
    <w:rsid w:val="00A543E6"/>
    <w:rsid w:val="00A555BF"/>
    <w:rsid w:val="00A562A5"/>
    <w:rsid w:val="00A572E7"/>
    <w:rsid w:val="00A6182D"/>
    <w:rsid w:val="00A61F93"/>
    <w:rsid w:val="00A6255E"/>
    <w:rsid w:val="00A631DE"/>
    <w:rsid w:val="00A63DCE"/>
    <w:rsid w:val="00A64B17"/>
    <w:rsid w:val="00A6594D"/>
    <w:rsid w:val="00A65D03"/>
    <w:rsid w:val="00A65E7A"/>
    <w:rsid w:val="00A678D1"/>
    <w:rsid w:val="00A703BD"/>
    <w:rsid w:val="00A7216B"/>
    <w:rsid w:val="00A74EAF"/>
    <w:rsid w:val="00A822E5"/>
    <w:rsid w:val="00A824D1"/>
    <w:rsid w:val="00A8616B"/>
    <w:rsid w:val="00A87A2B"/>
    <w:rsid w:val="00A90602"/>
    <w:rsid w:val="00A907EC"/>
    <w:rsid w:val="00A943BE"/>
    <w:rsid w:val="00A95E3E"/>
    <w:rsid w:val="00A9647A"/>
    <w:rsid w:val="00AA1050"/>
    <w:rsid w:val="00AA13FE"/>
    <w:rsid w:val="00AA143F"/>
    <w:rsid w:val="00AA21B5"/>
    <w:rsid w:val="00AA2C2B"/>
    <w:rsid w:val="00AA4124"/>
    <w:rsid w:val="00AB4187"/>
    <w:rsid w:val="00AB4ED3"/>
    <w:rsid w:val="00AC5B8B"/>
    <w:rsid w:val="00AD1F9D"/>
    <w:rsid w:val="00AD394A"/>
    <w:rsid w:val="00AD5774"/>
    <w:rsid w:val="00AD5A87"/>
    <w:rsid w:val="00AD7294"/>
    <w:rsid w:val="00AE09C8"/>
    <w:rsid w:val="00AE0B0F"/>
    <w:rsid w:val="00AE11E2"/>
    <w:rsid w:val="00AE1269"/>
    <w:rsid w:val="00AE210A"/>
    <w:rsid w:val="00AE2487"/>
    <w:rsid w:val="00AE50C8"/>
    <w:rsid w:val="00AE55EA"/>
    <w:rsid w:val="00AE6818"/>
    <w:rsid w:val="00AE6CA2"/>
    <w:rsid w:val="00AF26CB"/>
    <w:rsid w:val="00AF486E"/>
    <w:rsid w:val="00AF69EA"/>
    <w:rsid w:val="00B008E5"/>
    <w:rsid w:val="00B00A69"/>
    <w:rsid w:val="00B00B26"/>
    <w:rsid w:val="00B01428"/>
    <w:rsid w:val="00B014AC"/>
    <w:rsid w:val="00B0154E"/>
    <w:rsid w:val="00B016FA"/>
    <w:rsid w:val="00B019C5"/>
    <w:rsid w:val="00B03403"/>
    <w:rsid w:val="00B05E19"/>
    <w:rsid w:val="00B07322"/>
    <w:rsid w:val="00B07D47"/>
    <w:rsid w:val="00B106B1"/>
    <w:rsid w:val="00B132A6"/>
    <w:rsid w:val="00B1338F"/>
    <w:rsid w:val="00B14434"/>
    <w:rsid w:val="00B14E1A"/>
    <w:rsid w:val="00B15E32"/>
    <w:rsid w:val="00B163AC"/>
    <w:rsid w:val="00B21A70"/>
    <w:rsid w:val="00B238C2"/>
    <w:rsid w:val="00B25037"/>
    <w:rsid w:val="00B26C86"/>
    <w:rsid w:val="00B2765B"/>
    <w:rsid w:val="00B3110B"/>
    <w:rsid w:val="00B31B6A"/>
    <w:rsid w:val="00B328D3"/>
    <w:rsid w:val="00B33773"/>
    <w:rsid w:val="00B35CFD"/>
    <w:rsid w:val="00B36A43"/>
    <w:rsid w:val="00B41F7E"/>
    <w:rsid w:val="00B42996"/>
    <w:rsid w:val="00B529A6"/>
    <w:rsid w:val="00B55689"/>
    <w:rsid w:val="00B5661A"/>
    <w:rsid w:val="00B57537"/>
    <w:rsid w:val="00B60FC5"/>
    <w:rsid w:val="00B62426"/>
    <w:rsid w:val="00B677F9"/>
    <w:rsid w:val="00B678DA"/>
    <w:rsid w:val="00B67F76"/>
    <w:rsid w:val="00B70B65"/>
    <w:rsid w:val="00B7118B"/>
    <w:rsid w:val="00B71FB6"/>
    <w:rsid w:val="00B7212E"/>
    <w:rsid w:val="00B72610"/>
    <w:rsid w:val="00B74DDA"/>
    <w:rsid w:val="00B8140A"/>
    <w:rsid w:val="00B81526"/>
    <w:rsid w:val="00B821A3"/>
    <w:rsid w:val="00B84D1C"/>
    <w:rsid w:val="00B85249"/>
    <w:rsid w:val="00B87C3F"/>
    <w:rsid w:val="00B90074"/>
    <w:rsid w:val="00B92BBA"/>
    <w:rsid w:val="00B95956"/>
    <w:rsid w:val="00B97CC7"/>
    <w:rsid w:val="00BA0175"/>
    <w:rsid w:val="00BA10BE"/>
    <w:rsid w:val="00BA12BC"/>
    <w:rsid w:val="00BA2306"/>
    <w:rsid w:val="00BA258E"/>
    <w:rsid w:val="00BA2673"/>
    <w:rsid w:val="00BA40F4"/>
    <w:rsid w:val="00BA6903"/>
    <w:rsid w:val="00BA79E8"/>
    <w:rsid w:val="00BB05CF"/>
    <w:rsid w:val="00BB0741"/>
    <w:rsid w:val="00BB1570"/>
    <w:rsid w:val="00BB159D"/>
    <w:rsid w:val="00BB241E"/>
    <w:rsid w:val="00BB27B0"/>
    <w:rsid w:val="00BB5476"/>
    <w:rsid w:val="00BB71D4"/>
    <w:rsid w:val="00BB7926"/>
    <w:rsid w:val="00BC0388"/>
    <w:rsid w:val="00BC095A"/>
    <w:rsid w:val="00BC1AAE"/>
    <w:rsid w:val="00BC3B74"/>
    <w:rsid w:val="00BC7C25"/>
    <w:rsid w:val="00BD029A"/>
    <w:rsid w:val="00BD1D4E"/>
    <w:rsid w:val="00BD4D74"/>
    <w:rsid w:val="00BD6D74"/>
    <w:rsid w:val="00BE060C"/>
    <w:rsid w:val="00BE0B99"/>
    <w:rsid w:val="00BE121F"/>
    <w:rsid w:val="00BE1662"/>
    <w:rsid w:val="00BE32CE"/>
    <w:rsid w:val="00BE6549"/>
    <w:rsid w:val="00BF0930"/>
    <w:rsid w:val="00BF0A70"/>
    <w:rsid w:val="00BF1A1A"/>
    <w:rsid w:val="00BF3FC8"/>
    <w:rsid w:val="00C014A3"/>
    <w:rsid w:val="00C01897"/>
    <w:rsid w:val="00C01D5A"/>
    <w:rsid w:val="00C02B54"/>
    <w:rsid w:val="00C03834"/>
    <w:rsid w:val="00C039B8"/>
    <w:rsid w:val="00C044B7"/>
    <w:rsid w:val="00C0470B"/>
    <w:rsid w:val="00C04D69"/>
    <w:rsid w:val="00C05CFA"/>
    <w:rsid w:val="00C077B1"/>
    <w:rsid w:val="00C1098D"/>
    <w:rsid w:val="00C11656"/>
    <w:rsid w:val="00C12ACC"/>
    <w:rsid w:val="00C1305C"/>
    <w:rsid w:val="00C1320A"/>
    <w:rsid w:val="00C13444"/>
    <w:rsid w:val="00C149D8"/>
    <w:rsid w:val="00C15B42"/>
    <w:rsid w:val="00C21B6B"/>
    <w:rsid w:val="00C23B72"/>
    <w:rsid w:val="00C248C2"/>
    <w:rsid w:val="00C30317"/>
    <w:rsid w:val="00C30F80"/>
    <w:rsid w:val="00C316E3"/>
    <w:rsid w:val="00C32823"/>
    <w:rsid w:val="00C32D24"/>
    <w:rsid w:val="00C33236"/>
    <w:rsid w:val="00C34323"/>
    <w:rsid w:val="00C34F96"/>
    <w:rsid w:val="00C370C5"/>
    <w:rsid w:val="00C37650"/>
    <w:rsid w:val="00C41059"/>
    <w:rsid w:val="00C42B53"/>
    <w:rsid w:val="00C42FA4"/>
    <w:rsid w:val="00C43641"/>
    <w:rsid w:val="00C44EAA"/>
    <w:rsid w:val="00C54017"/>
    <w:rsid w:val="00C55FF4"/>
    <w:rsid w:val="00C5611B"/>
    <w:rsid w:val="00C61B0C"/>
    <w:rsid w:val="00C61C7A"/>
    <w:rsid w:val="00C63761"/>
    <w:rsid w:val="00C6517F"/>
    <w:rsid w:val="00C658C2"/>
    <w:rsid w:val="00C666BD"/>
    <w:rsid w:val="00C67D5C"/>
    <w:rsid w:val="00C70786"/>
    <w:rsid w:val="00C71C61"/>
    <w:rsid w:val="00C723D4"/>
    <w:rsid w:val="00C72641"/>
    <w:rsid w:val="00C736BE"/>
    <w:rsid w:val="00C74401"/>
    <w:rsid w:val="00C75179"/>
    <w:rsid w:val="00C7684D"/>
    <w:rsid w:val="00C76ECA"/>
    <w:rsid w:val="00C80AAA"/>
    <w:rsid w:val="00C8139E"/>
    <w:rsid w:val="00C8152C"/>
    <w:rsid w:val="00C81690"/>
    <w:rsid w:val="00C8286B"/>
    <w:rsid w:val="00C83070"/>
    <w:rsid w:val="00C8329D"/>
    <w:rsid w:val="00C83E0B"/>
    <w:rsid w:val="00C84887"/>
    <w:rsid w:val="00C84C41"/>
    <w:rsid w:val="00C87AE7"/>
    <w:rsid w:val="00C90A86"/>
    <w:rsid w:val="00C939FD"/>
    <w:rsid w:val="00C953C8"/>
    <w:rsid w:val="00C96497"/>
    <w:rsid w:val="00C967AB"/>
    <w:rsid w:val="00C97B68"/>
    <w:rsid w:val="00C97D87"/>
    <w:rsid w:val="00CA2806"/>
    <w:rsid w:val="00CA47AA"/>
    <w:rsid w:val="00CA5236"/>
    <w:rsid w:val="00CA52D9"/>
    <w:rsid w:val="00CA66B7"/>
    <w:rsid w:val="00CA71FA"/>
    <w:rsid w:val="00CB03CE"/>
    <w:rsid w:val="00CB1E80"/>
    <w:rsid w:val="00CB20AC"/>
    <w:rsid w:val="00CB27C3"/>
    <w:rsid w:val="00CB4F59"/>
    <w:rsid w:val="00CB5808"/>
    <w:rsid w:val="00CC4C8E"/>
    <w:rsid w:val="00CD00F1"/>
    <w:rsid w:val="00CD0978"/>
    <w:rsid w:val="00CD0A62"/>
    <w:rsid w:val="00CD1551"/>
    <w:rsid w:val="00CD2D74"/>
    <w:rsid w:val="00CD437F"/>
    <w:rsid w:val="00CD5505"/>
    <w:rsid w:val="00CD5EDE"/>
    <w:rsid w:val="00CE3F91"/>
    <w:rsid w:val="00CE687D"/>
    <w:rsid w:val="00CE79E3"/>
    <w:rsid w:val="00CF0EB5"/>
    <w:rsid w:val="00CF2DDE"/>
    <w:rsid w:val="00CF401A"/>
    <w:rsid w:val="00CF4484"/>
    <w:rsid w:val="00CF4792"/>
    <w:rsid w:val="00CF69D9"/>
    <w:rsid w:val="00CF7DD2"/>
    <w:rsid w:val="00D000D4"/>
    <w:rsid w:val="00D00C8B"/>
    <w:rsid w:val="00D02EA7"/>
    <w:rsid w:val="00D03B4C"/>
    <w:rsid w:val="00D05653"/>
    <w:rsid w:val="00D0671F"/>
    <w:rsid w:val="00D07AD2"/>
    <w:rsid w:val="00D10DD6"/>
    <w:rsid w:val="00D11811"/>
    <w:rsid w:val="00D14149"/>
    <w:rsid w:val="00D15296"/>
    <w:rsid w:val="00D15A21"/>
    <w:rsid w:val="00D16469"/>
    <w:rsid w:val="00D172F3"/>
    <w:rsid w:val="00D17F3E"/>
    <w:rsid w:val="00D2029D"/>
    <w:rsid w:val="00D22938"/>
    <w:rsid w:val="00D23282"/>
    <w:rsid w:val="00D307BD"/>
    <w:rsid w:val="00D31BC8"/>
    <w:rsid w:val="00D3433B"/>
    <w:rsid w:val="00D348A1"/>
    <w:rsid w:val="00D368E5"/>
    <w:rsid w:val="00D3718F"/>
    <w:rsid w:val="00D4151E"/>
    <w:rsid w:val="00D442B1"/>
    <w:rsid w:val="00D4464F"/>
    <w:rsid w:val="00D46DE3"/>
    <w:rsid w:val="00D514E1"/>
    <w:rsid w:val="00D52385"/>
    <w:rsid w:val="00D53357"/>
    <w:rsid w:val="00D55123"/>
    <w:rsid w:val="00D55659"/>
    <w:rsid w:val="00D57B03"/>
    <w:rsid w:val="00D63417"/>
    <w:rsid w:val="00D6380B"/>
    <w:rsid w:val="00D63DA5"/>
    <w:rsid w:val="00D64B62"/>
    <w:rsid w:val="00D65B7E"/>
    <w:rsid w:val="00D7006C"/>
    <w:rsid w:val="00D709CD"/>
    <w:rsid w:val="00D70F74"/>
    <w:rsid w:val="00D7171B"/>
    <w:rsid w:val="00D71D87"/>
    <w:rsid w:val="00D735F6"/>
    <w:rsid w:val="00D740B3"/>
    <w:rsid w:val="00D7641C"/>
    <w:rsid w:val="00D76514"/>
    <w:rsid w:val="00D7776B"/>
    <w:rsid w:val="00D8241F"/>
    <w:rsid w:val="00D82EE1"/>
    <w:rsid w:val="00D83142"/>
    <w:rsid w:val="00D86722"/>
    <w:rsid w:val="00D86D67"/>
    <w:rsid w:val="00D86F2F"/>
    <w:rsid w:val="00D911D1"/>
    <w:rsid w:val="00D919EB"/>
    <w:rsid w:val="00D91B1E"/>
    <w:rsid w:val="00D957A3"/>
    <w:rsid w:val="00D96702"/>
    <w:rsid w:val="00D96804"/>
    <w:rsid w:val="00D97710"/>
    <w:rsid w:val="00DA0677"/>
    <w:rsid w:val="00DA2753"/>
    <w:rsid w:val="00DA3D2E"/>
    <w:rsid w:val="00DB070B"/>
    <w:rsid w:val="00DB1CF2"/>
    <w:rsid w:val="00DB2BEC"/>
    <w:rsid w:val="00DB33FA"/>
    <w:rsid w:val="00DB412D"/>
    <w:rsid w:val="00DB6676"/>
    <w:rsid w:val="00DC352B"/>
    <w:rsid w:val="00DC568A"/>
    <w:rsid w:val="00DC56BB"/>
    <w:rsid w:val="00DC7991"/>
    <w:rsid w:val="00DD0A7C"/>
    <w:rsid w:val="00DD3987"/>
    <w:rsid w:val="00DD3E67"/>
    <w:rsid w:val="00DD427B"/>
    <w:rsid w:val="00DD4FEB"/>
    <w:rsid w:val="00DD562A"/>
    <w:rsid w:val="00DE0404"/>
    <w:rsid w:val="00DE046E"/>
    <w:rsid w:val="00DE106D"/>
    <w:rsid w:val="00DE27C9"/>
    <w:rsid w:val="00DE3E8F"/>
    <w:rsid w:val="00DE55DE"/>
    <w:rsid w:val="00DE58DE"/>
    <w:rsid w:val="00DE6916"/>
    <w:rsid w:val="00DF0862"/>
    <w:rsid w:val="00DF31CF"/>
    <w:rsid w:val="00DF3AFB"/>
    <w:rsid w:val="00DF671E"/>
    <w:rsid w:val="00DF7B29"/>
    <w:rsid w:val="00E00523"/>
    <w:rsid w:val="00E0054F"/>
    <w:rsid w:val="00E0227F"/>
    <w:rsid w:val="00E02D9A"/>
    <w:rsid w:val="00E04160"/>
    <w:rsid w:val="00E05B55"/>
    <w:rsid w:val="00E05D64"/>
    <w:rsid w:val="00E06462"/>
    <w:rsid w:val="00E07529"/>
    <w:rsid w:val="00E07CE0"/>
    <w:rsid w:val="00E117D6"/>
    <w:rsid w:val="00E117DF"/>
    <w:rsid w:val="00E13418"/>
    <w:rsid w:val="00E136A9"/>
    <w:rsid w:val="00E13BAF"/>
    <w:rsid w:val="00E145E1"/>
    <w:rsid w:val="00E1462F"/>
    <w:rsid w:val="00E16327"/>
    <w:rsid w:val="00E16417"/>
    <w:rsid w:val="00E16AFB"/>
    <w:rsid w:val="00E21BBE"/>
    <w:rsid w:val="00E23717"/>
    <w:rsid w:val="00E24085"/>
    <w:rsid w:val="00E25AEB"/>
    <w:rsid w:val="00E25B1B"/>
    <w:rsid w:val="00E274C7"/>
    <w:rsid w:val="00E30736"/>
    <w:rsid w:val="00E30C95"/>
    <w:rsid w:val="00E30CBC"/>
    <w:rsid w:val="00E31522"/>
    <w:rsid w:val="00E3456A"/>
    <w:rsid w:val="00E357B9"/>
    <w:rsid w:val="00E35F19"/>
    <w:rsid w:val="00E411E4"/>
    <w:rsid w:val="00E41574"/>
    <w:rsid w:val="00E423ED"/>
    <w:rsid w:val="00E426E6"/>
    <w:rsid w:val="00E428BF"/>
    <w:rsid w:val="00E43443"/>
    <w:rsid w:val="00E44957"/>
    <w:rsid w:val="00E45DD2"/>
    <w:rsid w:val="00E47447"/>
    <w:rsid w:val="00E47B98"/>
    <w:rsid w:val="00E51258"/>
    <w:rsid w:val="00E53360"/>
    <w:rsid w:val="00E54293"/>
    <w:rsid w:val="00E60162"/>
    <w:rsid w:val="00E60D19"/>
    <w:rsid w:val="00E621ED"/>
    <w:rsid w:val="00E652B3"/>
    <w:rsid w:val="00E652BC"/>
    <w:rsid w:val="00E65D07"/>
    <w:rsid w:val="00E7152E"/>
    <w:rsid w:val="00E72A18"/>
    <w:rsid w:val="00E739B9"/>
    <w:rsid w:val="00E73C7E"/>
    <w:rsid w:val="00E73FA9"/>
    <w:rsid w:val="00E75209"/>
    <w:rsid w:val="00E75D56"/>
    <w:rsid w:val="00E82346"/>
    <w:rsid w:val="00E84A9B"/>
    <w:rsid w:val="00E87BD5"/>
    <w:rsid w:val="00E87C40"/>
    <w:rsid w:val="00E91C14"/>
    <w:rsid w:val="00E92BE5"/>
    <w:rsid w:val="00E92E3E"/>
    <w:rsid w:val="00E949B9"/>
    <w:rsid w:val="00E949D3"/>
    <w:rsid w:val="00E94E13"/>
    <w:rsid w:val="00E95361"/>
    <w:rsid w:val="00E96AE1"/>
    <w:rsid w:val="00E977D3"/>
    <w:rsid w:val="00EA2027"/>
    <w:rsid w:val="00EA658C"/>
    <w:rsid w:val="00EA6AF7"/>
    <w:rsid w:val="00EA6F9D"/>
    <w:rsid w:val="00EA7469"/>
    <w:rsid w:val="00EA7AD4"/>
    <w:rsid w:val="00EB2CAA"/>
    <w:rsid w:val="00EB73A3"/>
    <w:rsid w:val="00EC1F8B"/>
    <w:rsid w:val="00EC20A1"/>
    <w:rsid w:val="00EC2C47"/>
    <w:rsid w:val="00EC31EF"/>
    <w:rsid w:val="00EC406D"/>
    <w:rsid w:val="00EC6ED2"/>
    <w:rsid w:val="00ED18DC"/>
    <w:rsid w:val="00ED3965"/>
    <w:rsid w:val="00ED3FB3"/>
    <w:rsid w:val="00ED4CDF"/>
    <w:rsid w:val="00ED6D77"/>
    <w:rsid w:val="00ED724C"/>
    <w:rsid w:val="00ED7384"/>
    <w:rsid w:val="00ED7B4E"/>
    <w:rsid w:val="00EE08D2"/>
    <w:rsid w:val="00EE3D0E"/>
    <w:rsid w:val="00EE3EC0"/>
    <w:rsid w:val="00EE50C2"/>
    <w:rsid w:val="00EE55AB"/>
    <w:rsid w:val="00EE6D57"/>
    <w:rsid w:val="00EE7450"/>
    <w:rsid w:val="00EE7AC9"/>
    <w:rsid w:val="00EF1A8C"/>
    <w:rsid w:val="00EF4B70"/>
    <w:rsid w:val="00EF4D9A"/>
    <w:rsid w:val="00EF5BFA"/>
    <w:rsid w:val="00EF60A4"/>
    <w:rsid w:val="00F00E72"/>
    <w:rsid w:val="00F0249F"/>
    <w:rsid w:val="00F049B7"/>
    <w:rsid w:val="00F066C9"/>
    <w:rsid w:val="00F10CAD"/>
    <w:rsid w:val="00F111AD"/>
    <w:rsid w:val="00F112B4"/>
    <w:rsid w:val="00F11595"/>
    <w:rsid w:val="00F116E4"/>
    <w:rsid w:val="00F13B31"/>
    <w:rsid w:val="00F1426B"/>
    <w:rsid w:val="00F155F7"/>
    <w:rsid w:val="00F21ECC"/>
    <w:rsid w:val="00F22231"/>
    <w:rsid w:val="00F238C8"/>
    <w:rsid w:val="00F23D68"/>
    <w:rsid w:val="00F24C7D"/>
    <w:rsid w:val="00F25E22"/>
    <w:rsid w:val="00F30968"/>
    <w:rsid w:val="00F30979"/>
    <w:rsid w:val="00F30FB8"/>
    <w:rsid w:val="00F319E9"/>
    <w:rsid w:val="00F341A8"/>
    <w:rsid w:val="00F34571"/>
    <w:rsid w:val="00F371A9"/>
    <w:rsid w:val="00F42EEA"/>
    <w:rsid w:val="00F430E9"/>
    <w:rsid w:val="00F45022"/>
    <w:rsid w:val="00F50988"/>
    <w:rsid w:val="00F50CF5"/>
    <w:rsid w:val="00F51DBF"/>
    <w:rsid w:val="00F52C1B"/>
    <w:rsid w:val="00F5435F"/>
    <w:rsid w:val="00F57D94"/>
    <w:rsid w:val="00F57EE1"/>
    <w:rsid w:val="00F60FB4"/>
    <w:rsid w:val="00F613B3"/>
    <w:rsid w:val="00F61FF0"/>
    <w:rsid w:val="00F63443"/>
    <w:rsid w:val="00F63CA7"/>
    <w:rsid w:val="00F6591E"/>
    <w:rsid w:val="00F669BE"/>
    <w:rsid w:val="00F67CCE"/>
    <w:rsid w:val="00F72361"/>
    <w:rsid w:val="00F72613"/>
    <w:rsid w:val="00F7385E"/>
    <w:rsid w:val="00F73DFD"/>
    <w:rsid w:val="00F74119"/>
    <w:rsid w:val="00F7523C"/>
    <w:rsid w:val="00F75849"/>
    <w:rsid w:val="00F76804"/>
    <w:rsid w:val="00F76FF1"/>
    <w:rsid w:val="00F77B02"/>
    <w:rsid w:val="00F77B4D"/>
    <w:rsid w:val="00F8023F"/>
    <w:rsid w:val="00F80767"/>
    <w:rsid w:val="00F80962"/>
    <w:rsid w:val="00F811B5"/>
    <w:rsid w:val="00F82C7F"/>
    <w:rsid w:val="00F84F01"/>
    <w:rsid w:val="00F9102A"/>
    <w:rsid w:val="00F9109D"/>
    <w:rsid w:val="00F910AA"/>
    <w:rsid w:val="00F94FC9"/>
    <w:rsid w:val="00F96D25"/>
    <w:rsid w:val="00FA1802"/>
    <w:rsid w:val="00FA1996"/>
    <w:rsid w:val="00FA24E8"/>
    <w:rsid w:val="00FA40AA"/>
    <w:rsid w:val="00FA42A5"/>
    <w:rsid w:val="00FA4F21"/>
    <w:rsid w:val="00FA6430"/>
    <w:rsid w:val="00FA750A"/>
    <w:rsid w:val="00FA7B46"/>
    <w:rsid w:val="00FB07D6"/>
    <w:rsid w:val="00FB0822"/>
    <w:rsid w:val="00FB1FCE"/>
    <w:rsid w:val="00FB743C"/>
    <w:rsid w:val="00FC038C"/>
    <w:rsid w:val="00FC3785"/>
    <w:rsid w:val="00FC6327"/>
    <w:rsid w:val="00FC7B9A"/>
    <w:rsid w:val="00FC7D07"/>
    <w:rsid w:val="00FD08B9"/>
    <w:rsid w:val="00FD170C"/>
    <w:rsid w:val="00FD26F4"/>
    <w:rsid w:val="00FD4348"/>
    <w:rsid w:val="00FD6700"/>
    <w:rsid w:val="00FD69C0"/>
    <w:rsid w:val="00FD6F54"/>
    <w:rsid w:val="00FD7680"/>
    <w:rsid w:val="00FD78FD"/>
    <w:rsid w:val="00FE1C2F"/>
    <w:rsid w:val="00FE33C9"/>
    <w:rsid w:val="00FE6E47"/>
    <w:rsid w:val="00FE758A"/>
    <w:rsid w:val="00FF1353"/>
    <w:rsid w:val="00FF196B"/>
    <w:rsid w:val="00FF4A47"/>
    <w:rsid w:val="00FF4F4A"/>
    <w:rsid w:val="00FF5519"/>
    <w:rsid w:val="00FF562D"/>
    <w:rsid w:val="00FF7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C"/>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B01"/>
    <w:pPr>
      <w:tabs>
        <w:tab w:val="center" w:pos="4513"/>
        <w:tab w:val="right" w:pos="9026"/>
      </w:tabs>
      <w:overflowPunct/>
      <w:autoSpaceDE/>
      <w:autoSpaceDN/>
      <w:adjustRightInd/>
      <w:textAlignment w:val="auto"/>
    </w:pPr>
    <w:rPr>
      <w:szCs w:val="24"/>
    </w:rPr>
  </w:style>
  <w:style w:type="character" w:customStyle="1" w:styleId="HeaderChar">
    <w:name w:val="Header Char"/>
    <w:basedOn w:val="DefaultParagraphFont"/>
    <w:link w:val="Header"/>
    <w:uiPriority w:val="99"/>
    <w:rsid w:val="00523B01"/>
    <w:rPr>
      <w:sz w:val="24"/>
      <w:szCs w:val="24"/>
      <w:lang w:eastAsia="en-US"/>
    </w:rPr>
  </w:style>
  <w:style w:type="character" w:styleId="Hyperlink">
    <w:name w:val="Hyperlink"/>
    <w:basedOn w:val="DefaultParagraphFont"/>
    <w:uiPriority w:val="99"/>
    <w:unhideWhenUsed/>
    <w:rsid w:val="00523B01"/>
    <w:rPr>
      <w:color w:val="0000FF"/>
      <w:u w:val="single"/>
    </w:rPr>
  </w:style>
  <w:style w:type="paragraph" w:styleId="ListParagraph">
    <w:name w:val="List Paragraph"/>
    <w:basedOn w:val="Normal"/>
    <w:link w:val="ListParagraphChar"/>
    <w:uiPriority w:val="34"/>
    <w:qFormat/>
    <w:rsid w:val="002F60BC"/>
    <w:pPr>
      <w:ind w:left="720"/>
      <w:contextualSpacing/>
    </w:pPr>
  </w:style>
  <w:style w:type="character" w:styleId="CommentReference">
    <w:name w:val="annotation reference"/>
    <w:basedOn w:val="DefaultParagraphFont"/>
    <w:uiPriority w:val="99"/>
    <w:semiHidden/>
    <w:unhideWhenUsed/>
    <w:rsid w:val="00E02D9A"/>
    <w:rPr>
      <w:sz w:val="16"/>
      <w:szCs w:val="16"/>
    </w:rPr>
  </w:style>
  <w:style w:type="paragraph" w:styleId="CommentText">
    <w:name w:val="annotation text"/>
    <w:basedOn w:val="Normal"/>
    <w:link w:val="CommentTextChar"/>
    <w:uiPriority w:val="99"/>
    <w:semiHidden/>
    <w:unhideWhenUsed/>
    <w:rsid w:val="00E02D9A"/>
    <w:rPr>
      <w:sz w:val="20"/>
    </w:rPr>
  </w:style>
  <w:style w:type="character" w:customStyle="1" w:styleId="CommentTextChar">
    <w:name w:val="Comment Text Char"/>
    <w:basedOn w:val="DefaultParagraphFont"/>
    <w:link w:val="CommentText"/>
    <w:uiPriority w:val="99"/>
    <w:semiHidden/>
    <w:rsid w:val="00E02D9A"/>
    <w:rPr>
      <w:lang w:eastAsia="en-US"/>
    </w:rPr>
  </w:style>
  <w:style w:type="paragraph" w:styleId="CommentSubject">
    <w:name w:val="annotation subject"/>
    <w:basedOn w:val="CommentText"/>
    <w:next w:val="CommentText"/>
    <w:link w:val="CommentSubjectChar"/>
    <w:uiPriority w:val="99"/>
    <w:semiHidden/>
    <w:unhideWhenUsed/>
    <w:rsid w:val="00E02D9A"/>
    <w:rPr>
      <w:b/>
      <w:bCs/>
    </w:rPr>
  </w:style>
  <w:style w:type="character" w:customStyle="1" w:styleId="CommentSubjectChar">
    <w:name w:val="Comment Subject Char"/>
    <w:basedOn w:val="CommentTextChar"/>
    <w:link w:val="CommentSubject"/>
    <w:uiPriority w:val="99"/>
    <w:semiHidden/>
    <w:rsid w:val="00E02D9A"/>
    <w:rPr>
      <w:b/>
      <w:bCs/>
    </w:rPr>
  </w:style>
  <w:style w:type="paragraph" w:styleId="BalloonText">
    <w:name w:val="Balloon Text"/>
    <w:basedOn w:val="Normal"/>
    <w:link w:val="BalloonTextChar"/>
    <w:uiPriority w:val="99"/>
    <w:semiHidden/>
    <w:unhideWhenUsed/>
    <w:rsid w:val="00E02D9A"/>
    <w:rPr>
      <w:rFonts w:ascii="Tahoma" w:hAnsi="Tahoma" w:cs="Tahoma"/>
      <w:sz w:val="16"/>
      <w:szCs w:val="16"/>
    </w:rPr>
  </w:style>
  <w:style w:type="character" w:customStyle="1" w:styleId="BalloonTextChar">
    <w:name w:val="Balloon Text Char"/>
    <w:basedOn w:val="DefaultParagraphFont"/>
    <w:link w:val="BalloonText"/>
    <w:uiPriority w:val="99"/>
    <w:semiHidden/>
    <w:rsid w:val="00E02D9A"/>
    <w:rPr>
      <w:rFonts w:ascii="Tahoma" w:hAnsi="Tahoma" w:cs="Tahoma"/>
      <w:sz w:val="16"/>
      <w:szCs w:val="16"/>
      <w:lang w:eastAsia="en-US"/>
    </w:rPr>
  </w:style>
  <w:style w:type="paragraph" w:styleId="Revision">
    <w:name w:val="Revision"/>
    <w:hidden/>
    <w:uiPriority w:val="99"/>
    <w:semiHidden/>
    <w:rsid w:val="00C5611B"/>
    <w:rPr>
      <w:sz w:val="24"/>
      <w:lang w:eastAsia="en-US"/>
    </w:rPr>
  </w:style>
  <w:style w:type="paragraph" w:styleId="NormalWeb">
    <w:name w:val="Normal (Web)"/>
    <w:basedOn w:val="Normal"/>
    <w:uiPriority w:val="99"/>
    <w:semiHidden/>
    <w:unhideWhenUsed/>
    <w:rsid w:val="00FB07D6"/>
    <w:rPr>
      <w:szCs w:val="24"/>
    </w:rPr>
  </w:style>
  <w:style w:type="paragraph" w:customStyle="1" w:styleId="ListC">
    <w:name w:val="ListC"/>
    <w:rsid w:val="00947485"/>
    <w:pPr>
      <w:widowControl w:val="0"/>
      <w:autoSpaceDE w:val="0"/>
      <w:autoSpaceDN w:val="0"/>
      <w:adjustRightInd w:val="0"/>
      <w:spacing w:before="120" w:after="120"/>
      <w:ind w:left="1418" w:hanging="567"/>
    </w:pPr>
    <w:rPr>
      <w:sz w:val="24"/>
      <w:szCs w:val="24"/>
      <w:lang w:val="en-US" w:eastAsia="en-US"/>
    </w:rPr>
  </w:style>
  <w:style w:type="paragraph" w:customStyle="1" w:styleId="Style1">
    <w:name w:val="Style1"/>
    <w:basedOn w:val="Normal"/>
    <w:link w:val="Style1Char"/>
    <w:qFormat/>
    <w:rsid w:val="004F19BA"/>
    <w:pPr>
      <w:ind w:left="2268" w:hanging="567"/>
    </w:pPr>
  </w:style>
  <w:style w:type="paragraph" w:customStyle="1" w:styleId="Style2">
    <w:name w:val="Style2"/>
    <w:basedOn w:val="Normal"/>
    <w:link w:val="Style2Char"/>
    <w:qFormat/>
    <w:rsid w:val="00EB73A3"/>
    <w:pPr>
      <w:ind w:left="1701"/>
    </w:pPr>
  </w:style>
  <w:style w:type="character" w:customStyle="1" w:styleId="Style1Char">
    <w:name w:val="Style1 Char"/>
    <w:basedOn w:val="DefaultParagraphFont"/>
    <w:link w:val="Style1"/>
    <w:rsid w:val="004F19BA"/>
    <w:rPr>
      <w:sz w:val="24"/>
      <w:lang w:eastAsia="en-US"/>
    </w:rPr>
  </w:style>
  <w:style w:type="character" w:customStyle="1" w:styleId="Style2Char">
    <w:name w:val="Style2 Char"/>
    <w:basedOn w:val="DefaultParagraphFont"/>
    <w:link w:val="Style2"/>
    <w:rsid w:val="00EB73A3"/>
    <w:rPr>
      <w:sz w:val="24"/>
      <w:lang w:eastAsia="en-US"/>
    </w:rPr>
  </w:style>
  <w:style w:type="paragraph" w:styleId="NoSpacing">
    <w:name w:val="No Spacing"/>
    <w:uiPriority w:val="1"/>
    <w:qFormat/>
    <w:rsid w:val="00B87C3F"/>
    <w:pPr>
      <w:overflowPunct w:val="0"/>
      <w:autoSpaceDE w:val="0"/>
      <w:autoSpaceDN w:val="0"/>
      <w:adjustRightInd w:val="0"/>
      <w:textAlignment w:val="baseline"/>
    </w:pPr>
    <w:rPr>
      <w:sz w:val="24"/>
      <w:lang w:eastAsia="en-US"/>
    </w:rPr>
  </w:style>
  <w:style w:type="paragraph" w:customStyle="1" w:styleId="Style3">
    <w:name w:val="Style3"/>
    <w:basedOn w:val="Normal"/>
    <w:link w:val="Style3Char"/>
    <w:qFormat/>
    <w:rsid w:val="00537A2C"/>
    <w:pPr>
      <w:ind w:left="1134" w:hanging="567"/>
    </w:pPr>
  </w:style>
  <w:style w:type="paragraph" w:customStyle="1" w:styleId="Style4">
    <w:name w:val="Style4"/>
    <w:basedOn w:val="Normal"/>
    <w:link w:val="Style4Char"/>
    <w:qFormat/>
    <w:rsid w:val="00F77B02"/>
    <w:pPr>
      <w:ind w:left="1701" w:hanging="567"/>
    </w:pPr>
  </w:style>
  <w:style w:type="character" w:customStyle="1" w:styleId="Style3Char">
    <w:name w:val="Style3 Char"/>
    <w:basedOn w:val="DefaultParagraphFont"/>
    <w:link w:val="Style3"/>
    <w:rsid w:val="00537A2C"/>
    <w:rPr>
      <w:sz w:val="24"/>
      <w:lang w:eastAsia="en-US"/>
    </w:rPr>
  </w:style>
  <w:style w:type="character" w:customStyle="1" w:styleId="Style4Char">
    <w:name w:val="Style4 Char"/>
    <w:basedOn w:val="DefaultParagraphFont"/>
    <w:link w:val="Style4"/>
    <w:rsid w:val="00F77B02"/>
    <w:rPr>
      <w:sz w:val="24"/>
      <w:lang w:eastAsia="en-US"/>
    </w:rPr>
  </w:style>
  <w:style w:type="paragraph" w:styleId="Footer">
    <w:name w:val="footer"/>
    <w:basedOn w:val="Normal"/>
    <w:link w:val="FooterChar"/>
    <w:uiPriority w:val="99"/>
    <w:semiHidden/>
    <w:unhideWhenUsed/>
    <w:rsid w:val="004F156F"/>
    <w:pPr>
      <w:tabs>
        <w:tab w:val="center" w:pos="4513"/>
        <w:tab w:val="right" w:pos="9026"/>
      </w:tabs>
    </w:pPr>
  </w:style>
  <w:style w:type="character" w:customStyle="1" w:styleId="FooterChar">
    <w:name w:val="Footer Char"/>
    <w:basedOn w:val="DefaultParagraphFont"/>
    <w:link w:val="Footer"/>
    <w:uiPriority w:val="99"/>
    <w:semiHidden/>
    <w:rsid w:val="004F156F"/>
    <w:rPr>
      <w:sz w:val="24"/>
      <w:lang w:eastAsia="en-US"/>
    </w:rPr>
  </w:style>
  <w:style w:type="paragraph" w:customStyle="1" w:styleId="Style5">
    <w:name w:val="Style5"/>
    <w:basedOn w:val="Style2"/>
    <w:link w:val="Style5Char"/>
    <w:qFormat/>
    <w:rsid w:val="00EB73A3"/>
    <w:pPr>
      <w:ind w:left="2268" w:hanging="567"/>
    </w:pPr>
  </w:style>
  <w:style w:type="paragraph" w:customStyle="1" w:styleId="Style6">
    <w:name w:val="Style6"/>
    <w:basedOn w:val="ListParagraph"/>
    <w:link w:val="Style6Char"/>
    <w:qFormat/>
    <w:rsid w:val="00EB73A3"/>
    <w:pPr>
      <w:ind w:left="2835" w:hanging="567"/>
    </w:pPr>
  </w:style>
  <w:style w:type="character" w:customStyle="1" w:styleId="Style5Char">
    <w:name w:val="Style5 Char"/>
    <w:basedOn w:val="Style2Char"/>
    <w:link w:val="Style5"/>
    <w:rsid w:val="00EB73A3"/>
  </w:style>
  <w:style w:type="character" w:customStyle="1" w:styleId="ListParagraphChar">
    <w:name w:val="List Paragraph Char"/>
    <w:basedOn w:val="DefaultParagraphFont"/>
    <w:link w:val="ListParagraph"/>
    <w:uiPriority w:val="34"/>
    <w:rsid w:val="00EB73A3"/>
    <w:rPr>
      <w:sz w:val="24"/>
      <w:lang w:eastAsia="en-US"/>
    </w:rPr>
  </w:style>
  <w:style w:type="character" w:customStyle="1" w:styleId="Style6Char">
    <w:name w:val="Style6 Char"/>
    <w:basedOn w:val="ListParagraphChar"/>
    <w:link w:val="Style6"/>
    <w:rsid w:val="00EB73A3"/>
  </w:style>
  <w:style w:type="paragraph" w:customStyle="1" w:styleId="Style7">
    <w:name w:val="Style7"/>
    <w:basedOn w:val="Normal"/>
    <w:link w:val="Style7Char"/>
    <w:qFormat/>
    <w:rsid w:val="00BE0B99"/>
    <w:pPr>
      <w:ind w:left="1134" w:hanging="567"/>
    </w:pPr>
  </w:style>
  <w:style w:type="paragraph" w:customStyle="1" w:styleId="ListB">
    <w:name w:val="ListB"/>
    <w:link w:val="ListBChar"/>
    <w:rsid w:val="00CD00F1"/>
    <w:pPr>
      <w:widowControl w:val="0"/>
      <w:autoSpaceDE w:val="0"/>
      <w:autoSpaceDN w:val="0"/>
      <w:adjustRightInd w:val="0"/>
      <w:ind w:left="1440" w:hanging="720"/>
    </w:pPr>
    <w:rPr>
      <w:sz w:val="24"/>
      <w:szCs w:val="24"/>
      <w:lang w:val="en-US" w:eastAsia="en-US"/>
    </w:rPr>
  </w:style>
  <w:style w:type="character" w:customStyle="1" w:styleId="Style7Char">
    <w:name w:val="Style7 Char"/>
    <w:basedOn w:val="DefaultParagraphFont"/>
    <w:link w:val="Style7"/>
    <w:rsid w:val="00BE0B99"/>
    <w:rPr>
      <w:sz w:val="24"/>
      <w:lang w:eastAsia="en-US"/>
    </w:rPr>
  </w:style>
  <w:style w:type="character" w:customStyle="1" w:styleId="ListBChar">
    <w:name w:val="ListB Char"/>
    <w:basedOn w:val="DefaultParagraphFont"/>
    <w:link w:val="ListB"/>
    <w:rsid w:val="00CD00F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211269">
      <w:bodyDiv w:val="1"/>
      <w:marLeft w:val="0"/>
      <w:marRight w:val="0"/>
      <w:marTop w:val="0"/>
      <w:marBottom w:val="0"/>
      <w:divBdr>
        <w:top w:val="none" w:sz="0" w:space="0" w:color="auto"/>
        <w:left w:val="none" w:sz="0" w:space="0" w:color="auto"/>
        <w:bottom w:val="none" w:sz="0" w:space="0" w:color="auto"/>
        <w:right w:val="none" w:sz="0" w:space="0" w:color="auto"/>
      </w:divBdr>
      <w:divsChild>
        <w:div w:id="1682197726">
          <w:marLeft w:val="0"/>
          <w:marRight w:val="0"/>
          <w:marTop w:val="0"/>
          <w:marBottom w:val="0"/>
          <w:divBdr>
            <w:top w:val="none" w:sz="0" w:space="0" w:color="auto"/>
            <w:left w:val="none" w:sz="0" w:space="0" w:color="auto"/>
            <w:bottom w:val="none" w:sz="0" w:space="0" w:color="auto"/>
            <w:right w:val="none" w:sz="0" w:space="0" w:color="auto"/>
          </w:divBdr>
          <w:divsChild>
            <w:div w:id="203520581">
              <w:marLeft w:val="45"/>
              <w:marRight w:val="0"/>
              <w:marTop w:val="75"/>
              <w:marBottom w:val="90"/>
              <w:divBdr>
                <w:top w:val="none" w:sz="0" w:space="0" w:color="auto"/>
                <w:left w:val="none" w:sz="0" w:space="0" w:color="auto"/>
                <w:bottom w:val="none" w:sz="0" w:space="0" w:color="auto"/>
                <w:right w:val="none" w:sz="0" w:space="0" w:color="auto"/>
              </w:divBdr>
            </w:div>
          </w:divsChild>
        </w:div>
      </w:divsChild>
    </w:div>
    <w:div w:id="92627268">
      <w:bodyDiv w:val="1"/>
      <w:marLeft w:val="0"/>
      <w:marRight w:val="0"/>
      <w:marTop w:val="0"/>
      <w:marBottom w:val="0"/>
      <w:divBdr>
        <w:top w:val="none" w:sz="0" w:space="0" w:color="auto"/>
        <w:left w:val="none" w:sz="0" w:space="0" w:color="auto"/>
        <w:bottom w:val="none" w:sz="0" w:space="0" w:color="auto"/>
        <w:right w:val="none" w:sz="0" w:space="0" w:color="auto"/>
      </w:divBdr>
      <w:divsChild>
        <w:div w:id="1364943315">
          <w:marLeft w:val="0"/>
          <w:marRight w:val="0"/>
          <w:marTop w:val="0"/>
          <w:marBottom w:val="0"/>
          <w:divBdr>
            <w:top w:val="none" w:sz="0" w:space="0" w:color="auto"/>
            <w:left w:val="none" w:sz="0" w:space="0" w:color="auto"/>
            <w:bottom w:val="none" w:sz="0" w:space="0" w:color="auto"/>
            <w:right w:val="none" w:sz="0" w:space="0" w:color="auto"/>
          </w:divBdr>
          <w:divsChild>
            <w:div w:id="1035470066">
              <w:marLeft w:val="0"/>
              <w:marRight w:val="0"/>
              <w:marTop w:val="0"/>
              <w:marBottom w:val="0"/>
              <w:divBdr>
                <w:top w:val="none" w:sz="0" w:space="0" w:color="auto"/>
                <w:left w:val="none" w:sz="0" w:space="0" w:color="auto"/>
                <w:bottom w:val="none" w:sz="0" w:space="0" w:color="auto"/>
                <w:right w:val="none" w:sz="0" w:space="0" w:color="auto"/>
              </w:divBdr>
              <w:divsChild>
                <w:div w:id="558370478">
                  <w:marLeft w:val="0"/>
                  <w:marRight w:val="0"/>
                  <w:marTop w:val="0"/>
                  <w:marBottom w:val="0"/>
                  <w:divBdr>
                    <w:top w:val="none" w:sz="0" w:space="0" w:color="auto"/>
                    <w:left w:val="none" w:sz="0" w:space="0" w:color="auto"/>
                    <w:bottom w:val="none" w:sz="0" w:space="0" w:color="auto"/>
                    <w:right w:val="none" w:sz="0" w:space="0" w:color="auto"/>
                  </w:divBdr>
                  <w:divsChild>
                    <w:div w:id="328607304">
                      <w:marLeft w:val="0"/>
                      <w:marRight w:val="0"/>
                      <w:marTop w:val="0"/>
                      <w:marBottom w:val="0"/>
                      <w:divBdr>
                        <w:top w:val="none" w:sz="0" w:space="0" w:color="auto"/>
                        <w:left w:val="none" w:sz="0" w:space="0" w:color="auto"/>
                        <w:bottom w:val="none" w:sz="0" w:space="0" w:color="auto"/>
                        <w:right w:val="none" w:sz="0" w:space="0" w:color="auto"/>
                      </w:divBdr>
                      <w:divsChild>
                        <w:div w:id="158350200">
                          <w:marLeft w:val="0"/>
                          <w:marRight w:val="0"/>
                          <w:marTop w:val="0"/>
                          <w:marBottom w:val="0"/>
                          <w:divBdr>
                            <w:top w:val="single" w:sz="2" w:space="0" w:color="828282"/>
                            <w:left w:val="single" w:sz="2" w:space="0" w:color="828282"/>
                            <w:bottom w:val="single" w:sz="2" w:space="0" w:color="828282"/>
                            <w:right w:val="single" w:sz="2" w:space="0" w:color="828282"/>
                          </w:divBdr>
                          <w:divsChild>
                            <w:div w:id="95709041">
                              <w:marLeft w:val="0"/>
                              <w:marRight w:val="0"/>
                              <w:marTop w:val="0"/>
                              <w:marBottom w:val="0"/>
                              <w:divBdr>
                                <w:top w:val="none" w:sz="0" w:space="0" w:color="auto"/>
                                <w:left w:val="none" w:sz="0" w:space="0" w:color="auto"/>
                                <w:bottom w:val="none" w:sz="0" w:space="0" w:color="auto"/>
                                <w:right w:val="none" w:sz="0" w:space="0" w:color="auto"/>
                              </w:divBdr>
                              <w:divsChild>
                                <w:div w:id="562066500">
                                  <w:marLeft w:val="0"/>
                                  <w:marRight w:val="0"/>
                                  <w:marTop w:val="0"/>
                                  <w:marBottom w:val="0"/>
                                  <w:divBdr>
                                    <w:top w:val="none" w:sz="0" w:space="0" w:color="auto"/>
                                    <w:left w:val="none" w:sz="0" w:space="0" w:color="auto"/>
                                    <w:bottom w:val="none" w:sz="0" w:space="0" w:color="auto"/>
                                    <w:right w:val="none" w:sz="0" w:space="0" w:color="auto"/>
                                  </w:divBdr>
                                  <w:divsChild>
                                    <w:div w:id="1403259956">
                                      <w:marLeft w:val="0"/>
                                      <w:marRight w:val="0"/>
                                      <w:marTop w:val="0"/>
                                      <w:marBottom w:val="0"/>
                                      <w:divBdr>
                                        <w:top w:val="none" w:sz="0" w:space="0" w:color="auto"/>
                                        <w:left w:val="none" w:sz="0" w:space="0" w:color="auto"/>
                                        <w:bottom w:val="none" w:sz="0" w:space="0" w:color="auto"/>
                                        <w:right w:val="none" w:sz="0" w:space="0" w:color="auto"/>
                                      </w:divBdr>
                                      <w:divsChild>
                                        <w:div w:id="1387487057">
                                          <w:marLeft w:val="0"/>
                                          <w:marRight w:val="0"/>
                                          <w:marTop w:val="0"/>
                                          <w:marBottom w:val="0"/>
                                          <w:divBdr>
                                            <w:top w:val="none" w:sz="0" w:space="0" w:color="auto"/>
                                            <w:left w:val="none" w:sz="0" w:space="0" w:color="auto"/>
                                            <w:bottom w:val="none" w:sz="0" w:space="0" w:color="auto"/>
                                            <w:right w:val="none" w:sz="0" w:space="0" w:color="auto"/>
                                          </w:divBdr>
                                          <w:divsChild>
                                            <w:div w:id="865485691">
                                              <w:marLeft w:val="0"/>
                                              <w:marRight w:val="0"/>
                                              <w:marTop w:val="0"/>
                                              <w:marBottom w:val="0"/>
                                              <w:divBdr>
                                                <w:top w:val="none" w:sz="0" w:space="0" w:color="auto"/>
                                                <w:left w:val="none" w:sz="0" w:space="0" w:color="auto"/>
                                                <w:bottom w:val="none" w:sz="0" w:space="0" w:color="auto"/>
                                                <w:right w:val="none" w:sz="0" w:space="0" w:color="auto"/>
                                              </w:divBdr>
                                              <w:divsChild>
                                                <w:div w:id="1451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8852">
      <w:bodyDiv w:val="1"/>
      <w:marLeft w:val="0"/>
      <w:marRight w:val="0"/>
      <w:marTop w:val="0"/>
      <w:marBottom w:val="0"/>
      <w:divBdr>
        <w:top w:val="none" w:sz="0" w:space="0" w:color="auto"/>
        <w:left w:val="none" w:sz="0" w:space="0" w:color="auto"/>
        <w:bottom w:val="none" w:sz="0" w:space="0" w:color="auto"/>
        <w:right w:val="none" w:sz="0" w:space="0" w:color="auto"/>
      </w:divBdr>
      <w:divsChild>
        <w:div w:id="1303656909">
          <w:marLeft w:val="0"/>
          <w:marRight w:val="0"/>
          <w:marTop w:val="0"/>
          <w:marBottom w:val="0"/>
          <w:divBdr>
            <w:top w:val="none" w:sz="0" w:space="0" w:color="auto"/>
            <w:left w:val="none" w:sz="0" w:space="0" w:color="auto"/>
            <w:bottom w:val="none" w:sz="0" w:space="0" w:color="auto"/>
            <w:right w:val="none" w:sz="0" w:space="0" w:color="auto"/>
          </w:divBdr>
          <w:divsChild>
            <w:div w:id="1764229522">
              <w:marLeft w:val="0"/>
              <w:marRight w:val="0"/>
              <w:marTop w:val="0"/>
              <w:marBottom w:val="0"/>
              <w:divBdr>
                <w:top w:val="none" w:sz="0" w:space="0" w:color="auto"/>
                <w:left w:val="none" w:sz="0" w:space="0" w:color="auto"/>
                <w:bottom w:val="none" w:sz="0" w:space="0" w:color="auto"/>
                <w:right w:val="none" w:sz="0" w:space="0" w:color="auto"/>
              </w:divBdr>
              <w:divsChild>
                <w:div w:id="2075421192">
                  <w:marLeft w:val="0"/>
                  <w:marRight w:val="0"/>
                  <w:marTop w:val="0"/>
                  <w:marBottom w:val="0"/>
                  <w:divBdr>
                    <w:top w:val="none" w:sz="0" w:space="0" w:color="auto"/>
                    <w:left w:val="none" w:sz="0" w:space="0" w:color="auto"/>
                    <w:bottom w:val="none" w:sz="0" w:space="0" w:color="auto"/>
                    <w:right w:val="none" w:sz="0" w:space="0" w:color="auto"/>
                  </w:divBdr>
                  <w:divsChild>
                    <w:div w:id="1389112196">
                      <w:marLeft w:val="0"/>
                      <w:marRight w:val="0"/>
                      <w:marTop w:val="0"/>
                      <w:marBottom w:val="0"/>
                      <w:divBdr>
                        <w:top w:val="none" w:sz="0" w:space="0" w:color="auto"/>
                        <w:left w:val="none" w:sz="0" w:space="0" w:color="auto"/>
                        <w:bottom w:val="none" w:sz="0" w:space="0" w:color="auto"/>
                        <w:right w:val="none" w:sz="0" w:space="0" w:color="auto"/>
                      </w:divBdr>
                      <w:divsChild>
                        <w:div w:id="1829440692">
                          <w:marLeft w:val="0"/>
                          <w:marRight w:val="0"/>
                          <w:marTop w:val="0"/>
                          <w:marBottom w:val="0"/>
                          <w:divBdr>
                            <w:top w:val="single" w:sz="6" w:space="0" w:color="828282"/>
                            <w:left w:val="single" w:sz="6" w:space="0" w:color="828282"/>
                            <w:bottom w:val="single" w:sz="6" w:space="0" w:color="828282"/>
                            <w:right w:val="single" w:sz="6" w:space="0" w:color="828282"/>
                          </w:divBdr>
                          <w:divsChild>
                            <w:div w:id="28534434">
                              <w:marLeft w:val="0"/>
                              <w:marRight w:val="0"/>
                              <w:marTop w:val="0"/>
                              <w:marBottom w:val="0"/>
                              <w:divBdr>
                                <w:top w:val="none" w:sz="0" w:space="0" w:color="auto"/>
                                <w:left w:val="none" w:sz="0" w:space="0" w:color="auto"/>
                                <w:bottom w:val="none" w:sz="0" w:space="0" w:color="auto"/>
                                <w:right w:val="none" w:sz="0" w:space="0" w:color="auto"/>
                              </w:divBdr>
                              <w:divsChild>
                                <w:div w:id="761606628">
                                  <w:marLeft w:val="0"/>
                                  <w:marRight w:val="0"/>
                                  <w:marTop w:val="0"/>
                                  <w:marBottom w:val="0"/>
                                  <w:divBdr>
                                    <w:top w:val="none" w:sz="0" w:space="0" w:color="auto"/>
                                    <w:left w:val="none" w:sz="0" w:space="0" w:color="auto"/>
                                    <w:bottom w:val="none" w:sz="0" w:space="0" w:color="auto"/>
                                    <w:right w:val="none" w:sz="0" w:space="0" w:color="auto"/>
                                  </w:divBdr>
                                  <w:divsChild>
                                    <w:div w:id="1243367477">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0"/>
                                          <w:divBdr>
                                            <w:top w:val="none" w:sz="0" w:space="0" w:color="auto"/>
                                            <w:left w:val="none" w:sz="0" w:space="0" w:color="auto"/>
                                            <w:bottom w:val="none" w:sz="0" w:space="0" w:color="auto"/>
                                            <w:right w:val="none" w:sz="0" w:space="0" w:color="auto"/>
                                          </w:divBdr>
                                          <w:divsChild>
                                            <w:div w:id="2071270405">
                                              <w:marLeft w:val="0"/>
                                              <w:marRight w:val="0"/>
                                              <w:marTop w:val="0"/>
                                              <w:marBottom w:val="0"/>
                                              <w:divBdr>
                                                <w:top w:val="none" w:sz="0" w:space="0" w:color="auto"/>
                                                <w:left w:val="none" w:sz="0" w:space="0" w:color="auto"/>
                                                <w:bottom w:val="none" w:sz="0" w:space="0" w:color="auto"/>
                                                <w:right w:val="none" w:sz="0" w:space="0" w:color="auto"/>
                                              </w:divBdr>
                                              <w:divsChild>
                                                <w:div w:id="471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425653">
      <w:bodyDiv w:val="1"/>
      <w:marLeft w:val="0"/>
      <w:marRight w:val="0"/>
      <w:marTop w:val="0"/>
      <w:marBottom w:val="0"/>
      <w:divBdr>
        <w:top w:val="none" w:sz="0" w:space="0" w:color="auto"/>
        <w:left w:val="none" w:sz="0" w:space="0" w:color="auto"/>
        <w:bottom w:val="none" w:sz="0" w:space="0" w:color="auto"/>
        <w:right w:val="none" w:sz="0" w:space="0" w:color="auto"/>
      </w:divBdr>
      <w:divsChild>
        <w:div w:id="2105346276">
          <w:marLeft w:val="0"/>
          <w:marRight w:val="0"/>
          <w:marTop w:val="0"/>
          <w:marBottom w:val="0"/>
          <w:divBdr>
            <w:top w:val="none" w:sz="0" w:space="0" w:color="auto"/>
            <w:left w:val="none" w:sz="0" w:space="0" w:color="auto"/>
            <w:bottom w:val="none" w:sz="0" w:space="0" w:color="auto"/>
            <w:right w:val="none" w:sz="0" w:space="0" w:color="auto"/>
          </w:divBdr>
          <w:divsChild>
            <w:div w:id="1788810501">
              <w:marLeft w:val="35"/>
              <w:marRight w:val="0"/>
              <w:marTop w:val="58"/>
              <w:marBottom w:val="69"/>
              <w:divBdr>
                <w:top w:val="none" w:sz="0" w:space="0" w:color="auto"/>
                <w:left w:val="none" w:sz="0" w:space="0" w:color="auto"/>
                <w:bottom w:val="none" w:sz="0" w:space="0" w:color="auto"/>
                <w:right w:val="none" w:sz="0" w:space="0" w:color="auto"/>
              </w:divBdr>
              <w:divsChild>
                <w:div w:id="20602786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92282">
      <w:bodyDiv w:val="1"/>
      <w:marLeft w:val="0"/>
      <w:marRight w:val="0"/>
      <w:marTop w:val="0"/>
      <w:marBottom w:val="0"/>
      <w:divBdr>
        <w:top w:val="none" w:sz="0" w:space="0" w:color="auto"/>
        <w:left w:val="none" w:sz="0" w:space="0" w:color="auto"/>
        <w:bottom w:val="none" w:sz="0" w:space="0" w:color="auto"/>
        <w:right w:val="none" w:sz="0" w:space="0" w:color="auto"/>
      </w:divBdr>
      <w:divsChild>
        <w:div w:id="466121203">
          <w:marLeft w:val="0"/>
          <w:marRight w:val="0"/>
          <w:marTop w:val="0"/>
          <w:marBottom w:val="0"/>
          <w:divBdr>
            <w:top w:val="none" w:sz="0" w:space="0" w:color="auto"/>
            <w:left w:val="none" w:sz="0" w:space="0" w:color="auto"/>
            <w:bottom w:val="none" w:sz="0" w:space="0" w:color="auto"/>
            <w:right w:val="none" w:sz="0" w:space="0" w:color="auto"/>
          </w:divBdr>
          <w:divsChild>
            <w:div w:id="1779566737">
              <w:marLeft w:val="35"/>
              <w:marRight w:val="0"/>
              <w:marTop w:val="58"/>
              <w:marBottom w:val="69"/>
              <w:divBdr>
                <w:top w:val="none" w:sz="0" w:space="0" w:color="auto"/>
                <w:left w:val="none" w:sz="0" w:space="0" w:color="auto"/>
                <w:bottom w:val="none" w:sz="0" w:space="0" w:color="auto"/>
                <w:right w:val="none" w:sz="0" w:space="0" w:color="auto"/>
              </w:divBdr>
            </w:div>
          </w:divsChild>
        </w:div>
      </w:divsChild>
    </w:div>
    <w:div w:id="722950090">
      <w:bodyDiv w:val="1"/>
      <w:marLeft w:val="0"/>
      <w:marRight w:val="0"/>
      <w:marTop w:val="0"/>
      <w:marBottom w:val="0"/>
      <w:divBdr>
        <w:top w:val="none" w:sz="0" w:space="0" w:color="auto"/>
        <w:left w:val="none" w:sz="0" w:space="0" w:color="auto"/>
        <w:bottom w:val="none" w:sz="0" w:space="0" w:color="auto"/>
        <w:right w:val="none" w:sz="0" w:space="0" w:color="auto"/>
      </w:divBdr>
      <w:divsChild>
        <w:div w:id="859127023">
          <w:marLeft w:val="0"/>
          <w:marRight w:val="0"/>
          <w:marTop w:val="0"/>
          <w:marBottom w:val="0"/>
          <w:divBdr>
            <w:top w:val="none" w:sz="0" w:space="0" w:color="auto"/>
            <w:left w:val="none" w:sz="0" w:space="0" w:color="auto"/>
            <w:bottom w:val="none" w:sz="0" w:space="0" w:color="auto"/>
            <w:right w:val="none" w:sz="0" w:space="0" w:color="auto"/>
          </w:divBdr>
          <w:divsChild>
            <w:div w:id="1203715745">
              <w:marLeft w:val="45"/>
              <w:marRight w:val="0"/>
              <w:marTop w:val="75"/>
              <w:marBottom w:val="90"/>
              <w:divBdr>
                <w:top w:val="none" w:sz="0" w:space="0" w:color="auto"/>
                <w:left w:val="none" w:sz="0" w:space="0" w:color="auto"/>
                <w:bottom w:val="none" w:sz="0" w:space="0" w:color="auto"/>
                <w:right w:val="none" w:sz="0" w:space="0" w:color="auto"/>
              </w:divBdr>
              <w:divsChild>
                <w:div w:id="10447898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3633">
      <w:bodyDiv w:val="1"/>
      <w:marLeft w:val="0"/>
      <w:marRight w:val="0"/>
      <w:marTop w:val="0"/>
      <w:marBottom w:val="0"/>
      <w:divBdr>
        <w:top w:val="none" w:sz="0" w:space="0" w:color="auto"/>
        <w:left w:val="none" w:sz="0" w:space="0" w:color="auto"/>
        <w:bottom w:val="none" w:sz="0" w:space="0" w:color="auto"/>
        <w:right w:val="none" w:sz="0" w:space="0" w:color="auto"/>
      </w:divBdr>
      <w:divsChild>
        <w:div w:id="807825507">
          <w:marLeft w:val="0"/>
          <w:marRight w:val="0"/>
          <w:marTop w:val="0"/>
          <w:marBottom w:val="0"/>
          <w:divBdr>
            <w:top w:val="none" w:sz="0" w:space="0" w:color="auto"/>
            <w:left w:val="none" w:sz="0" w:space="0" w:color="auto"/>
            <w:bottom w:val="none" w:sz="0" w:space="0" w:color="auto"/>
            <w:right w:val="none" w:sz="0" w:space="0" w:color="auto"/>
          </w:divBdr>
          <w:divsChild>
            <w:div w:id="1303536188">
              <w:marLeft w:val="0"/>
              <w:marRight w:val="0"/>
              <w:marTop w:val="0"/>
              <w:marBottom w:val="0"/>
              <w:divBdr>
                <w:top w:val="none" w:sz="0" w:space="0" w:color="auto"/>
                <w:left w:val="none" w:sz="0" w:space="0" w:color="auto"/>
                <w:bottom w:val="none" w:sz="0" w:space="0" w:color="auto"/>
                <w:right w:val="none" w:sz="0" w:space="0" w:color="auto"/>
              </w:divBdr>
              <w:divsChild>
                <w:div w:id="1495098964">
                  <w:marLeft w:val="0"/>
                  <w:marRight w:val="0"/>
                  <w:marTop w:val="0"/>
                  <w:marBottom w:val="0"/>
                  <w:divBdr>
                    <w:top w:val="none" w:sz="0" w:space="0" w:color="auto"/>
                    <w:left w:val="none" w:sz="0" w:space="0" w:color="auto"/>
                    <w:bottom w:val="none" w:sz="0" w:space="0" w:color="auto"/>
                    <w:right w:val="none" w:sz="0" w:space="0" w:color="auto"/>
                  </w:divBdr>
                  <w:divsChild>
                    <w:div w:id="1077482363">
                      <w:marLeft w:val="0"/>
                      <w:marRight w:val="0"/>
                      <w:marTop w:val="0"/>
                      <w:marBottom w:val="0"/>
                      <w:divBdr>
                        <w:top w:val="none" w:sz="0" w:space="0" w:color="auto"/>
                        <w:left w:val="none" w:sz="0" w:space="0" w:color="auto"/>
                        <w:bottom w:val="none" w:sz="0" w:space="0" w:color="auto"/>
                        <w:right w:val="none" w:sz="0" w:space="0" w:color="auto"/>
                      </w:divBdr>
                      <w:divsChild>
                        <w:div w:id="1144542179">
                          <w:marLeft w:val="0"/>
                          <w:marRight w:val="0"/>
                          <w:marTop w:val="0"/>
                          <w:marBottom w:val="0"/>
                          <w:divBdr>
                            <w:top w:val="single" w:sz="2" w:space="0" w:color="828282"/>
                            <w:left w:val="single" w:sz="2" w:space="0" w:color="828282"/>
                            <w:bottom w:val="single" w:sz="2" w:space="0" w:color="828282"/>
                            <w:right w:val="single" w:sz="2" w:space="0" w:color="828282"/>
                          </w:divBdr>
                          <w:divsChild>
                            <w:div w:id="1645817277">
                              <w:marLeft w:val="0"/>
                              <w:marRight w:val="0"/>
                              <w:marTop w:val="0"/>
                              <w:marBottom w:val="0"/>
                              <w:divBdr>
                                <w:top w:val="none" w:sz="0" w:space="0" w:color="auto"/>
                                <w:left w:val="none" w:sz="0" w:space="0" w:color="auto"/>
                                <w:bottom w:val="none" w:sz="0" w:space="0" w:color="auto"/>
                                <w:right w:val="none" w:sz="0" w:space="0" w:color="auto"/>
                              </w:divBdr>
                              <w:divsChild>
                                <w:div w:id="947732650">
                                  <w:marLeft w:val="0"/>
                                  <w:marRight w:val="0"/>
                                  <w:marTop w:val="0"/>
                                  <w:marBottom w:val="0"/>
                                  <w:divBdr>
                                    <w:top w:val="none" w:sz="0" w:space="0" w:color="auto"/>
                                    <w:left w:val="none" w:sz="0" w:space="0" w:color="auto"/>
                                    <w:bottom w:val="none" w:sz="0" w:space="0" w:color="auto"/>
                                    <w:right w:val="none" w:sz="0" w:space="0" w:color="auto"/>
                                  </w:divBdr>
                                  <w:divsChild>
                                    <w:div w:id="1943025426">
                                      <w:marLeft w:val="0"/>
                                      <w:marRight w:val="0"/>
                                      <w:marTop w:val="0"/>
                                      <w:marBottom w:val="0"/>
                                      <w:divBdr>
                                        <w:top w:val="none" w:sz="0" w:space="0" w:color="auto"/>
                                        <w:left w:val="none" w:sz="0" w:space="0" w:color="auto"/>
                                        <w:bottom w:val="none" w:sz="0" w:space="0" w:color="auto"/>
                                        <w:right w:val="none" w:sz="0" w:space="0" w:color="auto"/>
                                      </w:divBdr>
                                      <w:divsChild>
                                        <w:div w:id="1873221253">
                                          <w:marLeft w:val="0"/>
                                          <w:marRight w:val="0"/>
                                          <w:marTop w:val="0"/>
                                          <w:marBottom w:val="0"/>
                                          <w:divBdr>
                                            <w:top w:val="none" w:sz="0" w:space="0" w:color="auto"/>
                                            <w:left w:val="none" w:sz="0" w:space="0" w:color="auto"/>
                                            <w:bottom w:val="none" w:sz="0" w:space="0" w:color="auto"/>
                                            <w:right w:val="none" w:sz="0" w:space="0" w:color="auto"/>
                                          </w:divBdr>
                                          <w:divsChild>
                                            <w:div w:id="2014529764">
                                              <w:marLeft w:val="0"/>
                                              <w:marRight w:val="0"/>
                                              <w:marTop w:val="0"/>
                                              <w:marBottom w:val="0"/>
                                              <w:divBdr>
                                                <w:top w:val="none" w:sz="0" w:space="0" w:color="auto"/>
                                                <w:left w:val="none" w:sz="0" w:space="0" w:color="auto"/>
                                                <w:bottom w:val="none" w:sz="0" w:space="0" w:color="auto"/>
                                                <w:right w:val="none" w:sz="0" w:space="0" w:color="auto"/>
                                              </w:divBdr>
                                              <w:divsChild>
                                                <w:div w:id="19573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045298">
      <w:bodyDiv w:val="1"/>
      <w:marLeft w:val="0"/>
      <w:marRight w:val="0"/>
      <w:marTop w:val="0"/>
      <w:marBottom w:val="0"/>
      <w:divBdr>
        <w:top w:val="none" w:sz="0" w:space="0" w:color="auto"/>
        <w:left w:val="none" w:sz="0" w:space="0" w:color="auto"/>
        <w:bottom w:val="none" w:sz="0" w:space="0" w:color="auto"/>
        <w:right w:val="none" w:sz="0" w:space="0" w:color="auto"/>
      </w:divBdr>
      <w:divsChild>
        <w:div w:id="1222014005">
          <w:marLeft w:val="0"/>
          <w:marRight w:val="0"/>
          <w:marTop w:val="0"/>
          <w:marBottom w:val="0"/>
          <w:divBdr>
            <w:top w:val="none" w:sz="0" w:space="0" w:color="auto"/>
            <w:left w:val="none" w:sz="0" w:space="0" w:color="auto"/>
            <w:bottom w:val="none" w:sz="0" w:space="0" w:color="auto"/>
            <w:right w:val="none" w:sz="0" w:space="0" w:color="auto"/>
          </w:divBdr>
          <w:divsChild>
            <w:div w:id="1874034415">
              <w:marLeft w:val="45"/>
              <w:marRight w:val="0"/>
              <w:marTop w:val="75"/>
              <w:marBottom w:val="90"/>
              <w:divBdr>
                <w:top w:val="none" w:sz="0" w:space="0" w:color="auto"/>
                <w:left w:val="none" w:sz="0" w:space="0" w:color="auto"/>
                <w:bottom w:val="none" w:sz="0" w:space="0" w:color="auto"/>
                <w:right w:val="none" w:sz="0" w:space="0" w:color="auto"/>
              </w:divBdr>
              <w:divsChild>
                <w:div w:id="1046167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10621">
      <w:bodyDiv w:val="1"/>
      <w:marLeft w:val="0"/>
      <w:marRight w:val="0"/>
      <w:marTop w:val="0"/>
      <w:marBottom w:val="0"/>
      <w:divBdr>
        <w:top w:val="none" w:sz="0" w:space="0" w:color="auto"/>
        <w:left w:val="none" w:sz="0" w:space="0" w:color="auto"/>
        <w:bottom w:val="none" w:sz="0" w:space="0" w:color="auto"/>
        <w:right w:val="none" w:sz="0" w:space="0" w:color="auto"/>
      </w:divBdr>
      <w:divsChild>
        <w:div w:id="348993044">
          <w:marLeft w:val="0"/>
          <w:marRight w:val="0"/>
          <w:marTop w:val="0"/>
          <w:marBottom w:val="0"/>
          <w:divBdr>
            <w:top w:val="none" w:sz="0" w:space="0" w:color="auto"/>
            <w:left w:val="none" w:sz="0" w:space="0" w:color="auto"/>
            <w:bottom w:val="none" w:sz="0" w:space="0" w:color="auto"/>
            <w:right w:val="none" w:sz="0" w:space="0" w:color="auto"/>
          </w:divBdr>
          <w:divsChild>
            <w:div w:id="988051858">
              <w:marLeft w:val="35"/>
              <w:marRight w:val="0"/>
              <w:marTop w:val="58"/>
              <w:marBottom w:val="69"/>
              <w:divBdr>
                <w:top w:val="none" w:sz="0" w:space="0" w:color="auto"/>
                <w:left w:val="none" w:sz="0" w:space="0" w:color="auto"/>
                <w:bottom w:val="none" w:sz="0" w:space="0" w:color="auto"/>
                <w:right w:val="none" w:sz="0" w:space="0" w:color="auto"/>
              </w:divBdr>
              <w:divsChild>
                <w:div w:id="7320024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21723">
      <w:bodyDiv w:val="1"/>
      <w:marLeft w:val="0"/>
      <w:marRight w:val="0"/>
      <w:marTop w:val="0"/>
      <w:marBottom w:val="0"/>
      <w:divBdr>
        <w:top w:val="none" w:sz="0" w:space="0" w:color="auto"/>
        <w:left w:val="none" w:sz="0" w:space="0" w:color="auto"/>
        <w:bottom w:val="none" w:sz="0" w:space="0" w:color="auto"/>
        <w:right w:val="none" w:sz="0" w:space="0" w:color="auto"/>
      </w:divBdr>
      <w:divsChild>
        <w:div w:id="855460904">
          <w:marLeft w:val="0"/>
          <w:marRight w:val="0"/>
          <w:marTop w:val="0"/>
          <w:marBottom w:val="0"/>
          <w:divBdr>
            <w:top w:val="none" w:sz="0" w:space="0" w:color="auto"/>
            <w:left w:val="none" w:sz="0" w:space="0" w:color="auto"/>
            <w:bottom w:val="none" w:sz="0" w:space="0" w:color="auto"/>
            <w:right w:val="none" w:sz="0" w:space="0" w:color="auto"/>
          </w:divBdr>
          <w:divsChild>
            <w:div w:id="1672676450">
              <w:marLeft w:val="0"/>
              <w:marRight w:val="0"/>
              <w:marTop w:val="0"/>
              <w:marBottom w:val="0"/>
              <w:divBdr>
                <w:top w:val="none" w:sz="0" w:space="0" w:color="auto"/>
                <w:left w:val="none" w:sz="0" w:space="0" w:color="auto"/>
                <w:bottom w:val="none" w:sz="0" w:space="0" w:color="auto"/>
                <w:right w:val="none" w:sz="0" w:space="0" w:color="auto"/>
              </w:divBdr>
              <w:divsChild>
                <w:div w:id="2006087868">
                  <w:marLeft w:val="0"/>
                  <w:marRight w:val="0"/>
                  <w:marTop w:val="0"/>
                  <w:marBottom w:val="0"/>
                  <w:divBdr>
                    <w:top w:val="none" w:sz="0" w:space="0" w:color="auto"/>
                    <w:left w:val="none" w:sz="0" w:space="0" w:color="auto"/>
                    <w:bottom w:val="none" w:sz="0" w:space="0" w:color="auto"/>
                    <w:right w:val="none" w:sz="0" w:space="0" w:color="auto"/>
                  </w:divBdr>
                  <w:divsChild>
                    <w:div w:id="1363284970">
                      <w:marLeft w:val="0"/>
                      <w:marRight w:val="0"/>
                      <w:marTop w:val="0"/>
                      <w:marBottom w:val="0"/>
                      <w:divBdr>
                        <w:top w:val="none" w:sz="0" w:space="0" w:color="auto"/>
                        <w:left w:val="none" w:sz="0" w:space="0" w:color="auto"/>
                        <w:bottom w:val="none" w:sz="0" w:space="0" w:color="auto"/>
                        <w:right w:val="none" w:sz="0" w:space="0" w:color="auto"/>
                      </w:divBdr>
                      <w:divsChild>
                        <w:div w:id="1712728022">
                          <w:marLeft w:val="0"/>
                          <w:marRight w:val="0"/>
                          <w:marTop w:val="0"/>
                          <w:marBottom w:val="0"/>
                          <w:divBdr>
                            <w:top w:val="single" w:sz="6" w:space="0" w:color="828282"/>
                            <w:left w:val="single" w:sz="6" w:space="0" w:color="828282"/>
                            <w:bottom w:val="single" w:sz="6" w:space="0" w:color="828282"/>
                            <w:right w:val="single" w:sz="6" w:space="0" w:color="828282"/>
                          </w:divBdr>
                          <w:divsChild>
                            <w:div w:id="166598116">
                              <w:marLeft w:val="0"/>
                              <w:marRight w:val="0"/>
                              <w:marTop w:val="0"/>
                              <w:marBottom w:val="0"/>
                              <w:divBdr>
                                <w:top w:val="none" w:sz="0" w:space="0" w:color="auto"/>
                                <w:left w:val="none" w:sz="0" w:space="0" w:color="auto"/>
                                <w:bottom w:val="none" w:sz="0" w:space="0" w:color="auto"/>
                                <w:right w:val="none" w:sz="0" w:space="0" w:color="auto"/>
                              </w:divBdr>
                              <w:divsChild>
                                <w:div w:id="1365209957">
                                  <w:marLeft w:val="0"/>
                                  <w:marRight w:val="0"/>
                                  <w:marTop w:val="0"/>
                                  <w:marBottom w:val="0"/>
                                  <w:divBdr>
                                    <w:top w:val="none" w:sz="0" w:space="0" w:color="auto"/>
                                    <w:left w:val="none" w:sz="0" w:space="0" w:color="auto"/>
                                    <w:bottom w:val="none" w:sz="0" w:space="0" w:color="auto"/>
                                    <w:right w:val="none" w:sz="0" w:space="0" w:color="auto"/>
                                  </w:divBdr>
                                  <w:divsChild>
                                    <w:div w:id="1109203128">
                                      <w:marLeft w:val="0"/>
                                      <w:marRight w:val="0"/>
                                      <w:marTop w:val="0"/>
                                      <w:marBottom w:val="0"/>
                                      <w:divBdr>
                                        <w:top w:val="none" w:sz="0" w:space="0" w:color="auto"/>
                                        <w:left w:val="none" w:sz="0" w:space="0" w:color="auto"/>
                                        <w:bottom w:val="none" w:sz="0" w:space="0" w:color="auto"/>
                                        <w:right w:val="none" w:sz="0" w:space="0" w:color="auto"/>
                                      </w:divBdr>
                                      <w:divsChild>
                                        <w:div w:id="2046563254">
                                          <w:marLeft w:val="0"/>
                                          <w:marRight w:val="0"/>
                                          <w:marTop w:val="0"/>
                                          <w:marBottom w:val="0"/>
                                          <w:divBdr>
                                            <w:top w:val="none" w:sz="0" w:space="0" w:color="auto"/>
                                            <w:left w:val="none" w:sz="0" w:space="0" w:color="auto"/>
                                            <w:bottom w:val="none" w:sz="0" w:space="0" w:color="auto"/>
                                            <w:right w:val="none" w:sz="0" w:space="0" w:color="auto"/>
                                          </w:divBdr>
                                          <w:divsChild>
                                            <w:div w:id="1523323221">
                                              <w:marLeft w:val="0"/>
                                              <w:marRight w:val="0"/>
                                              <w:marTop w:val="0"/>
                                              <w:marBottom w:val="0"/>
                                              <w:divBdr>
                                                <w:top w:val="none" w:sz="0" w:space="0" w:color="auto"/>
                                                <w:left w:val="none" w:sz="0" w:space="0" w:color="auto"/>
                                                <w:bottom w:val="none" w:sz="0" w:space="0" w:color="auto"/>
                                                <w:right w:val="none" w:sz="0" w:space="0" w:color="auto"/>
                                              </w:divBdr>
                                              <w:divsChild>
                                                <w:div w:id="768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7881">
      <w:bodyDiv w:val="1"/>
      <w:marLeft w:val="0"/>
      <w:marRight w:val="0"/>
      <w:marTop w:val="0"/>
      <w:marBottom w:val="0"/>
      <w:divBdr>
        <w:top w:val="none" w:sz="0" w:space="0" w:color="auto"/>
        <w:left w:val="none" w:sz="0" w:space="0" w:color="auto"/>
        <w:bottom w:val="none" w:sz="0" w:space="0" w:color="auto"/>
        <w:right w:val="none" w:sz="0" w:space="0" w:color="auto"/>
      </w:divBdr>
      <w:divsChild>
        <w:div w:id="564217820">
          <w:marLeft w:val="0"/>
          <w:marRight w:val="0"/>
          <w:marTop w:val="0"/>
          <w:marBottom w:val="0"/>
          <w:divBdr>
            <w:top w:val="none" w:sz="0" w:space="0" w:color="auto"/>
            <w:left w:val="none" w:sz="0" w:space="0" w:color="auto"/>
            <w:bottom w:val="none" w:sz="0" w:space="0" w:color="auto"/>
            <w:right w:val="none" w:sz="0" w:space="0" w:color="auto"/>
          </w:divBdr>
          <w:divsChild>
            <w:div w:id="2112892335">
              <w:marLeft w:val="45"/>
              <w:marRight w:val="0"/>
              <w:marTop w:val="75"/>
              <w:marBottom w:val="90"/>
              <w:divBdr>
                <w:top w:val="none" w:sz="0" w:space="0" w:color="auto"/>
                <w:left w:val="none" w:sz="0" w:space="0" w:color="auto"/>
                <w:bottom w:val="none" w:sz="0" w:space="0" w:color="auto"/>
                <w:right w:val="none" w:sz="0" w:space="0" w:color="auto"/>
              </w:divBdr>
            </w:div>
          </w:divsChild>
        </w:div>
      </w:divsChild>
    </w:div>
    <w:div w:id="1695838419">
      <w:bodyDiv w:val="1"/>
      <w:marLeft w:val="0"/>
      <w:marRight w:val="0"/>
      <w:marTop w:val="0"/>
      <w:marBottom w:val="0"/>
      <w:divBdr>
        <w:top w:val="none" w:sz="0" w:space="0" w:color="auto"/>
        <w:left w:val="none" w:sz="0" w:space="0" w:color="auto"/>
        <w:bottom w:val="none" w:sz="0" w:space="0" w:color="auto"/>
        <w:right w:val="none" w:sz="0" w:space="0" w:color="auto"/>
      </w:divBdr>
      <w:divsChild>
        <w:div w:id="1265647523">
          <w:marLeft w:val="0"/>
          <w:marRight w:val="0"/>
          <w:marTop w:val="0"/>
          <w:marBottom w:val="0"/>
          <w:divBdr>
            <w:top w:val="none" w:sz="0" w:space="0" w:color="auto"/>
            <w:left w:val="none" w:sz="0" w:space="0" w:color="auto"/>
            <w:bottom w:val="none" w:sz="0" w:space="0" w:color="auto"/>
            <w:right w:val="none" w:sz="0" w:space="0" w:color="auto"/>
          </w:divBdr>
          <w:divsChild>
            <w:div w:id="1006327903">
              <w:marLeft w:val="35"/>
              <w:marRight w:val="0"/>
              <w:marTop w:val="58"/>
              <w:marBottom w:val="69"/>
              <w:divBdr>
                <w:top w:val="none" w:sz="0" w:space="0" w:color="auto"/>
                <w:left w:val="none" w:sz="0" w:space="0" w:color="auto"/>
                <w:bottom w:val="none" w:sz="0" w:space="0" w:color="auto"/>
                <w:right w:val="none" w:sz="0" w:space="0" w:color="auto"/>
              </w:divBdr>
              <w:divsChild>
                <w:div w:id="11403468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3926">
      <w:bodyDiv w:val="1"/>
      <w:marLeft w:val="0"/>
      <w:marRight w:val="0"/>
      <w:marTop w:val="0"/>
      <w:marBottom w:val="0"/>
      <w:divBdr>
        <w:top w:val="none" w:sz="0" w:space="0" w:color="auto"/>
        <w:left w:val="none" w:sz="0" w:space="0" w:color="auto"/>
        <w:bottom w:val="none" w:sz="0" w:space="0" w:color="auto"/>
        <w:right w:val="none" w:sz="0" w:space="0" w:color="auto"/>
      </w:divBdr>
      <w:divsChild>
        <w:div w:id="1605261024">
          <w:marLeft w:val="0"/>
          <w:marRight w:val="0"/>
          <w:marTop w:val="0"/>
          <w:marBottom w:val="0"/>
          <w:divBdr>
            <w:top w:val="none" w:sz="0" w:space="0" w:color="auto"/>
            <w:left w:val="none" w:sz="0" w:space="0" w:color="auto"/>
            <w:bottom w:val="none" w:sz="0" w:space="0" w:color="auto"/>
            <w:right w:val="none" w:sz="0" w:space="0" w:color="auto"/>
          </w:divBdr>
          <w:divsChild>
            <w:div w:id="1610770592">
              <w:marLeft w:val="35"/>
              <w:marRight w:val="0"/>
              <w:marTop w:val="58"/>
              <w:marBottom w:val="69"/>
              <w:divBdr>
                <w:top w:val="none" w:sz="0" w:space="0" w:color="auto"/>
                <w:left w:val="none" w:sz="0" w:space="0" w:color="auto"/>
                <w:bottom w:val="none" w:sz="0" w:space="0" w:color="auto"/>
                <w:right w:val="none" w:sz="0" w:space="0" w:color="auto"/>
              </w:divBdr>
            </w:div>
          </w:divsChild>
        </w:div>
      </w:divsChild>
    </w:div>
    <w:div w:id="1963152469">
      <w:bodyDiv w:val="1"/>
      <w:marLeft w:val="0"/>
      <w:marRight w:val="0"/>
      <w:marTop w:val="0"/>
      <w:marBottom w:val="0"/>
      <w:divBdr>
        <w:top w:val="none" w:sz="0" w:space="0" w:color="auto"/>
        <w:left w:val="none" w:sz="0" w:space="0" w:color="auto"/>
        <w:bottom w:val="none" w:sz="0" w:space="0" w:color="auto"/>
        <w:right w:val="none" w:sz="0" w:space="0" w:color="auto"/>
      </w:divBdr>
      <w:divsChild>
        <w:div w:id="900292781">
          <w:marLeft w:val="0"/>
          <w:marRight w:val="0"/>
          <w:marTop w:val="0"/>
          <w:marBottom w:val="0"/>
          <w:divBdr>
            <w:top w:val="none" w:sz="0" w:space="0" w:color="auto"/>
            <w:left w:val="none" w:sz="0" w:space="0" w:color="auto"/>
            <w:bottom w:val="none" w:sz="0" w:space="0" w:color="auto"/>
            <w:right w:val="none" w:sz="0" w:space="0" w:color="auto"/>
          </w:divBdr>
          <w:divsChild>
            <w:div w:id="1672485144">
              <w:marLeft w:val="45"/>
              <w:marRight w:val="0"/>
              <w:marTop w:val="75"/>
              <w:marBottom w:val="90"/>
              <w:divBdr>
                <w:top w:val="none" w:sz="0" w:space="0" w:color="auto"/>
                <w:left w:val="none" w:sz="0" w:space="0" w:color="auto"/>
                <w:bottom w:val="none" w:sz="0" w:space="0" w:color="auto"/>
                <w:right w:val="none" w:sz="0" w:space="0" w:color="auto"/>
              </w:divBdr>
              <w:divsChild>
                <w:div w:id="14521639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egalonline.thomson.com.au/alo/legislationLink.do?href=%2Falo%2FlegDetailed.jsp%3Fuci%3DACT~AUS~NAT~Y.2001-50~CHP.5C~PT.5C.1~S.601ED&amp;productId=257" TargetMode="External"/><Relationship Id="rId4" Type="http://schemas.openxmlformats.org/officeDocument/2006/relationships/settings" Target="settings.xml"/><Relationship Id="rId9" Type="http://schemas.openxmlformats.org/officeDocument/2006/relationships/hyperlink" Target="http://legalonline.thomson.com.au/alo/legislationLink.do?href=%2Falo%2FlegDetailed.jsp%3Fuci%3DACT~AUS~NAT~Y.2001-50~CHP.5C~PT.5C.1~S.601ED&amp;productId=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C6BF-E8AB-404F-B950-858C3879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6715</Words>
  <Characters>38282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44908</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Fawcett</dc:creator>
  <cp:keywords/>
  <dc:description/>
  <cp:lastModifiedBy>Stephen Yen</cp:lastModifiedBy>
  <cp:revision>6</cp:revision>
  <cp:lastPrinted>2013-06-28T02:53:00Z</cp:lastPrinted>
  <dcterms:created xsi:type="dcterms:W3CDTF">2013-06-28T03:18:00Z</dcterms:created>
  <dcterms:modified xsi:type="dcterms:W3CDTF">2013-06-28T04:27:00Z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A3871625</vt:lpwstr>
  </property>
  <property fmtid="{D5CDD505-2E9C-101B-9397-08002B2CF9AE}" pid="4" name="Objective-Title">
    <vt:lpwstr>Draft class order 296 IDPS like schemes- ag+gm comments 17 June - ag comments</vt:lpwstr>
  </property>
  <property fmtid="{D5CDD505-2E9C-101B-9397-08002B2CF9AE}" pid="5" name="Objective-Comment">
    <vt:lpwstr/>
  </property>
  <property fmtid="{D5CDD505-2E9C-101B-9397-08002B2CF9AE}" pid="6" name="Objective-CreationStamp">
    <vt:filetime>2013-06-17T07:20:05Z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2013-06-17T09:38:17Z</vt:filetime>
  </property>
  <property fmtid="{D5CDD505-2E9C-101B-9397-08002B2CF9AE}" pid="11" name="Objective-Owner">
    <vt:lpwstr>Violet Wong</vt:lpwstr>
  </property>
  <property fmtid="{D5CDD505-2E9C-101B-9397-08002B2CF9AE}" pid="12" name="Objective-Path">
    <vt:lpwstr>ASIC BCS:REGULATION &amp; COMPLIANCE:Business Activity Projects:Compliance &amp; Campaign Projects:Investment Management:RG 148 Platforms - Review 2012:Class Order documents:</vt:lpwstr>
  </property>
  <property fmtid="{D5CDD505-2E9C-101B-9397-08002B2CF9AE}" pid="13" name="Objective-Parent">
    <vt:lpwstr>Class Order documents</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