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58C" w:rsidRDefault="0049358C" w:rsidP="0049358C">
      <w:pPr>
        <w:spacing w:before="0"/>
        <w:ind w:right="91"/>
        <w:jc w:val="center"/>
      </w:pPr>
      <w:r>
        <w:rPr>
          <w:b/>
          <w:u w:val="single"/>
        </w:rPr>
        <w:t>EXPLANATORY STATEMENT</w:t>
      </w:r>
    </w:p>
    <w:p w:rsidR="0049358C" w:rsidRDefault="0049358C" w:rsidP="0049358C">
      <w:pPr>
        <w:spacing w:before="0"/>
        <w:ind w:right="91"/>
        <w:jc w:val="center"/>
      </w:pPr>
    </w:p>
    <w:p w:rsidR="006D360E" w:rsidRDefault="006D360E" w:rsidP="000413D1">
      <w:pPr>
        <w:spacing w:before="0"/>
        <w:ind w:right="91"/>
        <w:jc w:val="center"/>
        <w:rPr>
          <w:b/>
          <w:u w:val="single"/>
        </w:rPr>
      </w:pPr>
      <w:r w:rsidRPr="006D360E">
        <w:rPr>
          <w:b/>
          <w:u w:val="single"/>
        </w:rPr>
        <w:t>Select L</w:t>
      </w:r>
      <w:r w:rsidR="00070448">
        <w:rPr>
          <w:b/>
          <w:u w:val="single"/>
        </w:rPr>
        <w:t xml:space="preserve">egislative Instrument </w:t>
      </w:r>
      <w:r w:rsidR="005A219A">
        <w:rPr>
          <w:b/>
          <w:u w:val="single"/>
        </w:rPr>
        <w:t>2013 No. 140</w:t>
      </w:r>
      <w:bookmarkStart w:id="0" w:name="_GoBack"/>
      <w:bookmarkEnd w:id="0"/>
    </w:p>
    <w:p w:rsidR="006D360E" w:rsidRDefault="006D360E" w:rsidP="000413D1">
      <w:pPr>
        <w:spacing w:before="0"/>
        <w:ind w:right="91"/>
        <w:jc w:val="center"/>
        <w:rPr>
          <w:b/>
          <w:u w:val="single"/>
        </w:rPr>
      </w:pPr>
    </w:p>
    <w:p w:rsidR="006D360E" w:rsidRPr="006D360E" w:rsidRDefault="006D360E" w:rsidP="000413D1">
      <w:pPr>
        <w:spacing w:before="0"/>
        <w:ind w:right="91"/>
        <w:jc w:val="center"/>
      </w:pPr>
      <w:r>
        <w:t>Issued by the authority of the Minister for Housing</w:t>
      </w:r>
      <w:r w:rsidR="00E022EB">
        <w:t xml:space="preserve"> and Homelessness</w:t>
      </w:r>
    </w:p>
    <w:p w:rsidR="006D360E" w:rsidRDefault="006D360E" w:rsidP="000413D1">
      <w:pPr>
        <w:spacing w:before="0"/>
        <w:ind w:right="91"/>
        <w:jc w:val="center"/>
        <w:rPr>
          <w:i/>
        </w:rPr>
      </w:pPr>
    </w:p>
    <w:p w:rsidR="009B6193" w:rsidRDefault="006D360E" w:rsidP="000413D1">
      <w:pPr>
        <w:spacing w:before="0"/>
        <w:ind w:right="91"/>
        <w:jc w:val="center"/>
        <w:rPr>
          <w:i/>
        </w:rPr>
      </w:pPr>
      <w:r>
        <w:rPr>
          <w:i/>
        </w:rPr>
        <w:t>National Rental Affordability Scheme Act 2008</w:t>
      </w:r>
    </w:p>
    <w:p w:rsidR="005E7903" w:rsidRDefault="005E7903" w:rsidP="000413D1">
      <w:pPr>
        <w:spacing w:before="0"/>
        <w:ind w:right="91"/>
        <w:jc w:val="center"/>
        <w:rPr>
          <w:i/>
        </w:rPr>
      </w:pPr>
    </w:p>
    <w:p w:rsidR="006D360E" w:rsidRPr="00A370B0" w:rsidRDefault="006D360E" w:rsidP="000413D1">
      <w:pPr>
        <w:spacing w:before="0"/>
        <w:ind w:right="91"/>
        <w:jc w:val="center"/>
      </w:pPr>
      <w:r>
        <w:rPr>
          <w:i/>
        </w:rPr>
        <w:t>National Rental Affordabil</w:t>
      </w:r>
      <w:r w:rsidR="0034285F">
        <w:rPr>
          <w:i/>
        </w:rPr>
        <w:t>ity Scheme Amendment</w:t>
      </w:r>
      <w:r w:rsidR="00070448">
        <w:rPr>
          <w:i/>
        </w:rPr>
        <w:t xml:space="preserve"> (Incentive Election)</w:t>
      </w:r>
      <w:r w:rsidR="0034285F">
        <w:rPr>
          <w:i/>
        </w:rPr>
        <w:t xml:space="preserve"> Regulation</w:t>
      </w:r>
      <w:r w:rsidR="00895AB4">
        <w:rPr>
          <w:i/>
        </w:rPr>
        <w:t xml:space="preserve"> 2013</w:t>
      </w:r>
    </w:p>
    <w:p w:rsidR="009B6193" w:rsidRDefault="009B6193" w:rsidP="009B6193">
      <w:pPr>
        <w:spacing w:before="0"/>
        <w:ind w:right="91"/>
      </w:pPr>
    </w:p>
    <w:p w:rsidR="00E42AC0" w:rsidRDefault="00E42AC0" w:rsidP="009B6193">
      <w:pPr>
        <w:spacing w:before="0"/>
        <w:ind w:right="91"/>
        <w:rPr>
          <w:u w:val="single"/>
        </w:rPr>
      </w:pPr>
      <w:r>
        <w:rPr>
          <w:u w:val="single"/>
        </w:rPr>
        <w:t>General outline</w:t>
      </w:r>
    </w:p>
    <w:p w:rsidR="00E42AC0" w:rsidRDefault="00E42AC0" w:rsidP="009B6193">
      <w:pPr>
        <w:spacing w:before="0"/>
        <w:ind w:right="91"/>
        <w:rPr>
          <w:u w:val="single"/>
        </w:rPr>
      </w:pPr>
    </w:p>
    <w:p w:rsidR="00E42AC0" w:rsidRDefault="00213A1E" w:rsidP="00E42AC0">
      <w:pPr>
        <w:spacing w:before="0"/>
        <w:ind w:right="91"/>
        <w:rPr>
          <w:szCs w:val="24"/>
        </w:rPr>
      </w:pPr>
      <w:r>
        <w:rPr>
          <w:szCs w:val="24"/>
        </w:rPr>
        <w:t>The purpose of this</w:t>
      </w:r>
      <w:r w:rsidR="00097AC0">
        <w:rPr>
          <w:szCs w:val="24"/>
        </w:rPr>
        <w:t xml:space="preserve"> Regulation</w:t>
      </w:r>
      <w:r>
        <w:rPr>
          <w:szCs w:val="24"/>
        </w:rPr>
        <w:t xml:space="preserve"> is to provide</w:t>
      </w:r>
      <w:r w:rsidR="00230FBF">
        <w:rPr>
          <w:szCs w:val="24"/>
        </w:rPr>
        <w:t xml:space="preserve"> those</w:t>
      </w:r>
      <w:r>
        <w:rPr>
          <w:szCs w:val="24"/>
        </w:rPr>
        <w:t xml:space="preserve"> applicants </w:t>
      </w:r>
      <w:r w:rsidR="00A6184E">
        <w:rPr>
          <w:szCs w:val="24"/>
        </w:rPr>
        <w:t xml:space="preserve">and approved participants under </w:t>
      </w:r>
      <w:r>
        <w:rPr>
          <w:szCs w:val="24"/>
        </w:rPr>
        <w:t>the National Rental Affordability Scheme (“NRAS” or “the Scheme”)</w:t>
      </w:r>
      <w:r w:rsidR="00A6184E">
        <w:rPr>
          <w:szCs w:val="24"/>
        </w:rPr>
        <w:t xml:space="preserve"> </w:t>
      </w:r>
      <w:r w:rsidR="00926957">
        <w:rPr>
          <w:szCs w:val="24"/>
        </w:rPr>
        <w:t>that</w:t>
      </w:r>
      <w:r w:rsidR="00A6184E">
        <w:rPr>
          <w:szCs w:val="24"/>
        </w:rPr>
        <w:t xml:space="preserve"> are endorsed charitable institutions</w:t>
      </w:r>
      <w:r>
        <w:rPr>
          <w:szCs w:val="24"/>
        </w:rPr>
        <w:t xml:space="preserve"> with greater flexibility </w:t>
      </w:r>
      <w:r w:rsidR="00B85FB8">
        <w:rPr>
          <w:szCs w:val="24"/>
        </w:rPr>
        <w:t>around</w:t>
      </w:r>
      <w:r w:rsidR="00A6184E">
        <w:rPr>
          <w:szCs w:val="24"/>
        </w:rPr>
        <w:t xml:space="preserve"> when they are able to make an election to receive NRAS incentives in the form of a tax offset certificate instead of a </w:t>
      </w:r>
      <w:r w:rsidR="00E2421C">
        <w:rPr>
          <w:szCs w:val="24"/>
        </w:rPr>
        <w:t xml:space="preserve">monetary </w:t>
      </w:r>
      <w:r w:rsidR="00A6184E">
        <w:rPr>
          <w:szCs w:val="24"/>
        </w:rPr>
        <w:t>payment.</w:t>
      </w:r>
    </w:p>
    <w:p w:rsidR="00E42AC0" w:rsidRDefault="00E42AC0" w:rsidP="009B6193">
      <w:pPr>
        <w:spacing w:before="0"/>
        <w:ind w:right="91"/>
        <w:rPr>
          <w:u w:val="single"/>
        </w:rPr>
      </w:pPr>
    </w:p>
    <w:p w:rsidR="00E42AC0" w:rsidRPr="00EB5D51" w:rsidRDefault="00E42AC0" w:rsidP="009B6193">
      <w:pPr>
        <w:spacing w:before="0"/>
        <w:ind w:right="91"/>
        <w:rPr>
          <w:u w:val="single"/>
        </w:rPr>
      </w:pPr>
      <w:r>
        <w:rPr>
          <w:u w:val="single"/>
        </w:rPr>
        <w:t>Background</w:t>
      </w:r>
    </w:p>
    <w:p w:rsidR="00E42AC0" w:rsidRDefault="00E42AC0" w:rsidP="009B6193">
      <w:pPr>
        <w:spacing w:before="0"/>
        <w:ind w:right="91"/>
      </w:pPr>
    </w:p>
    <w:p w:rsidR="006D360E" w:rsidRPr="00B13E55" w:rsidRDefault="006D360E" w:rsidP="006D360E">
      <w:pPr>
        <w:spacing w:before="0"/>
        <w:rPr>
          <w:szCs w:val="24"/>
        </w:rPr>
      </w:pPr>
      <w:r w:rsidRPr="00B13E55">
        <w:rPr>
          <w:szCs w:val="24"/>
        </w:rPr>
        <w:t xml:space="preserve">Section 12 of the </w:t>
      </w:r>
      <w:r w:rsidRPr="00B13E55">
        <w:rPr>
          <w:i/>
          <w:iCs/>
          <w:szCs w:val="24"/>
        </w:rPr>
        <w:t>National Rental Affordability Scheme Act 2008</w:t>
      </w:r>
      <w:r w:rsidRPr="00B13E55">
        <w:rPr>
          <w:szCs w:val="24"/>
        </w:rPr>
        <w:t xml:space="preserve"> (</w:t>
      </w:r>
      <w:r w:rsidR="009447DD">
        <w:rPr>
          <w:szCs w:val="24"/>
        </w:rPr>
        <w:t>“</w:t>
      </w:r>
      <w:r w:rsidRPr="00B13E55">
        <w:rPr>
          <w:szCs w:val="24"/>
        </w:rPr>
        <w:t>the Act</w:t>
      </w:r>
      <w:r w:rsidR="009447DD">
        <w:rPr>
          <w:szCs w:val="24"/>
        </w:rPr>
        <w:t>”</w:t>
      </w:r>
      <w:r w:rsidRPr="00B13E55">
        <w:rPr>
          <w:szCs w:val="24"/>
        </w:rPr>
        <w:t>) provides that the Governor</w:t>
      </w:r>
      <w:r w:rsidR="00E42AC0">
        <w:rPr>
          <w:szCs w:val="24"/>
        </w:rPr>
        <w:t>-</w:t>
      </w:r>
      <w:r w:rsidRPr="00B13E55">
        <w:rPr>
          <w:szCs w:val="24"/>
        </w:rPr>
        <w:t>General may make regulations prescribing matters required or permitted by the Act to be prescribed, or necessary or convenient to be prescribed for carrying out or giving effect to the Act.</w:t>
      </w:r>
      <w:r w:rsidR="00E42AC0">
        <w:rPr>
          <w:szCs w:val="24"/>
        </w:rPr>
        <w:t xml:space="preserve"> </w:t>
      </w:r>
      <w:r w:rsidR="00317E2F">
        <w:rPr>
          <w:szCs w:val="24"/>
        </w:rPr>
        <w:t xml:space="preserve"> </w:t>
      </w:r>
      <w:r w:rsidR="00E42AC0">
        <w:rPr>
          <w:szCs w:val="24"/>
        </w:rPr>
        <w:t xml:space="preserve">Section 5 of the Act provides that “the regulations must prescribe a Scheme (the </w:t>
      </w:r>
      <w:r w:rsidR="00E42AC0">
        <w:rPr>
          <w:b/>
          <w:i/>
          <w:szCs w:val="24"/>
        </w:rPr>
        <w:t>National Rental Affordability Scheme</w:t>
      </w:r>
      <w:r w:rsidR="00E42AC0">
        <w:rPr>
          <w:szCs w:val="24"/>
        </w:rPr>
        <w:t>)”</w:t>
      </w:r>
      <w:r w:rsidR="00682337">
        <w:rPr>
          <w:szCs w:val="24"/>
        </w:rPr>
        <w:t xml:space="preserve"> to cover certain matters listed in that provision</w:t>
      </w:r>
      <w:r w:rsidR="00E42AC0">
        <w:rPr>
          <w:szCs w:val="24"/>
        </w:rPr>
        <w:t>.</w:t>
      </w:r>
    </w:p>
    <w:p w:rsidR="00E42AC0" w:rsidRDefault="00E42AC0" w:rsidP="006D360E">
      <w:pPr>
        <w:rPr>
          <w:szCs w:val="24"/>
        </w:rPr>
      </w:pPr>
      <w:r>
        <w:rPr>
          <w:szCs w:val="24"/>
        </w:rPr>
        <w:t xml:space="preserve">For this purpose, the </w:t>
      </w:r>
      <w:r>
        <w:rPr>
          <w:i/>
          <w:szCs w:val="24"/>
        </w:rPr>
        <w:t xml:space="preserve">National Rental Affordability Scheme Regulations 2008 </w:t>
      </w:r>
      <w:r>
        <w:rPr>
          <w:szCs w:val="24"/>
        </w:rPr>
        <w:t>(</w:t>
      </w:r>
      <w:r w:rsidR="009447DD">
        <w:rPr>
          <w:szCs w:val="24"/>
        </w:rPr>
        <w:t>“</w:t>
      </w:r>
      <w:r>
        <w:rPr>
          <w:szCs w:val="24"/>
        </w:rPr>
        <w:t xml:space="preserve">the </w:t>
      </w:r>
      <w:r w:rsidR="005847C3">
        <w:rPr>
          <w:szCs w:val="24"/>
        </w:rPr>
        <w:t xml:space="preserve">Principal </w:t>
      </w:r>
      <w:r>
        <w:rPr>
          <w:szCs w:val="24"/>
        </w:rPr>
        <w:t>Regulations</w:t>
      </w:r>
      <w:r w:rsidR="009447DD">
        <w:rPr>
          <w:szCs w:val="24"/>
        </w:rPr>
        <w:t>”</w:t>
      </w:r>
      <w:r>
        <w:rPr>
          <w:szCs w:val="24"/>
        </w:rPr>
        <w:t xml:space="preserve">) establish the </w:t>
      </w:r>
      <w:r w:rsidR="00C2236D">
        <w:rPr>
          <w:szCs w:val="24"/>
        </w:rPr>
        <w:t>Scheme</w:t>
      </w:r>
      <w:r>
        <w:rPr>
          <w:szCs w:val="24"/>
        </w:rPr>
        <w:t xml:space="preserve">, </w:t>
      </w:r>
      <w:r w:rsidRPr="00B13E55">
        <w:rPr>
          <w:szCs w:val="24"/>
        </w:rPr>
        <w:t>providing conditions for applications, assessment, allocation and eligibility for</w:t>
      </w:r>
      <w:r>
        <w:rPr>
          <w:szCs w:val="24"/>
        </w:rPr>
        <w:t xml:space="preserve"> payment of</w:t>
      </w:r>
      <w:r w:rsidRPr="00B13E55">
        <w:rPr>
          <w:szCs w:val="24"/>
        </w:rPr>
        <w:t xml:space="preserve"> incentive</w:t>
      </w:r>
      <w:r>
        <w:rPr>
          <w:szCs w:val="24"/>
        </w:rPr>
        <w:t>s</w:t>
      </w:r>
      <w:r w:rsidRPr="00B13E55">
        <w:rPr>
          <w:szCs w:val="24"/>
        </w:rPr>
        <w:t xml:space="preserve">. </w:t>
      </w:r>
    </w:p>
    <w:p w:rsidR="006D360E" w:rsidRPr="00B13E55" w:rsidRDefault="006D360E" w:rsidP="006D360E">
      <w:pPr>
        <w:rPr>
          <w:szCs w:val="24"/>
        </w:rPr>
      </w:pPr>
      <w:r w:rsidRPr="00B13E55">
        <w:rPr>
          <w:szCs w:val="24"/>
        </w:rPr>
        <w:t xml:space="preserve">The Scheme is intended to </w:t>
      </w:r>
      <w:r w:rsidR="003E4796">
        <w:rPr>
          <w:szCs w:val="24"/>
        </w:rPr>
        <w:t xml:space="preserve">stimulate the supply </w:t>
      </w:r>
      <w:r w:rsidRPr="00B13E55">
        <w:rPr>
          <w:szCs w:val="24"/>
        </w:rPr>
        <w:t xml:space="preserve">of </w:t>
      </w:r>
      <w:r w:rsidR="003E4796">
        <w:rPr>
          <w:szCs w:val="24"/>
        </w:rPr>
        <w:t xml:space="preserve">more </w:t>
      </w:r>
      <w:r w:rsidRPr="00B13E55">
        <w:rPr>
          <w:szCs w:val="24"/>
        </w:rPr>
        <w:t>affordable rental housing by offering incentives to entities</w:t>
      </w:r>
      <w:r w:rsidR="00B85FB8">
        <w:rPr>
          <w:szCs w:val="24"/>
        </w:rPr>
        <w:t xml:space="preserve"> to</w:t>
      </w:r>
      <w:r w:rsidRPr="00B13E55">
        <w:rPr>
          <w:szCs w:val="24"/>
        </w:rPr>
        <w:t xml:space="preserve"> provid</w:t>
      </w:r>
      <w:r w:rsidR="00B85FB8">
        <w:rPr>
          <w:szCs w:val="24"/>
        </w:rPr>
        <w:t>e</w:t>
      </w:r>
      <w:r w:rsidRPr="00B13E55">
        <w:rPr>
          <w:szCs w:val="24"/>
        </w:rPr>
        <w:t xml:space="preserve"> new rental housing to low and moderate income household</w:t>
      </w:r>
      <w:r w:rsidR="008F0394">
        <w:rPr>
          <w:szCs w:val="24"/>
        </w:rPr>
        <w:t>s</w:t>
      </w:r>
      <w:r w:rsidR="00230FBF">
        <w:rPr>
          <w:szCs w:val="24"/>
        </w:rPr>
        <w:t xml:space="preserve">, </w:t>
      </w:r>
      <w:r w:rsidR="00B85FB8">
        <w:rPr>
          <w:szCs w:val="24"/>
        </w:rPr>
        <w:t xml:space="preserve">on condition that rent is charged at </w:t>
      </w:r>
      <w:r w:rsidR="003E4796">
        <w:rPr>
          <w:szCs w:val="24"/>
        </w:rPr>
        <w:t xml:space="preserve">least </w:t>
      </w:r>
      <w:r w:rsidR="00230FBF">
        <w:rPr>
          <w:szCs w:val="24"/>
        </w:rPr>
        <w:t>20% below market value rent</w:t>
      </w:r>
      <w:r w:rsidR="008F0394">
        <w:rPr>
          <w:szCs w:val="24"/>
        </w:rPr>
        <w:t>.</w:t>
      </w:r>
      <w:r w:rsidR="00230FBF">
        <w:rPr>
          <w:szCs w:val="24"/>
        </w:rPr>
        <w:t xml:space="preserve"> </w:t>
      </w:r>
      <w:r w:rsidR="00E2421C">
        <w:rPr>
          <w:szCs w:val="24"/>
        </w:rPr>
        <w:t xml:space="preserve"> </w:t>
      </w:r>
      <w:r w:rsidR="00230FBF">
        <w:rPr>
          <w:szCs w:val="24"/>
        </w:rPr>
        <w:t xml:space="preserve">An entity which </w:t>
      </w:r>
      <w:r w:rsidR="001E6133">
        <w:rPr>
          <w:szCs w:val="24"/>
        </w:rPr>
        <w:t xml:space="preserve">has received </w:t>
      </w:r>
      <w:r w:rsidR="00230FBF">
        <w:rPr>
          <w:szCs w:val="24"/>
        </w:rPr>
        <w:t>an allocation</w:t>
      </w:r>
      <w:r w:rsidR="004542D4">
        <w:rPr>
          <w:szCs w:val="24"/>
        </w:rPr>
        <w:t xml:space="preserve"> (an allotment of an entitlement to receive an incentive)</w:t>
      </w:r>
      <w:r w:rsidR="00230FBF">
        <w:rPr>
          <w:szCs w:val="24"/>
        </w:rPr>
        <w:t xml:space="preserve"> under the Scheme is known as an approved participant.</w:t>
      </w:r>
      <w:r w:rsidR="004542D4">
        <w:rPr>
          <w:szCs w:val="24"/>
        </w:rPr>
        <w:t xml:space="preserve"> </w:t>
      </w:r>
      <w:r w:rsidR="00E2421C">
        <w:rPr>
          <w:szCs w:val="24"/>
        </w:rPr>
        <w:t xml:space="preserve"> </w:t>
      </w:r>
      <w:r w:rsidR="004542D4">
        <w:rPr>
          <w:szCs w:val="24"/>
        </w:rPr>
        <w:t xml:space="preserve">An entity which has received a reservation of allocation (an allocation to </w:t>
      </w:r>
      <w:r w:rsidR="001E6133">
        <w:rPr>
          <w:szCs w:val="24"/>
        </w:rPr>
        <w:t xml:space="preserve">be </w:t>
      </w:r>
      <w:r w:rsidR="004542D4">
        <w:rPr>
          <w:szCs w:val="24"/>
        </w:rPr>
        <w:t>made when certain conditions are fulfilled) is referred to as an applicant, and becomes an approved participant upon the fulfilment of the conditions of the reservation.</w:t>
      </w:r>
    </w:p>
    <w:p w:rsidR="00E42AC0" w:rsidRDefault="00E42AC0" w:rsidP="00E42AC0">
      <w:pPr>
        <w:spacing w:before="0"/>
        <w:ind w:right="91"/>
        <w:rPr>
          <w:szCs w:val="24"/>
        </w:rPr>
      </w:pPr>
    </w:p>
    <w:p w:rsidR="00D532EC" w:rsidRDefault="00E42AC0" w:rsidP="00E42AC0">
      <w:pPr>
        <w:spacing w:before="0"/>
        <w:ind w:right="91"/>
        <w:rPr>
          <w:szCs w:val="24"/>
        </w:rPr>
      </w:pPr>
      <w:r>
        <w:rPr>
          <w:szCs w:val="24"/>
        </w:rPr>
        <w:t>The Scheme provides that an incentive is payable</w:t>
      </w:r>
      <w:r w:rsidR="00423AD6">
        <w:rPr>
          <w:szCs w:val="24"/>
        </w:rPr>
        <w:t>, or made through the issue of a tax offset certificate,</w:t>
      </w:r>
      <w:r>
        <w:rPr>
          <w:szCs w:val="24"/>
        </w:rPr>
        <w:t xml:space="preserve"> to an approved participant in respect of a dwelling when the conditions of an allocation for that dwelling are satisfied. </w:t>
      </w:r>
      <w:r w:rsidR="00230FBF">
        <w:rPr>
          <w:szCs w:val="24"/>
        </w:rPr>
        <w:t xml:space="preserve"> Approved participants</w:t>
      </w:r>
      <w:r w:rsidR="00317E2F">
        <w:rPr>
          <w:szCs w:val="24"/>
        </w:rPr>
        <w:t>,</w:t>
      </w:r>
      <w:r w:rsidR="00230FBF">
        <w:rPr>
          <w:szCs w:val="24"/>
        </w:rPr>
        <w:t xml:space="preserve"> which are not endorsed charitable institutions</w:t>
      </w:r>
      <w:r w:rsidR="00317E2F">
        <w:rPr>
          <w:szCs w:val="24"/>
        </w:rPr>
        <w:t>,</w:t>
      </w:r>
      <w:r w:rsidR="00230FBF">
        <w:rPr>
          <w:szCs w:val="24"/>
        </w:rPr>
        <w:t xml:space="preserve"> receive the incentive in the form of a tax offset certificate. </w:t>
      </w:r>
      <w:r w:rsidR="00E2421C">
        <w:rPr>
          <w:szCs w:val="24"/>
        </w:rPr>
        <w:t xml:space="preserve"> </w:t>
      </w:r>
      <w:r w:rsidR="00230FBF">
        <w:rPr>
          <w:szCs w:val="24"/>
        </w:rPr>
        <w:t>Approved participants</w:t>
      </w:r>
      <w:r w:rsidR="00317E2F">
        <w:rPr>
          <w:szCs w:val="24"/>
        </w:rPr>
        <w:t>,</w:t>
      </w:r>
      <w:r w:rsidR="00230FBF">
        <w:rPr>
          <w:szCs w:val="24"/>
        </w:rPr>
        <w:t xml:space="preserve"> which are endorsed charitable institutions</w:t>
      </w:r>
      <w:r w:rsidR="00317E2F">
        <w:rPr>
          <w:szCs w:val="24"/>
        </w:rPr>
        <w:t>,</w:t>
      </w:r>
      <w:r w:rsidR="00230FBF">
        <w:rPr>
          <w:szCs w:val="24"/>
        </w:rPr>
        <w:t xml:space="preserve"> </w:t>
      </w:r>
      <w:r w:rsidR="00423AD6">
        <w:rPr>
          <w:szCs w:val="24"/>
        </w:rPr>
        <w:t>are</w:t>
      </w:r>
      <w:r w:rsidR="00FD29F3">
        <w:rPr>
          <w:szCs w:val="24"/>
        </w:rPr>
        <w:t xml:space="preserve"> only able to receive incentives in the form of a </w:t>
      </w:r>
      <w:r w:rsidR="00E2421C">
        <w:rPr>
          <w:szCs w:val="24"/>
        </w:rPr>
        <w:t xml:space="preserve">monetary </w:t>
      </w:r>
      <w:r w:rsidR="00FD29F3">
        <w:rPr>
          <w:szCs w:val="24"/>
        </w:rPr>
        <w:t>payment</w:t>
      </w:r>
      <w:r w:rsidR="00423AD6">
        <w:rPr>
          <w:szCs w:val="24"/>
        </w:rPr>
        <w:t>, unless they are able</w:t>
      </w:r>
      <w:r w:rsidR="00783C89">
        <w:rPr>
          <w:szCs w:val="24"/>
        </w:rPr>
        <w:t xml:space="preserve"> to make</w:t>
      </w:r>
      <w:r w:rsidR="00423AD6">
        <w:rPr>
          <w:szCs w:val="24"/>
        </w:rPr>
        <w:t xml:space="preserve">, and have made, an </w:t>
      </w:r>
      <w:r w:rsidR="009D5E5F">
        <w:rPr>
          <w:szCs w:val="24"/>
        </w:rPr>
        <w:t>“</w:t>
      </w:r>
      <w:r w:rsidR="00423AD6">
        <w:rPr>
          <w:szCs w:val="24"/>
        </w:rPr>
        <w:t>election</w:t>
      </w:r>
      <w:r w:rsidR="009D5E5F">
        <w:rPr>
          <w:szCs w:val="24"/>
        </w:rPr>
        <w:t>”</w:t>
      </w:r>
      <w:r w:rsidR="00FE1030">
        <w:rPr>
          <w:szCs w:val="24"/>
        </w:rPr>
        <w:t xml:space="preserve"> to receive the incentive as a tax offset certificate</w:t>
      </w:r>
      <w:r w:rsidR="00FD29F3">
        <w:rPr>
          <w:szCs w:val="24"/>
        </w:rPr>
        <w:t>.</w:t>
      </w:r>
      <w:r w:rsidR="00423AD6">
        <w:rPr>
          <w:szCs w:val="24"/>
        </w:rPr>
        <w:t xml:space="preserve">  </w:t>
      </w:r>
    </w:p>
    <w:p w:rsidR="00E2421C" w:rsidRDefault="00E2421C" w:rsidP="00E42AC0">
      <w:pPr>
        <w:spacing w:before="0"/>
        <w:ind w:right="91"/>
        <w:rPr>
          <w:szCs w:val="24"/>
        </w:rPr>
      </w:pPr>
    </w:p>
    <w:p w:rsidR="00DA418E" w:rsidRDefault="00423AD6" w:rsidP="00E42AC0">
      <w:pPr>
        <w:spacing w:before="0"/>
        <w:ind w:right="91"/>
        <w:rPr>
          <w:szCs w:val="24"/>
        </w:rPr>
      </w:pPr>
      <w:r>
        <w:rPr>
          <w:szCs w:val="24"/>
        </w:rPr>
        <w:lastRenderedPageBreak/>
        <w:t>Rules around</w:t>
      </w:r>
      <w:r w:rsidR="009D5E5F">
        <w:rPr>
          <w:szCs w:val="24"/>
        </w:rPr>
        <w:t xml:space="preserve"> such</w:t>
      </w:r>
      <w:r>
        <w:rPr>
          <w:szCs w:val="24"/>
        </w:rPr>
        <w:t xml:space="preserve"> elections were inserted into the Principal Regulations by</w:t>
      </w:r>
      <w:r w:rsidR="00FD29F3">
        <w:rPr>
          <w:szCs w:val="24"/>
        </w:rPr>
        <w:t xml:space="preserve"> </w:t>
      </w:r>
      <w:r>
        <w:rPr>
          <w:szCs w:val="24"/>
        </w:rPr>
        <w:t>t</w:t>
      </w:r>
      <w:r w:rsidR="00FD29F3">
        <w:rPr>
          <w:szCs w:val="24"/>
        </w:rPr>
        <w:t xml:space="preserve">he </w:t>
      </w:r>
      <w:r w:rsidR="00FD29F3">
        <w:rPr>
          <w:i/>
          <w:szCs w:val="24"/>
        </w:rPr>
        <w:t>National Rental Affordability Scheme Amendment Regulations 2010</w:t>
      </w:r>
      <w:r>
        <w:rPr>
          <w:szCs w:val="24"/>
        </w:rPr>
        <w:t>, which</w:t>
      </w:r>
      <w:r w:rsidR="00FD29F3">
        <w:rPr>
          <w:szCs w:val="24"/>
        </w:rPr>
        <w:t xml:space="preserve"> inserted regulation 28A</w:t>
      </w:r>
      <w:r>
        <w:rPr>
          <w:szCs w:val="24"/>
        </w:rPr>
        <w:t>.  That provision, prior to these amendments,</w:t>
      </w:r>
      <w:r w:rsidR="00FD29F3">
        <w:rPr>
          <w:szCs w:val="24"/>
        </w:rPr>
        <w:t xml:space="preserve"> provides for limited circumstances in which an approved participant which is, or becomes, an endorsed charitable institution</w:t>
      </w:r>
      <w:r w:rsidR="009D5E5F">
        <w:rPr>
          <w:szCs w:val="24"/>
        </w:rPr>
        <w:t>,</w:t>
      </w:r>
      <w:r w:rsidR="00FD29F3">
        <w:rPr>
          <w:szCs w:val="24"/>
        </w:rPr>
        <w:t xml:space="preserve"> may elect to receive the incentive as a tax offset rather than as a </w:t>
      </w:r>
      <w:r w:rsidR="00E2421C">
        <w:rPr>
          <w:szCs w:val="24"/>
        </w:rPr>
        <w:t xml:space="preserve">monetary </w:t>
      </w:r>
      <w:r w:rsidR="00FD29F3">
        <w:rPr>
          <w:szCs w:val="24"/>
        </w:rPr>
        <w:t>payment.</w:t>
      </w:r>
      <w:r w:rsidR="00DA418E">
        <w:rPr>
          <w:szCs w:val="24"/>
        </w:rPr>
        <w:t xml:space="preserve"> </w:t>
      </w:r>
      <w:r w:rsidR="00317E2F">
        <w:rPr>
          <w:szCs w:val="24"/>
        </w:rPr>
        <w:t xml:space="preserve"> </w:t>
      </w:r>
      <w:r w:rsidR="00DA418E">
        <w:rPr>
          <w:szCs w:val="24"/>
        </w:rPr>
        <w:t>There are essentially three such circumstances:</w:t>
      </w:r>
    </w:p>
    <w:p w:rsidR="00DA418E" w:rsidRPr="00A90903" w:rsidRDefault="00DA418E" w:rsidP="00E42AC0">
      <w:pPr>
        <w:spacing w:before="0"/>
        <w:ind w:right="91"/>
        <w:rPr>
          <w:szCs w:val="24"/>
        </w:rPr>
      </w:pPr>
    </w:p>
    <w:p w:rsidR="00A90903" w:rsidRPr="00A90903" w:rsidRDefault="00A90903" w:rsidP="00A90903">
      <w:pPr>
        <w:numPr>
          <w:ilvl w:val="0"/>
          <w:numId w:val="3"/>
        </w:numPr>
        <w:spacing w:before="0"/>
        <w:ind w:right="91"/>
        <w:rPr>
          <w:szCs w:val="24"/>
        </w:rPr>
      </w:pPr>
      <w:r>
        <w:rPr>
          <w:iCs/>
          <w:szCs w:val="24"/>
        </w:rPr>
        <w:t>Applicants to the Scheme which</w:t>
      </w:r>
      <w:r w:rsidRPr="00A90903">
        <w:rPr>
          <w:iCs/>
          <w:szCs w:val="24"/>
        </w:rPr>
        <w:t xml:space="preserve"> are endorsed charitable institutions may make an election at the time an offer of allocation or reservation of allocation is accepted by the applicant (paragraph 28A(1)(a) and subregulation 28A(3) of the </w:t>
      </w:r>
      <w:r w:rsidR="00317E2F">
        <w:rPr>
          <w:iCs/>
          <w:szCs w:val="24"/>
        </w:rPr>
        <w:t xml:space="preserve">Principal </w:t>
      </w:r>
      <w:r w:rsidRPr="00A90903">
        <w:rPr>
          <w:iCs/>
          <w:szCs w:val="24"/>
        </w:rPr>
        <w:t>Regulations);</w:t>
      </w:r>
    </w:p>
    <w:p w:rsidR="00A90903" w:rsidRPr="00A90903" w:rsidRDefault="00A90903" w:rsidP="00A90903">
      <w:pPr>
        <w:numPr>
          <w:ilvl w:val="0"/>
          <w:numId w:val="3"/>
        </w:numPr>
        <w:spacing w:before="0"/>
        <w:ind w:right="91"/>
        <w:rPr>
          <w:szCs w:val="24"/>
        </w:rPr>
      </w:pPr>
      <w:r w:rsidRPr="00A90903">
        <w:rPr>
          <w:iCs/>
          <w:szCs w:val="24"/>
        </w:rPr>
        <w:t>An approved participant (</w:t>
      </w:r>
      <w:r w:rsidR="00423AD6">
        <w:rPr>
          <w:iCs/>
          <w:szCs w:val="24"/>
        </w:rPr>
        <w:t xml:space="preserve">subject to </w:t>
      </w:r>
      <w:r w:rsidRPr="00A90903">
        <w:rPr>
          <w:iCs/>
          <w:szCs w:val="24"/>
        </w:rPr>
        <w:t xml:space="preserve">allocations) that changes in status </w:t>
      </w:r>
      <w:r>
        <w:rPr>
          <w:iCs/>
          <w:szCs w:val="24"/>
        </w:rPr>
        <w:t xml:space="preserve">to become </w:t>
      </w:r>
      <w:r w:rsidRPr="00A90903">
        <w:rPr>
          <w:iCs/>
          <w:szCs w:val="24"/>
        </w:rPr>
        <w:t>an endorsed charitable institution part way through a NRAS year (running from 1 May to 30 April) may make an election by 13 May in the year after than NRAS year in which the change in status occurred (paragraph 28A(1)(b) and subregulation 28A(4);</w:t>
      </w:r>
    </w:p>
    <w:p w:rsidR="00DA418E" w:rsidRPr="00A90903" w:rsidRDefault="00A90903" w:rsidP="00E42AC0">
      <w:pPr>
        <w:numPr>
          <w:ilvl w:val="0"/>
          <w:numId w:val="3"/>
        </w:numPr>
        <w:spacing w:before="0"/>
        <w:ind w:right="91"/>
        <w:rPr>
          <w:szCs w:val="24"/>
        </w:rPr>
      </w:pPr>
      <w:r w:rsidRPr="00A90903">
        <w:rPr>
          <w:iCs/>
          <w:szCs w:val="24"/>
        </w:rPr>
        <w:t>Applicants which, before 13 May 2011, had already accepted an offer of a reserved allocation or approved participants which, before 13 May 2011, had been made an allocation were able to make an election prior to 13 May 2011 (subregulations 28A(2) and (5)).</w:t>
      </w:r>
    </w:p>
    <w:p w:rsidR="00A90903" w:rsidRDefault="00A90903" w:rsidP="00A90903">
      <w:pPr>
        <w:spacing w:before="0"/>
        <w:ind w:right="91"/>
        <w:rPr>
          <w:iCs/>
          <w:szCs w:val="24"/>
        </w:rPr>
      </w:pPr>
    </w:p>
    <w:p w:rsidR="00A90903" w:rsidRDefault="00F41820" w:rsidP="00A90903">
      <w:pPr>
        <w:spacing w:before="0"/>
        <w:ind w:right="91"/>
        <w:rPr>
          <w:szCs w:val="24"/>
        </w:rPr>
      </w:pPr>
      <w:r>
        <w:rPr>
          <w:szCs w:val="24"/>
        </w:rPr>
        <w:t xml:space="preserve">Prior to this </w:t>
      </w:r>
      <w:r w:rsidR="00097AC0">
        <w:rPr>
          <w:szCs w:val="24"/>
        </w:rPr>
        <w:t>Regulation</w:t>
      </w:r>
      <w:r w:rsidR="00423AD6">
        <w:rPr>
          <w:szCs w:val="24"/>
        </w:rPr>
        <w:t xml:space="preserve">, if an endorsed charitable institution did not make an election at the time </w:t>
      </w:r>
      <w:r w:rsidR="00783C89">
        <w:rPr>
          <w:szCs w:val="24"/>
        </w:rPr>
        <w:t xml:space="preserve">that it accepted </w:t>
      </w:r>
      <w:r w:rsidR="00423AD6" w:rsidRPr="00A90903">
        <w:rPr>
          <w:iCs/>
          <w:szCs w:val="24"/>
        </w:rPr>
        <w:t>an offer of allocation</w:t>
      </w:r>
      <w:r w:rsidR="00423AD6">
        <w:rPr>
          <w:iCs/>
          <w:szCs w:val="24"/>
        </w:rPr>
        <w:t xml:space="preserve"> or reservation of allocation</w:t>
      </w:r>
      <w:r w:rsidR="00E2421C">
        <w:rPr>
          <w:iCs/>
          <w:szCs w:val="24"/>
        </w:rPr>
        <w:t>,</w:t>
      </w:r>
      <w:r w:rsidR="00423AD6">
        <w:rPr>
          <w:iCs/>
          <w:szCs w:val="24"/>
        </w:rPr>
        <w:t xml:space="preserve"> </w:t>
      </w:r>
      <w:r w:rsidR="00783C89">
        <w:rPr>
          <w:szCs w:val="24"/>
        </w:rPr>
        <w:t xml:space="preserve">or if an existing approved participant </w:t>
      </w:r>
      <w:r w:rsidR="00B06C07">
        <w:rPr>
          <w:szCs w:val="24"/>
        </w:rPr>
        <w:t xml:space="preserve">that </w:t>
      </w:r>
      <w:r w:rsidR="00783C89">
        <w:rPr>
          <w:szCs w:val="24"/>
        </w:rPr>
        <w:t>became an endorsed charitable institution</w:t>
      </w:r>
      <w:r w:rsidR="00B06C07">
        <w:rPr>
          <w:szCs w:val="24"/>
        </w:rPr>
        <w:t xml:space="preserve"> did not make an election</w:t>
      </w:r>
      <w:r w:rsidR="00423AD6">
        <w:rPr>
          <w:szCs w:val="24"/>
        </w:rPr>
        <w:t xml:space="preserve"> </w:t>
      </w:r>
      <w:r w:rsidR="00B06C07">
        <w:rPr>
          <w:szCs w:val="24"/>
        </w:rPr>
        <w:t>by 13 May in the NRAS year following that change in status</w:t>
      </w:r>
      <w:r w:rsidR="00783C89">
        <w:rPr>
          <w:szCs w:val="24"/>
        </w:rPr>
        <w:t xml:space="preserve">, </w:t>
      </w:r>
      <w:r w:rsidR="00B06C07">
        <w:rPr>
          <w:szCs w:val="24"/>
        </w:rPr>
        <w:t>such entities</w:t>
      </w:r>
      <w:r w:rsidR="00E77C36">
        <w:rPr>
          <w:szCs w:val="24"/>
        </w:rPr>
        <w:t xml:space="preserve"> had no further ability to make an election at all</w:t>
      </w:r>
      <w:r w:rsidR="00B06C07">
        <w:rPr>
          <w:szCs w:val="24"/>
        </w:rPr>
        <w:t xml:space="preserve"> after 13 May 2011</w:t>
      </w:r>
      <w:r w:rsidR="00E77C36">
        <w:rPr>
          <w:szCs w:val="24"/>
        </w:rPr>
        <w:t>.</w:t>
      </w:r>
      <w:r w:rsidR="00423AD6">
        <w:rPr>
          <w:szCs w:val="24"/>
        </w:rPr>
        <w:t xml:space="preserve"> </w:t>
      </w:r>
    </w:p>
    <w:p w:rsidR="00A94743" w:rsidRDefault="00A94743" w:rsidP="00A90903">
      <w:pPr>
        <w:spacing w:before="0"/>
        <w:ind w:right="91"/>
        <w:rPr>
          <w:szCs w:val="24"/>
        </w:rPr>
      </w:pPr>
    </w:p>
    <w:p w:rsidR="00A94743" w:rsidRDefault="00A94743" w:rsidP="00A90903">
      <w:pPr>
        <w:spacing w:before="0"/>
        <w:ind w:right="91"/>
        <w:rPr>
          <w:szCs w:val="24"/>
        </w:rPr>
      </w:pPr>
      <w:r>
        <w:rPr>
          <w:szCs w:val="24"/>
        </w:rPr>
        <w:t xml:space="preserve">The purpose of this </w:t>
      </w:r>
      <w:r w:rsidR="00097AC0">
        <w:rPr>
          <w:szCs w:val="24"/>
        </w:rPr>
        <w:t>Regulation</w:t>
      </w:r>
      <w:r>
        <w:rPr>
          <w:szCs w:val="24"/>
        </w:rPr>
        <w:t xml:space="preserve"> is</w:t>
      </w:r>
      <w:r w:rsidR="00E77C36">
        <w:rPr>
          <w:szCs w:val="24"/>
        </w:rPr>
        <w:t xml:space="preserve"> to introduce more flexibility into the Scheme by</w:t>
      </w:r>
      <w:r>
        <w:rPr>
          <w:szCs w:val="24"/>
        </w:rPr>
        <w:t xml:space="preserve"> allow</w:t>
      </w:r>
      <w:r w:rsidR="00E77C36">
        <w:rPr>
          <w:szCs w:val="24"/>
        </w:rPr>
        <w:t>ing</w:t>
      </w:r>
      <w:r>
        <w:rPr>
          <w:szCs w:val="24"/>
        </w:rPr>
        <w:t xml:space="preserve"> applicants which have already been made offers of reservation of allocation, and existing approved participants which hold allocations, </w:t>
      </w:r>
      <w:r w:rsidR="000F766D">
        <w:rPr>
          <w:szCs w:val="24"/>
        </w:rPr>
        <w:t>to be able to make an</w:t>
      </w:r>
      <w:r w:rsidR="00317E2F">
        <w:rPr>
          <w:szCs w:val="24"/>
        </w:rPr>
        <w:t xml:space="preserve"> election under r</w:t>
      </w:r>
      <w:r w:rsidR="000F766D">
        <w:rPr>
          <w:szCs w:val="24"/>
        </w:rPr>
        <w:t xml:space="preserve">egulation 28A up until </w:t>
      </w:r>
      <w:r w:rsidR="00317E2F">
        <w:rPr>
          <w:szCs w:val="24"/>
        </w:rPr>
        <w:t>1 October</w:t>
      </w:r>
      <w:r w:rsidR="000F766D">
        <w:rPr>
          <w:szCs w:val="24"/>
        </w:rPr>
        <w:t xml:space="preserve"> 2013</w:t>
      </w:r>
      <w:r w:rsidR="00E77C36">
        <w:rPr>
          <w:szCs w:val="24"/>
        </w:rPr>
        <w:t xml:space="preserve"> (</w:t>
      </w:r>
      <w:r w:rsidR="0054555D">
        <w:rPr>
          <w:szCs w:val="24"/>
        </w:rPr>
        <w:t>inclusive of that date</w:t>
      </w:r>
      <w:r w:rsidR="00E77C36">
        <w:rPr>
          <w:szCs w:val="24"/>
        </w:rPr>
        <w:t>)</w:t>
      </w:r>
      <w:r w:rsidR="000F766D">
        <w:rPr>
          <w:szCs w:val="24"/>
        </w:rPr>
        <w:t xml:space="preserve">. </w:t>
      </w:r>
      <w:r w:rsidR="00E2421C">
        <w:rPr>
          <w:szCs w:val="24"/>
        </w:rPr>
        <w:t xml:space="preserve"> </w:t>
      </w:r>
      <w:r w:rsidR="00926957">
        <w:rPr>
          <w:szCs w:val="24"/>
        </w:rPr>
        <w:t xml:space="preserve">This </w:t>
      </w:r>
      <w:r w:rsidR="007837FB">
        <w:rPr>
          <w:szCs w:val="24"/>
        </w:rPr>
        <w:t>enables</w:t>
      </w:r>
      <w:r w:rsidR="008302DA">
        <w:rPr>
          <w:szCs w:val="24"/>
        </w:rPr>
        <w:t xml:space="preserve"> existing applicants and approved participants </w:t>
      </w:r>
      <w:r w:rsidR="00E2421C">
        <w:rPr>
          <w:szCs w:val="24"/>
        </w:rPr>
        <w:t>that</w:t>
      </w:r>
      <w:r w:rsidR="008302DA">
        <w:rPr>
          <w:szCs w:val="24"/>
        </w:rPr>
        <w:t xml:space="preserve"> wish to receive their incentives in the form of a tax offset, but did not elect to do so at the required time, an opportunity to make an election. </w:t>
      </w:r>
      <w:r w:rsidR="00E2421C">
        <w:rPr>
          <w:szCs w:val="24"/>
        </w:rPr>
        <w:t xml:space="preserve"> </w:t>
      </w:r>
      <w:r w:rsidR="00E23587">
        <w:rPr>
          <w:szCs w:val="24"/>
        </w:rPr>
        <w:t xml:space="preserve">The </w:t>
      </w:r>
      <w:r w:rsidR="00097AC0">
        <w:rPr>
          <w:szCs w:val="24"/>
        </w:rPr>
        <w:t>Regulation</w:t>
      </w:r>
      <w:r w:rsidR="00E23587">
        <w:rPr>
          <w:szCs w:val="24"/>
        </w:rPr>
        <w:t xml:space="preserve"> sets a fixed date by which elections must be made, rather than extending the ability to make an election indefinitely into the future, </w:t>
      </w:r>
      <w:r w:rsidR="00C36633">
        <w:rPr>
          <w:szCs w:val="24"/>
        </w:rPr>
        <w:t>in order to avoid undesirable budgetary uncertainty which could arise if the form of incentives is permanently variable.</w:t>
      </w:r>
    </w:p>
    <w:p w:rsidR="0054555D" w:rsidRDefault="0054555D" w:rsidP="00A90903">
      <w:pPr>
        <w:spacing w:before="0"/>
        <w:ind w:right="91"/>
        <w:rPr>
          <w:szCs w:val="24"/>
        </w:rPr>
      </w:pPr>
    </w:p>
    <w:p w:rsidR="0054555D" w:rsidRPr="00A90903" w:rsidRDefault="0054555D" w:rsidP="00A90903">
      <w:pPr>
        <w:spacing w:before="0"/>
        <w:ind w:right="91"/>
        <w:rPr>
          <w:szCs w:val="24"/>
        </w:rPr>
      </w:pPr>
      <w:r>
        <w:rPr>
          <w:szCs w:val="24"/>
        </w:rPr>
        <w:t xml:space="preserve">The </w:t>
      </w:r>
      <w:r w:rsidR="00097AC0">
        <w:rPr>
          <w:szCs w:val="24"/>
        </w:rPr>
        <w:t>Regulation</w:t>
      </w:r>
      <w:r>
        <w:rPr>
          <w:szCs w:val="24"/>
        </w:rPr>
        <w:t xml:space="preserve"> </w:t>
      </w:r>
      <w:r w:rsidR="000E6381">
        <w:rPr>
          <w:szCs w:val="24"/>
        </w:rPr>
        <w:t>also repeals subregulation 28A</w:t>
      </w:r>
      <w:r w:rsidR="00926957">
        <w:rPr>
          <w:szCs w:val="24"/>
        </w:rPr>
        <w:t>(6)</w:t>
      </w:r>
      <w:r w:rsidR="000E6381">
        <w:rPr>
          <w:szCs w:val="24"/>
        </w:rPr>
        <w:t>, which provides that an election made after 30 May 2010 may not be effective for the NRAS year commencing on 1</w:t>
      </w:r>
      <w:r w:rsidR="00E2421C">
        <w:rPr>
          <w:szCs w:val="24"/>
        </w:rPr>
        <w:t> </w:t>
      </w:r>
      <w:r w:rsidR="000E6381">
        <w:rPr>
          <w:szCs w:val="24"/>
        </w:rPr>
        <w:t xml:space="preserve">May 2009. </w:t>
      </w:r>
      <w:r w:rsidR="00E2421C">
        <w:rPr>
          <w:szCs w:val="24"/>
        </w:rPr>
        <w:t xml:space="preserve"> </w:t>
      </w:r>
      <w:r w:rsidR="00D22DE9">
        <w:rPr>
          <w:szCs w:val="24"/>
        </w:rPr>
        <w:t xml:space="preserve">An election made under the amended paragraph 28A(5)(b) is intended to apply to all subsequently issued incentives, regardless of the NRAS year to which they relate. </w:t>
      </w:r>
      <w:r w:rsidR="00317E2F">
        <w:rPr>
          <w:szCs w:val="24"/>
        </w:rPr>
        <w:t xml:space="preserve"> </w:t>
      </w:r>
      <w:r w:rsidR="00373947">
        <w:rPr>
          <w:szCs w:val="24"/>
        </w:rPr>
        <w:t>Subregulation 28A</w:t>
      </w:r>
      <w:r w:rsidR="00B449A6">
        <w:rPr>
          <w:szCs w:val="24"/>
        </w:rPr>
        <w:t>(6)</w:t>
      </w:r>
      <w:r w:rsidR="00373947">
        <w:rPr>
          <w:szCs w:val="24"/>
        </w:rPr>
        <w:t xml:space="preserve"> is being repealed so that, in the event that an incentive for </w:t>
      </w:r>
      <w:r w:rsidR="0064426F">
        <w:rPr>
          <w:szCs w:val="24"/>
        </w:rPr>
        <w:t xml:space="preserve">any </w:t>
      </w:r>
      <w:r w:rsidR="00373947">
        <w:rPr>
          <w:szCs w:val="24"/>
        </w:rPr>
        <w:t xml:space="preserve">NRAS year </w:t>
      </w:r>
      <w:r w:rsidR="0064426F">
        <w:rPr>
          <w:szCs w:val="24"/>
        </w:rPr>
        <w:t xml:space="preserve">from </w:t>
      </w:r>
      <w:r w:rsidR="00373947">
        <w:rPr>
          <w:szCs w:val="24"/>
        </w:rPr>
        <w:t xml:space="preserve">1 </w:t>
      </w:r>
      <w:r w:rsidR="0064426F">
        <w:rPr>
          <w:szCs w:val="24"/>
        </w:rPr>
        <w:t xml:space="preserve">July 2008 </w:t>
      </w:r>
      <w:r w:rsidR="00373947">
        <w:rPr>
          <w:szCs w:val="24"/>
        </w:rPr>
        <w:t>has not yet been issued, it is clear that an election made under the amended paragraph 28A(5)(b) will allow that incentive to be issued as a tax offset certificate</w:t>
      </w:r>
      <w:r w:rsidR="00E2421C">
        <w:rPr>
          <w:szCs w:val="24"/>
        </w:rPr>
        <w:t xml:space="preserve"> in accordance with the election</w:t>
      </w:r>
      <w:r w:rsidR="00373947">
        <w:rPr>
          <w:szCs w:val="24"/>
        </w:rPr>
        <w:t xml:space="preserve">. </w:t>
      </w:r>
    </w:p>
    <w:p w:rsidR="00624A7F" w:rsidRDefault="00624A7F" w:rsidP="009B6193">
      <w:pPr>
        <w:spacing w:before="0"/>
        <w:ind w:right="91"/>
        <w:rPr>
          <w:szCs w:val="24"/>
        </w:rPr>
      </w:pPr>
    </w:p>
    <w:p w:rsidR="009B6193" w:rsidRPr="00D92771" w:rsidRDefault="009B6193" w:rsidP="009B6193">
      <w:pPr>
        <w:spacing w:before="0"/>
        <w:ind w:right="91"/>
      </w:pPr>
      <w:r>
        <w:t>The Act does not specify conditions that need to be satisfie</w:t>
      </w:r>
      <w:r w:rsidR="00354584">
        <w:t xml:space="preserve">d before the power to make </w:t>
      </w:r>
      <w:r w:rsidR="00317E2F">
        <w:t>R</w:t>
      </w:r>
      <w:r>
        <w:t>egulations may be exercised.</w:t>
      </w:r>
    </w:p>
    <w:p w:rsidR="009B6193" w:rsidRPr="002E031A" w:rsidRDefault="009B6193" w:rsidP="009B6193">
      <w:pPr>
        <w:spacing w:before="0"/>
        <w:ind w:right="91"/>
      </w:pPr>
    </w:p>
    <w:p w:rsidR="009B6193" w:rsidRDefault="00354584" w:rsidP="009B6193">
      <w:pPr>
        <w:tabs>
          <w:tab w:val="left" w:pos="6521"/>
        </w:tabs>
        <w:spacing w:before="0"/>
        <w:ind w:right="91"/>
      </w:pPr>
      <w:r>
        <w:lastRenderedPageBreak/>
        <w:t xml:space="preserve">The </w:t>
      </w:r>
      <w:r w:rsidR="0092487D">
        <w:t>Regulation is</w:t>
      </w:r>
      <w:r w:rsidR="009B6193">
        <w:t xml:space="preserve"> a legislative instrument for the purposes of the </w:t>
      </w:r>
      <w:r w:rsidR="009B6193" w:rsidRPr="00B63B3C">
        <w:rPr>
          <w:i/>
        </w:rPr>
        <w:t>Legislative Instruments Act 2003</w:t>
      </w:r>
      <w:r w:rsidR="009B6193">
        <w:t>.</w:t>
      </w:r>
    </w:p>
    <w:p w:rsidR="009B6193" w:rsidRDefault="009B6193" w:rsidP="009B6193">
      <w:pPr>
        <w:tabs>
          <w:tab w:val="left" w:pos="6521"/>
        </w:tabs>
        <w:spacing w:before="0"/>
        <w:ind w:right="91"/>
      </w:pPr>
    </w:p>
    <w:p w:rsidR="00230FBF" w:rsidRPr="00230FBF" w:rsidRDefault="00230FBF" w:rsidP="009B6193">
      <w:pPr>
        <w:tabs>
          <w:tab w:val="left" w:pos="6521"/>
        </w:tabs>
        <w:spacing w:before="0"/>
        <w:ind w:right="91"/>
        <w:rPr>
          <w:u w:val="single"/>
        </w:rPr>
      </w:pPr>
      <w:r>
        <w:rPr>
          <w:u w:val="single"/>
        </w:rPr>
        <w:t>Commencement</w:t>
      </w:r>
    </w:p>
    <w:p w:rsidR="00230FBF" w:rsidRDefault="00230FBF" w:rsidP="009B6193">
      <w:pPr>
        <w:tabs>
          <w:tab w:val="left" w:pos="6521"/>
        </w:tabs>
        <w:spacing w:before="0"/>
        <w:ind w:right="91"/>
      </w:pPr>
    </w:p>
    <w:p w:rsidR="009B6193" w:rsidRDefault="009B6193" w:rsidP="009B6193">
      <w:pPr>
        <w:spacing w:before="0"/>
        <w:ind w:right="91"/>
      </w:pPr>
      <w:r>
        <w:t xml:space="preserve">The </w:t>
      </w:r>
      <w:r w:rsidR="0092487D">
        <w:t>Regulation</w:t>
      </w:r>
      <w:r>
        <w:t xml:space="preserve"> commence</w:t>
      </w:r>
      <w:r w:rsidR="0092487D">
        <w:t>s</w:t>
      </w:r>
      <w:r>
        <w:t xml:space="preserve"> on the day after </w:t>
      </w:r>
      <w:r w:rsidR="0092487D">
        <w:t>it is</w:t>
      </w:r>
      <w:r>
        <w:t xml:space="preserve"> registered on the Federal Register of Legislative Instruments.</w:t>
      </w:r>
    </w:p>
    <w:p w:rsidR="00443F37" w:rsidRDefault="00443F37" w:rsidP="009B6193">
      <w:pPr>
        <w:spacing w:before="0"/>
        <w:ind w:right="91"/>
      </w:pPr>
    </w:p>
    <w:p w:rsidR="00230FBF" w:rsidRPr="00E2421C" w:rsidRDefault="00230FBF" w:rsidP="009B6193">
      <w:pPr>
        <w:spacing w:before="0"/>
        <w:ind w:right="91"/>
        <w:rPr>
          <w:u w:val="single"/>
        </w:rPr>
      </w:pPr>
      <w:r w:rsidRPr="00E2421C">
        <w:rPr>
          <w:u w:val="single"/>
        </w:rPr>
        <w:t>Consultation</w:t>
      </w:r>
    </w:p>
    <w:p w:rsidR="00230FBF" w:rsidRPr="00E2421C" w:rsidRDefault="00230FBF" w:rsidP="009B6193">
      <w:pPr>
        <w:spacing w:before="0"/>
        <w:ind w:right="91"/>
      </w:pPr>
    </w:p>
    <w:p w:rsidR="00443F37" w:rsidRDefault="008C711E" w:rsidP="009B6193">
      <w:pPr>
        <w:spacing w:before="0"/>
        <w:ind w:right="91"/>
      </w:pPr>
      <w:r w:rsidRPr="00E2421C">
        <w:t xml:space="preserve">The Department </w:t>
      </w:r>
      <w:r w:rsidR="0064426F" w:rsidRPr="00E2421C">
        <w:t xml:space="preserve">of Families, Housing, Community Services and Indigenous Affairs </w:t>
      </w:r>
      <w:r w:rsidRPr="00E2421C">
        <w:t xml:space="preserve">has received </w:t>
      </w:r>
      <w:r w:rsidR="0064426F" w:rsidRPr="00E2421C">
        <w:t xml:space="preserve">numerous </w:t>
      </w:r>
      <w:r w:rsidRPr="00E2421C">
        <w:t xml:space="preserve">requests </w:t>
      </w:r>
      <w:r w:rsidR="0064426F" w:rsidRPr="00E2421C">
        <w:t xml:space="preserve">from applicants and approved participants that are endorsed charitable institutions, and which are currently unable to </w:t>
      </w:r>
      <w:r w:rsidR="00B449A6" w:rsidRPr="00E2421C">
        <w:t>make an election</w:t>
      </w:r>
      <w:r w:rsidR="00317E2F">
        <w:t xml:space="preserve"> under r</w:t>
      </w:r>
      <w:r w:rsidR="0064426F" w:rsidRPr="00E2421C">
        <w:t xml:space="preserve">egulation 28A, </w:t>
      </w:r>
      <w:r w:rsidRPr="00E2421C">
        <w:t xml:space="preserve">for the opportunity to make an election </w:t>
      </w:r>
      <w:r w:rsidR="0064426F" w:rsidRPr="00E2421C">
        <w:t xml:space="preserve">to receive the incentive as a tax offset certificate rather than </w:t>
      </w:r>
      <w:r w:rsidR="00E2421C" w:rsidRPr="00E2421C">
        <w:t>as a monetary payment</w:t>
      </w:r>
      <w:r w:rsidR="00E2421C">
        <w:t xml:space="preserve">.  </w:t>
      </w:r>
      <w:r w:rsidR="00F2569B" w:rsidRPr="00E2421C">
        <w:t xml:space="preserve">Further consultation with applicants and approved participants was not considered necessary, as the amendment </w:t>
      </w:r>
      <w:r w:rsidR="00D77E0E" w:rsidRPr="00E2421C">
        <w:t>benefits</w:t>
      </w:r>
      <w:r w:rsidR="00F2569B" w:rsidRPr="00E2421C">
        <w:t xml:space="preserve"> applicants and approved participants by providing them with the opportunity to make an election which they otherwise would not have had. </w:t>
      </w:r>
      <w:r w:rsidR="00317E2F">
        <w:t xml:space="preserve"> </w:t>
      </w:r>
      <w:r w:rsidR="00F2569B" w:rsidRPr="00E2421C">
        <w:t xml:space="preserve">The </w:t>
      </w:r>
      <w:r w:rsidR="0064426F" w:rsidRPr="00E2421C">
        <w:t xml:space="preserve">Department of Prime Minister and Cabinet, </w:t>
      </w:r>
      <w:r w:rsidR="00F2569B" w:rsidRPr="00E2421C">
        <w:t>the Treasury</w:t>
      </w:r>
      <w:r w:rsidR="00E2421C">
        <w:t>,</w:t>
      </w:r>
      <w:r w:rsidR="0064426F" w:rsidRPr="00E2421C">
        <w:t xml:space="preserve"> the Australian Taxation Office</w:t>
      </w:r>
      <w:r w:rsidR="00F2569B" w:rsidRPr="00E2421C">
        <w:t xml:space="preserve">, and the Department of Finance </w:t>
      </w:r>
      <w:r w:rsidR="00E2421C">
        <w:t>and Der</w:t>
      </w:r>
      <w:r w:rsidR="0064426F" w:rsidRPr="00E2421C">
        <w:t xml:space="preserve">egulation </w:t>
      </w:r>
      <w:r w:rsidR="00F2569B" w:rsidRPr="00E2421C">
        <w:t>have been consulted with regard to the amendments.</w:t>
      </w:r>
    </w:p>
    <w:p w:rsidR="00443F37" w:rsidRDefault="00443F37" w:rsidP="009B6193">
      <w:pPr>
        <w:spacing w:before="0"/>
        <w:ind w:right="91"/>
      </w:pPr>
    </w:p>
    <w:p w:rsidR="00682337" w:rsidRDefault="00682337" w:rsidP="00682337">
      <w:pPr>
        <w:spacing w:before="0"/>
        <w:ind w:right="91"/>
      </w:pPr>
      <w:r>
        <w:t xml:space="preserve">The </w:t>
      </w:r>
      <w:r w:rsidR="00E95E42">
        <w:t>Department</w:t>
      </w:r>
      <w:r w:rsidR="00E2421C">
        <w:t xml:space="preserve"> </w:t>
      </w:r>
      <w:r w:rsidR="00E2421C" w:rsidRPr="00E2421C">
        <w:t>of Families, Housing, Community Services and Indigenous Affairs</w:t>
      </w:r>
      <w:r w:rsidR="00E95E42">
        <w:t xml:space="preserve"> consulted with the </w:t>
      </w:r>
      <w:r>
        <w:t xml:space="preserve">Office of Best Practice </w:t>
      </w:r>
      <w:r w:rsidR="00D532EC">
        <w:t>Regulation</w:t>
      </w:r>
      <w:r w:rsidR="00E95E42">
        <w:t>, which</w:t>
      </w:r>
      <w:r>
        <w:t xml:space="preserve"> has advised (reference number </w:t>
      </w:r>
      <w:r w:rsidRPr="00682337">
        <w:t>1</w:t>
      </w:r>
      <w:r w:rsidR="00895AB4">
        <w:t>5031</w:t>
      </w:r>
      <w:r>
        <w:t xml:space="preserve">) that </w:t>
      </w:r>
      <w:r w:rsidR="00E95E42">
        <w:t>as the Regulation is m</w:t>
      </w:r>
      <w:r w:rsidR="00895AB4">
        <w:t>inor</w:t>
      </w:r>
      <w:r w:rsidR="00E95E42">
        <w:t xml:space="preserve"> in nature, </w:t>
      </w:r>
      <w:r>
        <w:t>a Regulation Impact Statement is not required.</w:t>
      </w:r>
    </w:p>
    <w:p w:rsidR="00992915" w:rsidRDefault="00992915" w:rsidP="00327D06">
      <w:pPr>
        <w:spacing w:before="0"/>
        <w:ind w:right="91"/>
      </w:pPr>
    </w:p>
    <w:p w:rsidR="00305DD8" w:rsidRDefault="00BD31D6" w:rsidP="00BD31D6">
      <w:pPr>
        <w:spacing w:before="0"/>
        <w:ind w:right="91"/>
        <w:rPr>
          <w:b/>
          <w:i/>
          <w:u w:val="single"/>
        </w:rPr>
      </w:pPr>
      <w:r>
        <w:rPr>
          <w:b/>
          <w:u w:val="single"/>
        </w:rPr>
        <w:t>Detailed Description of Amendments</w:t>
      </w:r>
    </w:p>
    <w:p w:rsidR="00305DD8" w:rsidRDefault="00305DD8" w:rsidP="00305DD8">
      <w:pPr>
        <w:spacing w:before="0"/>
        <w:ind w:right="91"/>
        <w:rPr>
          <w:b/>
          <w:i/>
          <w:u w:val="single"/>
        </w:rPr>
      </w:pPr>
    </w:p>
    <w:p w:rsidR="00305DD8" w:rsidRPr="002B0748" w:rsidRDefault="00305DD8" w:rsidP="00305DD8">
      <w:pPr>
        <w:spacing w:before="0"/>
        <w:ind w:right="91"/>
        <w:rPr>
          <w:u w:val="single"/>
        </w:rPr>
      </w:pPr>
      <w:r>
        <w:rPr>
          <w:u w:val="single"/>
        </w:rPr>
        <w:t>Regulation 1 – Name of regulation</w:t>
      </w:r>
    </w:p>
    <w:p w:rsidR="00305DD8" w:rsidRDefault="00305DD8" w:rsidP="00305DD8">
      <w:pPr>
        <w:spacing w:before="0"/>
        <w:ind w:right="91"/>
      </w:pPr>
    </w:p>
    <w:p w:rsidR="00305DD8" w:rsidRDefault="00305DD8" w:rsidP="00305DD8">
      <w:pPr>
        <w:spacing w:before="0"/>
        <w:ind w:right="91"/>
      </w:pPr>
      <w:r>
        <w:t>This regulation provides t</w:t>
      </w:r>
      <w:r w:rsidR="00B7586F">
        <w:t>hat the name of the Regulation</w:t>
      </w:r>
      <w:r>
        <w:t xml:space="preserve"> is the </w:t>
      </w:r>
      <w:r>
        <w:rPr>
          <w:i/>
        </w:rPr>
        <w:t xml:space="preserve">National Rental Affordability Scheme </w:t>
      </w:r>
      <w:r w:rsidR="00FD29F3">
        <w:rPr>
          <w:i/>
        </w:rPr>
        <w:t xml:space="preserve">Amendment </w:t>
      </w:r>
      <w:r w:rsidR="00B7586F">
        <w:rPr>
          <w:i/>
        </w:rPr>
        <w:t xml:space="preserve">(Incentive Election) </w:t>
      </w:r>
      <w:r w:rsidR="00FD29F3">
        <w:rPr>
          <w:i/>
        </w:rPr>
        <w:t>Regulation 2013</w:t>
      </w:r>
      <w:r>
        <w:t>.</w:t>
      </w:r>
    </w:p>
    <w:p w:rsidR="00B7586F" w:rsidRDefault="00B7586F" w:rsidP="00305DD8">
      <w:pPr>
        <w:spacing w:before="0"/>
        <w:ind w:right="91"/>
      </w:pPr>
    </w:p>
    <w:p w:rsidR="00305DD8" w:rsidRDefault="00305DD8" w:rsidP="00305DD8">
      <w:pPr>
        <w:spacing w:before="0"/>
        <w:ind w:right="91"/>
        <w:rPr>
          <w:u w:val="single"/>
        </w:rPr>
      </w:pPr>
      <w:r>
        <w:rPr>
          <w:u w:val="single"/>
        </w:rPr>
        <w:t>Regulation 2 – Commencement</w:t>
      </w:r>
    </w:p>
    <w:p w:rsidR="00305DD8" w:rsidRDefault="00305DD8" w:rsidP="00305DD8">
      <w:pPr>
        <w:spacing w:before="0"/>
        <w:ind w:right="91"/>
        <w:rPr>
          <w:u w:val="single"/>
        </w:rPr>
      </w:pPr>
    </w:p>
    <w:p w:rsidR="004D0E53" w:rsidRDefault="00305DD8" w:rsidP="004D0E53">
      <w:pPr>
        <w:spacing w:before="0"/>
        <w:ind w:right="91"/>
      </w:pPr>
      <w:r>
        <w:t>This regulation provides for the Regulation to commence on the day after it is registered on the Federal Register of Legislative Instruments.</w:t>
      </w:r>
      <w:r w:rsidR="004D0E53">
        <w:t xml:space="preserve"> </w:t>
      </w:r>
    </w:p>
    <w:p w:rsidR="004D0E53" w:rsidRDefault="004D0E53" w:rsidP="004D0E53">
      <w:pPr>
        <w:spacing w:before="0"/>
        <w:ind w:right="91"/>
      </w:pPr>
    </w:p>
    <w:p w:rsidR="004D0E53" w:rsidRDefault="004D0E53" w:rsidP="004D0E53">
      <w:pPr>
        <w:spacing w:before="0"/>
        <w:ind w:right="91"/>
        <w:rPr>
          <w:u w:val="single"/>
        </w:rPr>
      </w:pPr>
      <w:r>
        <w:rPr>
          <w:u w:val="single"/>
        </w:rPr>
        <w:t xml:space="preserve">Regulation 3 – </w:t>
      </w:r>
      <w:r w:rsidR="00B7586F">
        <w:rPr>
          <w:u w:val="single"/>
        </w:rPr>
        <w:t>Authority</w:t>
      </w:r>
    </w:p>
    <w:p w:rsidR="004D0E53" w:rsidRDefault="004D0E53" w:rsidP="004D0E53">
      <w:pPr>
        <w:spacing w:before="0"/>
        <w:ind w:right="91"/>
        <w:rPr>
          <w:u w:val="single"/>
        </w:rPr>
      </w:pPr>
    </w:p>
    <w:p w:rsidR="004D0E53" w:rsidRPr="00B7586F" w:rsidRDefault="004D0E53" w:rsidP="004D0E53">
      <w:pPr>
        <w:spacing w:before="0"/>
        <w:ind w:right="91"/>
      </w:pPr>
      <w:r>
        <w:t xml:space="preserve">This regulation provides that </w:t>
      </w:r>
      <w:r w:rsidR="00B7586F">
        <w:t xml:space="preserve">the Regulation is made under the authority of the </w:t>
      </w:r>
      <w:r w:rsidR="00B7586F">
        <w:rPr>
          <w:i/>
        </w:rPr>
        <w:t>National Rental Affordability Scheme Act 2008</w:t>
      </w:r>
      <w:r w:rsidR="00B7586F">
        <w:t>.</w:t>
      </w:r>
    </w:p>
    <w:p w:rsidR="004D0E53" w:rsidRDefault="004D0E53" w:rsidP="004D0E53">
      <w:pPr>
        <w:spacing w:before="0"/>
        <w:ind w:right="91"/>
      </w:pPr>
    </w:p>
    <w:p w:rsidR="00722661" w:rsidRDefault="00722661" w:rsidP="004D0E53">
      <w:pPr>
        <w:spacing w:before="0"/>
        <w:ind w:right="91"/>
        <w:rPr>
          <w:u w:val="single"/>
        </w:rPr>
      </w:pPr>
      <w:r>
        <w:rPr>
          <w:u w:val="single"/>
        </w:rPr>
        <w:t>Regulation 4 – Schedule</w:t>
      </w:r>
      <w:r w:rsidR="00A155B2">
        <w:rPr>
          <w:u w:val="single"/>
        </w:rPr>
        <w:t>(s)</w:t>
      </w:r>
    </w:p>
    <w:p w:rsidR="00722661" w:rsidRDefault="00722661" w:rsidP="004D0E53">
      <w:pPr>
        <w:spacing w:before="0"/>
        <w:ind w:right="91"/>
        <w:rPr>
          <w:u w:val="single"/>
        </w:rPr>
      </w:pPr>
    </w:p>
    <w:p w:rsidR="00722661" w:rsidRPr="00722661" w:rsidRDefault="00A155B2" w:rsidP="004D0E53">
      <w:pPr>
        <w:spacing w:before="0"/>
        <w:ind w:right="91"/>
      </w:pPr>
      <w:r>
        <w:t xml:space="preserve">This regulation provides that </w:t>
      </w:r>
      <w:r w:rsidR="005847C3">
        <w:rPr>
          <w:color w:val="000000"/>
        </w:rPr>
        <w:t>the Principal Regulations are amended as set out in Schedule 1 to the Regulation.</w:t>
      </w:r>
    </w:p>
    <w:p w:rsidR="00D532EC" w:rsidRDefault="00D532EC" w:rsidP="004D0E53">
      <w:pPr>
        <w:spacing w:before="0"/>
        <w:ind w:right="91"/>
        <w:rPr>
          <w:u w:val="single"/>
        </w:rPr>
      </w:pPr>
      <w:r>
        <w:rPr>
          <w:u w:val="single"/>
        </w:rPr>
        <w:br w:type="page"/>
      </w:r>
    </w:p>
    <w:p w:rsidR="004D0E53" w:rsidRDefault="004D0E53" w:rsidP="004D0E53">
      <w:pPr>
        <w:spacing w:before="0"/>
        <w:ind w:right="91"/>
        <w:rPr>
          <w:u w:val="single"/>
        </w:rPr>
      </w:pPr>
      <w:r>
        <w:rPr>
          <w:u w:val="single"/>
        </w:rPr>
        <w:t>Schedule 1</w:t>
      </w:r>
      <w:r w:rsidR="005C0F09">
        <w:rPr>
          <w:u w:val="single"/>
        </w:rPr>
        <w:t xml:space="preserve"> – Item 1 Paragraph 28A(5)(b)</w:t>
      </w:r>
    </w:p>
    <w:p w:rsidR="004D0E53" w:rsidRDefault="004D0E53" w:rsidP="004D0E53">
      <w:pPr>
        <w:spacing w:before="0"/>
        <w:ind w:right="91"/>
        <w:rPr>
          <w:u w:val="single"/>
        </w:rPr>
      </w:pPr>
    </w:p>
    <w:p w:rsidR="005F56E7" w:rsidRDefault="007F2413" w:rsidP="007F2413">
      <w:pPr>
        <w:spacing w:before="0"/>
        <w:ind w:right="91"/>
      </w:pPr>
      <w:r>
        <w:t xml:space="preserve">This </w:t>
      </w:r>
      <w:r w:rsidR="005C0F09">
        <w:t>item</w:t>
      </w:r>
      <w:r>
        <w:t xml:space="preserve"> provides for</w:t>
      </w:r>
      <w:r w:rsidR="008C711E">
        <w:t xml:space="preserve"> the date by which an endorsed charitable institution must make an election under paragraph 28A(5)(b) to be changed from 13 May 2011 to 1</w:t>
      </w:r>
      <w:r w:rsidR="00E77C36">
        <w:t> </w:t>
      </w:r>
      <w:r w:rsidR="008C711E">
        <w:t xml:space="preserve">October 2013. </w:t>
      </w:r>
      <w:r w:rsidR="00E2421C">
        <w:t xml:space="preserve"> </w:t>
      </w:r>
      <w:r w:rsidR="008C711E">
        <w:t>This will allow existing applicants and approved participants which are endorsed charitable institutions the opportunity to make an election to receive incentives in the form of a tax offset</w:t>
      </w:r>
      <w:r w:rsidR="005F56E7">
        <w:t>, if they do so prior to 1 October 2013</w:t>
      </w:r>
      <w:r w:rsidR="004D71EC">
        <w:t>, and meet the other existing requirements set out in subregulation 28A(5)</w:t>
      </w:r>
      <w:r w:rsidR="008C711E">
        <w:t xml:space="preserve">. </w:t>
      </w:r>
    </w:p>
    <w:p w:rsidR="005F56E7" w:rsidRDefault="005F56E7" w:rsidP="007F2413">
      <w:pPr>
        <w:spacing w:before="0"/>
        <w:ind w:right="91"/>
      </w:pPr>
    </w:p>
    <w:p w:rsidR="00CC7BF0" w:rsidRDefault="004D71EC" w:rsidP="007F2413">
      <w:pPr>
        <w:spacing w:before="0"/>
        <w:ind w:right="91"/>
      </w:pPr>
      <w:r>
        <w:t>Subregulation 28A(5) lists</w:t>
      </w:r>
      <w:r w:rsidR="005C0F09">
        <w:t xml:space="preserve"> the requirements for making an election under </w:t>
      </w:r>
      <w:r w:rsidR="000C69C5">
        <w:t>subregulation</w:t>
      </w:r>
      <w:r w:rsidR="005C0F09">
        <w:t xml:space="preserve"> 28A(2), which requires the Secretary to give an endorsed charitable institution the option to elect to receive the incentive as a tax offset certificate if the endorsed charitable institution is an existing applicant who has accepted an offer of a reservation of allocation, or an existing approved participant who has been made an allocation.</w:t>
      </w:r>
    </w:p>
    <w:p w:rsidR="00CF2DC7" w:rsidRDefault="00CF2DC7" w:rsidP="007F2413">
      <w:pPr>
        <w:spacing w:before="0"/>
        <w:ind w:right="91"/>
      </w:pPr>
    </w:p>
    <w:p w:rsidR="00CF2DC7" w:rsidRDefault="00CF2DC7" w:rsidP="007F2413">
      <w:pPr>
        <w:spacing w:before="0"/>
        <w:ind w:right="91"/>
        <w:rPr>
          <w:u w:val="single"/>
        </w:rPr>
      </w:pPr>
      <w:r>
        <w:rPr>
          <w:u w:val="single"/>
        </w:rPr>
        <w:t>Schedule 1 – Item 2 Subregulation 28A(6)</w:t>
      </w:r>
    </w:p>
    <w:p w:rsidR="00CF2DC7" w:rsidRDefault="00CF2DC7" w:rsidP="007F2413">
      <w:pPr>
        <w:spacing w:before="0"/>
        <w:ind w:right="91"/>
        <w:rPr>
          <w:u w:val="single"/>
        </w:rPr>
      </w:pPr>
    </w:p>
    <w:p w:rsidR="007A3D91" w:rsidRDefault="00CF2DC7" w:rsidP="00131DB9">
      <w:pPr>
        <w:spacing w:before="0"/>
        <w:ind w:right="91"/>
      </w:pPr>
      <w:r>
        <w:t>This item repeals subreg</w:t>
      </w:r>
      <w:r w:rsidR="000C69C5">
        <w:t xml:space="preserve">ulation 28A(6), which </w:t>
      </w:r>
      <w:r>
        <w:t>provides that an election made after 30 May 2010 may not be effective for the NRAS year commencing on 1 May 2009.</w:t>
      </w:r>
      <w:r w:rsidR="007652EE">
        <w:t xml:space="preserve"> This limitation on the effectiveness of elections will no longer </w:t>
      </w:r>
      <w:r w:rsidR="00E77C36">
        <w:t>apply.</w:t>
      </w:r>
      <w:r w:rsidR="007652EE">
        <w:t xml:space="preserve"> </w:t>
      </w:r>
      <w:r w:rsidR="00E2421C">
        <w:t xml:space="preserve"> </w:t>
      </w:r>
      <w:r w:rsidR="00E77C36">
        <w:t>This change is made to enable a</w:t>
      </w:r>
      <w:r w:rsidR="007652EE">
        <w:t>n election made under the amended subregulation 28A(5)</w:t>
      </w:r>
      <w:r w:rsidR="00A828C7">
        <w:t xml:space="preserve"> to apply </w:t>
      </w:r>
      <w:r w:rsidR="003A73E8">
        <w:t xml:space="preserve">prospectively </w:t>
      </w:r>
      <w:r w:rsidR="00A828C7">
        <w:t xml:space="preserve">to </w:t>
      </w:r>
      <w:r w:rsidR="000C69C5">
        <w:t xml:space="preserve">the </w:t>
      </w:r>
      <w:r w:rsidR="003A73E8">
        <w:t xml:space="preserve">issuing </w:t>
      </w:r>
      <w:r w:rsidR="000C69C5">
        <w:t>of incentives for all NRAS years</w:t>
      </w:r>
      <w:r w:rsidR="00E2421C">
        <w:t xml:space="preserve">, including for entitlement relevant to past years, extending back to </w:t>
      </w:r>
      <w:r w:rsidR="007C5C13">
        <w:t>1 July 2008</w:t>
      </w:r>
      <w:r w:rsidR="00A828C7">
        <w:t xml:space="preserve">. </w:t>
      </w:r>
    </w:p>
    <w:p w:rsidR="007A3D91" w:rsidRPr="00D664E6" w:rsidRDefault="007A3D91" w:rsidP="007A3D91">
      <w:pPr>
        <w:spacing w:before="360" w:after="120"/>
        <w:jc w:val="center"/>
        <w:rPr>
          <w:b/>
          <w:sz w:val="28"/>
          <w:szCs w:val="28"/>
        </w:rPr>
      </w:pPr>
      <w:r>
        <w:br w:type="page"/>
      </w:r>
      <w:r w:rsidRPr="00D664E6">
        <w:rPr>
          <w:b/>
          <w:sz w:val="28"/>
          <w:szCs w:val="28"/>
        </w:rPr>
        <w:lastRenderedPageBreak/>
        <w:t>Statement of Compatibility with Human Rights</w:t>
      </w:r>
    </w:p>
    <w:p w:rsidR="007A3D91" w:rsidRPr="00D664E6" w:rsidRDefault="007A3D91" w:rsidP="007A3D91">
      <w:pPr>
        <w:spacing w:before="120" w:after="120"/>
        <w:jc w:val="center"/>
        <w:rPr>
          <w:szCs w:val="24"/>
        </w:rPr>
      </w:pPr>
      <w:r w:rsidRPr="00D664E6">
        <w:rPr>
          <w:i/>
          <w:szCs w:val="24"/>
        </w:rPr>
        <w:t>Prepared in accordance with Part 3 of the Human Rights (Parliamentary Scrutiny) Act 2011</w:t>
      </w:r>
    </w:p>
    <w:p w:rsidR="007A3D91" w:rsidRPr="00D664E6" w:rsidRDefault="007A3D91" w:rsidP="007A3D91">
      <w:pPr>
        <w:spacing w:before="120" w:after="120"/>
        <w:jc w:val="center"/>
        <w:rPr>
          <w:szCs w:val="24"/>
        </w:rPr>
      </w:pPr>
    </w:p>
    <w:p w:rsidR="007A3D91" w:rsidRPr="00D664E6" w:rsidRDefault="007A3D91" w:rsidP="007A3D91">
      <w:pPr>
        <w:spacing w:before="120" w:after="120"/>
        <w:jc w:val="center"/>
        <w:rPr>
          <w:b/>
          <w:szCs w:val="24"/>
        </w:rPr>
      </w:pPr>
      <w:r>
        <w:rPr>
          <w:b/>
          <w:szCs w:val="24"/>
        </w:rPr>
        <w:t>National Rental Affordability Scheme Amendment (Incentive Election) Regulation 2013</w:t>
      </w:r>
    </w:p>
    <w:p w:rsidR="007A3D91" w:rsidRPr="00D664E6" w:rsidRDefault="007A3D91" w:rsidP="007A3D91">
      <w:pPr>
        <w:spacing w:before="120" w:after="120"/>
        <w:jc w:val="center"/>
        <w:rPr>
          <w:szCs w:val="24"/>
        </w:rPr>
      </w:pPr>
    </w:p>
    <w:p w:rsidR="007A3D91" w:rsidRPr="00D664E6" w:rsidRDefault="007A3D91" w:rsidP="007A3D91">
      <w:pPr>
        <w:spacing w:before="120" w:after="120"/>
        <w:jc w:val="center"/>
        <w:rPr>
          <w:szCs w:val="24"/>
        </w:rPr>
      </w:pPr>
      <w:r>
        <w:rPr>
          <w:szCs w:val="24"/>
        </w:rPr>
        <w:t xml:space="preserve">This </w:t>
      </w:r>
      <w:r w:rsidRPr="00D664E6">
        <w:rPr>
          <w:szCs w:val="24"/>
        </w:rPr>
        <w:t xml:space="preserve">Legislative Instrument is compatible with the human rights and freedoms recognised or declared in the international instruments listed in section 3 of the </w:t>
      </w:r>
      <w:r w:rsidRPr="00D664E6">
        <w:rPr>
          <w:i/>
          <w:szCs w:val="24"/>
        </w:rPr>
        <w:t>Human Rights (Parliamentary Scrutiny) Act 2011</w:t>
      </w:r>
      <w:r w:rsidRPr="00D664E6">
        <w:rPr>
          <w:szCs w:val="24"/>
        </w:rPr>
        <w:t>.</w:t>
      </w:r>
    </w:p>
    <w:p w:rsidR="007A3D91" w:rsidRDefault="007A3D91" w:rsidP="007A3D91">
      <w:pPr>
        <w:spacing w:before="120" w:after="120"/>
        <w:jc w:val="both"/>
        <w:rPr>
          <w:b/>
          <w:szCs w:val="24"/>
        </w:rPr>
      </w:pPr>
    </w:p>
    <w:p w:rsidR="007A3D91" w:rsidRPr="00D664E6" w:rsidRDefault="007A3D91" w:rsidP="007A3D91">
      <w:pPr>
        <w:spacing w:before="120" w:after="120"/>
        <w:jc w:val="both"/>
        <w:rPr>
          <w:b/>
          <w:szCs w:val="24"/>
        </w:rPr>
      </w:pPr>
      <w:r>
        <w:rPr>
          <w:b/>
          <w:szCs w:val="24"/>
        </w:rPr>
        <w:t xml:space="preserve">Overview of the </w:t>
      </w:r>
      <w:r w:rsidRPr="00D664E6">
        <w:rPr>
          <w:b/>
          <w:szCs w:val="24"/>
        </w:rPr>
        <w:t>Legislative Instrument</w:t>
      </w:r>
    </w:p>
    <w:p w:rsidR="007A3D91" w:rsidRPr="00D664E6" w:rsidRDefault="007A3D91" w:rsidP="007A3D91">
      <w:pPr>
        <w:spacing w:before="120" w:after="120"/>
        <w:rPr>
          <w:szCs w:val="24"/>
        </w:rPr>
      </w:pPr>
      <w:r>
        <w:rPr>
          <w:szCs w:val="24"/>
        </w:rPr>
        <w:t xml:space="preserve">The legislative instrument provides applicants and approved participants under the National Rental Affordability Scheme (“the Scheme”) that are endorsed charitable institutions with greater flexibility in terms of when they are able to make an election to receive incentives under the Scheme in the form of a tax offset certificate, instead of as a </w:t>
      </w:r>
      <w:r w:rsidR="00E2421C">
        <w:rPr>
          <w:szCs w:val="24"/>
        </w:rPr>
        <w:t xml:space="preserve">monetary </w:t>
      </w:r>
      <w:r>
        <w:rPr>
          <w:szCs w:val="24"/>
        </w:rPr>
        <w:t>payment.</w:t>
      </w:r>
    </w:p>
    <w:p w:rsidR="007A3D91" w:rsidRPr="00D664E6" w:rsidRDefault="007A3D91" w:rsidP="007A3D91">
      <w:pPr>
        <w:spacing w:before="120" w:after="120"/>
        <w:rPr>
          <w:color w:val="0070C0"/>
          <w:szCs w:val="24"/>
        </w:rPr>
      </w:pPr>
    </w:p>
    <w:p w:rsidR="007A3D91" w:rsidRDefault="007A3D91" w:rsidP="007A3D91">
      <w:pPr>
        <w:spacing w:before="120" w:after="120"/>
        <w:rPr>
          <w:b/>
          <w:szCs w:val="24"/>
        </w:rPr>
      </w:pPr>
      <w:r w:rsidRPr="00D664E6">
        <w:rPr>
          <w:b/>
          <w:szCs w:val="24"/>
        </w:rPr>
        <w:t>Human rights implications</w:t>
      </w:r>
    </w:p>
    <w:p w:rsidR="007A3D91" w:rsidRPr="008B03EB" w:rsidRDefault="007A3D91" w:rsidP="007A3D91">
      <w:pPr>
        <w:spacing w:before="100" w:beforeAutospacing="1" w:after="100" w:afterAutospacing="1"/>
        <w:rPr>
          <w:szCs w:val="24"/>
        </w:rPr>
      </w:pPr>
      <w:r w:rsidRPr="008B03EB">
        <w:rPr>
          <w:szCs w:val="24"/>
        </w:rPr>
        <w:t xml:space="preserve">This legislative instrument is compatible with the human rights and freedoms recognised or declared in the international instruments listed in the definition of human rights in section 3 of the </w:t>
      </w:r>
      <w:r w:rsidRPr="008B03EB">
        <w:rPr>
          <w:i/>
          <w:iCs/>
          <w:szCs w:val="24"/>
        </w:rPr>
        <w:t>Human Rights (Parliamentary Scrutiny) Act 2011.</w:t>
      </w:r>
    </w:p>
    <w:p w:rsidR="007A3D91" w:rsidRPr="008B03EB" w:rsidRDefault="007A3D91" w:rsidP="007A3D91">
      <w:pPr>
        <w:spacing w:before="100" w:beforeAutospacing="1" w:after="100" w:afterAutospacing="1"/>
        <w:rPr>
          <w:szCs w:val="24"/>
        </w:rPr>
      </w:pPr>
      <w:r w:rsidRPr="008B03EB">
        <w:rPr>
          <w:szCs w:val="24"/>
        </w:rPr>
        <w:t xml:space="preserve">Of the human rights and freedoms recognised or declared in the international instruments listed in the definition of human rights at section 3 of the </w:t>
      </w:r>
      <w:r w:rsidRPr="008B03EB">
        <w:rPr>
          <w:i/>
          <w:iCs/>
          <w:szCs w:val="24"/>
        </w:rPr>
        <w:t>Human Rights (Parliamentary Scrutiny) Act 2011</w:t>
      </w:r>
      <w:r w:rsidRPr="008B03EB">
        <w:rPr>
          <w:iCs/>
          <w:szCs w:val="24"/>
        </w:rPr>
        <w:t>,</w:t>
      </w:r>
      <w:r w:rsidRPr="008B03EB">
        <w:rPr>
          <w:i/>
          <w:iCs/>
          <w:szCs w:val="24"/>
        </w:rPr>
        <w:t xml:space="preserve"> </w:t>
      </w:r>
      <w:r w:rsidRPr="008B03EB">
        <w:rPr>
          <w:szCs w:val="24"/>
        </w:rPr>
        <w:t xml:space="preserve">this legislative instrument engages the right to an adequate standard of living, including housing, as referred to in Article 11.1 of the International Covenant on Economic, Social and Cultural Rights (done at New York on 16 December 1966 ([1976] ATS 5)). </w:t>
      </w:r>
    </w:p>
    <w:p w:rsidR="007A3D91" w:rsidRPr="008B03EB" w:rsidRDefault="007A3D91" w:rsidP="007A3D91">
      <w:pPr>
        <w:spacing w:before="120" w:after="120"/>
        <w:rPr>
          <w:szCs w:val="24"/>
        </w:rPr>
      </w:pPr>
      <w:r w:rsidRPr="008B03EB">
        <w:rPr>
          <w:szCs w:val="24"/>
        </w:rPr>
        <w:t xml:space="preserve">This legislative instrument </w:t>
      </w:r>
      <w:r>
        <w:rPr>
          <w:szCs w:val="24"/>
        </w:rPr>
        <w:t>furthers</w:t>
      </w:r>
      <w:r w:rsidRPr="008B03EB">
        <w:rPr>
          <w:szCs w:val="24"/>
        </w:rPr>
        <w:t xml:space="preserve"> the right to adequate housing, as it is a beneficial measure to </w:t>
      </w:r>
      <w:r>
        <w:rPr>
          <w:szCs w:val="24"/>
        </w:rPr>
        <w:t>allow</w:t>
      </w:r>
      <w:r w:rsidRPr="008B03EB">
        <w:rPr>
          <w:szCs w:val="24"/>
        </w:rPr>
        <w:t xml:space="preserve"> approve</w:t>
      </w:r>
      <w:r>
        <w:rPr>
          <w:szCs w:val="24"/>
        </w:rPr>
        <w:t xml:space="preserve">d participants in the Scheme </w:t>
      </w:r>
      <w:r w:rsidR="007C5C13">
        <w:rPr>
          <w:szCs w:val="24"/>
        </w:rPr>
        <w:t xml:space="preserve">improved flexibility </w:t>
      </w:r>
      <w:r>
        <w:rPr>
          <w:szCs w:val="24"/>
        </w:rPr>
        <w:t>to</w:t>
      </w:r>
      <w:r w:rsidRPr="008B03EB">
        <w:rPr>
          <w:szCs w:val="24"/>
        </w:rPr>
        <w:t xml:space="preserve"> elect to receive incentives in a form which best enables them continue to deliver </w:t>
      </w:r>
      <w:r w:rsidR="007C5C13">
        <w:rPr>
          <w:szCs w:val="24"/>
        </w:rPr>
        <w:t xml:space="preserve">more </w:t>
      </w:r>
      <w:r w:rsidRPr="008B03EB">
        <w:rPr>
          <w:szCs w:val="24"/>
        </w:rPr>
        <w:t>affordable rental accommodation to tenants</w:t>
      </w:r>
      <w:r>
        <w:rPr>
          <w:szCs w:val="24"/>
        </w:rPr>
        <w:t>.</w:t>
      </w:r>
    </w:p>
    <w:p w:rsidR="007A3D91" w:rsidRDefault="007A3D91" w:rsidP="007A3D91">
      <w:pPr>
        <w:spacing w:before="120" w:after="120"/>
        <w:rPr>
          <w:b/>
          <w:szCs w:val="24"/>
        </w:rPr>
      </w:pPr>
    </w:p>
    <w:p w:rsidR="007A3D91" w:rsidRPr="00D664E6" w:rsidRDefault="007A3D91" w:rsidP="007A3D91">
      <w:pPr>
        <w:spacing w:before="120" w:after="120"/>
        <w:rPr>
          <w:b/>
          <w:szCs w:val="24"/>
        </w:rPr>
      </w:pPr>
      <w:r w:rsidRPr="00D664E6">
        <w:rPr>
          <w:b/>
          <w:szCs w:val="24"/>
        </w:rPr>
        <w:t xml:space="preserve">Conclusion </w:t>
      </w:r>
    </w:p>
    <w:p w:rsidR="007A3D91" w:rsidRPr="00D664E6" w:rsidRDefault="007A3D91" w:rsidP="007A3D91">
      <w:pPr>
        <w:spacing w:before="120" w:after="120"/>
        <w:rPr>
          <w:szCs w:val="24"/>
        </w:rPr>
      </w:pPr>
      <w:r w:rsidRPr="00D664E6">
        <w:rPr>
          <w:szCs w:val="24"/>
        </w:rPr>
        <w:t xml:space="preserve">The </w:t>
      </w:r>
      <w:r>
        <w:rPr>
          <w:szCs w:val="24"/>
        </w:rPr>
        <w:t>legislative instrument</w:t>
      </w:r>
      <w:r w:rsidRPr="00D664E6">
        <w:rPr>
          <w:szCs w:val="24"/>
        </w:rPr>
        <w:t xml:space="preserve"> is compatible with human rights because </w:t>
      </w:r>
      <w:r>
        <w:rPr>
          <w:szCs w:val="24"/>
        </w:rPr>
        <w:t>it advances the protection of the right to adequate housing.</w:t>
      </w:r>
    </w:p>
    <w:p w:rsidR="007A3D91" w:rsidRPr="00D664E6" w:rsidRDefault="007A3D91" w:rsidP="007A3D91">
      <w:pPr>
        <w:spacing w:before="120" w:after="120"/>
        <w:rPr>
          <w:szCs w:val="24"/>
        </w:rPr>
      </w:pPr>
    </w:p>
    <w:p w:rsidR="007A3D91" w:rsidRPr="00D664E6" w:rsidRDefault="007A3D91" w:rsidP="007A3D91">
      <w:pPr>
        <w:spacing w:before="120" w:after="120"/>
        <w:jc w:val="center"/>
        <w:rPr>
          <w:szCs w:val="24"/>
        </w:rPr>
      </w:pPr>
    </w:p>
    <w:p w:rsidR="00131DB9" w:rsidRPr="007A3D91" w:rsidRDefault="007A3D91" w:rsidP="007A3D91">
      <w:pPr>
        <w:spacing w:before="120" w:after="120"/>
        <w:jc w:val="center"/>
        <w:rPr>
          <w:szCs w:val="24"/>
        </w:rPr>
      </w:pPr>
      <w:r w:rsidRPr="00600A9C">
        <w:rPr>
          <w:b/>
          <w:bCs/>
          <w:szCs w:val="24"/>
        </w:rPr>
        <w:t xml:space="preserve">The Hon. </w:t>
      </w:r>
      <w:r>
        <w:rPr>
          <w:b/>
          <w:bCs/>
          <w:szCs w:val="24"/>
        </w:rPr>
        <w:t>Mark Butler</w:t>
      </w:r>
      <w:r w:rsidRPr="00600A9C">
        <w:rPr>
          <w:b/>
          <w:bCs/>
          <w:szCs w:val="24"/>
        </w:rPr>
        <w:t xml:space="preserve"> MP, Minister for </w:t>
      </w:r>
      <w:r>
        <w:rPr>
          <w:b/>
          <w:bCs/>
          <w:szCs w:val="24"/>
        </w:rPr>
        <w:t>Housing and Homelessness</w:t>
      </w:r>
    </w:p>
    <w:sectPr w:rsidR="00131DB9" w:rsidRPr="007A3D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64E78"/>
    <w:multiLevelType w:val="hybridMultilevel"/>
    <w:tmpl w:val="1BB2EC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4860200"/>
    <w:multiLevelType w:val="hybridMultilevel"/>
    <w:tmpl w:val="CA3E2D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7FC047A3"/>
    <w:multiLevelType w:val="hybridMultilevel"/>
    <w:tmpl w:val="E744B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358C"/>
    <w:rsid w:val="00002CFC"/>
    <w:rsid w:val="0000393F"/>
    <w:rsid w:val="00003C48"/>
    <w:rsid w:val="000052A9"/>
    <w:rsid w:val="000062E1"/>
    <w:rsid w:val="000101D1"/>
    <w:rsid w:val="00011694"/>
    <w:rsid w:val="00013CCB"/>
    <w:rsid w:val="0001559E"/>
    <w:rsid w:val="00015819"/>
    <w:rsid w:val="00016332"/>
    <w:rsid w:val="000163AB"/>
    <w:rsid w:val="00016CD5"/>
    <w:rsid w:val="00017502"/>
    <w:rsid w:val="00017EDD"/>
    <w:rsid w:val="00020990"/>
    <w:rsid w:val="0002190F"/>
    <w:rsid w:val="000225F3"/>
    <w:rsid w:val="000235E3"/>
    <w:rsid w:val="00024910"/>
    <w:rsid w:val="00024F88"/>
    <w:rsid w:val="0002522E"/>
    <w:rsid w:val="00025ABF"/>
    <w:rsid w:val="00030AAE"/>
    <w:rsid w:val="00032AC1"/>
    <w:rsid w:val="00037191"/>
    <w:rsid w:val="00040AE6"/>
    <w:rsid w:val="000413D1"/>
    <w:rsid w:val="00043172"/>
    <w:rsid w:val="0004343D"/>
    <w:rsid w:val="000440A8"/>
    <w:rsid w:val="00044D13"/>
    <w:rsid w:val="000508E9"/>
    <w:rsid w:val="00053572"/>
    <w:rsid w:val="000569E0"/>
    <w:rsid w:val="00057034"/>
    <w:rsid w:val="00062513"/>
    <w:rsid w:val="00064E26"/>
    <w:rsid w:val="000652EB"/>
    <w:rsid w:val="00065616"/>
    <w:rsid w:val="00066607"/>
    <w:rsid w:val="000676A7"/>
    <w:rsid w:val="00067B17"/>
    <w:rsid w:val="00070448"/>
    <w:rsid w:val="00070BB0"/>
    <w:rsid w:val="00071F8E"/>
    <w:rsid w:val="00071FE9"/>
    <w:rsid w:val="00074697"/>
    <w:rsid w:val="00074F8C"/>
    <w:rsid w:val="00075CB0"/>
    <w:rsid w:val="000802BE"/>
    <w:rsid w:val="00081745"/>
    <w:rsid w:val="00084379"/>
    <w:rsid w:val="0008449D"/>
    <w:rsid w:val="00085B19"/>
    <w:rsid w:val="000873F3"/>
    <w:rsid w:val="0009217C"/>
    <w:rsid w:val="00092F49"/>
    <w:rsid w:val="000932BE"/>
    <w:rsid w:val="00094663"/>
    <w:rsid w:val="000955F2"/>
    <w:rsid w:val="00096166"/>
    <w:rsid w:val="0009778F"/>
    <w:rsid w:val="00097AC0"/>
    <w:rsid w:val="00097AF1"/>
    <w:rsid w:val="000A0184"/>
    <w:rsid w:val="000A3C52"/>
    <w:rsid w:val="000A4036"/>
    <w:rsid w:val="000A438A"/>
    <w:rsid w:val="000A5835"/>
    <w:rsid w:val="000A6075"/>
    <w:rsid w:val="000A7A0B"/>
    <w:rsid w:val="000B0D59"/>
    <w:rsid w:val="000B192F"/>
    <w:rsid w:val="000B2B33"/>
    <w:rsid w:val="000B70C9"/>
    <w:rsid w:val="000C2416"/>
    <w:rsid w:val="000C4ACF"/>
    <w:rsid w:val="000C5026"/>
    <w:rsid w:val="000C63E8"/>
    <w:rsid w:val="000C69C5"/>
    <w:rsid w:val="000C73DA"/>
    <w:rsid w:val="000D02F6"/>
    <w:rsid w:val="000D13D8"/>
    <w:rsid w:val="000D1571"/>
    <w:rsid w:val="000D3642"/>
    <w:rsid w:val="000D3CF6"/>
    <w:rsid w:val="000D40B7"/>
    <w:rsid w:val="000D5979"/>
    <w:rsid w:val="000E19FF"/>
    <w:rsid w:val="000E5874"/>
    <w:rsid w:val="000E6381"/>
    <w:rsid w:val="000E7E2E"/>
    <w:rsid w:val="000F2433"/>
    <w:rsid w:val="000F2D7D"/>
    <w:rsid w:val="000F57AF"/>
    <w:rsid w:val="000F60BE"/>
    <w:rsid w:val="000F766D"/>
    <w:rsid w:val="00100D78"/>
    <w:rsid w:val="00102959"/>
    <w:rsid w:val="00111138"/>
    <w:rsid w:val="0011334E"/>
    <w:rsid w:val="001143EF"/>
    <w:rsid w:val="0011518A"/>
    <w:rsid w:val="00121877"/>
    <w:rsid w:val="00121F84"/>
    <w:rsid w:val="00125BAE"/>
    <w:rsid w:val="00126E27"/>
    <w:rsid w:val="0013099F"/>
    <w:rsid w:val="00131DB9"/>
    <w:rsid w:val="00132B2F"/>
    <w:rsid w:val="00134195"/>
    <w:rsid w:val="00134BAD"/>
    <w:rsid w:val="0013573B"/>
    <w:rsid w:val="0013691E"/>
    <w:rsid w:val="00137351"/>
    <w:rsid w:val="00137AE5"/>
    <w:rsid w:val="0014176E"/>
    <w:rsid w:val="00145054"/>
    <w:rsid w:val="00146097"/>
    <w:rsid w:val="00146E2C"/>
    <w:rsid w:val="001524E1"/>
    <w:rsid w:val="00154B66"/>
    <w:rsid w:val="00154C22"/>
    <w:rsid w:val="0015533F"/>
    <w:rsid w:val="001576EE"/>
    <w:rsid w:val="00157E4B"/>
    <w:rsid w:val="00160ACF"/>
    <w:rsid w:val="0016251A"/>
    <w:rsid w:val="00162A4F"/>
    <w:rsid w:val="00162EC9"/>
    <w:rsid w:val="001670D8"/>
    <w:rsid w:val="001670F7"/>
    <w:rsid w:val="0016715A"/>
    <w:rsid w:val="0017093D"/>
    <w:rsid w:val="001714C0"/>
    <w:rsid w:val="00172B24"/>
    <w:rsid w:val="00174C51"/>
    <w:rsid w:val="00176FF4"/>
    <w:rsid w:val="0018026D"/>
    <w:rsid w:val="001813B1"/>
    <w:rsid w:val="00181697"/>
    <w:rsid w:val="00183062"/>
    <w:rsid w:val="00183180"/>
    <w:rsid w:val="00185709"/>
    <w:rsid w:val="001864E7"/>
    <w:rsid w:val="00187AB2"/>
    <w:rsid w:val="00190EFC"/>
    <w:rsid w:val="00191A44"/>
    <w:rsid w:val="001924DD"/>
    <w:rsid w:val="00194AA4"/>
    <w:rsid w:val="00195FFF"/>
    <w:rsid w:val="00196BFB"/>
    <w:rsid w:val="00196E54"/>
    <w:rsid w:val="001A1F86"/>
    <w:rsid w:val="001A428C"/>
    <w:rsid w:val="001A7819"/>
    <w:rsid w:val="001B1C6D"/>
    <w:rsid w:val="001B24EE"/>
    <w:rsid w:val="001B2F8A"/>
    <w:rsid w:val="001C0466"/>
    <w:rsid w:val="001D1032"/>
    <w:rsid w:val="001D2A0E"/>
    <w:rsid w:val="001D383D"/>
    <w:rsid w:val="001D5F90"/>
    <w:rsid w:val="001D6B15"/>
    <w:rsid w:val="001D6C7D"/>
    <w:rsid w:val="001D7111"/>
    <w:rsid w:val="001E46C6"/>
    <w:rsid w:val="001E54DE"/>
    <w:rsid w:val="001E6133"/>
    <w:rsid w:val="001F0595"/>
    <w:rsid w:val="001F2FFA"/>
    <w:rsid w:val="001F4EE0"/>
    <w:rsid w:val="001F50A5"/>
    <w:rsid w:val="002049DF"/>
    <w:rsid w:val="00211275"/>
    <w:rsid w:val="00211BFD"/>
    <w:rsid w:val="00213A1E"/>
    <w:rsid w:val="00216492"/>
    <w:rsid w:val="0022188D"/>
    <w:rsid w:val="00222608"/>
    <w:rsid w:val="00222B3A"/>
    <w:rsid w:val="00222C04"/>
    <w:rsid w:val="00224605"/>
    <w:rsid w:val="00226E5B"/>
    <w:rsid w:val="00230FBF"/>
    <w:rsid w:val="0023427B"/>
    <w:rsid w:val="00236127"/>
    <w:rsid w:val="0024091D"/>
    <w:rsid w:val="002472F3"/>
    <w:rsid w:val="002477B7"/>
    <w:rsid w:val="00251A91"/>
    <w:rsid w:val="002542C8"/>
    <w:rsid w:val="00254653"/>
    <w:rsid w:val="00255D09"/>
    <w:rsid w:val="0025749A"/>
    <w:rsid w:val="00261A95"/>
    <w:rsid w:val="00262080"/>
    <w:rsid w:val="002647B1"/>
    <w:rsid w:val="0026651F"/>
    <w:rsid w:val="00271780"/>
    <w:rsid w:val="002717CD"/>
    <w:rsid w:val="00271C91"/>
    <w:rsid w:val="002803D4"/>
    <w:rsid w:val="002864BA"/>
    <w:rsid w:val="002903DF"/>
    <w:rsid w:val="00292D65"/>
    <w:rsid w:val="00295C0F"/>
    <w:rsid w:val="00297CE7"/>
    <w:rsid w:val="002A061E"/>
    <w:rsid w:val="002A2443"/>
    <w:rsid w:val="002A55DC"/>
    <w:rsid w:val="002B2FFB"/>
    <w:rsid w:val="002B30A9"/>
    <w:rsid w:val="002B6E39"/>
    <w:rsid w:val="002B7E6B"/>
    <w:rsid w:val="002C0931"/>
    <w:rsid w:val="002C1F0E"/>
    <w:rsid w:val="002C2BF3"/>
    <w:rsid w:val="002C38DD"/>
    <w:rsid w:val="002C3EA9"/>
    <w:rsid w:val="002C5446"/>
    <w:rsid w:val="002C76F0"/>
    <w:rsid w:val="002D3889"/>
    <w:rsid w:val="002D5396"/>
    <w:rsid w:val="002D625A"/>
    <w:rsid w:val="002E1218"/>
    <w:rsid w:val="002E2C15"/>
    <w:rsid w:val="002E489D"/>
    <w:rsid w:val="002E5291"/>
    <w:rsid w:val="002E79DE"/>
    <w:rsid w:val="002F1EBF"/>
    <w:rsid w:val="002F5384"/>
    <w:rsid w:val="002F5E22"/>
    <w:rsid w:val="002F624C"/>
    <w:rsid w:val="002F6B7D"/>
    <w:rsid w:val="002F7466"/>
    <w:rsid w:val="00301A6C"/>
    <w:rsid w:val="003031CE"/>
    <w:rsid w:val="003040C2"/>
    <w:rsid w:val="00304E99"/>
    <w:rsid w:val="0030551A"/>
    <w:rsid w:val="00305DD7"/>
    <w:rsid w:val="00305DD8"/>
    <w:rsid w:val="0030732A"/>
    <w:rsid w:val="003117CF"/>
    <w:rsid w:val="00315C40"/>
    <w:rsid w:val="00317E2F"/>
    <w:rsid w:val="00320383"/>
    <w:rsid w:val="003206E1"/>
    <w:rsid w:val="003208EB"/>
    <w:rsid w:val="0032214F"/>
    <w:rsid w:val="00322180"/>
    <w:rsid w:val="00322339"/>
    <w:rsid w:val="00327D06"/>
    <w:rsid w:val="00330488"/>
    <w:rsid w:val="003320C5"/>
    <w:rsid w:val="00332266"/>
    <w:rsid w:val="00337C8E"/>
    <w:rsid w:val="0034185F"/>
    <w:rsid w:val="0034285F"/>
    <w:rsid w:val="00342AEB"/>
    <w:rsid w:val="0034348F"/>
    <w:rsid w:val="00343F78"/>
    <w:rsid w:val="0034564C"/>
    <w:rsid w:val="00353952"/>
    <w:rsid w:val="0035444D"/>
    <w:rsid w:val="00354584"/>
    <w:rsid w:val="00357141"/>
    <w:rsid w:val="00357E81"/>
    <w:rsid w:val="00360081"/>
    <w:rsid w:val="003612C0"/>
    <w:rsid w:val="00362B09"/>
    <w:rsid w:val="00362F82"/>
    <w:rsid w:val="00366456"/>
    <w:rsid w:val="00371479"/>
    <w:rsid w:val="00371E83"/>
    <w:rsid w:val="00372464"/>
    <w:rsid w:val="00373947"/>
    <w:rsid w:val="003747D4"/>
    <w:rsid w:val="0038101A"/>
    <w:rsid w:val="003826C7"/>
    <w:rsid w:val="00385690"/>
    <w:rsid w:val="00387B2B"/>
    <w:rsid w:val="00392586"/>
    <w:rsid w:val="0039290C"/>
    <w:rsid w:val="00393BB0"/>
    <w:rsid w:val="003942B7"/>
    <w:rsid w:val="0039584A"/>
    <w:rsid w:val="00396494"/>
    <w:rsid w:val="00397788"/>
    <w:rsid w:val="003978AA"/>
    <w:rsid w:val="003A1CC5"/>
    <w:rsid w:val="003A1DF7"/>
    <w:rsid w:val="003A2846"/>
    <w:rsid w:val="003A2858"/>
    <w:rsid w:val="003A2B10"/>
    <w:rsid w:val="003A6006"/>
    <w:rsid w:val="003A6D05"/>
    <w:rsid w:val="003A73E8"/>
    <w:rsid w:val="003B2D26"/>
    <w:rsid w:val="003B4056"/>
    <w:rsid w:val="003B4D4D"/>
    <w:rsid w:val="003C0D83"/>
    <w:rsid w:val="003C0FCC"/>
    <w:rsid w:val="003C2348"/>
    <w:rsid w:val="003C75CE"/>
    <w:rsid w:val="003C775D"/>
    <w:rsid w:val="003C7B43"/>
    <w:rsid w:val="003D5068"/>
    <w:rsid w:val="003D5914"/>
    <w:rsid w:val="003E0458"/>
    <w:rsid w:val="003E17D9"/>
    <w:rsid w:val="003E2AEF"/>
    <w:rsid w:val="003E3CCB"/>
    <w:rsid w:val="003E4796"/>
    <w:rsid w:val="003E69C6"/>
    <w:rsid w:val="003F2BCD"/>
    <w:rsid w:val="003F304C"/>
    <w:rsid w:val="003F34CB"/>
    <w:rsid w:val="003F3AAB"/>
    <w:rsid w:val="003F5B58"/>
    <w:rsid w:val="004006ED"/>
    <w:rsid w:val="00403200"/>
    <w:rsid w:val="00404ABE"/>
    <w:rsid w:val="004076DC"/>
    <w:rsid w:val="00410058"/>
    <w:rsid w:val="004101C8"/>
    <w:rsid w:val="00411703"/>
    <w:rsid w:val="00411C3A"/>
    <w:rsid w:val="0041415E"/>
    <w:rsid w:val="00423AD6"/>
    <w:rsid w:val="00424A9E"/>
    <w:rsid w:val="00425031"/>
    <w:rsid w:val="0042650D"/>
    <w:rsid w:val="00427F44"/>
    <w:rsid w:val="00430CFD"/>
    <w:rsid w:val="00430D70"/>
    <w:rsid w:val="00431E5A"/>
    <w:rsid w:val="0043227C"/>
    <w:rsid w:val="00433DF6"/>
    <w:rsid w:val="004347C7"/>
    <w:rsid w:val="00434A6A"/>
    <w:rsid w:val="00443F37"/>
    <w:rsid w:val="00445AA5"/>
    <w:rsid w:val="00447852"/>
    <w:rsid w:val="004542D4"/>
    <w:rsid w:val="0045586B"/>
    <w:rsid w:val="004569CF"/>
    <w:rsid w:val="004619E2"/>
    <w:rsid w:val="0046332C"/>
    <w:rsid w:val="00465D7C"/>
    <w:rsid w:val="004664FD"/>
    <w:rsid w:val="00466C80"/>
    <w:rsid w:val="00466D0F"/>
    <w:rsid w:val="00480029"/>
    <w:rsid w:val="004808DB"/>
    <w:rsid w:val="00481115"/>
    <w:rsid w:val="0048344C"/>
    <w:rsid w:val="004909DB"/>
    <w:rsid w:val="0049167C"/>
    <w:rsid w:val="00491CAA"/>
    <w:rsid w:val="0049358C"/>
    <w:rsid w:val="00495588"/>
    <w:rsid w:val="004959D9"/>
    <w:rsid w:val="00496C91"/>
    <w:rsid w:val="004A2BCA"/>
    <w:rsid w:val="004A5B25"/>
    <w:rsid w:val="004B103D"/>
    <w:rsid w:val="004B5A4D"/>
    <w:rsid w:val="004B665F"/>
    <w:rsid w:val="004B68A6"/>
    <w:rsid w:val="004B68B7"/>
    <w:rsid w:val="004C0300"/>
    <w:rsid w:val="004C0DE9"/>
    <w:rsid w:val="004C1FA4"/>
    <w:rsid w:val="004C3870"/>
    <w:rsid w:val="004C46ED"/>
    <w:rsid w:val="004C5277"/>
    <w:rsid w:val="004C74AB"/>
    <w:rsid w:val="004D0AAC"/>
    <w:rsid w:val="004D0E53"/>
    <w:rsid w:val="004D5DF9"/>
    <w:rsid w:val="004D71EC"/>
    <w:rsid w:val="004E0556"/>
    <w:rsid w:val="004E1C31"/>
    <w:rsid w:val="004E3941"/>
    <w:rsid w:val="004E7012"/>
    <w:rsid w:val="004F67B5"/>
    <w:rsid w:val="004F6A47"/>
    <w:rsid w:val="004F775C"/>
    <w:rsid w:val="00500565"/>
    <w:rsid w:val="00502552"/>
    <w:rsid w:val="005026E7"/>
    <w:rsid w:val="00502BE8"/>
    <w:rsid w:val="00503319"/>
    <w:rsid w:val="00503EEB"/>
    <w:rsid w:val="00504286"/>
    <w:rsid w:val="0051543B"/>
    <w:rsid w:val="00516571"/>
    <w:rsid w:val="00516B41"/>
    <w:rsid w:val="00516D70"/>
    <w:rsid w:val="005224D3"/>
    <w:rsid w:val="00522B0E"/>
    <w:rsid w:val="00522E13"/>
    <w:rsid w:val="00526387"/>
    <w:rsid w:val="005265C4"/>
    <w:rsid w:val="00527747"/>
    <w:rsid w:val="00530CD1"/>
    <w:rsid w:val="00531A14"/>
    <w:rsid w:val="00532A83"/>
    <w:rsid w:val="00533532"/>
    <w:rsid w:val="00534346"/>
    <w:rsid w:val="00534876"/>
    <w:rsid w:val="0053553D"/>
    <w:rsid w:val="0053563C"/>
    <w:rsid w:val="005373CB"/>
    <w:rsid w:val="00542B1E"/>
    <w:rsid w:val="0054555D"/>
    <w:rsid w:val="00547639"/>
    <w:rsid w:val="00553DE3"/>
    <w:rsid w:val="00555AE1"/>
    <w:rsid w:val="00556521"/>
    <w:rsid w:val="00560F1C"/>
    <w:rsid w:val="0056115B"/>
    <w:rsid w:val="00563E17"/>
    <w:rsid w:val="005646D6"/>
    <w:rsid w:val="00565CBD"/>
    <w:rsid w:val="00565DE9"/>
    <w:rsid w:val="00567389"/>
    <w:rsid w:val="0056779C"/>
    <w:rsid w:val="005711CB"/>
    <w:rsid w:val="00572670"/>
    <w:rsid w:val="005727E6"/>
    <w:rsid w:val="00572F84"/>
    <w:rsid w:val="00572FA9"/>
    <w:rsid w:val="005733DB"/>
    <w:rsid w:val="005740EB"/>
    <w:rsid w:val="00574640"/>
    <w:rsid w:val="005749DD"/>
    <w:rsid w:val="005765AA"/>
    <w:rsid w:val="00576FAE"/>
    <w:rsid w:val="005778BB"/>
    <w:rsid w:val="005847C3"/>
    <w:rsid w:val="00584C06"/>
    <w:rsid w:val="005856EE"/>
    <w:rsid w:val="005867FD"/>
    <w:rsid w:val="0059146A"/>
    <w:rsid w:val="005918BC"/>
    <w:rsid w:val="00593CE8"/>
    <w:rsid w:val="005957B1"/>
    <w:rsid w:val="00595C86"/>
    <w:rsid w:val="0059718C"/>
    <w:rsid w:val="00597E97"/>
    <w:rsid w:val="005A219A"/>
    <w:rsid w:val="005A2F20"/>
    <w:rsid w:val="005A53AB"/>
    <w:rsid w:val="005A5836"/>
    <w:rsid w:val="005B4CB7"/>
    <w:rsid w:val="005C0389"/>
    <w:rsid w:val="005C0B00"/>
    <w:rsid w:val="005C0F09"/>
    <w:rsid w:val="005C2944"/>
    <w:rsid w:val="005C45D3"/>
    <w:rsid w:val="005C684B"/>
    <w:rsid w:val="005C6FB4"/>
    <w:rsid w:val="005C7712"/>
    <w:rsid w:val="005D176E"/>
    <w:rsid w:val="005D384F"/>
    <w:rsid w:val="005D48C3"/>
    <w:rsid w:val="005E0288"/>
    <w:rsid w:val="005E1055"/>
    <w:rsid w:val="005E1E10"/>
    <w:rsid w:val="005E23E8"/>
    <w:rsid w:val="005E343A"/>
    <w:rsid w:val="005E3EB3"/>
    <w:rsid w:val="005E46AB"/>
    <w:rsid w:val="005E7903"/>
    <w:rsid w:val="005F1724"/>
    <w:rsid w:val="005F39BD"/>
    <w:rsid w:val="005F56E7"/>
    <w:rsid w:val="005F5746"/>
    <w:rsid w:val="005F67F7"/>
    <w:rsid w:val="005F7DA6"/>
    <w:rsid w:val="006041F0"/>
    <w:rsid w:val="00606E6A"/>
    <w:rsid w:val="00611156"/>
    <w:rsid w:val="00613982"/>
    <w:rsid w:val="00614371"/>
    <w:rsid w:val="00615378"/>
    <w:rsid w:val="00620E84"/>
    <w:rsid w:val="006226B5"/>
    <w:rsid w:val="00622828"/>
    <w:rsid w:val="006233C5"/>
    <w:rsid w:val="00623B26"/>
    <w:rsid w:val="00624990"/>
    <w:rsid w:val="00624A7F"/>
    <w:rsid w:val="0062534D"/>
    <w:rsid w:val="00631DF6"/>
    <w:rsid w:val="006342DF"/>
    <w:rsid w:val="0064426F"/>
    <w:rsid w:val="006458A0"/>
    <w:rsid w:val="00646D4F"/>
    <w:rsid w:val="006506AA"/>
    <w:rsid w:val="00650E66"/>
    <w:rsid w:val="006557C6"/>
    <w:rsid w:val="0066073D"/>
    <w:rsid w:val="00663464"/>
    <w:rsid w:val="00664BE9"/>
    <w:rsid w:val="006653F4"/>
    <w:rsid w:val="00670E1F"/>
    <w:rsid w:val="00670ED0"/>
    <w:rsid w:val="006715F5"/>
    <w:rsid w:val="006758EF"/>
    <w:rsid w:val="00676F0C"/>
    <w:rsid w:val="00682337"/>
    <w:rsid w:val="006826B1"/>
    <w:rsid w:val="00683AEF"/>
    <w:rsid w:val="00686572"/>
    <w:rsid w:val="00687E72"/>
    <w:rsid w:val="00690A1C"/>
    <w:rsid w:val="0069393A"/>
    <w:rsid w:val="00693A56"/>
    <w:rsid w:val="00694709"/>
    <w:rsid w:val="006A0DE3"/>
    <w:rsid w:val="006A2836"/>
    <w:rsid w:val="006A2940"/>
    <w:rsid w:val="006A317F"/>
    <w:rsid w:val="006A6E04"/>
    <w:rsid w:val="006A7CBE"/>
    <w:rsid w:val="006B14C1"/>
    <w:rsid w:val="006B17E5"/>
    <w:rsid w:val="006B1959"/>
    <w:rsid w:val="006B467A"/>
    <w:rsid w:val="006B6F8F"/>
    <w:rsid w:val="006C39DD"/>
    <w:rsid w:val="006C534A"/>
    <w:rsid w:val="006C6133"/>
    <w:rsid w:val="006C6B11"/>
    <w:rsid w:val="006C6BB6"/>
    <w:rsid w:val="006D360E"/>
    <w:rsid w:val="006D4646"/>
    <w:rsid w:val="006D6FE8"/>
    <w:rsid w:val="006D7683"/>
    <w:rsid w:val="006D7E00"/>
    <w:rsid w:val="006E501E"/>
    <w:rsid w:val="006E5218"/>
    <w:rsid w:val="006E6E49"/>
    <w:rsid w:val="006E79C9"/>
    <w:rsid w:val="006F193F"/>
    <w:rsid w:val="006F48FF"/>
    <w:rsid w:val="00701E35"/>
    <w:rsid w:val="007021DC"/>
    <w:rsid w:val="007062DA"/>
    <w:rsid w:val="00710875"/>
    <w:rsid w:val="007120BD"/>
    <w:rsid w:val="007138A0"/>
    <w:rsid w:val="0071507A"/>
    <w:rsid w:val="007171B4"/>
    <w:rsid w:val="00720AF3"/>
    <w:rsid w:val="00721EED"/>
    <w:rsid w:val="00722661"/>
    <w:rsid w:val="00722E89"/>
    <w:rsid w:val="007230F1"/>
    <w:rsid w:val="00724B65"/>
    <w:rsid w:val="00725061"/>
    <w:rsid w:val="00726487"/>
    <w:rsid w:val="00726507"/>
    <w:rsid w:val="00726CA3"/>
    <w:rsid w:val="00732D54"/>
    <w:rsid w:val="0073424E"/>
    <w:rsid w:val="007367CD"/>
    <w:rsid w:val="007367DE"/>
    <w:rsid w:val="007376DC"/>
    <w:rsid w:val="007376F3"/>
    <w:rsid w:val="00741FE8"/>
    <w:rsid w:val="007428CD"/>
    <w:rsid w:val="007461D4"/>
    <w:rsid w:val="007463B4"/>
    <w:rsid w:val="00747BB0"/>
    <w:rsid w:val="00752422"/>
    <w:rsid w:val="00752906"/>
    <w:rsid w:val="00753B62"/>
    <w:rsid w:val="00754A88"/>
    <w:rsid w:val="007609BF"/>
    <w:rsid w:val="00762C93"/>
    <w:rsid w:val="00763771"/>
    <w:rsid w:val="007641C4"/>
    <w:rsid w:val="0076527C"/>
    <w:rsid w:val="007652EE"/>
    <w:rsid w:val="007657D7"/>
    <w:rsid w:val="00765A38"/>
    <w:rsid w:val="00767AA0"/>
    <w:rsid w:val="00770362"/>
    <w:rsid w:val="0077044C"/>
    <w:rsid w:val="007709E8"/>
    <w:rsid w:val="00772018"/>
    <w:rsid w:val="00776BC9"/>
    <w:rsid w:val="007774F5"/>
    <w:rsid w:val="00781BB3"/>
    <w:rsid w:val="00782311"/>
    <w:rsid w:val="00782700"/>
    <w:rsid w:val="007837FB"/>
    <w:rsid w:val="00783C89"/>
    <w:rsid w:val="007852D5"/>
    <w:rsid w:val="007873BC"/>
    <w:rsid w:val="007918F7"/>
    <w:rsid w:val="0079551F"/>
    <w:rsid w:val="00795ADE"/>
    <w:rsid w:val="007A2089"/>
    <w:rsid w:val="007A26AF"/>
    <w:rsid w:val="007A3AFB"/>
    <w:rsid w:val="007A3D91"/>
    <w:rsid w:val="007A764C"/>
    <w:rsid w:val="007B1B80"/>
    <w:rsid w:val="007B31B3"/>
    <w:rsid w:val="007B40D9"/>
    <w:rsid w:val="007B4924"/>
    <w:rsid w:val="007C3D49"/>
    <w:rsid w:val="007C5C13"/>
    <w:rsid w:val="007C61BB"/>
    <w:rsid w:val="007C668B"/>
    <w:rsid w:val="007D0A78"/>
    <w:rsid w:val="007D30CA"/>
    <w:rsid w:val="007D3C9C"/>
    <w:rsid w:val="007D41D1"/>
    <w:rsid w:val="007D5167"/>
    <w:rsid w:val="007E021E"/>
    <w:rsid w:val="007E4B1D"/>
    <w:rsid w:val="007F2413"/>
    <w:rsid w:val="007F3434"/>
    <w:rsid w:val="007F74C6"/>
    <w:rsid w:val="007F79DC"/>
    <w:rsid w:val="008008C1"/>
    <w:rsid w:val="008012AB"/>
    <w:rsid w:val="00801831"/>
    <w:rsid w:val="008046E8"/>
    <w:rsid w:val="0080485D"/>
    <w:rsid w:val="008100B5"/>
    <w:rsid w:val="008101EF"/>
    <w:rsid w:val="008104A8"/>
    <w:rsid w:val="0081595B"/>
    <w:rsid w:val="00816920"/>
    <w:rsid w:val="00816D81"/>
    <w:rsid w:val="00822579"/>
    <w:rsid w:val="00825ED3"/>
    <w:rsid w:val="008261FD"/>
    <w:rsid w:val="00827673"/>
    <w:rsid w:val="008302DA"/>
    <w:rsid w:val="008324B8"/>
    <w:rsid w:val="00833939"/>
    <w:rsid w:val="00837F43"/>
    <w:rsid w:val="00840CDA"/>
    <w:rsid w:val="008438A0"/>
    <w:rsid w:val="008444C1"/>
    <w:rsid w:val="00846172"/>
    <w:rsid w:val="008468F0"/>
    <w:rsid w:val="008535BF"/>
    <w:rsid w:val="0086143B"/>
    <w:rsid w:val="00862DDD"/>
    <w:rsid w:val="00864401"/>
    <w:rsid w:val="00864D2E"/>
    <w:rsid w:val="00872E5B"/>
    <w:rsid w:val="0087404B"/>
    <w:rsid w:val="008745F9"/>
    <w:rsid w:val="00877961"/>
    <w:rsid w:val="00881579"/>
    <w:rsid w:val="0088161A"/>
    <w:rsid w:val="00882067"/>
    <w:rsid w:val="00885D95"/>
    <w:rsid w:val="008875FE"/>
    <w:rsid w:val="008906B3"/>
    <w:rsid w:val="008933B9"/>
    <w:rsid w:val="00894541"/>
    <w:rsid w:val="00895AB4"/>
    <w:rsid w:val="00896137"/>
    <w:rsid w:val="008A05CE"/>
    <w:rsid w:val="008A07CE"/>
    <w:rsid w:val="008A22B2"/>
    <w:rsid w:val="008A3FC2"/>
    <w:rsid w:val="008A7B2C"/>
    <w:rsid w:val="008B0870"/>
    <w:rsid w:val="008B3716"/>
    <w:rsid w:val="008B58A6"/>
    <w:rsid w:val="008C0256"/>
    <w:rsid w:val="008C05CD"/>
    <w:rsid w:val="008C0A35"/>
    <w:rsid w:val="008C3C12"/>
    <w:rsid w:val="008C3FDC"/>
    <w:rsid w:val="008C711E"/>
    <w:rsid w:val="008D1941"/>
    <w:rsid w:val="008D1D6D"/>
    <w:rsid w:val="008D485C"/>
    <w:rsid w:val="008D5FC9"/>
    <w:rsid w:val="008D61D2"/>
    <w:rsid w:val="008D62A2"/>
    <w:rsid w:val="008D7CFB"/>
    <w:rsid w:val="008E58B0"/>
    <w:rsid w:val="008E7825"/>
    <w:rsid w:val="008E7E66"/>
    <w:rsid w:val="008F0394"/>
    <w:rsid w:val="008F1212"/>
    <w:rsid w:val="008F3087"/>
    <w:rsid w:val="008F4FE1"/>
    <w:rsid w:val="00900BEA"/>
    <w:rsid w:val="00904474"/>
    <w:rsid w:val="00904A7A"/>
    <w:rsid w:val="00907112"/>
    <w:rsid w:val="0091004E"/>
    <w:rsid w:val="009135CC"/>
    <w:rsid w:val="00916265"/>
    <w:rsid w:val="00917626"/>
    <w:rsid w:val="00917993"/>
    <w:rsid w:val="00921921"/>
    <w:rsid w:val="00921E8E"/>
    <w:rsid w:val="009237BC"/>
    <w:rsid w:val="0092487D"/>
    <w:rsid w:val="009254F8"/>
    <w:rsid w:val="00926957"/>
    <w:rsid w:val="0093085D"/>
    <w:rsid w:val="009310AC"/>
    <w:rsid w:val="00931193"/>
    <w:rsid w:val="00934C95"/>
    <w:rsid w:val="00936E89"/>
    <w:rsid w:val="009447DD"/>
    <w:rsid w:val="009449A4"/>
    <w:rsid w:val="00962D31"/>
    <w:rsid w:val="00971AA3"/>
    <w:rsid w:val="00972D86"/>
    <w:rsid w:val="0098012A"/>
    <w:rsid w:val="00980328"/>
    <w:rsid w:val="0098171D"/>
    <w:rsid w:val="00981C07"/>
    <w:rsid w:val="00983146"/>
    <w:rsid w:val="00984D9C"/>
    <w:rsid w:val="009879F6"/>
    <w:rsid w:val="00987C2D"/>
    <w:rsid w:val="00992273"/>
    <w:rsid w:val="009922A6"/>
    <w:rsid w:val="00992915"/>
    <w:rsid w:val="00992B00"/>
    <w:rsid w:val="00996BC8"/>
    <w:rsid w:val="00997958"/>
    <w:rsid w:val="00997E39"/>
    <w:rsid w:val="009A0E38"/>
    <w:rsid w:val="009A1266"/>
    <w:rsid w:val="009A4FD1"/>
    <w:rsid w:val="009A5C05"/>
    <w:rsid w:val="009A66E1"/>
    <w:rsid w:val="009B126B"/>
    <w:rsid w:val="009B6193"/>
    <w:rsid w:val="009B7343"/>
    <w:rsid w:val="009C48B2"/>
    <w:rsid w:val="009C56F3"/>
    <w:rsid w:val="009C5746"/>
    <w:rsid w:val="009C6A1F"/>
    <w:rsid w:val="009D2BDF"/>
    <w:rsid w:val="009D3BF0"/>
    <w:rsid w:val="009D3D9B"/>
    <w:rsid w:val="009D4308"/>
    <w:rsid w:val="009D5E5F"/>
    <w:rsid w:val="009D6A5F"/>
    <w:rsid w:val="009D74B8"/>
    <w:rsid w:val="009D7FAC"/>
    <w:rsid w:val="009E090A"/>
    <w:rsid w:val="009E0E6D"/>
    <w:rsid w:val="009E200C"/>
    <w:rsid w:val="009E28A9"/>
    <w:rsid w:val="009E4968"/>
    <w:rsid w:val="009E5723"/>
    <w:rsid w:val="009E7A7D"/>
    <w:rsid w:val="009F03B6"/>
    <w:rsid w:val="009F04AA"/>
    <w:rsid w:val="009F0E78"/>
    <w:rsid w:val="009F6226"/>
    <w:rsid w:val="00A017AC"/>
    <w:rsid w:val="00A021B1"/>
    <w:rsid w:val="00A05525"/>
    <w:rsid w:val="00A07CDE"/>
    <w:rsid w:val="00A1093E"/>
    <w:rsid w:val="00A15393"/>
    <w:rsid w:val="00A155B2"/>
    <w:rsid w:val="00A17D99"/>
    <w:rsid w:val="00A21E2B"/>
    <w:rsid w:val="00A22965"/>
    <w:rsid w:val="00A33200"/>
    <w:rsid w:val="00A34F5A"/>
    <w:rsid w:val="00A35CAA"/>
    <w:rsid w:val="00A379D8"/>
    <w:rsid w:val="00A40A75"/>
    <w:rsid w:val="00A40C97"/>
    <w:rsid w:val="00A417F4"/>
    <w:rsid w:val="00A43F9E"/>
    <w:rsid w:val="00A45FEC"/>
    <w:rsid w:val="00A46D4E"/>
    <w:rsid w:val="00A476A5"/>
    <w:rsid w:val="00A47B47"/>
    <w:rsid w:val="00A509C1"/>
    <w:rsid w:val="00A53971"/>
    <w:rsid w:val="00A542A4"/>
    <w:rsid w:val="00A5462C"/>
    <w:rsid w:val="00A55C6E"/>
    <w:rsid w:val="00A55E98"/>
    <w:rsid w:val="00A57B21"/>
    <w:rsid w:val="00A60D15"/>
    <w:rsid w:val="00A6184E"/>
    <w:rsid w:val="00A64770"/>
    <w:rsid w:val="00A67E07"/>
    <w:rsid w:val="00A71E3D"/>
    <w:rsid w:val="00A72965"/>
    <w:rsid w:val="00A72BC1"/>
    <w:rsid w:val="00A72C61"/>
    <w:rsid w:val="00A7347D"/>
    <w:rsid w:val="00A73970"/>
    <w:rsid w:val="00A7437B"/>
    <w:rsid w:val="00A746A0"/>
    <w:rsid w:val="00A74C56"/>
    <w:rsid w:val="00A8107B"/>
    <w:rsid w:val="00A828C7"/>
    <w:rsid w:val="00A878EF"/>
    <w:rsid w:val="00A87DF9"/>
    <w:rsid w:val="00A900B6"/>
    <w:rsid w:val="00A90903"/>
    <w:rsid w:val="00A910C4"/>
    <w:rsid w:val="00A9347A"/>
    <w:rsid w:val="00A938AF"/>
    <w:rsid w:val="00A93E2B"/>
    <w:rsid w:val="00A94743"/>
    <w:rsid w:val="00A94D41"/>
    <w:rsid w:val="00A96A41"/>
    <w:rsid w:val="00A96F2C"/>
    <w:rsid w:val="00AA2CE3"/>
    <w:rsid w:val="00AA435C"/>
    <w:rsid w:val="00AA458D"/>
    <w:rsid w:val="00AA4FC7"/>
    <w:rsid w:val="00AA5149"/>
    <w:rsid w:val="00AA5FE1"/>
    <w:rsid w:val="00AC033D"/>
    <w:rsid w:val="00AC405F"/>
    <w:rsid w:val="00AC5081"/>
    <w:rsid w:val="00AC6330"/>
    <w:rsid w:val="00AD09AE"/>
    <w:rsid w:val="00AD4D66"/>
    <w:rsid w:val="00AD5392"/>
    <w:rsid w:val="00AD6062"/>
    <w:rsid w:val="00AD6906"/>
    <w:rsid w:val="00AD793F"/>
    <w:rsid w:val="00AE0E26"/>
    <w:rsid w:val="00AE4A47"/>
    <w:rsid w:val="00AE4F37"/>
    <w:rsid w:val="00AE5965"/>
    <w:rsid w:val="00AE7E4C"/>
    <w:rsid w:val="00AF4B46"/>
    <w:rsid w:val="00AF6682"/>
    <w:rsid w:val="00B00E22"/>
    <w:rsid w:val="00B060C5"/>
    <w:rsid w:val="00B06C07"/>
    <w:rsid w:val="00B132A0"/>
    <w:rsid w:val="00B13A30"/>
    <w:rsid w:val="00B144F0"/>
    <w:rsid w:val="00B15AED"/>
    <w:rsid w:val="00B16CCE"/>
    <w:rsid w:val="00B21AAB"/>
    <w:rsid w:val="00B236B7"/>
    <w:rsid w:val="00B2370C"/>
    <w:rsid w:val="00B30543"/>
    <w:rsid w:val="00B30CCD"/>
    <w:rsid w:val="00B31454"/>
    <w:rsid w:val="00B31745"/>
    <w:rsid w:val="00B3198E"/>
    <w:rsid w:val="00B32131"/>
    <w:rsid w:val="00B33CFF"/>
    <w:rsid w:val="00B33D9D"/>
    <w:rsid w:val="00B33EC4"/>
    <w:rsid w:val="00B400A3"/>
    <w:rsid w:val="00B40AA3"/>
    <w:rsid w:val="00B449A6"/>
    <w:rsid w:val="00B44E81"/>
    <w:rsid w:val="00B4550E"/>
    <w:rsid w:val="00B45FE0"/>
    <w:rsid w:val="00B46FA5"/>
    <w:rsid w:val="00B54ED5"/>
    <w:rsid w:val="00B5698E"/>
    <w:rsid w:val="00B57D37"/>
    <w:rsid w:val="00B6102B"/>
    <w:rsid w:val="00B61257"/>
    <w:rsid w:val="00B624F6"/>
    <w:rsid w:val="00B66891"/>
    <w:rsid w:val="00B66DE2"/>
    <w:rsid w:val="00B70414"/>
    <w:rsid w:val="00B70505"/>
    <w:rsid w:val="00B71323"/>
    <w:rsid w:val="00B75133"/>
    <w:rsid w:val="00B7586F"/>
    <w:rsid w:val="00B80A05"/>
    <w:rsid w:val="00B81497"/>
    <w:rsid w:val="00B81A6F"/>
    <w:rsid w:val="00B82227"/>
    <w:rsid w:val="00B85406"/>
    <w:rsid w:val="00B85FB8"/>
    <w:rsid w:val="00B87851"/>
    <w:rsid w:val="00B92592"/>
    <w:rsid w:val="00B949D6"/>
    <w:rsid w:val="00B97F14"/>
    <w:rsid w:val="00BA42D5"/>
    <w:rsid w:val="00BA5D5A"/>
    <w:rsid w:val="00BA77E9"/>
    <w:rsid w:val="00BC07CA"/>
    <w:rsid w:val="00BC2258"/>
    <w:rsid w:val="00BC2519"/>
    <w:rsid w:val="00BC5303"/>
    <w:rsid w:val="00BC72E5"/>
    <w:rsid w:val="00BD124A"/>
    <w:rsid w:val="00BD31D6"/>
    <w:rsid w:val="00BE29BD"/>
    <w:rsid w:val="00BE4DDF"/>
    <w:rsid w:val="00BF3D94"/>
    <w:rsid w:val="00C02D9C"/>
    <w:rsid w:val="00C02F9A"/>
    <w:rsid w:val="00C07E5C"/>
    <w:rsid w:val="00C10780"/>
    <w:rsid w:val="00C12845"/>
    <w:rsid w:val="00C20367"/>
    <w:rsid w:val="00C2236D"/>
    <w:rsid w:val="00C231C7"/>
    <w:rsid w:val="00C27A36"/>
    <w:rsid w:val="00C34F2F"/>
    <w:rsid w:val="00C36633"/>
    <w:rsid w:val="00C4062E"/>
    <w:rsid w:val="00C40AC8"/>
    <w:rsid w:val="00C441E2"/>
    <w:rsid w:val="00C4422E"/>
    <w:rsid w:val="00C443C3"/>
    <w:rsid w:val="00C468AD"/>
    <w:rsid w:val="00C519EE"/>
    <w:rsid w:val="00C54300"/>
    <w:rsid w:val="00C55868"/>
    <w:rsid w:val="00C56DEC"/>
    <w:rsid w:val="00C5757B"/>
    <w:rsid w:val="00C57BB7"/>
    <w:rsid w:val="00C61AA5"/>
    <w:rsid w:val="00C67824"/>
    <w:rsid w:val="00C748B2"/>
    <w:rsid w:val="00C75242"/>
    <w:rsid w:val="00C763F6"/>
    <w:rsid w:val="00C775DF"/>
    <w:rsid w:val="00C77DFF"/>
    <w:rsid w:val="00C803EF"/>
    <w:rsid w:val="00C80C52"/>
    <w:rsid w:val="00C80E03"/>
    <w:rsid w:val="00C82E82"/>
    <w:rsid w:val="00C83CB5"/>
    <w:rsid w:val="00C847E3"/>
    <w:rsid w:val="00C85039"/>
    <w:rsid w:val="00C871E2"/>
    <w:rsid w:val="00C91007"/>
    <w:rsid w:val="00C93CE9"/>
    <w:rsid w:val="00C94439"/>
    <w:rsid w:val="00C94B51"/>
    <w:rsid w:val="00C96BD9"/>
    <w:rsid w:val="00C96EE3"/>
    <w:rsid w:val="00CA4BA1"/>
    <w:rsid w:val="00CA677E"/>
    <w:rsid w:val="00CA7410"/>
    <w:rsid w:val="00CB515B"/>
    <w:rsid w:val="00CB5D96"/>
    <w:rsid w:val="00CB6BAD"/>
    <w:rsid w:val="00CB7E3D"/>
    <w:rsid w:val="00CC079C"/>
    <w:rsid w:val="00CC259D"/>
    <w:rsid w:val="00CC5196"/>
    <w:rsid w:val="00CC7BF0"/>
    <w:rsid w:val="00CC7CC4"/>
    <w:rsid w:val="00CD1363"/>
    <w:rsid w:val="00CD162D"/>
    <w:rsid w:val="00CD2E71"/>
    <w:rsid w:val="00CD6069"/>
    <w:rsid w:val="00CE0B0A"/>
    <w:rsid w:val="00CE2ED2"/>
    <w:rsid w:val="00CE38BE"/>
    <w:rsid w:val="00CE3FEC"/>
    <w:rsid w:val="00CF2653"/>
    <w:rsid w:val="00CF2DC7"/>
    <w:rsid w:val="00CF314B"/>
    <w:rsid w:val="00CF57B0"/>
    <w:rsid w:val="00CF604E"/>
    <w:rsid w:val="00CF6697"/>
    <w:rsid w:val="00D013CA"/>
    <w:rsid w:val="00D04E86"/>
    <w:rsid w:val="00D05AF2"/>
    <w:rsid w:val="00D07665"/>
    <w:rsid w:val="00D11534"/>
    <w:rsid w:val="00D12CCF"/>
    <w:rsid w:val="00D13C16"/>
    <w:rsid w:val="00D13FCF"/>
    <w:rsid w:val="00D14133"/>
    <w:rsid w:val="00D1487F"/>
    <w:rsid w:val="00D175B3"/>
    <w:rsid w:val="00D17A4D"/>
    <w:rsid w:val="00D20179"/>
    <w:rsid w:val="00D20812"/>
    <w:rsid w:val="00D21206"/>
    <w:rsid w:val="00D21CF4"/>
    <w:rsid w:val="00D21D46"/>
    <w:rsid w:val="00D21F1B"/>
    <w:rsid w:val="00D22797"/>
    <w:rsid w:val="00D22DE9"/>
    <w:rsid w:val="00D231EB"/>
    <w:rsid w:val="00D244D7"/>
    <w:rsid w:val="00D2464F"/>
    <w:rsid w:val="00D2489D"/>
    <w:rsid w:val="00D24DC4"/>
    <w:rsid w:val="00D26263"/>
    <w:rsid w:val="00D2696F"/>
    <w:rsid w:val="00D2759C"/>
    <w:rsid w:val="00D278F4"/>
    <w:rsid w:val="00D30C03"/>
    <w:rsid w:val="00D33B9E"/>
    <w:rsid w:val="00D34A63"/>
    <w:rsid w:val="00D37A40"/>
    <w:rsid w:val="00D45A6A"/>
    <w:rsid w:val="00D46DA8"/>
    <w:rsid w:val="00D50AEC"/>
    <w:rsid w:val="00D5158A"/>
    <w:rsid w:val="00D52FFD"/>
    <w:rsid w:val="00D532EC"/>
    <w:rsid w:val="00D55E01"/>
    <w:rsid w:val="00D56181"/>
    <w:rsid w:val="00D57262"/>
    <w:rsid w:val="00D57EA8"/>
    <w:rsid w:val="00D61698"/>
    <w:rsid w:val="00D62CDF"/>
    <w:rsid w:val="00D6306D"/>
    <w:rsid w:val="00D644C0"/>
    <w:rsid w:val="00D667E6"/>
    <w:rsid w:val="00D66CFE"/>
    <w:rsid w:val="00D677CA"/>
    <w:rsid w:val="00D737B1"/>
    <w:rsid w:val="00D73B46"/>
    <w:rsid w:val="00D75487"/>
    <w:rsid w:val="00D76058"/>
    <w:rsid w:val="00D77E0E"/>
    <w:rsid w:val="00D843DB"/>
    <w:rsid w:val="00D875CB"/>
    <w:rsid w:val="00D87C1E"/>
    <w:rsid w:val="00D9108B"/>
    <w:rsid w:val="00D93CAD"/>
    <w:rsid w:val="00D94897"/>
    <w:rsid w:val="00DA2D9F"/>
    <w:rsid w:val="00DA3F6D"/>
    <w:rsid w:val="00DA418E"/>
    <w:rsid w:val="00DA543D"/>
    <w:rsid w:val="00DA6F85"/>
    <w:rsid w:val="00DB0A11"/>
    <w:rsid w:val="00DB13FC"/>
    <w:rsid w:val="00DB3811"/>
    <w:rsid w:val="00DB540E"/>
    <w:rsid w:val="00DB5ABF"/>
    <w:rsid w:val="00DC0097"/>
    <w:rsid w:val="00DC3396"/>
    <w:rsid w:val="00DC37E9"/>
    <w:rsid w:val="00DC4977"/>
    <w:rsid w:val="00DC5767"/>
    <w:rsid w:val="00DC76B6"/>
    <w:rsid w:val="00DC7FC4"/>
    <w:rsid w:val="00DD0AAA"/>
    <w:rsid w:val="00DD0F9F"/>
    <w:rsid w:val="00DE0B47"/>
    <w:rsid w:val="00DE4FA7"/>
    <w:rsid w:val="00DF695F"/>
    <w:rsid w:val="00E012BC"/>
    <w:rsid w:val="00E01D77"/>
    <w:rsid w:val="00E022EB"/>
    <w:rsid w:val="00E02355"/>
    <w:rsid w:val="00E03F73"/>
    <w:rsid w:val="00E06BC2"/>
    <w:rsid w:val="00E122DF"/>
    <w:rsid w:val="00E13699"/>
    <w:rsid w:val="00E13F82"/>
    <w:rsid w:val="00E15755"/>
    <w:rsid w:val="00E16B3C"/>
    <w:rsid w:val="00E17CC7"/>
    <w:rsid w:val="00E23587"/>
    <w:rsid w:val="00E23C83"/>
    <w:rsid w:val="00E2421C"/>
    <w:rsid w:val="00E251BB"/>
    <w:rsid w:val="00E27BC1"/>
    <w:rsid w:val="00E322B1"/>
    <w:rsid w:val="00E33BBE"/>
    <w:rsid w:val="00E35752"/>
    <w:rsid w:val="00E359A8"/>
    <w:rsid w:val="00E41C1D"/>
    <w:rsid w:val="00E42952"/>
    <w:rsid w:val="00E42AC0"/>
    <w:rsid w:val="00E44294"/>
    <w:rsid w:val="00E46E75"/>
    <w:rsid w:val="00E47CCA"/>
    <w:rsid w:val="00E513C8"/>
    <w:rsid w:val="00E54787"/>
    <w:rsid w:val="00E55B4E"/>
    <w:rsid w:val="00E56767"/>
    <w:rsid w:val="00E569E0"/>
    <w:rsid w:val="00E60617"/>
    <w:rsid w:val="00E60EF1"/>
    <w:rsid w:val="00E6253B"/>
    <w:rsid w:val="00E642F6"/>
    <w:rsid w:val="00E71698"/>
    <w:rsid w:val="00E720EF"/>
    <w:rsid w:val="00E72539"/>
    <w:rsid w:val="00E7421E"/>
    <w:rsid w:val="00E77C36"/>
    <w:rsid w:val="00E8096B"/>
    <w:rsid w:val="00E825DA"/>
    <w:rsid w:val="00E826A5"/>
    <w:rsid w:val="00E859A5"/>
    <w:rsid w:val="00E86868"/>
    <w:rsid w:val="00E86F2F"/>
    <w:rsid w:val="00E87CEB"/>
    <w:rsid w:val="00E90596"/>
    <w:rsid w:val="00E91EEE"/>
    <w:rsid w:val="00E9204B"/>
    <w:rsid w:val="00E92765"/>
    <w:rsid w:val="00E932FA"/>
    <w:rsid w:val="00E93AEA"/>
    <w:rsid w:val="00E94727"/>
    <w:rsid w:val="00E947DC"/>
    <w:rsid w:val="00E948C1"/>
    <w:rsid w:val="00E959F1"/>
    <w:rsid w:val="00E95C3F"/>
    <w:rsid w:val="00E95D37"/>
    <w:rsid w:val="00E95E42"/>
    <w:rsid w:val="00E96488"/>
    <w:rsid w:val="00E966B2"/>
    <w:rsid w:val="00E971AA"/>
    <w:rsid w:val="00EA1632"/>
    <w:rsid w:val="00EA1ED8"/>
    <w:rsid w:val="00EA2CA6"/>
    <w:rsid w:val="00EA6F54"/>
    <w:rsid w:val="00EA78F7"/>
    <w:rsid w:val="00EB2CCA"/>
    <w:rsid w:val="00EB353E"/>
    <w:rsid w:val="00EB3B3F"/>
    <w:rsid w:val="00EB4026"/>
    <w:rsid w:val="00EB4EE0"/>
    <w:rsid w:val="00EB5D51"/>
    <w:rsid w:val="00EB7AF3"/>
    <w:rsid w:val="00EC2082"/>
    <w:rsid w:val="00EC5375"/>
    <w:rsid w:val="00EC586D"/>
    <w:rsid w:val="00EC651A"/>
    <w:rsid w:val="00ED470F"/>
    <w:rsid w:val="00EE141C"/>
    <w:rsid w:val="00EE2276"/>
    <w:rsid w:val="00EE2377"/>
    <w:rsid w:val="00EE63B4"/>
    <w:rsid w:val="00EE6ECE"/>
    <w:rsid w:val="00EF02FE"/>
    <w:rsid w:val="00EF383E"/>
    <w:rsid w:val="00EF3F3D"/>
    <w:rsid w:val="00EF5C47"/>
    <w:rsid w:val="00F01A17"/>
    <w:rsid w:val="00F064FF"/>
    <w:rsid w:val="00F0662F"/>
    <w:rsid w:val="00F07901"/>
    <w:rsid w:val="00F07C09"/>
    <w:rsid w:val="00F10A9A"/>
    <w:rsid w:val="00F1445F"/>
    <w:rsid w:val="00F16474"/>
    <w:rsid w:val="00F16555"/>
    <w:rsid w:val="00F20949"/>
    <w:rsid w:val="00F20CCE"/>
    <w:rsid w:val="00F21571"/>
    <w:rsid w:val="00F2569B"/>
    <w:rsid w:val="00F25E45"/>
    <w:rsid w:val="00F31C12"/>
    <w:rsid w:val="00F3324F"/>
    <w:rsid w:val="00F33749"/>
    <w:rsid w:val="00F35CE8"/>
    <w:rsid w:val="00F4028C"/>
    <w:rsid w:val="00F41820"/>
    <w:rsid w:val="00F425FE"/>
    <w:rsid w:val="00F42F66"/>
    <w:rsid w:val="00F43B87"/>
    <w:rsid w:val="00F44CD8"/>
    <w:rsid w:val="00F464DE"/>
    <w:rsid w:val="00F46C72"/>
    <w:rsid w:val="00F46FF0"/>
    <w:rsid w:val="00F4724B"/>
    <w:rsid w:val="00F50832"/>
    <w:rsid w:val="00F54967"/>
    <w:rsid w:val="00F56A03"/>
    <w:rsid w:val="00F575D9"/>
    <w:rsid w:val="00F57DD2"/>
    <w:rsid w:val="00F60D2E"/>
    <w:rsid w:val="00F659F2"/>
    <w:rsid w:val="00F70E30"/>
    <w:rsid w:val="00F73DDC"/>
    <w:rsid w:val="00F748C3"/>
    <w:rsid w:val="00F75F97"/>
    <w:rsid w:val="00F760AE"/>
    <w:rsid w:val="00F84B75"/>
    <w:rsid w:val="00F8643C"/>
    <w:rsid w:val="00F86512"/>
    <w:rsid w:val="00F86B71"/>
    <w:rsid w:val="00F87A4F"/>
    <w:rsid w:val="00F91606"/>
    <w:rsid w:val="00F921FE"/>
    <w:rsid w:val="00F9527C"/>
    <w:rsid w:val="00F96516"/>
    <w:rsid w:val="00FA1D99"/>
    <w:rsid w:val="00FA1DA7"/>
    <w:rsid w:val="00FA3B8F"/>
    <w:rsid w:val="00FA3C53"/>
    <w:rsid w:val="00FA4054"/>
    <w:rsid w:val="00FB2663"/>
    <w:rsid w:val="00FB5792"/>
    <w:rsid w:val="00FB62E3"/>
    <w:rsid w:val="00FB77C0"/>
    <w:rsid w:val="00FC0E6C"/>
    <w:rsid w:val="00FC15F5"/>
    <w:rsid w:val="00FC5560"/>
    <w:rsid w:val="00FC79FB"/>
    <w:rsid w:val="00FD0308"/>
    <w:rsid w:val="00FD1155"/>
    <w:rsid w:val="00FD2715"/>
    <w:rsid w:val="00FD29F3"/>
    <w:rsid w:val="00FD50C7"/>
    <w:rsid w:val="00FD52F7"/>
    <w:rsid w:val="00FE1030"/>
    <w:rsid w:val="00FE1959"/>
    <w:rsid w:val="00FE3AD6"/>
    <w:rsid w:val="00FE5C02"/>
    <w:rsid w:val="00FE5F76"/>
    <w:rsid w:val="00FE6100"/>
    <w:rsid w:val="00FE6D71"/>
    <w:rsid w:val="00FE73F9"/>
    <w:rsid w:val="00FF2407"/>
    <w:rsid w:val="00FF2780"/>
    <w:rsid w:val="00FF2C53"/>
    <w:rsid w:val="00FF3D1B"/>
    <w:rsid w:val="00FF59E9"/>
    <w:rsid w:val="00FF5F34"/>
    <w:rsid w:val="00FF61BA"/>
    <w:rsid w:val="00FF6901"/>
    <w:rsid w:val="00FF7E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58C"/>
    <w:pPr>
      <w:spacing w:before="240"/>
    </w:pPr>
    <w:rPr>
      <w:sz w:val="24"/>
    </w:rPr>
  </w:style>
  <w:style w:type="paragraph" w:styleId="Heading6">
    <w:name w:val="heading 6"/>
    <w:basedOn w:val="Normal"/>
    <w:next w:val="Normal"/>
    <w:qFormat/>
    <w:rsid w:val="0049358C"/>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
    <w:name w:val="Char Char Char Char Char"/>
    <w:basedOn w:val="Normal"/>
    <w:semiHidden/>
    <w:rsid w:val="0049358C"/>
    <w:pPr>
      <w:spacing w:before="0"/>
    </w:pPr>
    <w:rPr>
      <w:rFonts w:ascii="Arial" w:hAnsi="Arial" w:cs="Arial"/>
      <w:color w:val="000000"/>
      <w:sz w:val="22"/>
      <w:szCs w:val="22"/>
      <w:lang w:eastAsia="en-US"/>
    </w:rPr>
  </w:style>
  <w:style w:type="paragraph" w:styleId="NormalWeb">
    <w:name w:val="Normal (Web)"/>
    <w:basedOn w:val="Normal"/>
    <w:rsid w:val="00FA1DA7"/>
    <w:pPr>
      <w:spacing w:before="100" w:beforeAutospacing="1" w:after="100" w:afterAutospacing="1"/>
    </w:pPr>
    <w:rPr>
      <w:szCs w:val="24"/>
    </w:rPr>
  </w:style>
  <w:style w:type="character" w:styleId="CommentReference">
    <w:name w:val="annotation reference"/>
    <w:semiHidden/>
    <w:rsid w:val="001714C0"/>
    <w:rPr>
      <w:sz w:val="16"/>
      <w:szCs w:val="16"/>
    </w:rPr>
  </w:style>
  <w:style w:type="paragraph" w:styleId="CommentText">
    <w:name w:val="annotation text"/>
    <w:basedOn w:val="Normal"/>
    <w:semiHidden/>
    <w:rsid w:val="001714C0"/>
    <w:rPr>
      <w:sz w:val="20"/>
    </w:rPr>
  </w:style>
  <w:style w:type="paragraph" w:styleId="CommentSubject">
    <w:name w:val="annotation subject"/>
    <w:basedOn w:val="CommentText"/>
    <w:next w:val="CommentText"/>
    <w:semiHidden/>
    <w:rsid w:val="001714C0"/>
    <w:rPr>
      <w:b/>
      <w:bCs/>
    </w:rPr>
  </w:style>
  <w:style w:type="paragraph" w:styleId="BalloonText">
    <w:name w:val="Balloon Text"/>
    <w:basedOn w:val="Normal"/>
    <w:semiHidden/>
    <w:rsid w:val="001714C0"/>
    <w:rPr>
      <w:rFonts w:ascii="Tahoma" w:hAnsi="Tahoma" w:cs="Tahoma"/>
      <w:sz w:val="16"/>
      <w:szCs w:val="16"/>
    </w:rPr>
  </w:style>
  <w:style w:type="paragraph" w:customStyle="1" w:styleId="numberlevel1">
    <w:name w:val="numberlevel1"/>
    <w:basedOn w:val="Normal"/>
    <w:rsid w:val="00443F37"/>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58C"/>
    <w:pPr>
      <w:spacing w:before="240"/>
    </w:pPr>
    <w:rPr>
      <w:sz w:val="24"/>
    </w:rPr>
  </w:style>
  <w:style w:type="paragraph" w:styleId="Heading6">
    <w:name w:val="heading 6"/>
    <w:basedOn w:val="Normal"/>
    <w:next w:val="Normal"/>
    <w:qFormat/>
    <w:rsid w:val="0049358C"/>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
    <w:name w:val="Char Char Char Char Char"/>
    <w:basedOn w:val="Normal"/>
    <w:semiHidden/>
    <w:rsid w:val="0049358C"/>
    <w:pPr>
      <w:spacing w:before="0"/>
    </w:pPr>
    <w:rPr>
      <w:rFonts w:ascii="Arial" w:hAnsi="Arial" w:cs="Arial"/>
      <w:color w:val="000000"/>
      <w:sz w:val="22"/>
      <w:szCs w:val="22"/>
      <w:lang w:eastAsia="en-US"/>
    </w:rPr>
  </w:style>
  <w:style w:type="paragraph" w:styleId="NormalWeb">
    <w:name w:val="Normal (Web)"/>
    <w:basedOn w:val="Normal"/>
    <w:rsid w:val="00FA1DA7"/>
    <w:pPr>
      <w:spacing w:before="100" w:beforeAutospacing="1" w:after="100" w:afterAutospacing="1"/>
    </w:pPr>
    <w:rPr>
      <w:szCs w:val="24"/>
    </w:rPr>
  </w:style>
  <w:style w:type="character" w:styleId="CommentReference">
    <w:name w:val="annotation reference"/>
    <w:semiHidden/>
    <w:rsid w:val="001714C0"/>
    <w:rPr>
      <w:sz w:val="16"/>
      <w:szCs w:val="16"/>
    </w:rPr>
  </w:style>
  <w:style w:type="paragraph" w:styleId="CommentText">
    <w:name w:val="annotation text"/>
    <w:basedOn w:val="Normal"/>
    <w:semiHidden/>
    <w:rsid w:val="001714C0"/>
    <w:rPr>
      <w:sz w:val="20"/>
    </w:rPr>
  </w:style>
  <w:style w:type="paragraph" w:styleId="CommentSubject">
    <w:name w:val="annotation subject"/>
    <w:basedOn w:val="CommentText"/>
    <w:next w:val="CommentText"/>
    <w:semiHidden/>
    <w:rsid w:val="001714C0"/>
    <w:rPr>
      <w:b/>
      <w:bCs/>
    </w:rPr>
  </w:style>
  <w:style w:type="paragraph" w:styleId="BalloonText">
    <w:name w:val="Balloon Text"/>
    <w:basedOn w:val="Normal"/>
    <w:semiHidden/>
    <w:rsid w:val="001714C0"/>
    <w:rPr>
      <w:rFonts w:ascii="Tahoma" w:hAnsi="Tahoma" w:cs="Tahoma"/>
      <w:sz w:val="16"/>
      <w:szCs w:val="16"/>
    </w:rPr>
  </w:style>
  <w:style w:type="paragraph" w:customStyle="1" w:styleId="numberlevel1">
    <w:name w:val="numberlevel1"/>
    <w:basedOn w:val="Normal"/>
    <w:rsid w:val="00443F37"/>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87621">
      <w:bodyDiv w:val="1"/>
      <w:marLeft w:val="0"/>
      <w:marRight w:val="0"/>
      <w:marTop w:val="0"/>
      <w:marBottom w:val="0"/>
      <w:divBdr>
        <w:top w:val="none" w:sz="0" w:space="0" w:color="auto"/>
        <w:left w:val="none" w:sz="0" w:space="0" w:color="auto"/>
        <w:bottom w:val="none" w:sz="0" w:space="0" w:color="auto"/>
        <w:right w:val="none" w:sz="0" w:space="0" w:color="auto"/>
      </w:divBdr>
      <w:divsChild>
        <w:div w:id="423962964">
          <w:marLeft w:val="0"/>
          <w:marRight w:val="0"/>
          <w:marTop w:val="0"/>
          <w:marBottom w:val="0"/>
          <w:divBdr>
            <w:top w:val="none" w:sz="0" w:space="0" w:color="auto"/>
            <w:left w:val="none" w:sz="0" w:space="0" w:color="auto"/>
            <w:bottom w:val="none" w:sz="0" w:space="0" w:color="auto"/>
            <w:right w:val="none" w:sz="0" w:space="0" w:color="auto"/>
          </w:divBdr>
          <w:divsChild>
            <w:div w:id="2940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2380">
      <w:bodyDiv w:val="1"/>
      <w:marLeft w:val="0"/>
      <w:marRight w:val="0"/>
      <w:marTop w:val="0"/>
      <w:marBottom w:val="0"/>
      <w:divBdr>
        <w:top w:val="none" w:sz="0" w:space="0" w:color="auto"/>
        <w:left w:val="none" w:sz="0" w:space="0" w:color="auto"/>
        <w:bottom w:val="none" w:sz="0" w:space="0" w:color="auto"/>
        <w:right w:val="none" w:sz="0" w:space="0" w:color="auto"/>
      </w:divBdr>
    </w:div>
    <w:div w:id="1682587800">
      <w:bodyDiv w:val="1"/>
      <w:marLeft w:val="0"/>
      <w:marRight w:val="0"/>
      <w:marTop w:val="0"/>
      <w:marBottom w:val="0"/>
      <w:divBdr>
        <w:top w:val="none" w:sz="0" w:space="0" w:color="auto"/>
        <w:left w:val="none" w:sz="0" w:space="0" w:color="auto"/>
        <w:bottom w:val="none" w:sz="0" w:space="0" w:color="auto"/>
        <w:right w:val="none" w:sz="0" w:space="0" w:color="auto"/>
      </w:divBdr>
      <w:divsChild>
        <w:div w:id="298192262">
          <w:marLeft w:val="0"/>
          <w:marRight w:val="0"/>
          <w:marTop w:val="0"/>
          <w:marBottom w:val="0"/>
          <w:divBdr>
            <w:top w:val="none" w:sz="0" w:space="0" w:color="auto"/>
            <w:left w:val="none" w:sz="0" w:space="0" w:color="auto"/>
            <w:bottom w:val="none" w:sz="0" w:space="0" w:color="auto"/>
            <w:right w:val="none" w:sz="0" w:space="0" w:color="auto"/>
          </w:divBdr>
          <w:divsChild>
            <w:div w:id="40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8634">
      <w:bodyDiv w:val="1"/>
      <w:marLeft w:val="0"/>
      <w:marRight w:val="0"/>
      <w:marTop w:val="0"/>
      <w:marBottom w:val="0"/>
      <w:divBdr>
        <w:top w:val="none" w:sz="0" w:space="0" w:color="auto"/>
        <w:left w:val="none" w:sz="0" w:space="0" w:color="auto"/>
        <w:bottom w:val="none" w:sz="0" w:space="0" w:color="auto"/>
        <w:right w:val="none" w:sz="0" w:space="0" w:color="auto"/>
      </w:divBdr>
      <w:divsChild>
        <w:div w:id="1933316951">
          <w:marLeft w:val="0"/>
          <w:marRight w:val="0"/>
          <w:marTop w:val="0"/>
          <w:marBottom w:val="0"/>
          <w:divBdr>
            <w:top w:val="none" w:sz="0" w:space="0" w:color="auto"/>
            <w:left w:val="none" w:sz="0" w:space="0" w:color="auto"/>
            <w:bottom w:val="none" w:sz="0" w:space="0" w:color="auto"/>
            <w:right w:val="none" w:sz="0" w:space="0" w:color="auto"/>
          </w:divBdr>
          <w:divsChild>
            <w:div w:id="956061068">
              <w:marLeft w:val="0"/>
              <w:marRight w:val="0"/>
              <w:marTop w:val="0"/>
              <w:marBottom w:val="0"/>
              <w:divBdr>
                <w:top w:val="none" w:sz="0" w:space="0" w:color="auto"/>
                <w:left w:val="none" w:sz="0" w:space="0" w:color="auto"/>
                <w:bottom w:val="none" w:sz="0" w:space="0" w:color="auto"/>
                <w:right w:val="none" w:sz="0" w:space="0" w:color="auto"/>
              </w:divBdr>
              <w:divsChild>
                <w:div w:id="1900557837">
                  <w:marLeft w:val="0"/>
                  <w:marRight w:val="0"/>
                  <w:marTop w:val="0"/>
                  <w:marBottom w:val="0"/>
                  <w:divBdr>
                    <w:top w:val="none" w:sz="0" w:space="0" w:color="auto"/>
                    <w:left w:val="none" w:sz="0" w:space="0" w:color="auto"/>
                    <w:bottom w:val="none" w:sz="0" w:space="0" w:color="auto"/>
                    <w:right w:val="none" w:sz="0" w:space="0" w:color="auto"/>
                  </w:divBdr>
                  <w:divsChild>
                    <w:div w:id="846552807">
                      <w:marLeft w:val="0"/>
                      <w:marRight w:val="0"/>
                      <w:marTop w:val="0"/>
                      <w:marBottom w:val="0"/>
                      <w:divBdr>
                        <w:top w:val="none" w:sz="0" w:space="0" w:color="auto"/>
                        <w:left w:val="none" w:sz="0" w:space="0" w:color="auto"/>
                        <w:bottom w:val="none" w:sz="0" w:space="0" w:color="auto"/>
                        <w:right w:val="none" w:sz="0" w:space="0" w:color="auto"/>
                      </w:divBdr>
                      <w:divsChild>
                        <w:div w:id="1922520411">
                          <w:marLeft w:val="0"/>
                          <w:marRight w:val="0"/>
                          <w:marTop w:val="0"/>
                          <w:marBottom w:val="0"/>
                          <w:divBdr>
                            <w:top w:val="single" w:sz="6" w:space="0" w:color="828282"/>
                            <w:left w:val="single" w:sz="6" w:space="0" w:color="828282"/>
                            <w:bottom w:val="single" w:sz="6" w:space="0" w:color="828282"/>
                            <w:right w:val="single" w:sz="6" w:space="0" w:color="828282"/>
                          </w:divBdr>
                          <w:divsChild>
                            <w:div w:id="618419843">
                              <w:marLeft w:val="0"/>
                              <w:marRight w:val="0"/>
                              <w:marTop w:val="0"/>
                              <w:marBottom w:val="0"/>
                              <w:divBdr>
                                <w:top w:val="none" w:sz="0" w:space="0" w:color="auto"/>
                                <w:left w:val="none" w:sz="0" w:space="0" w:color="auto"/>
                                <w:bottom w:val="none" w:sz="0" w:space="0" w:color="auto"/>
                                <w:right w:val="none" w:sz="0" w:space="0" w:color="auto"/>
                              </w:divBdr>
                              <w:divsChild>
                                <w:div w:id="2103330839">
                                  <w:marLeft w:val="0"/>
                                  <w:marRight w:val="0"/>
                                  <w:marTop w:val="0"/>
                                  <w:marBottom w:val="0"/>
                                  <w:divBdr>
                                    <w:top w:val="none" w:sz="0" w:space="0" w:color="auto"/>
                                    <w:left w:val="none" w:sz="0" w:space="0" w:color="auto"/>
                                    <w:bottom w:val="none" w:sz="0" w:space="0" w:color="auto"/>
                                    <w:right w:val="none" w:sz="0" w:space="0" w:color="auto"/>
                                  </w:divBdr>
                                  <w:divsChild>
                                    <w:div w:id="204875577">
                                      <w:marLeft w:val="0"/>
                                      <w:marRight w:val="0"/>
                                      <w:marTop w:val="0"/>
                                      <w:marBottom w:val="0"/>
                                      <w:divBdr>
                                        <w:top w:val="none" w:sz="0" w:space="0" w:color="auto"/>
                                        <w:left w:val="none" w:sz="0" w:space="0" w:color="auto"/>
                                        <w:bottom w:val="none" w:sz="0" w:space="0" w:color="auto"/>
                                        <w:right w:val="none" w:sz="0" w:space="0" w:color="auto"/>
                                      </w:divBdr>
                                      <w:divsChild>
                                        <w:div w:id="41947084">
                                          <w:marLeft w:val="0"/>
                                          <w:marRight w:val="0"/>
                                          <w:marTop w:val="0"/>
                                          <w:marBottom w:val="0"/>
                                          <w:divBdr>
                                            <w:top w:val="none" w:sz="0" w:space="0" w:color="auto"/>
                                            <w:left w:val="none" w:sz="0" w:space="0" w:color="auto"/>
                                            <w:bottom w:val="none" w:sz="0" w:space="0" w:color="auto"/>
                                            <w:right w:val="none" w:sz="0" w:space="0" w:color="auto"/>
                                          </w:divBdr>
                                          <w:divsChild>
                                            <w:div w:id="485439068">
                                              <w:marLeft w:val="0"/>
                                              <w:marRight w:val="0"/>
                                              <w:marTop w:val="0"/>
                                              <w:marBottom w:val="0"/>
                                              <w:divBdr>
                                                <w:top w:val="none" w:sz="0" w:space="0" w:color="auto"/>
                                                <w:left w:val="none" w:sz="0" w:space="0" w:color="auto"/>
                                                <w:bottom w:val="none" w:sz="0" w:space="0" w:color="auto"/>
                                                <w:right w:val="none" w:sz="0" w:space="0" w:color="auto"/>
                                              </w:divBdr>
                                              <w:divsChild>
                                                <w:div w:id="1225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94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FA0A2-B89A-4B5F-B93D-1235167B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FaHCSIA</Company>
  <LinksUpToDate>false</LinksUpToDate>
  <CharactersWithSpaces>11542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Melanie Sebastian</dc:creator>
  <cp:lastModifiedBy>Hilhorst, Matt</cp:lastModifiedBy>
  <cp:revision>3</cp:revision>
  <cp:lastPrinted>2013-06-07T03:36:00Z</cp:lastPrinted>
  <dcterms:created xsi:type="dcterms:W3CDTF">2013-06-25T07:57:00Z</dcterms:created>
  <dcterms:modified xsi:type="dcterms:W3CDTF">2013-06-28T02:44:00Z</dcterms:modified>
</cp:coreProperties>
</file>