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BA" w:rsidRDefault="002D4806">
      <w:pPr>
        <w:pStyle w:val="Title"/>
        <w:pBdr>
          <w:bottom w:val="single" w:sz="4" w:space="3" w:color="auto"/>
        </w:pBdr>
        <w:jc w:val="center"/>
        <w:rPr>
          <w:i/>
          <w:sz w:val="24"/>
          <w:szCs w:val="24"/>
        </w:rPr>
      </w:pPr>
      <w:bookmarkStart w:id="0" w:name="Citation"/>
      <w:r w:rsidRPr="002D4806">
        <w:rPr>
          <w:i/>
          <w:sz w:val="24"/>
          <w:szCs w:val="24"/>
        </w:rPr>
        <w:t>Legislative Instruments Act 2003</w:t>
      </w:r>
    </w:p>
    <w:p w:rsidR="00AC40BA" w:rsidRDefault="00D0292F">
      <w:pPr>
        <w:pStyle w:val="Title"/>
        <w:pBdr>
          <w:bottom w:val="single" w:sz="4" w:space="3" w:color="auto"/>
        </w:pBdr>
        <w:jc w:val="center"/>
        <w:rPr>
          <w:sz w:val="24"/>
          <w:szCs w:val="24"/>
        </w:rPr>
      </w:pPr>
      <w:r w:rsidRPr="00D0292F">
        <w:rPr>
          <w:sz w:val="24"/>
          <w:szCs w:val="24"/>
        </w:rPr>
        <w:t>Section 26</w:t>
      </w:r>
      <w:r w:rsidR="002D4806" w:rsidRPr="002D4806">
        <w:rPr>
          <w:sz w:val="24"/>
          <w:szCs w:val="24"/>
        </w:rPr>
        <w:t xml:space="preserve"> – Explanatory Statement</w:t>
      </w:r>
    </w:p>
    <w:p w:rsidR="007035CE" w:rsidRPr="00D0292F" w:rsidRDefault="002D4806" w:rsidP="00387FB9">
      <w:pPr>
        <w:pStyle w:val="Title"/>
        <w:pBdr>
          <w:bottom w:val="single" w:sz="4" w:space="3" w:color="auto"/>
        </w:pBdr>
        <w:rPr>
          <w:sz w:val="24"/>
          <w:szCs w:val="24"/>
        </w:rPr>
      </w:pPr>
      <w:r w:rsidRPr="002D4806">
        <w:rPr>
          <w:i/>
          <w:sz w:val="24"/>
          <w:szCs w:val="24"/>
        </w:rPr>
        <w:t xml:space="preserve">Telecommunications (International Mobile Roaming) </w:t>
      </w:r>
      <w:bookmarkEnd w:id="0"/>
      <w:r w:rsidRPr="002D4806">
        <w:rPr>
          <w:i/>
          <w:sz w:val="24"/>
          <w:szCs w:val="24"/>
        </w:rPr>
        <w:t>Industry Standard 2013</w:t>
      </w:r>
      <w:r w:rsidRPr="002D4806">
        <w:rPr>
          <w:sz w:val="24"/>
          <w:szCs w:val="24"/>
        </w:rPr>
        <w:t xml:space="preserve"> </w:t>
      </w:r>
      <w:r w:rsidRPr="002D4806">
        <w:rPr>
          <w:sz w:val="24"/>
          <w:szCs w:val="24"/>
        </w:rPr>
        <w:br/>
      </w:r>
    </w:p>
    <w:p w:rsidR="007035CE" w:rsidRPr="00D0292F" w:rsidRDefault="00AC40BA" w:rsidP="00404D45">
      <w:pPr>
        <w:pStyle w:val="Header"/>
        <w:numPr>
          <w:ilvl w:val="0"/>
          <w:numId w:val="17"/>
        </w:numPr>
        <w:spacing w:line="360" w:lineRule="auto"/>
        <w:rPr>
          <w:rFonts w:cs="Arial"/>
          <w:b/>
          <w:vanish/>
          <w:sz w:val="24"/>
        </w:rPr>
      </w:pPr>
      <w:r w:rsidRPr="00AC40BA">
        <w:rPr>
          <w:rStyle w:val="CharPartNo"/>
          <w:rFonts w:cs="Arial"/>
          <w:b/>
          <w:vanish/>
          <w:sz w:val="24"/>
        </w:rPr>
        <w:t>Do not delete</w:t>
      </w:r>
      <w:r w:rsidRPr="00AC40BA">
        <w:rPr>
          <w:rFonts w:cs="Arial"/>
          <w:b/>
          <w:vanish/>
          <w:sz w:val="24"/>
        </w:rPr>
        <w:t xml:space="preserve"> : </w:t>
      </w:r>
      <w:r w:rsidRPr="00AC40BA">
        <w:rPr>
          <w:rStyle w:val="CharPartText"/>
          <w:rFonts w:cs="Arial"/>
          <w:b/>
          <w:vanish/>
          <w:sz w:val="24"/>
        </w:rPr>
        <w:t>Part Placeholder</w:t>
      </w:r>
    </w:p>
    <w:p w:rsidR="007035CE" w:rsidRPr="00D0292F" w:rsidRDefault="002D4806" w:rsidP="00404D45">
      <w:pPr>
        <w:pStyle w:val="Header"/>
        <w:numPr>
          <w:ilvl w:val="0"/>
          <w:numId w:val="17"/>
        </w:numPr>
        <w:spacing w:line="360" w:lineRule="auto"/>
        <w:rPr>
          <w:rFonts w:cs="Arial"/>
          <w:b/>
          <w:vanish/>
          <w:sz w:val="24"/>
        </w:rPr>
      </w:pPr>
      <w:r w:rsidRPr="002D4806">
        <w:rPr>
          <w:rStyle w:val="CharDivNo"/>
          <w:rFonts w:cs="Arial"/>
          <w:b/>
          <w:vanish/>
          <w:sz w:val="24"/>
        </w:rPr>
        <w:t>Do not delete</w:t>
      </w:r>
      <w:r w:rsidRPr="002D4806">
        <w:rPr>
          <w:rFonts w:cs="Arial"/>
          <w:b/>
          <w:vanish/>
          <w:sz w:val="24"/>
        </w:rPr>
        <w:t xml:space="preserve"> : </w:t>
      </w:r>
      <w:r w:rsidRPr="002D4806">
        <w:rPr>
          <w:rStyle w:val="CharDivText"/>
          <w:rFonts w:cs="Arial"/>
          <w:b/>
          <w:vanish/>
          <w:sz w:val="24"/>
        </w:rPr>
        <w:t>Division Placeholder</w:t>
      </w:r>
    </w:p>
    <w:p w:rsidR="00E1390C" w:rsidRDefault="00E1390C" w:rsidP="000057FD">
      <w:pPr>
        <w:rPr>
          <w:rFonts w:cs="Arial"/>
          <w:b/>
          <w:sz w:val="24"/>
        </w:rPr>
      </w:pPr>
    </w:p>
    <w:p w:rsidR="000057FD" w:rsidRPr="000057FD" w:rsidRDefault="000057FD" w:rsidP="000057FD">
      <w:pPr>
        <w:rPr>
          <w:rFonts w:cs="Arial"/>
          <w:b/>
          <w:sz w:val="24"/>
        </w:rPr>
      </w:pPr>
      <w:r w:rsidRPr="000057FD">
        <w:rPr>
          <w:rFonts w:cs="Arial"/>
          <w:b/>
          <w:sz w:val="24"/>
        </w:rPr>
        <w:t>Statutory Basis</w:t>
      </w:r>
      <w:r w:rsidR="00897D6D">
        <w:rPr>
          <w:rFonts w:cs="Arial"/>
          <w:b/>
          <w:sz w:val="24"/>
        </w:rPr>
        <w:t xml:space="preserve"> and Purpose</w:t>
      </w:r>
      <w:r w:rsidRPr="000057FD">
        <w:rPr>
          <w:rFonts w:cs="Arial"/>
          <w:b/>
          <w:sz w:val="24"/>
        </w:rPr>
        <w:t xml:space="preserve"> </w:t>
      </w:r>
    </w:p>
    <w:p w:rsidR="00F97A74" w:rsidRDefault="00173EBA" w:rsidP="00F97A74">
      <w:pPr>
        <w:spacing w:before="120" w:line="360" w:lineRule="auto"/>
        <w:rPr>
          <w:rFonts w:cs="Arial"/>
          <w:b/>
          <w:sz w:val="24"/>
        </w:rPr>
      </w:pPr>
      <w:r w:rsidRPr="00173EBA">
        <w:rPr>
          <w:rFonts w:ascii="Times New Roman" w:hAnsi="Times New Roman"/>
          <w:szCs w:val="22"/>
        </w:rPr>
        <w:t xml:space="preserve">On 23 August 2012, the Minister for Broadband, Communications and the Digital Economy </w:t>
      </w:r>
      <w:r w:rsidR="00D14F3D">
        <w:rPr>
          <w:rFonts w:ascii="Times New Roman" w:hAnsi="Times New Roman"/>
          <w:szCs w:val="22"/>
        </w:rPr>
        <w:t>made</w:t>
      </w:r>
      <w:r w:rsidR="00D14F3D" w:rsidRPr="00173EBA">
        <w:rPr>
          <w:rFonts w:ascii="Times New Roman" w:hAnsi="Times New Roman"/>
          <w:szCs w:val="22"/>
        </w:rPr>
        <w:t xml:space="preserve"> </w:t>
      </w:r>
      <w:r w:rsidRPr="00173EBA">
        <w:rPr>
          <w:rFonts w:ascii="Times New Roman" w:hAnsi="Times New Roman"/>
          <w:szCs w:val="22"/>
        </w:rPr>
        <w:t xml:space="preserve">the </w:t>
      </w:r>
      <w:r w:rsidRPr="00173EBA">
        <w:rPr>
          <w:rFonts w:ascii="Times New Roman" w:hAnsi="Times New Roman"/>
          <w:i/>
          <w:szCs w:val="22"/>
        </w:rPr>
        <w:t>Australian Communications and Media Authority (International Mobile Roaming Industry Standard) Direction (No. 1) 2012</w:t>
      </w:r>
      <w:r w:rsidR="00AF3BC2">
        <w:rPr>
          <w:rFonts w:ascii="Times New Roman" w:hAnsi="Times New Roman"/>
          <w:szCs w:val="22"/>
        </w:rPr>
        <w:t xml:space="preserve"> (the Direction)</w:t>
      </w:r>
      <w:r w:rsidRPr="00173EBA">
        <w:rPr>
          <w:rFonts w:ascii="Times New Roman" w:hAnsi="Times New Roman"/>
          <w:szCs w:val="22"/>
        </w:rPr>
        <w:t>. Th</w:t>
      </w:r>
      <w:r w:rsidR="00897D6D">
        <w:rPr>
          <w:rFonts w:ascii="Times New Roman" w:hAnsi="Times New Roman"/>
          <w:szCs w:val="22"/>
        </w:rPr>
        <w:t>e</w:t>
      </w:r>
      <w:r w:rsidRPr="00173EBA">
        <w:rPr>
          <w:rFonts w:ascii="Times New Roman" w:hAnsi="Times New Roman"/>
          <w:szCs w:val="22"/>
        </w:rPr>
        <w:t xml:space="preserve"> Direction requires the ACMA </w:t>
      </w:r>
      <w:r w:rsidR="00E073B1">
        <w:rPr>
          <w:rFonts w:ascii="Times New Roman" w:hAnsi="Times New Roman"/>
          <w:szCs w:val="22"/>
        </w:rPr>
        <w:t xml:space="preserve">to </w:t>
      </w:r>
      <w:r w:rsidR="00A00431">
        <w:rPr>
          <w:rFonts w:ascii="Times New Roman" w:hAnsi="Times New Roman"/>
          <w:szCs w:val="22"/>
        </w:rPr>
        <w:t>determine</w:t>
      </w:r>
      <w:r w:rsidRPr="00173EBA">
        <w:rPr>
          <w:rFonts w:ascii="Times New Roman" w:hAnsi="Times New Roman"/>
          <w:szCs w:val="22"/>
        </w:rPr>
        <w:t xml:space="preserve"> an industry </w:t>
      </w:r>
      <w:r w:rsidR="003E7602">
        <w:rPr>
          <w:rFonts w:ascii="Times New Roman" w:hAnsi="Times New Roman"/>
          <w:szCs w:val="22"/>
        </w:rPr>
        <w:t>s</w:t>
      </w:r>
      <w:r w:rsidRPr="00173EBA">
        <w:rPr>
          <w:rFonts w:ascii="Times New Roman" w:hAnsi="Times New Roman"/>
          <w:szCs w:val="22"/>
        </w:rPr>
        <w:t>tandard under s</w:t>
      </w:r>
      <w:r w:rsidR="00E073B1">
        <w:rPr>
          <w:rFonts w:ascii="Times New Roman" w:hAnsi="Times New Roman"/>
          <w:szCs w:val="22"/>
        </w:rPr>
        <w:t>ubs</w:t>
      </w:r>
      <w:r w:rsidRPr="00173EBA">
        <w:rPr>
          <w:rFonts w:ascii="Times New Roman" w:hAnsi="Times New Roman"/>
          <w:szCs w:val="22"/>
        </w:rPr>
        <w:t xml:space="preserve">ection 125AA(1) of the </w:t>
      </w:r>
      <w:r w:rsidRPr="00173EBA">
        <w:rPr>
          <w:rFonts w:ascii="Times New Roman" w:hAnsi="Times New Roman"/>
          <w:i/>
          <w:szCs w:val="22"/>
        </w:rPr>
        <w:t>Telecommunications Act 1997</w:t>
      </w:r>
      <w:r>
        <w:rPr>
          <w:rFonts w:ascii="Times New Roman" w:hAnsi="Times New Roman"/>
          <w:i/>
          <w:szCs w:val="22"/>
        </w:rPr>
        <w:t xml:space="preserve"> </w:t>
      </w:r>
      <w:r w:rsidRPr="00173EBA">
        <w:rPr>
          <w:rFonts w:ascii="Times New Roman" w:hAnsi="Times New Roman"/>
          <w:szCs w:val="22"/>
        </w:rPr>
        <w:t xml:space="preserve">(the Act). </w:t>
      </w:r>
      <w:r w:rsidR="00897D6D">
        <w:rPr>
          <w:rFonts w:ascii="Times New Roman" w:hAnsi="Times New Roman"/>
          <w:szCs w:val="22"/>
        </w:rPr>
        <w:t xml:space="preserve">   </w:t>
      </w:r>
      <w:r w:rsidR="005F539B">
        <w:rPr>
          <w:rFonts w:ascii="Times New Roman" w:hAnsi="Times New Roman"/>
          <w:szCs w:val="22"/>
        </w:rPr>
        <w:t xml:space="preserve">The </w:t>
      </w:r>
      <w:r w:rsidR="00897D6D" w:rsidRPr="00897D6D">
        <w:rPr>
          <w:rFonts w:ascii="Times New Roman" w:hAnsi="Times New Roman"/>
          <w:i/>
          <w:szCs w:val="22"/>
        </w:rPr>
        <w:t>Telecommunications (International Mobile Roaming) Industry Standard 2013</w:t>
      </w:r>
      <w:r w:rsidR="00897D6D">
        <w:rPr>
          <w:rFonts w:ascii="Times New Roman" w:hAnsi="Times New Roman"/>
          <w:szCs w:val="22"/>
        </w:rPr>
        <w:t xml:space="preserve"> (the Standard) introduce</w:t>
      </w:r>
      <w:r w:rsidR="005F539B">
        <w:rPr>
          <w:rFonts w:ascii="Times New Roman" w:hAnsi="Times New Roman"/>
          <w:szCs w:val="22"/>
        </w:rPr>
        <w:t>s</w:t>
      </w:r>
      <w:r w:rsidR="00897D6D">
        <w:rPr>
          <w:rFonts w:ascii="Times New Roman" w:hAnsi="Times New Roman"/>
          <w:szCs w:val="22"/>
        </w:rPr>
        <w:t xml:space="preserve"> certain requirements </w:t>
      </w:r>
      <w:r w:rsidR="005F539B">
        <w:rPr>
          <w:rFonts w:ascii="Times New Roman" w:hAnsi="Times New Roman"/>
          <w:szCs w:val="22"/>
        </w:rPr>
        <w:t xml:space="preserve">for </w:t>
      </w:r>
      <w:r w:rsidR="00897D6D">
        <w:rPr>
          <w:rFonts w:ascii="Times New Roman" w:hAnsi="Times New Roman"/>
          <w:szCs w:val="22"/>
        </w:rPr>
        <w:t>carriage service providers (</w:t>
      </w:r>
      <w:r w:rsidR="004E6F80">
        <w:rPr>
          <w:rFonts w:ascii="Times New Roman" w:hAnsi="Times New Roman"/>
          <w:szCs w:val="22"/>
        </w:rPr>
        <w:t>CSPs</w:t>
      </w:r>
      <w:r w:rsidR="005F539B">
        <w:rPr>
          <w:rFonts w:ascii="Times New Roman" w:hAnsi="Times New Roman"/>
          <w:szCs w:val="22"/>
        </w:rPr>
        <w:t>)</w:t>
      </w:r>
      <w:r w:rsidR="00897D6D">
        <w:rPr>
          <w:rFonts w:ascii="Times New Roman" w:hAnsi="Times New Roman"/>
          <w:szCs w:val="22"/>
        </w:rPr>
        <w:t xml:space="preserve"> </w:t>
      </w:r>
      <w:r w:rsidR="005F539B">
        <w:rPr>
          <w:rFonts w:ascii="Times New Roman" w:hAnsi="Times New Roman"/>
          <w:szCs w:val="22"/>
        </w:rPr>
        <w:t>that supply international mobile roaming services</w:t>
      </w:r>
      <w:r w:rsidR="004E6F80">
        <w:rPr>
          <w:rFonts w:ascii="Times New Roman" w:hAnsi="Times New Roman"/>
          <w:szCs w:val="22"/>
        </w:rPr>
        <w:t xml:space="preserve"> (Providers)</w:t>
      </w:r>
      <w:r w:rsidR="005F539B">
        <w:rPr>
          <w:rFonts w:ascii="Times New Roman" w:hAnsi="Times New Roman"/>
          <w:szCs w:val="22"/>
        </w:rPr>
        <w:t xml:space="preserve">.  The Standard meets the requirements of the Direction and also includes additional measures as contemplated by the Direction.  </w:t>
      </w:r>
      <w:r w:rsidR="00330370">
        <w:rPr>
          <w:rFonts w:ascii="Times New Roman" w:hAnsi="Times New Roman"/>
          <w:szCs w:val="22"/>
        </w:rPr>
        <w:br/>
      </w:r>
    </w:p>
    <w:p w:rsidR="002D4806" w:rsidRDefault="00173EBA" w:rsidP="00F97A74">
      <w:pPr>
        <w:spacing w:before="120" w:line="360" w:lineRule="auto"/>
        <w:rPr>
          <w:rFonts w:cs="Arial"/>
          <w:b/>
          <w:sz w:val="24"/>
        </w:rPr>
      </w:pPr>
      <w:r w:rsidRPr="00173EBA">
        <w:rPr>
          <w:rFonts w:cs="Arial"/>
          <w:b/>
          <w:sz w:val="24"/>
        </w:rPr>
        <w:t>Background</w:t>
      </w:r>
    </w:p>
    <w:p w:rsidR="009D3864" w:rsidRDefault="00D14F3D" w:rsidP="009D3864">
      <w:pPr>
        <w:spacing w:before="120" w:after="120" w:line="360" w:lineRule="auto"/>
        <w:rPr>
          <w:rFonts w:ascii="Times New Roman" w:hAnsi="Times New Roman"/>
          <w:szCs w:val="22"/>
        </w:rPr>
      </w:pPr>
      <w:r>
        <w:rPr>
          <w:rFonts w:ascii="Times New Roman" w:hAnsi="Times New Roman"/>
          <w:szCs w:val="22"/>
        </w:rPr>
        <w:t>At subclause 6(1), t</w:t>
      </w:r>
      <w:r w:rsidR="00173EBA" w:rsidRPr="00173EBA">
        <w:rPr>
          <w:rFonts w:ascii="Times New Roman" w:hAnsi="Times New Roman"/>
          <w:szCs w:val="22"/>
        </w:rPr>
        <w:t xml:space="preserve">he Direction specifies that two minimum requirements must be included in the </w:t>
      </w:r>
      <w:r w:rsidR="002477FC">
        <w:rPr>
          <w:rFonts w:ascii="Times New Roman" w:hAnsi="Times New Roman"/>
          <w:szCs w:val="22"/>
        </w:rPr>
        <w:t>S</w:t>
      </w:r>
      <w:r w:rsidR="00173EBA" w:rsidRPr="00173EBA">
        <w:rPr>
          <w:rFonts w:ascii="Times New Roman" w:hAnsi="Times New Roman"/>
          <w:szCs w:val="22"/>
        </w:rPr>
        <w:t>tandard</w:t>
      </w:r>
      <w:r w:rsidR="00E073B1">
        <w:rPr>
          <w:rFonts w:ascii="Times New Roman" w:hAnsi="Times New Roman"/>
          <w:szCs w:val="22"/>
        </w:rPr>
        <w:t xml:space="preserve"> being </w:t>
      </w:r>
      <w:r w:rsidR="00173EBA" w:rsidRPr="00173EBA">
        <w:rPr>
          <w:rFonts w:ascii="Times New Roman" w:hAnsi="Times New Roman"/>
          <w:szCs w:val="22"/>
        </w:rPr>
        <w:t xml:space="preserve">requirements for </w:t>
      </w:r>
      <w:r w:rsidR="00E073B1">
        <w:rPr>
          <w:rFonts w:ascii="Times New Roman" w:hAnsi="Times New Roman"/>
          <w:szCs w:val="22"/>
        </w:rPr>
        <w:t>each</w:t>
      </w:r>
      <w:r w:rsidR="00173EBA" w:rsidRPr="00173EBA">
        <w:rPr>
          <w:rFonts w:ascii="Times New Roman" w:hAnsi="Times New Roman"/>
          <w:szCs w:val="22"/>
        </w:rPr>
        <w:t xml:space="preserve"> Provider to:</w:t>
      </w:r>
    </w:p>
    <w:p w:rsidR="002D4806" w:rsidRDefault="00173EBA" w:rsidP="002D4806">
      <w:pPr>
        <w:spacing w:before="120" w:after="120" w:line="360" w:lineRule="auto"/>
        <w:ind w:left="1440" w:hanging="720"/>
        <w:rPr>
          <w:rFonts w:ascii="Times New Roman" w:hAnsi="Times New Roman"/>
          <w:color w:val="000000"/>
          <w:spacing w:val="-3"/>
          <w:szCs w:val="22"/>
          <w:lang w:val="en-US"/>
        </w:rPr>
      </w:pPr>
      <w:r w:rsidRPr="00173EBA">
        <w:rPr>
          <w:rFonts w:ascii="Times New Roman" w:hAnsi="Times New Roman"/>
          <w:color w:val="000000"/>
          <w:spacing w:val="-3"/>
          <w:szCs w:val="22"/>
          <w:lang w:val="en-US"/>
        </w:rPr>
        <w:t xml:space="preserve">(a) </w:t>
      </w:r>
      <w:r w:rsidR="001565A1">
        <w:rPr>
          <w:rFonts w:ascii="Times New Roman" w:hAnsi="Times New Roman"/>
          <w:color w:val="000000"/>
          <w:spacing w:val="-3"/>
          <w:szCs w:val="22"/>
          <w:lang w:val="en-US"/>
        </w:rPr>
        <w:tab/>
      </w:r>
      <w:r w:rsidRPr="00173EBA">
        <w:rPr>
          <w:rFonts w:ascii="Times New Roman" w:hAnsi="Times New Roman"/>
          <w:color w:val="000000"/>
          <w:spacing w:val="-3"/>
          <w:szCs w:val="22"/>
          <w:lang w:val="en-US"/>
        </w:rPr>
        <w:t>give consumers information, on arrival at an overseas destination, about the charges applicable for the Provider</w:t>
      </w:r>
      <w:r w:rsidR="00E073B1">
        <w:rPr>
          <w:rFonts w:ascii="Times New Roman" w:hAnsi="Times New Roman"/>
          <w:color w:val="000000"/>
          <w:spacing w:val="-3"/>
          <w:szCs w:val="22"/>
          <w:lang w:val="en-US"/>
        </w:rPr>
        <w:t>’</w:t>
      </w:r>
      <w:r w:rsidRPr="00173EBA">
        <w:rPr>
          <w:rFonts w:ascii="Times New Roman" w:hAnsi="Times New Roman"/>
          <w:color w:val="000000"/>
          <w:spacing w:val="-3"/>
          <w:szCs w:val="22"/>
          <w:lang w:val="en-US"/>
        </w:rPr>
        <w:t>s international roaming services at that destination; and</w:t>
      </w:r>
    </w:p>
    <w:p w:rsidR="002D4806" w:rsidRDefault="00173EBA" w:rsidP="002D4806">
      <w:pPr>
        <w:spacing w:before="120" w:after="120" w:line="360" w:lineRule="auto"/>
        <w:ind w:left="1440" w:hanging="720"/>
        <w:rPr>
          <w:rFonts w:ascii="Times New Roman" w:hAnsi="Times New Roman"/>
          <w:color w:val="000000"/>
          <w:spacing w:val="-3"/>
          <w:szCs w:val="22"/>
          <w:lang w:val="en-US"/>
        </w:rPr>
      </w:pPr>
      <w:r w:rsidRPr="00173EBA">
        <w:rPr>
          <w:rFonts w:ascii="Times New Roman" w:hAnsi="Times New Roman"/>
          <w:color w:val="000000"/>
          <w:spacing w:val="-3"/>
          <w:szCs w:val="22"/>
          <w:lang w:val="en-US"/>
        </w:rPr>
        <w:t xml:space="preserve">(b) </w:t>
      </w:r>
      <w:r w:rsidR="001565A1">
        <w:rPr>
          <w:rFonts w:ascii="Times New Roman" w:hAnsi="Times New Roman"/>
          <w:color w:val="000000"/>
          <w:spacing w:val="-3"/>
          <w:szCs w:val="22"/>
          <w:lang w:val="en-US"/>
        </w:rPr>
        <w:tab/>
      </w:r>
      <w:r w:rsidRPr="00173EBA">
        <w:rPr>
          <w:rFonts w:ascii="Times New Roman" w:hAnsi="Times New Roman"/>
          <w:color w:val="000000"/>
          <w:spacing w:val="-3"/>
          <w:szCs w:val="22"/>
          <w:lang w:val="en-US"/>
        </w:rPr>
        <w:t>permit consumers to decline continued provision of those international roaming services, at any time, while at that overseas destination</w:t>
      </w:r>
      <w:r w:rsidR="00E073B1">
        <w:rPr>
          <w:rFonts w:ascii="Times New Roman" w:hAnsi="Times New Roman"/>
          <w:color w:val="000000"/>
          <w:spacing w:val="-3"/>
          <w:szCs w:val="22"/>
          <w:lang w:val="en-US"/>
        </w:rPr>
        <w:t>.</w:t>
      </w:r>
    </w:p>
    <w:p w:rsidR="009D3864" w:rsidRDefault="00173EBA" w:rsidP="009D3864">
      <w:pPr>
        <w:spacing w:before="120" w:after="120" w:line="360" w:lineRule="auto"/>
        <w:rPr>
          <w:rFonts w:ascii="Times New Roman" w:hAnsi="Times New Roman"/>
          <w:color w:val="000000"/>
          <w:spacing w:val="-3"/>
          <w:szCs w:val="22"/>
          <w:lang w:val="en-US"/>
        </w:rPr>
      </w:pPr>
      <w:r w:rsidRPr="00173EBA">
        <w:rPr>
          <w:rFonts w:ascii="Times New Roman" w:hAnsi="Times New Roman"/>
          <w:szCs w:val="22"/>
        </w:rPr>
        <w:t xml:space="preserve">The </w:t>
      </w:r>
      <w:r w:rsidR="00066E03">
        <w:rPr>
          <w:rFonts w:ascii="Times New Roman" w:hAnsi="Times New Roman"/>
          <w:szCs w:val="22"/>
        </w:rPr>
        <w:t xml:space="preserve">Direction further provides at </w:t>
      </w:r>
      <w:r w:rsidR="007139D8">
        <w:rPr>
          <w:rFonts w:ascii="Times New Roman" w:hAnsi="Times New Roman"/>
          <w:szCs w:val="22"/>
        </w:rPr>
        <w:t xml:space="preserve">subclause 6(2) that </w:t>
      </w:r>
      <w:r w:rsidR="002477FC">
        <w:rPr>
          <w:rFonts w:ascii="Times New Roman" w:hAnsi="Times New Roman"/>
          <w:szCs w:val="22"/>
        </w:rPr>
        <w:t>the</w:t>
      </w:r>
      <w:r w:rsidR="00E073B1">
        <w:rPr>
          <w:rFonts w:ascii="Times New Roman" w:hAnsi="Times New Roman"/>
          <w:szCs w:val="22"/>
        </w:rPr>
        <w:t xml:space="preserve"> </w:t>
      </w:r>
      <w:r w:rsidR="00E073B1">
        <w:rPr>
          <w:rFonts w:ascii="Times New Roman" w:hAnsi="Times New Roman"/>
          <w:color w:val="000000"/>
          <w:spacing w:val="-3"/>
          <w:szCs w:val="22"/>
          <w:lang w:val="en-US"/>
        </w:rPr>
        <w:t>t</w:t>
      </w:r>
      <w:r w:rsidRPr="00173EBA">
        <w:rPr>
          <w:rFonts w:ascii="Times New Roman" w:hAnsi="Times New Roman"/>
          <w:color w:val="000000"/>
          <w:spacing w:val="-3"/>
          <w:szCs w:val="22"/>
          <w:lang w:val="en-US"/>
        </w:rPr>
        <w:t>he industry standard may deal with any other matter:</w:t>
      </w:r>
    </w:p>
    <w:p w:rsidR="002D4806" w:rsidRDefault="00173EBA" w:rsidP="002D4806">
      <w:pPr>
        <w:tabs>
          <w:tab w:val="left" w:pos="2977"/>
        </w:tabs>
        <w:spacing w:before="120" w:after="120" w:line="360" w:lineRule="auto"/>
        <w:ind w:left="1440" w:hanging="731"/>
        <w:rPr>
          <w:rFonts w:ascii="Times New Roman" w:hAnsi="Times New Roman"/>
          <w:color w:val="000000"/>
          <w:spacing w:val="-3"/>
          <w:szCs w:val="22"/>
          <w:lang w:val="en-US"/>
        </w:rPr>
      </w:pPr>
      <w:r w:rsidRPr="00173EBA">
        <w:rPr>
          <w:rFonts w:ascii="Times New Roman" w:hAnsi="Times New Roman"/>
          <w:color w:val="000000"/>
          <w:spacing w:val="-3"/>
          <w:szCs w:val="22"/>
          <w:lang w:val="en-US"/>
        </w:rPr>
        <w:t xml:space="preserve">(a) </w:t>
      </w:r>
      <w:r w:rsidR="001565A1">
        <w:rPr>
          <w:rFonts w:ascii="Times New Roman" w:hAnsi="Times New Roman"/>
          <w:color w:val="000000"/>
          <w:spacing w:val="-3"/>
          <w:szCs w:val="22"/>
          <w:lang w:val="en-US"/>
        </w:rPr>
        <w:tab/>
      </w:r>
      <w:r w:rsidRPr="00173EBA">
        <w:rPr>
          <w:rFonts w:ascii="Times New Roman" w:hAnsi="Times New Roman"/>
          <w:color w:val="000000"/>
          <w:spacing w:val="-3"/>
          <w:szCs w:val="22"/>
          <w:lang w:val="en-US"/>
        </w:rPr>
        <w:t>related to international mobile roaming services that the ACMA regards as appropriate including, without limitation, measures which will enable consumers to monitor and manage the cost and their use of international roaming services; or</w:t>
      </w:r>
    </w:p>
    <w:p w:rsidR="002D4806" w:rsidRDefault="00173EBA" w:rsidP="002D4806">
      <w:pPr>
        <w:tabs>
          <w:tab w:val="left" w:pos="2977"/>
        </w:tabs>
        <w:spacing w:before="120" w:after="120" w:line="360" w:lineRule="auto"/>
        <w:ind w:left="1440" w:hanging="731"/>
        <w:rPr>
          <w:rFonts w:ascii="Times New Roman" w:hAnsi="Times New Roman"/>
          <w:color w:val="000000"/>
          <w:spacing w:val="-3"/>
          <w:szCs w:val="22"/>
          <w:lang w:val="en-US"/>
        </w:rPr>
      </w:pPr>
      <w:r w:rsidRPr="00173EBA">
        <w:rPr>
          <w:rFonts w:ascii="Times New Roman" w:hAnsi="Times New Roman"/>
          <w:color w:val="000000"/>
          <w:spacing w:val="-3"/>
          <w:szCs w:val="22"/>
          <w:lang w:val="en-US"/>
        </w:rPr>
        <w:t xml:space="preserve">(b) </w:t>
      </w:r>
      <w:r w:rsidR="001565A1">
        <w:rPr>
          <w:rFonts w:ascii="Times New Roman" w:hAnsi="Times New Roman"/>
          <w:color w:val="000000"/>
          <w:spacing w:val="-3"/>
          <w:szCs w:val="22"/>
          <w:lang w:val="en-US"/>
        </w:rPr>
        <w:tab/>
      </w:r>
      <w:r w:rsidRPr="00173EBA">
        <w:rPr>
          <w:rFonts w:ascii="Times New Roman" w:hAnsi="Times New Roman"/>
          <w:color w:val="000000"/>
          <w:spacing w:val="-3"/>
          <w:szCs w:val="22"/>
          <w:lang w:val="en-US"/>
        </w:rPr>
        <w:t xml:space="preserve">that the ACMA considers ancillary or incidental to a matter specified in </w:t>
      </w:r>
      <w:r w:rsidR="00E073B1">
        <w:rPr>
          <w:rFonts w:ascii="Times New Roman" w:hAnsi="Times New Roman"/>
          <w:color w:val="000000"/>
          <w:spacing w:val="-3"/>
          <w:szCs w:val="22"/>
          <w:lang w:val="en-US"/>
        </w:rPr>
        <w:t>sub</w:t>
      </w:r>
      <w:r w:rsidRPr="00173EBA">
        <w:rPr>
          <w:rFonts w:ascii="Times New Roman" w:hAnsi="Times New Roman"/>
          <w:color w:val="000000"/>
          <w:spacing w:val="-3"/>
          <w:szCs w:val="22"/>
          <w:lang w:val="en-US"/>
        </w:rPr>
        <w:t>clause 6(1).</w:t>
      </w:r>
    </w:p>
    <w:p w:rsidR="00330370" w:rsidRDefault="00330370" w:rsidP="00330370">
      <w:pPr>
        <w:spacing w:before="120" w:after="120" w:line="360" w:lineRule="auto"/>
        <w:rPr>
          <w:rFonts w:ascii="Times New Roman" w:hAnsi="Times New Roman"/>
        </w:rPr>
      </w:pPr>
    </w:p>
    <w:p w:rsidR="001F3583" w:rsidRDefault="001F3583" w:rsidP="00330370">
      <w:pPr>
        <w:spacing w:before="240" w:after="240" w:line="360" w:lineRule="auto"/>
        <w:rPr>
          <w:rFonts w:ascii="Times New Roman" w:hAnsi="Times New Roman"/>
        </w:rPr>
      </w:pPr>
      <w:r>
        <w:rPr>
          <w:rFonts w:ascii="Times New Roman" w:hAnsi="Times New Roman"/>
        </w:rPr>
        <w:t xml:space="preserve">The </w:t>
      </w:r>
      <w:r w:rsidR="004E6F80">
        <w:rPr>
          <w:rFonts w:ascii="Times New Roman" w:hAnsi="Times New Roman"/>
        </w:rPr>
        <w:t>S</w:t>
      </w:r>
      <w:r>
        <w:rPr>
          <w:rFonts w:ascii="Times New Roman" w:hAnsi="Times New Roman"/>
        </w:rPr>
        <w:t xml:space="preserve">tandard </w:t>
      </w:r>
      <w:r w:rsidR="00201F51">
        <w:rPr>
          <w:rFonts w:ascii="Times New Roman" w:hAnsi="Times New Roman"/>
        </w:rPr>
        <w:t>complement</w:t>
      </w:r>
      <w:r w:rsidR="004E6F80">
        <w:rPr>
          <w:rFonts w:ascii="Times New Roman" w:hAnsi="Times New Roman"/>
        </w:rPr>
        <w:t>s</w:t>
      </w:r>
      <w:r>
        <w:rPr>
          <w:rFonts w:ascii="Times New Roman" w:hAnsi="Times New Roman"/>
        </w:rPr>
        <w:t xml:space="preserve"> </w:t>
      </w:r>
      <w:r w:rsidR="001A03E1">
        <w:rPr>
          <w:rFonts w:ascii="Times New Roman" w:hAnsi="Times New Roman"/>
        </w:rPr>
        <w:t xml:space="preserve">the </w:t>
      </w:r>
      <w:r w:rsidR="00D23FA5">
        <w:rPr>
          <w:rFonts w:ascii="Times New Roman" w:hAnsi="Times New Roman"/>
        </w:rPr>
        <w:t xml:space="preserve">Communications Alliance </w:t>
      </w:r>
      <w:r w:rsidR="001A03E1" w:rsidRPr="001F3583">
        <w:rPr>
          <w:rFonts w:ascii="Times New Roman" w:hAnsi="Times New Roman"/>
          <w:i/>
        </w:rPr>
        <w:t>Telecommunications Consumer Protection</w:t>
      </w:r>
      <w:r w:rsidR="00D23FA5">
        <w:rPr>
          <w:rFonts w:ascii="Times New Roman" w:hAnsi="Times New Roman"/>
          <w:i/>
        </w:rPr>
        <w:t>s</w:t>
      </w:r>
      <w:r w:rsidR="001A03E1" w:rsidRPr="001F3583">
        <w:rPr>
          <w:rFonts w:ascii="Times New Roman" w:hAnsi="Times New Roman"/>
          <w:i/>
        </w:rPr>
        <w:t xml:space="preserve"> Code</w:t>
      </w:r>
      <w:r w:rsidR="001A03E1">
        <w:rPr>
          <w:rFonts w:ascii="Times New Roman" w:hAnsi="Times New Roman"/>
        </w:rPr>
        <w:t xml:space="preserve"> </w:t>
      </w:r>
      <w:r w:rsidR="00D23FA5">
        <w:rPr>
          <w:rFonts w:ascii="Times New Roman" w:hAnsi="Times New Roman"/>
        </w:rPr>
        <w:t xml:space="preserve">C628:2012 </w:t>
      </w:r>
      <w:r w:rsidR="001A03E1">
        <w:rPr>
          <w:rFonts w:ascii="Times New Roman" w:hAnsi="Times New Roman"/>
        </w:rPr>
        <w:t xml:space="preserve">(TCP Code), by </w:t>
      </w:r>
      <w:r>
        <w:rPr>
          <w:rFonts w:ascii="Times New Roman" w:hAnsi="Times New Roman"/>
        </w:rPr>
        <w:t>implement</w:t>
      </w:r>
      <w:r w:rsidR="001A03E1">
        <w:rPr>
          <w:rFonts w:ascii="Times New Roman" w:hAnsi="Times New Roman"/>
        </w:rPr>
        <w:t>ing</w:t>
      </w:r>
      <w:r w:rsidR="005D7A67">
        <w:rPr>
          <w:rFonts w:ascii="Times New Roman" w:hAnsi="Times New Roman"/>
        </w:rPr>
        <w:t xml:space="preserve"> a </w:t>
      </w:r>
      <w:r w:rsidR="00937671">
        <w:rPr>
          <w:rFonts w:ascii="Times New Roman" w:hAnsi="Times New Roman"/>
        </w:rPr>
        <w:t xml:space="preserve">number of </w:t>
      </w:r>
      <w:r w:rsidR="005D7A67">
        <w:rPr>
          <w:rFonts w:ascii="Times New Roman" w:hAnsi="Times New Roman"/>
        </w:rPr>
        <w:t>consumer awareness measures</w:t>
      </w:r>
      <w:r w:rsidR="004E6F80">
        <w:rPr>
          <w:rFonts w:ascii="Times New Roman" w:hAnsi="Times New Roman"/>
        </w:rPr>
        <w:t xml:space="preserve"> in addition to those required by the TCP Code</w:t>
      </w:r>
      <w:r w:rsidR="005D7A67">
        <w:rPr>
          <w:rFonts w:ascii="Times New Roman" w:hAnsi="Times New Roman"/>
        </w:rPr>
        <w:t xml:space="preserve">. </w:t>
      </w:r>
      <w:r w:rsidR="00937671">
        <w:rPr>
          <w:rFonts w:ascii="Times New Roman" w:hAnsi="Times New Roman"/>
        </w:rPr>
        <w:t xml:space="preserve">These </w:t>
      </w:r>
      <w:r w:rsidR="008130F6">
        <w:rPr>
          <w:rFonts w:ascii="Times New Roman" w:hAnsi="Times New Roman"/>
        </w:rPr>
        <w:t xml:space="preserve">additional </w:t>
      </w:r>
      <w:r w:rsidR="00937671">
        <w:rPr>
          <w:rFonts w:ascii="Times New Roman" w:hAnsi="Times New Roman"/>
        </w:rPr>
        <w:t xml:space="preserve">measures are designed to protect consumers from unexpected </w:t>
      </w:r>
      <w:r w:rsidR="00937671">
        <w:rPr>
          <w:rFonts w:ascii="Times New Roman" w:hAnsi="Times New Roman"/>
        </w:rPr>
        <w:lastRenderedPageBreak/>
        <w:t>high bills upon their return from an overseas trip by ensuring they can monitor, track and where necessary a</w:t>
      </w:r>
      <w:r w:rsidR="00D23FA5">
        <w:rPr>
          <w:rFonts w:ascii="Times New Roman" w:hAnsi="Times New Roman"/>
        </w:rPr>
        <w:t>lter</w:t>
      </w:r>
      <w:r w:rsidR="00937671">
        <w:rPr>
          <w:rFonts w:ascii="Times New Roman" w:hAnsi="Times New Roman"/>
        </w:rPr>
        <w:t xml:space="preserve"> their use of mobile telecommunication services overseas to better manage their spending. </w:t>
      </w:r>
    </w:p>
    <w:p w:rsidR="008130F6" w:rsidRDefault="008130F6" w:rsidP="00330370">
      <w:pPr>
        <w:spacing w:before="240" w:after="240" w:line="360" w:lineRule="auto"/>
        <w:rPr>
          <w:rFonts w:ascii="Times New Roman" w:hAnsi="Times New Roman"/>
        </w:rPr>
      </w:pPr>
      <w:r>
        <w:rPr>
          <w:rFonts w:ascii="Times New Roman" w:hAnsi="Times New Roman"/>
        </w:rPr>
        <w:t xml:space="preserve">The Standard sets out different requirements for </w:t>
      </w:r>
      <w:r w:rsidR="00AE5BC5">
        <w:rPr>
          <w:rFonts w:ascii="Times New Roman" w:hAnsi="Times New Roman"/>
        </w:rPr>
        <w:t>Providers that supply services using their own telecommunications network</w:t>
      </w:r>
      <w:r>
        <w:rPr>
          <w:rFonts w:ascii="Times New Roman" w:hAnsi="Times New Roman"/>
        </w:rPr>
        <w:t xml:space="preserve"> (Mobile Network Operators</w:t>
      </w:r>
      <w:r w:rsidR="00ED60F2">
        <w:rPr>
          <w:rFonts w:ascii="Times New Roman" w:hAnsi="Times New Roman"/>
        </w:rPr>
        <w:t>, or MNOs</w:t>
      </w:r>
      <w:r>
        <w:rPr>
          <w:rFonts w:ascii="Times New Roman" w:hAnsi="Times New Roman"/>
        </w:rPr>
        <w:t>) compared with other Providers</w:t>
      </w:r>
      <w:r w:rsidR="00AE5BC5">
        <w:rPr>
          <w:rFonts w:ascii="Times New Roman" w:hAnsi="Times New Roman"/>
        </w:rPr>
        <w:t xml:space="preserve">, </w:t>
      </w:r>
      <w:r w:rsidR="00AE5BC5" w:rsidRPr="00AE5BC5">
        <w:rPr>
          <w:rFonts w:ascii="Times New Roman" w:hAnsi="Times New Roman"/>
        </w:rPr>
        <w:t xml:space="preserve">who </w:t>
      </w:r>
      <w:r w:rsidR="002D4806" w:rsidRPr="002D4806">
        <w:rPr>
          <w:rFonts w:ascii="Times New Roman" w:hAnsi="Times New Roman"/>
          <w:szCs w:val="22"/>
        </w:rPr>
        <w:t xml:space="preserve">resell services supplied by </w:t>
      </w:r>
      <w:r w:rsidR="00AE5BC5">
        <w:rPr>
          <w:rFonts w:ascii="Times New Roman" w:hAnsi="Times New Roman"/>
          <w:szCs w:val="22"/>
        </w:rPr>
        <w:t>MNO</w:t>
      </w:r>
      <w:r w:rsidR="002D4806" w:rsidRPr="002D4806">
        <w:rPr>
          <w:rFonts w:ascii="Times New Roman" w:hAnsi="Times New Roman"/>
          <w:szCs w:val="22"/>
        </w:rPr>
        <w:t>s</w:t>
      </w:r>
      <w:r w:rsidRPr="00AE5BC5">
        <w:rPr>
          <w:rFonts w:ascii="Times New Roman" w:hAnsi="Times New Roman"/>
        </w:rPr>
        <w:t xml:space="preserve"> (Mobile</w:t>
      </w:r>
      <w:r>
        <w:rPr>
          <w:rFonts w:ascii="Times New Roman" w:hAnsi="Times New Roman"/>
        </w:rPr>
        <w:t xml:space="preserve"> Virtual Network Operators</w:t>
      </w:r>
      <w:r w:rsidR="00ED60F2">
        <w:rPr>
          <w:rFonts w:ascii="Times New Roman" w:hAnsi="Times New Roman"/>
        </w:rPr>
        <w:t>, or MVNOs</w:t>
      </w:r>
      <w:r>
        <w:rPr>
          <w:rFonts w:ascii="Times New Roman" w:hAnsi="Times New Roman"/>
        </w:rPr>
        <w:t>)</w:t>
      </w:r>
      <w:r w:rsidR="00AE5BC5">
        <w:rPr>
          <w:rFonts w:ascii="Times New Roman" w:hAnsi="Times New Roman"/>
        </w:rPr>
        <w:t xml:space="preserve">.  This is because </w:t>
      </w:r>
      <w:r w:rsidR="00496551">
        <w:rPr>
          <w:rFonts w:ascii="Times New Roman" w:hAnsi="Times New Roman"/>
        </w:rPr>
        <w:t xml:space="preserve">the technical capabilities of each are different and </w:t>
      </w:r>
      <w:r w:rsidR="00ED60F2">
        <w:rPr>
          <w:rFonts w:ascii="Times New Roman" w:hAnsi="Times New Roman"/>
        </w:rPr>
        <w:t>MVNO</w:t>
      </w:r>
      <w:r w:rsidR="00496551">
        <w:rPr>
          <w:rFonts w:ascii="Times New Roman" w:hAnsi="Times New Roman"/>
        </w:rPr>
        <w:t xml:space="preserve">s must rely on MNOs and in some cases other MVNOs </w:t>
      </w:r>
      <w:r w:rsidR="00D85C3D">
        <w:rPr>
          <w:rFonts w:ascii="Times New Roman" w:hAnsi="Times New Roman"/>
        </w:rPr>
        <w:t xml:space="preserve">for information relevant to the provision of international mobile roaming </w:t>
      </w:r>
      <w:r w:rsidR="003F067C">
        <w:rPr>
          <w:rFonts w:ascii="Times New Roman" w:hAnsi="Times New Roman"/>
        </w:rPr>
        <w:t xml:space="preserve">(IMR) </w:t>
      </w:r>
      <w:r w:rsidR="00D85C3D">
        <w:rPr>
          <w:rFonts w:ascii="Times New Roman" w:hAnsi="Times New Roman"/>
        </w:rPr>
        <w:t xml:space="preserve">services supplied to their customers.  </w:t>
      </w:r>
      <w:r w:rsidR="00DC33E0">
        <w:rPr>
          <w:rFonts w:ascii="Times New Roman" w:hAnsi="Times New Roman"/>
        </w:rPr>
        <w:t xml:space="preserve">In </w:t>
      </w:r>
      <w:r w:rsidR="00E073B1">
        <w:rPr>
          <w:rFonts w:ascii="Times New Roman" w:hAnsi="Times New Roman"/>
        </w:rPr>
        <w:t>some respects</w:t>
      </w:r>
      <w:r w:rsidR="00DC33E0">
        <w:rPr>
          <w:rFonts w:ascii="Times New Roman" w:hAnsi="Times New Roman"/>
        </w:rPr>
        <w:t xml:space="preserve">, </w:t>
      </w:r>
      <w:r w:rsidR="00ED60F2">
        <w:rPr>
          <w:rFonts w:ascii="Times New Roman" w:hAnsi="Times New Roman"/>
        </w:rPr>
        <w:t xml:space="preserve">the Standard provides </w:t>
      </w:r>
      <w:r w:rsidR="00D85C3D">
        <w:rPr>
          <w:rFonts w:ascii="Times New Roman" w:hAnsi="Times New Roman"/>
        </w:rPr>
        <w:t>MVN</w:t>
      </w:r>
      <w:r w:rsidR="00ED60F2">
        <w:rPr>
          <w:rFonts w:ascii="Times New Roman" w:hAnsi="Times New Roman"/>
        </w:rPr>
        <w:t>O</w:t>
      </w:r>
      <w:r w:rsidR="00D85C3D">
        <w:rPr>
          <w:rFonts w:ascii="Times New Roman" w:hAnsi="Times New Roman"/>
        </w:rPr>
        <w:t xml:space="preserve">s </w:t>
      </w:r>
      <w:r w:rsidR="00ED60F2">
        <w:rPr>
          <w:rFonts w:ascii="Times New Roman" w:hAnsi="Times New Roman"/>
        </w:rPr>
        <w:t>with</w:t>
      </w:r>
      <w:r w:rsidR="00DC33E0">
        <w:rPr>
          <w:rFonts w:ascii="Times New Roman" w:hAnsi="Times New Roman"/>
        </w:rPr>
        <w:t xml:space="preserve"> more time to become compliant with requirements in the Standard than is </w:t>
      </w:r>
      <w:r w:rsidR="00ED60F2">
        <w:rPr>
          <w:rFonts w:ascii="Times New Roman" w:hAnsi="Times New Roman"/>
        </w:rPr>
        <w:t>given to MNO</w:t>
      </w:r>
      <w:r w:rsidR="00DC33E0">
        <w:rPr>
          <w:rFonts w:ascii="Times New Roman" w:hAnsi="Times New Roman"/>
        </w:rPr>
        <w:t>s</w:t>
      </w:r>
      <w:r w:rsidR="00D85C3D">
        <w:rPr>
          <w:rFonts w:ascii="Times New Roman" w:hAnsi="Times New Roman"/>
        </w:rPr>
        <w:t>.</w:t>
      </w:r>
      <w:r>
        <w:rPr>
          <w:rFonts w:ascii="Times New Roman" w:hAnsi="Times New Roman"/>
        </w:rPr>
        <w:t xml:space="preserve"> </w:t>
      </w:r>
    </w:p>
    <w:p w:rsidR="008130F6" w:rsidRDefault="008130F6" w:rsidP="008130F6">
      <w:pPr>
        <w:spacing w:before="120" w:after="120" w:line="360" w:lineRule="auto"/>
        <w:rPr>
          <w:rFonts w:ascii="Times New Roman" w:hAnsi="Times New Roman"/>
        </w:rPr>
      </w:pPr>
      <w:r>
        <w:rPr>
          <w:rFonts w:ascii="Times New Roman" w:hAnsi="Times New Roman"/>
        </w:rPr>
        <w:t xml:space="preserve">In drafting the </w:t>
      </w:r>
      <w:r w:rsidR="00E073B1">
        <w:rPr>
          <w:rFonts w:ascii="Times New Roman" w:hAnsi="Times New Roman"/>
        </w:rPr>
        <w:t>S</w:t>
      </w:r>
      <w:r>
        <w:rPr>
          <w:rFonts w:ascii="Times New Roman" w:hAnsi="Times New Roman"/>
        </w:rPr>
        <w:t xml:space="preserve">tandard the ACMA undertook an extensive consultation process involving three rounds of formal consultation with industry representative bodies, </w:t>
      </w:r>
      <w:r w:rsidR="00960114">
        <w:rPr>
          <w:rFonts w:ascii="Times New Roman" w:hAnsi="Times New Roman"/>
        </w:rPr>
        <w:t>Mobile Network Operators and Mobile Virtual Network Operators</w:t>
      </w:r>
      <w:r>
        <w:rPr>
          <w:rFonts w:ascii="Times New Roman" w:hAnsi="Times New Roman"/>
        </w:rPr>
        <w:t>, compliance bodies, consumer groups and individual consumers.</w:t>
      </w:r>
    </w:p>
    <w:p w:rsidR="00937671" w:rsidRDefault="00937671">
      <w:pPr>
        <w:rPr>
          <w:rFonts w:ascii="Times New Roman" w:hAnsi="Times New Roman"/>
        </w:rPr>
      </w:pPr>
    </w:p>
    <w:p w:rsidR="00937671" w:rsidRPr="009C3CAC" w:rsidRDefault="00D85C3D">
      <w:pPr>
        <w:rPr>
          <w:rFonts w:cs="Arial"/>
          <w:b/>
          <w:sz w:val="24"/>
        </w:rPr>
      </w:pPr>
      <w:r>
        <w:rPr>
          <w:rFonts w:cs="Arial"/>
          <w:b/>
          <w:sz w:val="24"/>
        </w:rPr>
        <w:t>Notes on the Standard</w:t>
      </w:r>
    </w:p>
    <w:p w:rsidR="002D4806" w:rsidRDefault="00D85C3D" w:rsidP="002D4806">
      <w:pPr>
        <w:pStyle w:val="HR"/>
        <w:spacing w:line="360" w:lineRule="auto"/>
      </w:pPr>
      <w:r>
        <w:t xml:space="preserve">Clause 1 - </w:t>
      </w:r>
      <w:r w:rsidR="007035CE" w:rsidRPr="00404D45">
        <w:t xml:space="preserve">Name of </w:t>
      </w:r>
      <w:r w:rsidR="00CE5C7A">
        <w:t>Standard</w:t>
      </w:r>
    </w:p>
    <w:p w:rsidR="002D4806" w:rsidRDefault="00D23FA5" w:rsidP="002D4806">
      <w:pPr>
        <w:pStyle w:val="R1"/>
        <w:spacing w:before="0" w:line="360" w:lineRule="auto"/>
        <w:ind w:left="0" w:firstLine="0"/>
        <w:jc w:val="left"/>
        <w:rPr>
          <w:sz w:val="22"/>
          <w:szCs w:val="22"/>
        </w:rPr>
      </w:pPr>
      <w:r>
        <w:rPr>
          <w:sz w:val="22"/>
          <w:szCs w:val="22"/>
        </w:rPr>
        <w:t xml:space="preserve">Clause 1 names the </w:t>
      </w:r>
      <w:r w:rsidR="008130F6">
        <w:rPr>
          <w:sz w:val="22"/>
          <w:szCs w:val="22"/>
        </w:rPr>
        <w:t>S</w:t>
      </w:r>
      <w:r>
        <w:rPr>
          <w:sz w:val="22"/>
          <w:szCs w:val="22"/>
        </w:rPr>
        <w:t>tandard</w:t>
      </w:r>
      <w:r w:rsidR="00201F51">
        <w:rPr>
          <w:sz w:val="22"/>
          <w:szCs w:val="22"/>
        </w:rPr>
        <w:t xml:space="preserve"> the </w:t>
      </w:r>
      <w:r w:rsidR="00201F51">
        <w:rPr>
          <w:i/>
          <w:sz w:val="22"/>
          <w:szCs w:val="22"/>
        </w:rPr>
        <w:t>Telecommunications (International Mobile Roaming) Industry Standard 2013.</w:t>
      </w:r>
    </w:p>
    <w:p w:rsidR="002D4806" w:rsidRDefault="00D85C3D" w:rsidP="002D4806">
      <w:pPr>
        <w:pStyle w:val="HR"/>
        <w:spacing w:line="360" w:lineRule="auto"/>
      </w:pPr>
      <w:r>
        <w:t xml:space="preserve">Clause 2 - </w:t>
      </w:r>
      <w:r w:rsidR="007035CE" w:rsidRPr="00404D45">
        <w:t>Commencement</w:t>
      </w:r>
    </w:p>
    <w:p w:rsidR="002D4806" w:rsidRDefault="00D23FA5" w:rsidP="002D4806">
      <w:pPr>
        <w:spacing w:after="240" w:line="360" w:lineRule="auto"/>
        <w:rPr>
          <w:rFonts w:ascii="Times New Roman" w:hAnsi="Times New Roman"/>
          <w:szCs w:val="22"/>
        </w:rPr>
      </w:pPr>
      <w:r>
        <w:rPr>
          <w:rFonts w:ascii="Times New Roman" w:hAnsi="Times New Roman"/>
          <w:szCs w:val="22"/>
        </w:rPr>
        <w:t>Clause 2 provides that p</w:t>
      </w:r>
      <w:r w:rsidR="00154F1D" w:rsidRPr="00154F1D">
        <w:rPr>
          <w:rFonts w:ascii="Times New Roman" w:hAnsi="Times New Roman"/>
          <w:szCs w:val="22"/>
        </w:rPr>
        <w:t>aragraphs 5(2)(b) and (c)</w:t>
      </w:r>
      <w:r w:rsidR="00485E89">
        <w:rPr>
          <w:rFonts w:ascii="Times New Roman" w:hAnsi="Times New Roman"/>
          <w:szCs w:val="22"/>
        </w:rPr>
        <w:t>,</w:t>
      </w:r>
      <w:r w:rsidR="00154F1D" w:rsidRPr="00154F1D">
        <w:rPr>
          <w:rFonts w:ascii="Times New Roman" w:hAnsi="Times New Roman"/>
          <w:szCs w:val="22"/>
        </w:rPr>
        <w:t xml:space="preserve"> </w:t>
      </w:r>
      <w:r w:rsidR="00485E89">
        <w:rPr>
          <w:rFonts w:ascii="Times New Roman" w:hAnsi="Times New Roman"/>
          <w:szCs w:val="22"/>
        </w:rPr>
        <w:t xml:space="preserve">subclauses 5(4) and (6), </w:t>
      </w:r>
      <w:r w:rsidR="00154F1D" w:rsidRPr="00154F1D">
        <w:rPr>
          <w:rFonts w:ascii="Times New Roman" w:hAnsi="Times New Roman"/>
          <w:szCs w:val="22"/>
        </w:rPr>
        <w:t>subclauses</w:t>
      </w:r>
      <w:r w:rsidR="00485E89">
        <w:rPr>
          <w:rFonts w:ascii="Times New Roman" w:hAnsi="Times New Roman"/>
          <w:szCs w:val="22"/>
        </w:rPr>
        <w:t xml:space="preserve"> 9</w:t>
      </w:r>
      <w:r w:rsidR="00154F1D" w:rsidRPr="00154F1D">
        <w:rPr>
          <w:rFonts w:ascii="Times New Roman" w:hAnsi="Times New Roman"/>
          <w:szCs w:val="22"/>
        </w:rPr>
        <w:t>(2), (3), (4), (5), (6), (7)</w:t>
      </w:r>
      <w:r w:rsidR="00485E89">
        <w:rPr>
          <w:rFonts w:ascii="Times New Roman" w:hAnsi="Times New Roman"/>
          <w:szCs w:val="22"/>
        </w:rPr>
        <w:t>,</w:t>
      </w:r>
      <w:r w:rsidR="00154F1D" w:rsidRPr="00154F1D">
        <w:rPr>
          <w:rFonts w:ascii="Times New Roman" w:hAnsi="Times New Roman"/>
          <w:szCs w:val="22"/>
        </w:rPr>
        <w:t xml:space="preserve"> </w:t>
      </w:r>
      <w:r w:rsidR="00485E89">
        <w:rPr>
          <w:rFonts w:ascii="Times New Roman" w:hAnsi="Times New Roman"/>
          <w:szCs w:val="22"/>
        </w:rPr>
        <w:t xml:space="preserve">(8) </w:t>
      </w:r>
      <w:r w:rsidR="00154F1D" w:rsidRPr="00154F1D">
        <w:rPr>
          <w:rFonts w:ascii="Times New Roman" w:hAnsi="Times New Roman"/>
          <w:szCs w:val="22"/>
        </w:rPr>
        <w:t>and (</w:t>
      </w:r>
      <w:r w:rsidR="00485E89">
        <w:rPr>
          <w:rFonts w:ascii="Times New Roman" w:hAnsi="Times New Roman"/>
          <w:szCs w:val="22"/>
        </w:rPr>
        <w:t>9</w:t>
      </w:r>
      <w:r w:rsidR="00154F1D" w:rsidRPr="00154F1D">
        <w:rPr>
          <w:rFonts w:ascii="Times New Roman" w:hAnsi="Times New Roman"/>
          <w:szCs w:val="22"/>
        </w:rPr>
        <w:t>)</w:t>
      </w:r>
      <w:r w:rsidR="00485E89">
        <w:rPr>
          <w:rFonts w:ascii="Times New Roman" w:hAnsi="Times New Roman"/>
          <w:szCs w:val="22"/>
        </w:rPr>
        <w:t xml:space="preserve">, and the notes under subclauses 5(2) and </w:t>
      </w:r>
      <w:r w:rsidR="00CE164A">
        <w:rPr>
          <w:rFonts w:ascii="Times New Roman" w:hAnsi="Times New Roman"/>
          <w:szCs w:val="22"/>
        </w:rPr>
        <w:t>5</w:t>
      </w:r>
      <w:r w:rsidR="00485E89">
        <w:rPr>
          <w:rFonts w:ascii="Times New Roman" w:hAnsi="Times New Roman"/>
          <w:szCs w:val="22"/>
        </w:rPr>
        <w:t xml:space="preserve">(4) </w:t>
      </w:r>
      <w:r w:rsidR="00154F1D" w:rsidRPr="00154F1D">
        <w:rPr>
          <w:rFonts w:ascii="Times New Roman" w:hAnsi="Times New Roman"/>
          <w:szCs w:val="22"/>
        </w:rPr>
        <w:t>of th</w:t>
      </w:r>
      <w:r w:rsidR="003E7602">
        <w:rPr>
          <w:rFonts w:ascii="Times New Roman" w:hAnsi="Times New Roman"/>
          <w:szCs w:val="22"/>
        </w:rPr>
        <w:t>e</w:t>
      </w:r>
      <w:r w:rsidR="00154F1D" w:rsidRPr="00154F1D">
        <w:rPr>
          <w:rFonts w:ascii="Times New Roman" w:hAnsi="Times New Roman"/>
          <w:szCs w:val="22"/>
        </w:rPr>
        <w:t xml:space="preserve"> </w:t>
      </w:r>
      <w:r w:rsidR="00485E89">
        <w:rPr>
          <w:rFonts w:ascii="Times New Roman" w:hAnsi="Times New Roman"/>
          <w:szCs w:val="22"/>
        </w:rPr>
        <w:t>S</w:t>
      </w:r>
      <w:r w:rsidR="000C305D">
        <w:rPr>
          <w:rFonts w:ascii="Times New Roman" w:hAnsi="Times New Roman"/>
          <w:szCs w:val="22"/>
        </w:rPr>
        <w:t>tandard commence on 27 September</w:t>
      </w:r>
      <w:r w:rsidR="00154F1D" w:rsidRPr="00154F1D">
        <w:rPr>
          <w:rFonts w:ascii="Times New Roman" w:hAnsi="Times New Roman"/>
          <w:szCs w:val="22"/>
        </w:rPr>
        <w:t xml:space="preserve"> 2014</w:t>
      </w:r>
      <w:r w:rsidR="00D85C3D">
        <w:rPr>
          <w:rFonts w:ascii="Times New Roman" w:hAnsi="Times New Roman"/>
          <w:szCs w:val="22"/>
        </w:rPr>
        <w:t xml:space="preserve">.  </w:t>
      </w:r>
      <w:r w:rsidR="00154F1D" w:rsidRPr="00154F1D">
        <w:rPr>
          <w:rFonts w:ascii="Times New Roman" w:hAnsi="Times New Roman"/>
          <w:szCs w:val="22"/>
        </w:rPr>
        <w:t>The remaining provisions of th</w:t>
      </w:r>
      <w:r w:rsidR="003E7602">
        <w:rPr>
          <w:rFonts w:ascii="Times New Roman" w:hAnsi="Times New Roman"/>
          <w:szCs w:val="22"/>
        </w:rPr>
        <w:t>e</w:t>
      </w:r>
      <w:r w:rsidR="00154F1D" w:rsidRPr="00154F1D">
        <w:rPr>
          <w:rFonts w:ascii="Times New Roman" w:hAnsi="Times New Roman"/>
          <w:szCs w:val="22"/>
        </w:rPr>
        <w:t xml:space="preserve"> </w:t>
      </w:r>
      <w:r w:rsidR="008130F6">
        <w:rPr>
          <w:rFonts w:ascii="Times New Roman" w:hAnsi="Times New Roman"/>
          <w:szCs w:val="22"/>
        </w:rPr>
        <w:t>S</w:t>
      </w:r>
      <w:r w:rsidR="00154F1D" w:rsidRPr="00154F1D">
        <w:rPr>
          <w:rFonts w:ascii="Times New Roman" w:hAnsi="Times New Roman"/>
          <w:szCs w:val="22"/>
        </w:rPr>
        <w:t>tan</w:t>
      </w:r>
      <w:r w:rsidR="000C305D">
        <w:rPr>
          <w:rFonts w:ascii="Times New Roman" w:hAnsi="Times New Roman"/>
          <w:szCs w:val="22"/>
        </w:rPr>
        <w:t>dard commence on 27 September</w:t>
      </w:r>
      <w:r w:rsidR="009C2169">
        <w:rPr>
          <w:rFonts w:ascii="Times New Roman" w:hAnsi="Times New Roman"/>
          <w:szCs w:val="22"/>
        </w:rPr>
        <w:t xml:space="preserve"> 2013</w:t>
      </w:r>
      <w:r w:rsidR="00DC33E0">
        <w:rPr>
          <w:rFonts w:ascii="Times New Roman" w:hAnsi="Times New Roman"/>
          <w:szCs w:val="22"/>
        </w:rPr>
        <w:t>.</w:t>
      </w:r>
      <w:r>
        <w:rPr>
          <w:rFonts w:ascii="Times New Roman" w:hAnsi="Times New Roman"/>
          <w:szCs w:val="22"/>
        </w:rPr>
        <w:t xml:space="preserve"> </w:t>
      </w:r>
    </w:p>
    <w:p w:rsidR="002D4806" w:rsidRDefault="00D85C3D" w:rsidP="007C63B2">
      <w:pPr>
        <w:pStyle w:val="Heading1"/>
        <w:keepLines/>
        <w:suppressAutoHyphens w:val="0"/>
        <w:spacing w:before="360" w:line="360" w:lineRule="auto"/>
        <w:rPr>
          <w:sz w:val="24"/>
          <w:szCs w:val="24"/>
        </w:rPr>
      </w:pPr>
      <w:r>
        <w:rPr>
          <w:sz w:val="24"/>
          <w:szCs w:val="24"/>
        </w:rPr>
        <w:t xml:space="preserve">Clause 3 - </w:t>
      </w:r>
      <w:r w:rsidR="00E172EF" w:rsidRPr="00856CC9">
        <w:rPr>
          <w:sz w:val="24"/>
          <w:szCs w:val="24"/>
        </w:rPr>
        <w:t xml:space="preserve">Definitions </w:t>
      </w:r>
    </w:p>
    <w:p w:rsidR="002D4806" w:rsidRDefault="00D23FA5" w:rsidP="002D4806">
      <w:pPr>
        <w:spacing w:line="360" w:lineRule="auto"/>
        <w:rPr>
          <w:rFonts w:ascii="Times New Roman" w:hAnsi="Times New Roman"/>
        </w:rPr>
      </w:pPr>
      <w:r>
        <w:rPr>
          <w:rFonts w:ascii="Times New Roman" w:hAnsi="Times New Roman"/>
        </w:rPr>
        <w:t xml:space="preserve">Clause 3 defines the terms </w:t>
      </w:r>
      <w:r w:rsidR="00443324">
        <w:rPr>
          <w:rFonts w:ascii="Times New Roman" w:hAnsi="Times New Roman"/>
        </w:rPr>
        <w:t xml:space="preserve">used in the </w:t>
      </w:r>
      <w:r w:rsidR="00E073B1">
        <w:rPr>
          <w:rFonts w:ascii="Times New Roman" w:hAnsi="Times New Roman"/>
        </w:rPr>
        <w:t>S</w:t>
      </w:r>
      <w:r w:rsidR="00443324">
        <w:rPr>
          <w:rFonts w:ascii="Times New Roman" w:hAnsi="Times New Roman"/>
        </w:rPr>
        <w:t>tandard</w:t>
      </w:r>
      <w:r>
        <w:rPr>
          <w:rFonts w:ascii="Times New Roman" w:hAnsi="Times New Roman"/>
        </w:rPr>
        <w:t>. W</w:t>
      </w:r>
      <w:r w:rsidR="00443324">
        <w:rPr>
          <w:rFonts w:ascii="Times New Roman" w:hAnsi="Times New Roman"/>
        </w:rPr>
        <w:t xml:space="preserve">here possible, </w:t>
      </w:r>
      <w:r>
        <w:rPr>
          <w:rFonts w:ascii="Times New Roman" w:hAnsi="Times New Roman"/>
        </w:rPr>
        <w:t>the</w:t>
      </w:r>
      <w:r w:rsidR="00DC33E0">
        <w:rPr>
          <w:rFonts w:ascii="Times New Roman" w:hAnsi="Times New Roman"/>
        </w:rPr>
        <w:t xml:space="preserve"> definitions a</w:t>
      </w:r>
      <w:r>
        <w:rPr>
          <w:rFonts w:ascii="Times New Roman" w:hAnsi="Times New Roman"/>
        </w:rPr>
        <w:t xml:space="preserve">re </w:t>
      </w:r>
      <w:r w:rsidR="00443324">
        <w:rPr>
          <w:rFonts w:ascii="Times New Roman" w:hAnsi="Times New Roman"/>
        </w:rPr>
        <w:t xml:space="preserve">consistent with </w:t>
      </w:r>
      <w:r w:rsidR="00DC33E0">
        <w:rPr>
          <w:rFonts w:ascii="Times New Roman" w:hAnsi="Times New Roman"/>
        </w:rPr>
        <w:t xml:space="preserve">definitions in </w:t>
      </w:r>
      <w:r w:rsidR="00443324">
        <w:rPr>
          <w:rFonts w:ascii="Times New Roman" w:hAnsi="Times New Roman"/>
        </w:rPr>
        <w:t xml:space="preserve">the Act or registered codes such as the </w:t>
      </w:r>
      <w:r w:rsidR="001F3583">
        <w:rPr>
          <w:rFonts w:ascii="Times New Roman" w:hAnsi="Times New Roman"/>
        </w:rPr>
        <w:t>TCP Code</w:t>
      </w:r>
      <w:r w:rsidR="00443324">
        <w:rPr>
          <w:rFonts w:ascii="Times New Roman" w:hAnsi="Times New Roman"/>
        </w:rPr>
        <w:t xml:space="preserve">. </w:t>
      </w:r>
    </w:p>
    <w:p w:rsidR="002D4806" w:rsidRDefault="002D4806" w:rsidP="002D4806">
      <w:pPr>
        <w:spacing w:line="360" w:lineRule="auto"/>
        <w:rPr>
          <w:rFonts w:ascii="Times New Roman" w:hAnsi="Times New Roman"/>
        </w:rPr>
      </w:pPr>
    </w:p>
    <w:p w:rsidR="002D4806" w:rsidRPr="007C63B2" w:rsidRDefault="002D4806" w:rsidP="002D4806">
      <w:pPr>
        <w:spacing w:line="360" w:lineRule="auto"/>
        <w:rPr>
          <w:sz w:val="24"/>
        </w:rPr>
      </w:pPr>
      <w:r w:rsidRPr="007C63B2">
        <w:rPr>
          <w:b/>
          <w:sz w:val="24"/>
        </w:rPr>
        <w:t xml:space="preserve">Clause 4 - Application of this Standard </w:t>
      </w:r>
    </w:p>
    <w:p w:rsidR="00B07454" w:rsidRDefault="00AC40BA">
      <w:pPr>
        <w:spacing w:line="360" w:lineRule="auto"/>
        <w:rPr>
          <w:rFonts w:ascii="Times New Roman" w:hAnsi="Times New Roman"/>
          <w:szCs w:val="22"/>
        </w:rPr>
      </w:pPr>
      <w:r w:rsidRPr="00AC40BA">
        <w:rPr>
          <w:rFonts w:ascii="Times New Roman" w:hAnsi="Times New Roman"/>
          <w:szCs w:val="22"/>
        </w:rPr>
        <w:t xml:space="preserve">Clause 4 sets out that the Standard applies to all CSPs supplying IMR services, </w:t>
      </w:r>
      <w:r w:rsidR="00391F04" w:rsidRPr="0010788B">
        <w:rPr>
          <w:rFonts w:ascii="Times New Roman" w:hAnsi="Times New Roman"/>
          <w:szCs w:val="22"/>
        </w:rPr>
        <w:t>including CSPs that provide wholesale services to other CSPs</w:t>
      </w:r>
      <w:r w:rsidR="00330370" w:rsidRPr="0010788B">
        <w:rPr>
          <w:rFonts w:ascii="Times New Roman" w:hAnsi="Times New Roman"/>
          <w:szCs w:val="22"/>
        </w:rPr>
        <w:t xml:space="preserve">. </w:t>
      </w:r>
      <w:r w:rsidR="00DC33E0" w:rsidRPr="0010788B">
        <w:rPr>
          <w:rFonts w:ascii="Times New Roman" w:hAnsi="Times New Roman"/>
          <w:szCs w:val="22"/>
        </w:rPr>
        <w:t xml:space="preserve"> </w:t>
      </w:r>
      <w:r w:rsidR="00247EAA">
        <w:rPr>
          <w:rFonts w:ascii="Times New Roman" w:hAnsi="Times New Roman"/>
          <w:szCs w:val="22"/>
        </w:rPr>
        <w:t xml:space="preserve">In </w:t>
      </w:r>
      <w:r w:rsidR="00196A5A" w:rsidRPr="0010788B">
        <w:rPr>
          <w:rFonts w:ascii="Times New Roman" w:hAnsi="Times New Roman"/>
          <w:szCs w:val="22"/>
        </w:rPr>
        <w:t>some</w:t>
      </w:r>
      <w:r w:rsidR="00247EAA">
        <w:rPr>
          <w:rFonts w:ascii="Times New Roman" w:hAnsi="Times New Roman"/>
          <w:szCs w:val="22"/>
        </w:rPr>
        <w:t xml:space="preserve"> cases</w:t>
      </w:r>
      <w:r w:rsidR="00196A5A" w:rsidRPr="0010788B">
        <w:rPr>
          <w:rFonts w:ascii="Times New Roman" w:hAnsi="Times New Roman"/>
          <w:szCs w:val="22"/>
        </w:rPr>
        <w:t xml:space="preserve"> </w:t>
      </w:r>
      <w:r w:rsidR="00DC33E0" w:rsidRPr="0010788B">
        <w:rPr>
          <w:rFonts w:ascii="Times New Roman" w:hAnsi="Times New Roman"/>
          <w:szCs w:val="22"/>
        </w:rPr>
        <w:t xml:space="preserve">CSPs </w:t>
      </w:r>
      <w:r w:rsidRPr="00AC40BA">
        <w:rPr>
          <w:rFonts w:ascii="Times New Roman" w:hAnsi="Times New Roman"/>
          <w:szCs w:val="22"/>
        </w:rPr>
        <w:t>will have requirements under th</w:t>
      </w:r>
      <w:r w:rsidR="00E073B1">
        <w:rPr>
          <w:rFonts w:ascii="Times New Roman" w:hAnsi="Times New Roman"/>
          <w:szCs w:val="22"/>
        </w:rPr>
        <w:t>e</w:t>
      </w:r>
      <w:r w:rsidRPr="00AC40BA">
        <w:rPr>
          <w:rFonts w:ascii="Times New Roman" w:hAnsi="Times New Roman"/>
          <w:szCs w:val="22"/>
        </w:rPr>
        <w:t xml:space="preserve"> </w:t>
      </w:r>
      <w:r w:rsidR="00E073B1">
        <w:rPr>
          <w:rFonts w:ascii="Times New Roman" w:hAnsi="Times New Roman"/>
          <w:szCs w:val="22"/>
        </w:rPr>
        <w:t>S</w:t>
      </w:r>
      <w:r w:rsidRPr="00AC40BA">
        <w:rPr>
          <w:rFonts w:ascii="Times New Roman" w:hAnsi="Times New Roman"/>
          <w:szCs w:val="22"/>
        </w:rPr>
        <w:t xml:space="preserve">tandard even if they do </w:t>
      </w:r>
      <w:r w:rsidR="001B2DC5" w:rsidRPr="001B2DC5">
        <w:rPr>
          <w:rFonts w:ascii="Times New Roman" w:hAnsi="Times New Roman"/>
          <w:szCs w:val="22"/>
        </w:rPr>
        <w:t>not provide those services to end-users</w:t>
      </w:r>
      <w:r w:rsidR="009B29E3" w:rsidRPr="001B2DC5">
        <w:rPr>
          <w:rFonts w:ascii="Times New Roman" w:hAnsi="Times New Roman"/>
          <w:szCs w:val="22"/>
        </w:rPr>
        <w:t>,</w:t>
      </w:r>
      <w:r w:rsidR="00247EAA" w:rsidRPr="001B2DC5">
        <w:rPr>
          <w:rFonts w:ascii="Times New Roman" w:hAnsi="Times New Roman"/>
          <w:szCs w:val="22"/>
        </w:rPr>
        <w:t xml:space="preserve"> for instance, where</w:t>
      </w:r>
      <w:r w:rsidR="00247EAA">
        <w:rPr>
          <w:rFonts w:ascii="Times New Roman" w:hAnsi="Times New Roman"/>
          <w:szCs w:val="22"/>
        </w:rPr>
        <w:t xml:space="preserve"> there is a chain of supply through </w:t>
      </w:r>
      <w:r w:rsidR="00CE7BB1">
        <w:rPr>
          <w:rFonts w:ascii="Times New Roman" w:hAnsi="Times New Roman"/>
          <w:szCs w:val="22"/>
        </w:rPr>
        <w:t>which</w:t>
      </w:r>
      <w:r w:rsidR="00CE7BB1" w:rsidRPr="0010788B">
        <w:rPr>
          <w:rFonts w:ascii="Times New Roman" w:hAnsi="Times New Roman"/>
          <w:szCs w:val="22"/>
        </w:rPr>
        <w:t xml:space="preserve"> IMR</w:t>
      </w:r>
      <w:r w:rsidR="00BC3EC4" w:rsidRPr="0010788B">
        <w:rPr>
          <w:rFonts w:ascii="Times New Roman" w:hAnsi="Times New Roman"/>
          <w:szCs w:val="22"/>
        </w:rPr>
        <w:t xml:space="preserve"> services </w:t>
      </w:r>
      <w:r w:rsidR="00247EAA">
        <w:rPr>
          <w:rFonts w:ascii="Times New Roman" w:hAnsi="Times New Roman"/>
          <w:szCs w:val="22"/>
        </w:rPr>
        <w:t xml:space="preserve">are provided </w:t>
      </w:r>
      <w:r w:rsidR="00BC3EC4" w:rsidRPr="0010788B">
        <w:rPr>
          <w:rFonts w:ascii="Times New Roman" w:hAnsi="Times New Roman"/>
          <w:szCs w:val="22"/>
        </w:rPr>
        <w:t>to other CSPs</w:t>
      </w:r>
      <w:r w:rsidR="00247EAA">
        <w:rPr>
          <w:rFonts w:ascii="Times New Roman" w:hAnsi="Times New Roman"/>
          <w:szCs w:val="22"/>
        </w:rPr>
        <w:t xml:space="preserve"> which are ultimately provided to end</w:t>
      </w:r>
      <w:r w:rsidR="00281B25">
        <w:rPr>
          <w:rFonts w:ascii="Times New Roman" w:hAnsi="Times New Roman"/>
          <w:szCs w:val="22"/>
        </w:rPr>
        <w:t>-</w:t>
      </w:r>
      <w:r w:rsidR="00247EAA">
        <w:rPr>
          <w:rFonts w:ascii="Times New Roman" w:hAnsi="Times New Roman"/>
          <w:szCs w:val="22"/>
        </w:rPr>
        <w:t>user</w:t>
      </w:r>
      <w:r w:rsidR="00E073B1">
        <w:rPr>
          <w:rFonts w:ascii="Times New Roman" w:hAnsi="Times New Roman"/>
          <w:szCs w:val="22"/>
        </w:rPr>
        <w:t>s</w:t>
      </w:r>
      <w:r w:rsidRPr="00AC40BA">
        <w:rPr>
          <w:rFonts w:ascii="Times New Roman" w:hAnsi="Times New Roman"/>
          <w:szCs w:val="22"/>
        </w:rPr>
        <w:t xml:space="preserve">. </w:t>
      </w:r>
    </w:p>
    <w:p w:rsidR="00B07454" w:rsidRDefault="00B07454">
      <w:pPr>
        <w:spacing w:line="360" w:lineRule="auto"/>
      </w:pPr>
    </w:p>
    <w:p w:rsidR="00B07454" w:rsidRPr="007C63B2" w:rsidRDefault="00AC40BA" w:rsidP="007C63B2">
      <w:pPr>
        <w:spacing w:before="360" w:line="360" w:lineRule="auto"/>
        <w:rPr>
          <w:sz w:val="24"/>
        </w:rPr>
      </w:pPr>
      <w:r w:rsidRPr="007C63B2">
        <w:rPr>
          <w:b/>
          <w:sz w:val="24"/>
        </w:rPr>
        <w:lastRenderedPageBreak/>
        <w:t xml:space="preserve">Clause 5 - Mobile network operators to give information about supply of IMR services </w:t>
      </w:r>
    </w:p>
    <w:p w:rsidR="006100D2" w:rsidRPr="0010788B" w:rsidRDefault="00813C75" w:rsidP="0010788B">
      <w:pPr>
        <w:spacing w:line="360" w:lineRule="auto"/>
        <w:rPr>
          <w:rFonts w:ascii="Times New Roman" w:hAnsi="Times New Roman"/>
        </w:rPr>
      </w:pPr>
      <w:r w:rsidRPr="0010788B">
        <w:rPr>
          <w:rFonts w:ascii="Times New Roman" w:hAnsi="Times New Roman"/>
        </w:rPr>
        <w:t>Clause 5 sets out obligations</w:t>
      </w:r>
      <w:r w:rsidR="009C3CAC" w:rsidRPr="0010788B">
        <w:rPr>
          <w:rFonts w:ascii="Times New Roman" w:hAnsi="Times New Roman"/>
        </w:rPr>
        <w:t xml:space="preserve"> </w:t>
      </w:r>
      <w:r w:rsidR="006100D2" w:rsidRPr="0010788B">
        <w:rPr>
          <w:rFonts w:ascii="Times New Roman" w:hAnsi="Times New Roman"/>
        </w:rPr>
        <w:t>on M</w:t>
      </w:r>
      <w:r w:rsidR="00AE5BC5">
        <w:rPr>
          <w:rFonts w:ascii="Times New Roman" w:hAnsi="Times New Roman"/>
        </w:rPr>
        <w:t>NO</w:t>
      </w:r>
      <w:r w:rsidR="006100D2" w:rsidRPr="0010788B">
        <w:rPr>
          <w:rFonts w:ascii="Times New Roman" w:hAnsi="Times New Roman"/>
        </w:rPr>
        <w:t xml:space="preserve">s </w:t>
      </w:r>
      <w:r w:rsidR="009C3CAC" w:rsidRPr="0010788B">
        <w:rPr>
          <w:rFonts w:ascii="Times New Roman" w:hAnsi="Times New Roman"/>
        </w:rPr>
        <w:t>to ensure c</w:t>
      </w:r>
      <w:r w:rsidR="00E073B1">
        <w:rPr>
          <w:rFonts w:ascii="Times New Roman" w:hAnsi="Times New Roman"/>
        </w:rPr>
        <w:t>ustomers</w:t>
      </w:r>
      <w:r w:rsidR="00997CA5" w:rsidRPr="0010788B">
        <w:rPr>
          <w:rFonts w:ascii="Times New Roman" w:hAnsi="Times New Roman"/>
        </w:rPr>
        <w:t xml:space="preserve"> are made aware</w:t>
      </w:r>
      <w:r w:rsidR="009C3CAC" w:rsidRPr="0010788B">
        <w:rPr>
          <w:rFonts w:ascii="Times New Roman" w:hAnsi="Times New Roman"/>
        </w:rPr>
        <w:t xml:space="preserve">, </w:t>
      </w:r>
      <w:r w:rsidR="00BC3EC4" w:rsidRPr="0010788B">
        <w:rPr>
          <w:rFonts w:ascii="Times New Roman" w:hAnsi="Times New Roman"/>
        </w:rPr>
        <w:t xml:space="preserve">prior to accruing </w:t>
      </w:r>
      <w:r w:rsidR="009B29E3" w:rsidRPr="0010788B">
        <w:rPr>
          <w:rFonts w:ascii="Times New Roman" w:hAnsi="Times New Roman"/>
        </w:rPr>
        <w:t>liabilities for usage</w:t>
      </w:r>
      <w:r w:rsidR="009C3CAC" w:rsidRPr="0010788B">
        <w:rPr>
          <w:rFonts w:ascii="Times New Roman" w:hAnsi="Times New Roman"/>
        </w:rPr>
        <w:t xml:space="preserve">, </w:t>
      </w:r>
      <w:r w:rsidRPr="0010788B">
        <w:rPr>
          <w:rFonts w:ascii="Times New Roman" w:hAnsi="Times New Roman"/>
        </w:rPr>
        <w:t xml:space="preserve">of </w:t>
      </w:r>
      <w:r w:rsidR="009C3CAC" w:rsidRPr="0010788B">
        <w:rPr>
          <w:rFonts w:ascii="Times New Roman" w:hAnsi="Times New Roman"/>
        </w:rPr>
        <w:t xml:space="preserve">the </w:t>
      </w:r>
      <w:r w:rsidR="00BC3EC4" w:rsidRPr="0010788B">
        <w:rPr>
          <w:rFonts w:ascii="Times New Roman" w:hAnsi="Times New Roman"/>
        </w:rPr>
        <w:t xml:space="preserve">significantly </w:t>
      </w:r>
      <w:r w:rsidR="009C3CAC" w:rsidRPr="0010788B">
        <w:rPr>
          <w:rFonts w:ascii="Times New Roman" w:hAnsi="Times New Roman"/>
        </w:rPr>
        <w:t xml:space="preserve">higher charges that </w:t>
      </w:r>
      <w:r w:rsidR="00247EAA">
        <w:rPr>
          <w:rFonts w:ascii="Times New Roman" w:hAnsi="Times New Roman"/>
        </w:rPr>
        <w:t>may be</w:t>
      </w:r>
      <w:r w:rsidR="009C3CAC" w:rsidRPr="0010788B">
        <w:rPr>
          <w:rFonts w:ascii="Times New Roman" w:hAnsi="Times New Roman"/>
        </w:rPr>
        <w:t xml:space="preserve"> associated with IMR</w:t>
      </w:r>
      <w:r w:rsidR="00BC3EC4" w:rsidRPr="0010788B">
        <w:rPr>
          <w:rFonts w:ascii="Times New Roman" w:hAnsi="Times New Roman"/>
        </w:rPr>
        <w:t xml:space="preserve"> </w:t>
      </w:r>
      <w:r w:rsidR="0099160C">
        <w:rPr>
          <w:rFonts w:ascii="Times New Roman" w:hAnsi="Times New Roman"/>
        </w:rPr>
        <w:t xml:space="preserve">services </w:t>
      </w:r>
      <w:r w:rsidR="00BC3EC4" w:rsidRPr="0010788B">
        <w:rPr>
          <w:rFonts w:ascii="Times New Roman" w:hAnsi="Times New Roman"/>
        </w:rPr>
        <w:t>compared to using domestic telecommunications services</w:t>
      </w:r>
      <w:r w:rsidR="009C3CAC" w:rsidRPr="0010788B">
        <w:rPr>
          <w:rFonts w:ascii="Times New Roman" w:hAnsi="Times New Roman"/>
        </w:rPr>
        <w:t xml:space="preserve">. </w:t>
      </w:r>
      <w:r w:rsidR="006100D2" w:rsidRPr="0010788B">
        <w:rPr>
          <w:rFonts w:ascii="Times New Roman" w:hAnsi="Times New Roman"/>
        </w:rPr>
        <w:t xml:space="preserve"> It also requires that </w:t>
      </w:r>
      <w:r w:rsidR="00AE5BC5">
        <w:rPr>
          <w:rFonts w:ascii="Times New Roman" w:hAnsi="Times New Roman"/>
        </w:rPr>
        <w:t>MNO</w:t>
      </w:r>
      <w:r w:rsidR="006100D2" w:rsidRPr="0010788B">
        <w:rPr>
          <w:rFonts w:ascii="Times New Roman" w:hAnsi="Times New Roman"/>
        </w:rPr>
        <w:t xml:space="preserve">s provide specific cost information to those of its customers who activate a </w:t>
      </w:r>
      <w:r w:rsidR="0010788B" w:rsidRPr="0010788B">
        <w:rPr>
          <w:rFonts w:ascii="Times New Roman" w:hAnsi="Times New Roman"/>
        </w:rPr>
        <w:t xml:space="preserve">Short Message Service </w:t>
      </w:r>
      <w:r w:rsidR="0010788B">
        <w:rPr>
          <w:rFonts w:ascii="Times New Roman" w:hAnsi="Times New Roman"/>
        </w:rPr>
        <w:t>(</w:t>
      </w:r>
      <w:r w:rsidR="006100D2" w:rsidRPr="0010788B">
        <w:rPr>
          <w:rFonts w:ascii="Times New Roman" w:hAnsi="Times New Roman"/>
        </w:rPr>
        <w:t>SMS</w:t>
      </w:r>
      <w:r w:rsidR="0010788B">
        <w:rPr>
          <w:rFonts w:ascii="Times New Roman" w:hAnsi="Times New Roman"/>
        </w:rPr>
        <w:t>)</w:t>
      </w:r>
      <w:r w:rsidR="006100D2" w:rsidRPr="0010788B">
        <w:rPr>
          <w:rFonts w:ascii="Times New Roman" w:hAnsi="Times New Roman"/>
        </w:rPr>
        <w:t xml:space="preserve"> enabled device in an overseas country and that, where relevant, </w:t>
      </w:r>
      <w:r w:rsidR="00AE5BC5">
        <w:rPr>
          <w:rFonts w:ascii="Times New Roman" w:hAnsi="Times New Roman"/>
        </w:rPr>
        <w:t>MVNO</w:t>
      </w:r>
      <w:r w:rsidR="006100D2" w:rsidRPr="0010788B">
        <w:rPr>
          <w:rFonts w:ascii="Times New Roman" w:hAnsi="Times New Roman"/>
        </w:rPr>
        <w:t>s be given information about the activation of customer devices in overseas countries.</w:t>
      </w:r>
    </w:p>
    <w:p w:rsidR="006100D2" w:rsidRPr="0010788B" w:rsidRDefault="006100D2" w:rsidP="0010788B">
      <w:pPr>
        <w:spacing w:line="360" w:lineRule="auto"/>
        <w:rPr>
          <w:rFonts w:ascii="Times New Roman" w:hAnsi="Times New Roman"/>
        </w:rPr>
      </w:pPr>
    </w:p>
    <w:p w:rsidR="00B07454" w:rsidRDefault="00813C75">
      <w:pPr>
        <w:spacing w:line="360" w:lineRule="auto"/>
        <w:rPr>
          <w:rFonts w:ascii="Times New Roman" w:hAnsi="Times New Roman"/>
          <w:szCs w:val="22"/>
        </w:rPr>
      </w:pPr>
      <w:r w:rsidRPr="0010788B">
        <w:rPr>
          <w:rFonts w:ascii="Times New Roman" w:hAnsi="Times New Roman"/>
        </w:rPr>
        <w:t>S</w:t>
      </w:r>
      <w:r w:rsidR="003706B8" w:rsidRPr="0010788B">
        <w:rPr>
          <w:rFonts w:ascii="Times New Roman" w:hAnsi="Times New Roman"/>
        </w:rPr>
        <w:t xml:space="preserve">ubclause </w:t>
      </w:r>
      <w:r w:rsidRPr="0010788B">
        <w:rPr>
          <w:rFonts w:ascii="Times New Roman" w:hAnsi="Times New Roman"/>
        </w:rPr>
        <w:t>5</w:t>
      </w:r>
      <w:r w:rsidR="003706B8" w:rsidRPr="0010788B">
        <w:rPr>
          <w:rFonts w:ascii="Times New Roman" w:hAnsi="Times New Roman"/>
        </w:rPr>
        <w:t>(1)</w:t>
      </w:r>
      <w:r w:rsidRPr="0010788B">
        <w:rPr>
          <w:rFonts w:ascii="Times New Roman" w:hAnsi="Times New Roman"/>
        </w:rPr>
        <w:t xml:space="preserve"> requires that</w:t>
      </w:r>
      <w:r w:rsidR="003706B8" w:rsidRPr="0010788B">
        <w:rPr>
          <w:rFonts w:ascii="Times New Roman" w:hAnsi="Times New Roman"/>
        </w:rPr>
        <w:t xml:space="preserve"> </w:t>
      </w:r>
      <w:r w:rsidR="00751E60" w:rsidRPr="0010788B">
        <w:rPr>
          <w:rFonts w:ascii="Times New Roman" w:hAnsi="Times New Roman"/>
        </w:rPr>
        <w:t xml:space="preserve">CSPs </w:t>
      </w:r>
      <w:r w:rsidR="00CC4917">
        <w:rPr>
          <w:rFonts w:ascii="Times New Roman" w:hAnsi="Times New Roman"/>
        </w:rPr>
        <w:t xml:space="preserve">that </w:t>
      </w:r>
      <w:r w:rsidR="00751E60" w:rsidRPr="0010788B">
        <w:rPr>
          <w:rFonts w:ascii="Times New Roman" w:hAnsi="Times New Roman"/>
        </w:rPr>
        <w:t>are also M</w:t>
      </w:r>
      <w:r w:rsidR="00CC687C" w:rsidRPr="0010788B">
        <w:rPr>
          <w:rFonts w:ascii="Times New Roman" w:hAnsi="Times New Roman"/>
        </w:rPr>
        <w:t xml:space="preserve">NOs </w:t>
      </w:r>
      <w:r w:rsidR="0099160C">
        <w:rPr>
          <w:rFonts w:ascii="Times New Roman" w:hAnsi="Times New Roman"/>
        </w:rPr>
        <w:t xml:space="preserve">which supply IMR services </w:t>
      </w:r>
      <w:r w:rsidR="00211C1B" w:rsidRPr="0010788B">
        <w:rPr>
          <w:rFonts w:ascii="Times New Roman" w:hAnsi="Times New Roman"/>
        </w:rPr>
        <w:t xml:space="preserve">are required to </w:t>
      </w:r>
      <w:r w:rsidR="00A20066">
        <w:rPr>
          <w:rFonts w:ascii="Times New Roman" w:hAnsi="Times New Roman"/>
        </w:rPr>
        <w:t>give</w:t>
      </w:r>
      <w:r w:rsidR="00A20066" w:rsidRPr="0010788B">
        <w:rPr>
          <w:rFonts w:ascii="Times New Roman" w:hAnsi="Times New Roman"/>
        </w:rPr>
        <w:t xml:space="preserve"> </w:t>
      </w:r>
      <w:r w:rsidR="00CC4917">
        <w:rPr>
          <w:rFonts w:ascii="Times New Roman" w:hAnsi="Times New Roman"/>
        </w:rPr>
        <w:t xml:space="preserve">certain SMS messages </w:t>
      </w:r>
      <w:r w:rsidR="00751E60" w:rsidRPr="0010788B">
        <w:rPr>
          <w:rFonts w:ascii="Times New Roman" w:hAnsi="Times New Roman"/>
        </w:rPr>
        <w:t>to</w:t>
      </w:r>
      <w:r w:rsidR="00526217" w:rsidRPr="0010788B">
        <w:rPr>
          <w:rFonts w:ascii="Times New Roman" w:hAnsi="Times New Roman"/>
        </w:rPr>
        <w:t xml:space="preserve"> their</w:t>
      </w:r>
      <w:r w:rsidR="00751E60" w:rsidRPr="0010788B">
        <w:rPr>
          <w:rFonts w:ascii="Times New Roman" w:hAnsi="Times New Roman"/>
        </w:rPr>
        <w:t xml:space="preserve"> customers</w:t>
      </w:r>
      <w:r w:rsidR="00CC4917">
        <w:rPr>
          <w:rFonts w:ascii="Times New Roman" w:hAnsi="Times New Roman"/>
        </w:rPr>
        <w:t>, within 10 minutes of the customer activating their SMS enabled device in an overseas country</w:t>
      </w:r>
      <w:r w:rsidR="00751E60" w:rsidRPr="0010788B">
        <w:rPr>
          <w:rFonts w:ascii="Times New Roman" w:hAnsi="Times New Roman"/>
        </w:rPr>
        <w:t xml:space="preserve">. </w:t>
      </w:r>
      <w:r w:rsidR="00CC4917">
        <w:rPr>
          <w:rFonts w:ascii="Times New Roman" w:hAnsi="Times New Roman"/>
        </w:rPr>
        <w:t xml:space="preserve">The first SMS message required to be </w:t>
      </w:r>
      <w:r w:rsidR="00252DC0">
        <w:rPr>
          <w:rFonts w:ascii="Times New Roman" w:hAnsi="Times New Roman"/>
        </w:rPr>
        <w:t xml:space="preserve">given </w:t>
      </w:r>
      <w:r w:rsidR="00A20066">
        <w:rPr>
          <w:rFonts w:ascii="Times New Roman" w:hAnsi="Times New Roman"/>
        </w:rPr>
        <w:t>i</w:t>
      </w:r>
      <w:r w:rsidR="00CC4917">
        <w:rPr>
          <w:rFonts w:ascii="Times New Roman" w:hAnsi="Times New Roman"/>
        </w:rPr>
        <w:t xml:space="preserve">s </w:t>
      </w:r>
      <w:r w:rsidR="00A20066">
        <w:rPr>
          <w:rFonts w:ascii="Times New Roman" w:hAnsi="Times New Roman"/>
        </w:rPr>
        <w:t xml:space="preserve">a general warning that significantly higher charges may apply to the customer (although subclause 5(3) allows for modification of that message in certain circumstances).  </w:t>
      </w:r>
      <w:r w:rsidR="003F067C">
        <w:rPr>
          <w:rFonts w:ascii="Times New Roman" w:hAnsi="Times New Roman"/>
        </w:rPr>
        <w:t>P</w:t>
      </w:r>
      <w:r w:rsidR="00A20066">
        <w:rPr>
          <w:rFonts w:ascii="Times New Roman" w:hAnsi="Times New Roman"/>
        </w:rPr>
        <w:t xml:space="preserve">aragraphs 5(1)(b) and 5(1)(c) provide that MNOs </w:t>
      </w:r>
      <w:r w:rsidR="003F067C">
        <w:rPr>
          <w:rFonts w:ascii="Times New Roman" w:hAnsi="Times New Roman"/>
        </w:rPr>
        <w:t>must</w:t>
      </w:r>
      <w:r w:rsidR="00A20066">
        <w:rPr>
          <w:rFonts w:ascii="Times New Roman" w:hAnsi="Times New Roman"/>
        </w:rPr>
        <w:t xml:space="preserve"> </w:t>
      </w:r>
      <w:r w:rsidR="003F067C">
        <w:rPr>
          <w:rFonts w:ascii="Times New Roman" w:hAnsi="Times New Roman"/>
        </w:rPr>
        <w:t xml:space="preserve">also give to their customers an SMS message or messages </w:t>
      </w:r>
      <w:r w:rsidR="00A20066">
        <w:rPr>
          <w:rFonts w:ascii="Times New Roman" w:hAnsi="Times New Roman"/>
        </w:rPr>
        <w:t xml:space="preserve">that provide </w:t>
      </w:r>
      <w:r w:rsidR="00526217" w:rsidRPr="0010788B">
        <w:rPr>
          <w:rFonts w:ascii="Times New Roman" w:hAnsi="Times New Roman"/>
        </w:rPr>
        <w:t xml:space="preserve">specific information relating to </w:t>
      </w:r>
      <w:r w:rsidR="00CC687C" w:rsidRPr="0010788B">
        <w:rPr>
          <w:rFonts w:ascii="Times New Roman" w:hAnsi="Times New Roman"/>
        </w:rPr>
        <w:t>the maximum charges th</w:t>
      </w:r>
      <w:r w:rsidR="003F067C">
        <w:rPr>
          <w:rFonts w:ascii="Times New Roman" w:hAnsi="Times New Roman"/>
        </w:rPr>
        <w:t xml:space="preserve">at may apply to the customer </w:t>
      </w:r>
      <w:r w:rsidR="00CC687C" w:rsidRPr="0010788B">
        <w:rPr>
          <w:rFonts w:ascii="Times New Roman" w:hAnsi="Times New Roman"/>
        </w:rPr>
        <w:t xml:space="preserve">when using </w:t>
      </w:r>
      <w:r w:rsidR="00211C1B" w:rsidRPr="0010788B">
        <w:rPr>
          <w:rFonts w:ascii="Times New Roman" w:hAnsi="Times New Roman"/>
        </w:rPr>
        <w:t xml:space="preserve">various </w:t>
      </w:r>
      <w:r w:rsidR="00CC687C" w:rsidRPr="0010788B">
        <w:rPr>
          <w:rFonts w:ascii="Times New Roman" w:hAnsi="Times New Roman"/>
        </w:rPr>
        <w:t xml:space="preserve">IMR services at </w:t>
      </w:r>
      <w:r w:rsidR="00526217" w:rsidRPr="0010788B">
        <w:rPr>
          <w:rFonts w:ascii="Times New Roman" w:hAnsi="Times New Roman"/>
        </w:rPr>
        <w:t>the</w:t>
      </w:r>
      <w:r w:rsidR="00CC687C" w:rsidRPr="0010788B">
        <w:rPr>
          <w:rFonts w:ascii="Times New Roman" w:hAnsi="Times New Roman"/>
        </w:rPr>
        <w:t>ir current</w:t>
      </w:r>
      <w:r w:rsidR="00526217" w:rsidRPr="0010788B">
        <w:rPr>
          <w:rFonts w:ascii="Times New Roman" w:hAnsi="Times New Roman"/>
        </w:rPr>
        <w:t xml:space="preserve"> </w:t>
      </w:r>
      <w:r w:rsidR="00CC687C" w:rsidRPr="0010788B">
        <w:rPr>
          <w:rFonts w:ascii="Times New Roman" w:hAnsi="Times New Roman"/>
        </w:rPr>
        <w:t>location</w:t>
      </w:r>
      <w:r w:rsidR="00252DC0">
        <w:rPr>
          <w:rFonts w:ascii="Times New Roman" w:hAnsi="Times New Roman"/>
        </w:rPr>
        <w:t xml:space="preserve"> (maximum charge information)</w:t>
      </w:r>
      <w:r w:rsidR="00A20066">
        <w:rPr>
          <w:rFonts w:ascii="Times New Roman" w:hAnsi="Times New Roman"/>
        </w:rPr>
        <w:t xml:space="preserve">, and </w:t>
      </w:r>
      <w:r w:rsidR="003F067C">
        <w:rPr>
          <w:rFonts w:ascii="Times New Roman" w:hAnsi="Times New Roman"/>
        </w:rPr>
        <w:t>information about how the customer may decline the continued supply of IMR services while overseas</w:t>
      </w:r>
      <w:r w:rsidR="00526217" w:rsidRPr="0010788B">
        <w:rPr>
          <w:rFonts w:ascii="Times New Roman" w:hAnsi="Times New Roman"/>
        </w:rPr>
        <w:t xml:space="preserve">. </w:t>
      </w:r>
      <w:r w:rsidR="003F067C">
        <w:rPr>
          <w:rFonts w:ascii="Times New Roman" w:hAnsi="Times New Roman"/>
        </w:rPr>
        <w:t xml:space="preserve"> </w:t>
      </w:r>
      <w:r w:rsidR="00526217" w:rsidRPr="0010788B">
        <w:rPr>
          <w:rFonts w:ascii="Times New Roman" w:hAnsi="Times New Roman"/>
        </w:rPr>
        <w:t>Th</w:t>
      </w:r>
      <w:r w:rsidR="003F067C">
        <w:rPr>
          <w:rFonts w:ascii="Times New Roman" w:hAnsi="Times New Roman"/>
        </w:rPr>
        <w:t xml:space="preserve">e information provided under </w:t>
      </w:r>
      <w:r w:rsidR="00B236A1">
        <w:rPr>
          <w:rFonts w:ascii="Times New Roman" w:hAnsi="Times New Roman"/>
        </w:rPr>
        <w:t xml:space="preserve">paragraphs 5(1)(b) and 5(1)(c) must be correct for the country of arrival, but information that can be </w:t>
      </w:r>
      <w:r w:rsidR="00526217" w:rsidRPr="0010788B">
        <w:rPr>
          <w:rFonts w:ascii="Times New Roman" w:hAnsi="Times New Roman"/>
        </w:rPr>
        <w:t>generally applied to a region or continent</w:t>
      </w:r>
      <w:r w:rsidR="00B236A1">
        <w:rPr>
          <w:rFonts w:ascii="Times New Roman" w:hAnsi="Times New Roman"/>
        </w:rPr>
        <w:t xml:space="preserve"> </w:t>
      </w:r>
      <w:r w:rsidR="00E073B1">
        <w:rPr>
          <w:rFonts w:ascii="Times New Roman" w:hAnsi="Times New Roman"/>
        </w:rPr>
        <w:t>will</w:t>
      </w:r>
      <w:r w:rsidR="00B236A1">
        <w:rPr>
          <w:rFonts w:ascii="Times New Roman" w:hAnsi="Times New Roman"/>
        </w:rPr>
        <w:t xml:space="preserve"> also </w:t>
      </w:r>
      <w:r w:rsidR="00E073B1">
        <w:rPr>
          <w:rFonts w:ascii="Times New Roman" w:hAnsi="Times New Roman"/>
        </w:rPr>
        <w:t xml:space="preserve">be </w:t>
      </w:r>
      <w:r w:rsidR="00B236A1">
        <w:rPr>
          <w:rFonts w:ascii="Times New Roman" w:hAnsi="Times New Roman"/>
        </w:rPr>
        <w:t>acceptable so long as it is correct for the country of arrival</w:t>
      </w:r>
      <w:r w:rsidR="00526217" w:rsidRPr="0010788B">
        <w:rPr>
          <w:rFonts w:ascii="Times New Roman" w:hAnsi="Times New Roman"/>
        </w:rPr>
        <w:t>.</w:t>
      </w:r>
      <w:r w:rsidR="00602837" w:rsidRPr="0010788B">
        <w:rPr>
          <w:rFonts w:ascii="Times New Roman" w:hAnsi="Times New Roman"/>
        </w:rPr>
        <w:t xml:space="preserve"> Example notifications for </w:t>
      </w:r>
      <w:r w:rsidR="00211C1B" w:rsidRPr="0010788B">
        <w:rPr>
          <w:rFonts w:ascii="Times New Roman" w:hAnsi="Times New Roman"/>
        </w:rPr>
        <w:t>paragraphs 5(</w:t>
      </w:r>
      <w:r w:rsidR="00602837" w:rsidRPr="0010788B">
        <w:rPr>
          <w:rFonts w:ascii="Times New Roman" w:hAnsi="Times New Roman"/>
        </w:rPr>
        <w:t>1</w:t>
      </w:r>
      <w:r w:rsidR="00211C1B" w:rsidRPr="0010788B">
        <w:rPr>
          <w:rFonts w:ascii="Times New Roman" w:hAnsi="Times New Roman"/>
        </w:rPr>
        <w:t>)</w:t>
      </w:r>
      <w:r w:rsidR="00602837" w:rsidRPr="0010788B">
        <w:rPr>
          <w:rFonts w:ascii="Times New Roman" w:hAnsi="Times New Roman"/>
        </w:rPr>
        <w:t xml:space="preserve">(b) and </w:t>
      </w:r>
      <w:r w:rsidR="00211C1B" w:rsidRPr="0010788B">
        <w:rPr>
          <w:rFonts w:ascii="Times New Roman" w:hAnsi="Times New Roman"/>
        </w:rPr>
        <w:t>5(</w:t>
      </w:r>
      <w:r w:rsidR="00602837" w:rsidRPr="0010788B">
        <w:rPr>
          <w:rFonts w:ascii="Times New Roman" w:hAnsi="Times New Roman"/>
        </w:rPr>
        <w:t>1</w:t>
      </w:r>
      <w:r w:rsidR="00211C1B" w:rsidRPr="0010788B">
        <w:rPr>
          <w:rFonts w:ascii="Times New Roman" w:hAnsi="Times New Roman"/>
        </w:rPr>
        <w:t>)</w:t>
      </w:r>
      <w:r w:rsidR="00602837" w:rsidRPr="0010788B">
        <w:rPr>
          <w:rFonts w:ascii="Times New Roman" w:hAnsi="Times New Roman"/>
        </w:rPr>
        <w:t xml:space="preserve">(c) are provided </w:t>
      </w:r>
      <w:r w:rsidR="00B236A1">
        <w:rPr>
          <w:rFonts w:ascii="Times New Roman" w:hAnsi="Times New Roman"/>
        </w:rPr>
        <w:t xml:space="preserve">in </w:t>
      </w:r>
      <w:r w:rsidR="0099160C">
        <w:rPr>
          <w:rFonts w:ascii="Times New Roman" w:hAnsi="Times New Roman"/>
        </w:rPr>
        <w:t>N</w:t>
      </w:r>
      <w:r w:rsidR="00B236A1">
        <w:rPr>
          <w:rFonts w:ascii="Times New Roman" w:hAnsi="Times New Roman"/>
        </w:rPr>
        <w:t xml:space="preserve">ote </w:t>
      </w:r>
      <w:r w:rsidR="0099160C">
        <w:rPr>
          <w:rFonts w:ascii="Times New Roman" w:hAnsi="Times New Roman"/>
        </w:rPr>
        <w:t xml:space="preserve">3 </w:t>
      </w:r>
      <w:r w:rsidR="009B29E3" w:rsidRPr="0010788B">
        <w:rPr>
          <w:rFonts w:ascii="Times New Roman" w:hAnsi="Times New Roman"/>
        </w:rPr>
        <w:t>following clause 5</w:t>
      </w:r>
      <w:r w:rsidR="00602837" w:rsidRPr="0010788B">
        <w:rPr>
          <w:rFonts w:ascii="Times New Roman" w:hAnsi="Times New Roman"/>
        </w:rPr>
        <w:t>.</w:t>
      </w:r>
      <w:r w:rsidR="00996983" w:rsidRPr="0010788B">
        <w:rPr>
          <w:rFonts w:ascii="Times New Roman" w:hAnsi="Times New Roman"/>
        </w:rPr>
        <w:t xml:space="preserve"> </w:t>
      </w:r>
    </w:p>
    <w:p w:rsidR="00B07454" w:rsidRDefault="00B07454">
      <w:pPr>
        <w:spacing w:line="360" w:lineRule="auto"/>
        <w:rPr>
          <w:rFonts w:ascii="Times New Roman" w:hAnsi="Times New Roman"/>
          <w:szCs w:val="22"/>
        </w:rPr>
      </w:pPr>
    </w:p>
    <w:p w:rsidR="007C63B2" w:rsidRDefault="00C94EDA" w:rsidP="007C63B2">
      <w:pPr>
        <w:spacing w:line="360" w:lineRule="auto"/>
        <w:rPr>
          <w:rFonts w:ascii="Times New Roman" w:hAnsi="Times New Roman"/>
          <w:szCs w:val="22"/>
        </w:rPr>
      </w:pPr>
      <w:r w:rsidRPr="00A7782C">
        <w:rPr>
          <w:rFonts w:ascii="Times New Roman" w:hAnsi="Times New Roman"/>
          <w:szCs w:val="22"/>
        </w:rPr>
        <w:t xml:space="preserve">Subclause </w:t>
      </w:r>
      <w:r w:rsidR="000B6B54" w:rsidRPr="00A7782C">
        <w:rPr>
          <w:rFonts w:ascii="Times New Roman" w:hAnsi="Times New Roman"/>
          <w:szCs w:val="22"/>
        </w:rPr>
        <w:t>5</w:t>
      </w:r>
      <w:r w:rsidRPr="00A7782C">
        <w:rPr>
          <w:rFonts w:ascii="Times New Roman" w:hAnsi="Times New Roman"/>
          <w:szCs w:val="22"/>
        </w:rPr>
        <w:t xml:space="preserve">(2) </w:t>
      </w:r>
      <w:r w:rsidR="00F03863" w:rsidRPr="00A7782C">
        <w:rPr>
          <w:rFonts w:ascii="Times New Roman" w:hAnsi="Times New Roman"/>
          <w:szCs w:val="22"/>
        </w:rPr>
        <w:t xml:space="preserve">applies to </w:t>
      </w:r>
      <w:r w:rsidR="000B6B54" w:rsidRPr="00A7782C">
        <w:rPr>
          <w:rFonts w:ascii="Times New Roman" w:hAnsi="Times New Roman"/>
          <w:szCs w:val="22"/>
        </w:rPr>
        <w:t xml:space="preserve">IMR services which are provided </w:t>
      </w:r>
      <w:r w:rsidR="004A082D" w:rsidRPr="00A7782C">
        <w:rPr>
          <w:rFonts w:ascii="Times New Roman" w:hAnsi="Times New Roman"/>
          <w:szCs w:val="22"/>
        </w:rPr>
        <w:t xml:space="preserve">to customers of </w:t>
      </w:r>
      <w:r w:rsidR="004865F4" w:rsidRPr="004865F4">
        <w:rPr>
          <w:rFonts w:ascii="Times New Roman" w:hAnsi="Times New Roman"/>
          <w:szCs w:val="22"/>
        </w:rPr>
        <w:t>MVNOs</w:t>
      </w:r>
      <w:r w:rsidR="00AC40BA" w:rsidRPr="00AC40BA">
        <w:rPr>
          <w:rFonts w:ascii="Times New Roman" w:hAnsi="Times New Roman"/>
          <w:szCs w:val="22"/>
        </w:rPr>
        <w:t xml:space="preserve">.  The requirements apply where a MNO supplies a carriage service to another CSP (i.e. a MVNO), and the service is used to supply IMR services to a customer of the MVNO or a customer of another CSP (this is relevant where there is a chain of supply through two or more MVNOs).  Paragraph 5(2)(a) provides that the MNO must, within 10 minutes of the customer activating an SMS enabled device in an overseas country, give a </w:t>
      </w:r>
      <w:r w:rsidR="00AC40BA" w:rsidRPr="001B2DC5">
        <w:rPr>
          <w:rFonts w:ascii="Times New Roman" w:hAnsi="Times New Roman"/>
          <w:szCs w:val="22"/>
        </w:rPr>
        <w:t>warning SMS message</w:t>
      </w:r>
      <w:r w:rsidR="001B2DC5" w:rsidRPr="001B2DC5">
        <w:rPr>
          <w:rFonts w:ascii="Times New Roman" w:hAnsi="Times New Roman"/>
          <w:szCs w:val="22"/>
        </w:rPr>
        <w:t xml:space="preserve"> to the customer</w:t>
      </w:r>
      <w:r w:rsidR="00AC40BA" w:rsidRPr="001B2DC5">
        <w:rPr>
          <w:rFonts w:ascii="Times New Roman" w:hAnsi="Times New Roman"/>
          <w:szCs w:val="22"/>
        </w:rPr>
        <w:t xml:space="preserve"> of the same kind referred to in paragraph 5(1)(a) (although subclause 5(3) all</w:t>
      </w:r>
      <w:r w:rsidR="00AC40BA" w:rsidRPr="00AC40BA">
        <w:rPr>
          <w:rFonts w:ascii="Times New Roman" w:hAnsi="Times New Roman"/>
          <w:szCs w:val="22"/>
        </w:rPr>
        <w:t>ows for modification of that message in certain circumstances)</w:t>
      </w:r>
      <w:r w:rsidR="004865F4" w:rsidRPr="004865F4">
        <w:rPr>
          <w:rFonts w:ascii="Times New Roman" w:hAnsi="Times New Roman"/>
          <w:szCs w:val="22"/>
        </w:rPr>
        <w:t xml:space="preserve">. </w:t>
      </w:r>
    </w:p>
    <w:p w:rsidR="007C63B2" w:rsidRDefault="007C63B2" w:rsidP="007C63B2">
      <w:pPr>
        <w:spacing w:line="360" w:lineRule="auto"/>
        <w:rPr>
          <w:rFonts w:ascii="Times New Roman" w:hAnsi="Times New Roman"/>
          <w:szCs w:val="22"/>
        </w:rPr>
      </w:pPr>
    </w:p>
    <w:p w:rsidR="00B07454" w:rsidRPr="007C63B2" w:rsidRDefault="000B6B54" w:rsidP="007C63B2">
      <w:pPr>
        <w:spacing w:line="360" w:lineRule="auto"/>
        <w:rPr>
          <w:rFonts w:ascii="Times New Roman" w:hAnsi="Times New Roman"/>
          <w:szCs w:val="22"/>
        </w:rPr>
      </w:pPr>
      <w:r w:rsidRPr="00A7782C">
        <w:rPr>
          <w:rFonts w:ascii="Times New Roman" w:hAnsi="Times New Roman"/>
          <w:szCs w:val="22"/>
        </w:rPr>
        <w:t>Paragraph</w:t>
      </w:r>
      <w:r w:rsidR="004865F4">
        <w:rPr>
          <w:rFonts w:ascii="Times New Roman" w:hAnsi="Times New Roman"/>
          <w:szCs w:val="22"/>
        </w:rPr>
        <w:t xml:space="preserve">s 5(2)(b) and 5(2)(c) place an obligation on MNOs to give </w:t>
      </w:r>
      <w:r w:rsidR="004865F4" w:rsidRPr="001B2DC5">
        <w:rPr>
          <w:rFonts w:ascii="Times New Roman" w:hAnsi="Times New Roman"/>
          <w:szCs w:val="22"/>
        </w:rPr>
        <w:t>MVNOs</w:t>
      </w:r>
      <w:r w:rsidR="001B2DC5" w:rsidRPr="001B2DC5">
        <w:rPr>
          <w:rFonts w:ascii="Times New Roman" w:hAnsi="Times New Roman"/>
          <w:bCs/>
          <w:szCs w:val="22"/>
          <w:lang w:eastAsia="en-US"/>
        </w:rPr>
        <w:t xml:space="preserve"> that they are supplying with a carriage service</w:t>
      </w:r>
      <w:r w:rsidR="004865F4" w:rsidRPr="001B2DC5">
        <w:rPr>
          <w:rFonts w:ascii="Times New Roman" w:hAnsi="Times New Roman"/>
          <w:szCs w:val="22"/>
        </w:rPr>
        <w:t xml:space="preserve"> information about MVNO customers who activate an I</w:t>
      </w:r>
      <w:r w:rsidR="004865F4">
        <w:rPr>
          <w:rFonts w:ascii="Times New Roman" w:hAnsi="Times New Roman"/>
          <w:szCs w:val="22"/>
        </w:rPr>
        <w:t xml:space="preserve">MR service in an overseas location. MVNOs acting as wholesalers or “upstream providers” are required by subclause 5(4) to pass this information on to MVNOs acting as “downstream providers”.  This information is intended to facilitate the giving of </w:t>
      </w:r>
      <w:r w:rsidR="00202A16">
        <w:rPr>
          <w:rFonts w:ascii="Times New Roman" w:hAnsi="Times New Roman"/>
          <w:szCs w:val="22"/>
        </w:rPr>
        <w:t xml:space="preserve">maximum charge information </w:t>
      </w:r>
      <w:r w:rsidR="007F3EFA" w:rsidRPr="00A7782C">
        <w:rPr>
          <w:rFonts w:ascii="Times New Roman" w:hAnsi="Times New Roman"/>
          <w:szCs w:val="22"/>
        </w:rPr>
        <w:t>to customers of MVNOs</w:t>
      </w:r>
      <w:r w:rsidR="00202A16">
        <w:rPr>
          <w:rFonts w:ascii="Times New Roman" w:hAnsi="Times New Roman"/>
          <w:szCs w:val="22"/>
        </w:rPr>
        <w:t xml:space="preserve"> on arrival overseas, as MVNOs will not necessarily otherwise know that the customer’s device has been activated in an overseas country </w:t>
      </w:r>
      <w:r w:rsidR="007F3EFA" w:rsidRPr="00A7782C">
        <w:rPr>
          <w:rFonts w:ascii="Times New Roman" w:hAnsi="Times New Roman"/>
          <w:szCs w:val="22"/>
        </w:rPr>
        <w:t>(see subclause 6(3)).</w:t>
      </w:r>
    </w:p>
    <w:p w:rsidR="00B07454" w:rsidRDefault="004865F4">
      <w:pPr>
        <w:pStyle w:val="Heading1"/>
        <w:keepLines/>
        <w:suppressAutoHyphens w:val="0"/>
        <w:spacing w:before="0" w:line="360" w:lineRule="auto"/>
        <w:rPr>
          <w:rFonts w:ascii="Times New Roman" w:hAnsi="Times New Roman" w:cs="Times New Roman"/>
          <w:b w:val="0"/>
          <w:sz w:val="22"/>
          <w:szCs w:val="22"/>
        </w:rPr>
      </w:pPr>
      <w:r>
        <w:rPr>
          <w:rFonts w:ascii="Times New Roman" w:hAnsi="Times New Roman" w:cs="Times New Roman"/>
          <w:b w:val="0"/>
          <w:sz w:val="22"/>
          <w:szCs w:val="22"/>
        </w:rPr>
        <w:lastRenderedPageBreak/>
        <w:t xml:space="preserve"> </w:t>
      </w:r>
    </w:p>
    <w:p w:rsidR="00B07454" w:rsidRDefault="004865F4">
      <w:pPr>
        <w:pStyle w:val="Heading1"/>
        <w:keepLines/>
        <w:suppressAutoHyphens w:val="0"/>
        <w:spacing w:before="0" w:line="360" w:lineRule="auto"/>
        <w:rPr>
          <w:rFonts w:ascii="Times New Roman" w:hAnsi="Times New Roman" w:cs="Times New Roman"/>
          <w:b w:val="0"/>
          <w:sz w:val="22"/>
          <w:szCs w:val="22"/>
        </w:rPr>
      </w:pPr>
      <w:r>
        <w:rPr>
          <w:rFonts w:ascii="Times New Roman" w:hAnsi="Times New Roman" w:cs="Times New Roman"/>
          <w:b w:val="0"/>
          <w:sz w:val="22"/>
          <w:szCs w:val="22"/>
        </w:rPr>
        <w:t>Subclause 5(3) sets out circumstances in which the content of the required warning</w:t>
      </w:r>
      <w:r w:rsidR="00252DC0">
        <w:rPr>
          <w:rFonts w:ascii="Times New Roman" w:hAnsi="Times New Roman" w:cs="Times New Roman"/>
          <w:b w:val="0"/>
          <w:sz w:val="22"/>
          <w:szCs w:val="22"/>
        </w:rPr>
        <w:t xml:space="preserve"> message</w:t>
      </w:r>
      <w:r w:rsidR="00CE4449" w:rsidRPr="00A7782C">
        <w:rPr>
          <w:rFonts w:ascii="Times New Roman" w:hAnsi="Times New Roman" w:cs="Times New Roman"/>
          <w:b w:val="0"/>
          <w:sz w:val="22"/>
          <w:szCs w:val="22"/>
        </w:rPr>
        <w:t xml:space="preserve">s </w:t>
      </w:r>
      <w:r w:rsidR="00252DC0">
        <w:rPr>
          <w:rFonts w:ascii="Times New Roman" w:hAnsi="Times New Roman" w:cs="Times New Roman"/>
          <w:b w:val="0"/>
          <w:sz w:val="22"/>
          <w:szCs w:val="22"/>
        </w:rPr>
        <w:t xml:space="preserve">given </w:t>
      </w:r>
      <w:r w:rsidR="00CE4449" w:rsidRPr="00A7782C">
        <w:rPr>
          <w:rFonts w:ascii="Times New Roman" w:hAnsi="Times New Roman" w:cs="Times New Roman"/>
          <w:b w:val="0"/>
          <w:sz w:val="22"/>
          <w:szCs w:val="22"/>
        </w:rPr>
        <w:t xml:space="preserve">under paragraphs 5(1)(a) and 5(2)(a) may be varied. This </w:t>
      </w:r>
      <w:r>
        <w:rPr>
          <w:rFonts w:ascii="Times New Roman" w:hAnsi="Times New Roman" w:cs="Times New Roman"/>
          <w:b w:val="0"/>
          <w:sz w:val="22"/>
          <w:szCs w:val="22"/>
        </w:rPr>
        <w:t xml:space="preserve">recognises that some MNOs and MVNOs may apply pricing structures for IMR services in some countries or regions that mirror the domestic rates for similar services. </w:t>
      </w:r>
      <w:r w:rsidR="00A7782C">
        <w:rPr>
          <w:rFonts w:ascii="Times New Roman" w:hAnsi="Times New Roman" w:cs="Times New Roman"/>
          <w:b w:val="0"/>
          <w:sz w:val="22"/>
          <w:szCs w:val="22"/>
        </w:rPr>
        <w:t xml:space="preserve"> </w:t>
      </w:r>
      <w:r w:rsidR="007F259A" w:rsidRPr="00A7782C">
        <w:rPr>
          <w:rFonts w:ascii="Times New Roman" w:hAnsi="Times New Roman" w:cs="Times New Roman"/>
          <w:b w:val="0"/>
          <w:sz w:val="22"/>
          <w:szCs w:val="22"/>
        </w:rPr>
        <w:t xml:space="preserve">In instances where the </w:t>
      </w:r>
      <w:r w:rsidR="00A7782C" w:rsidRPr="00A7782C">
        <w:rPr>
          <w:rFonts w:ascii="Times New Roman" w:hAnsi="Times New Roman" w:cs="Times New Roman"/>
          <w:b w:val="0"/>
          <w:sz w:val="22"/>
          <w:szCs w:val="22"/>
        </w:rPr>
        <w:t>CSP considers on reasonable grounds that no significantly higher charge will apply to the customer</w:t>
      </w:r>
      <w:r w:rsidR="00A7782C">
        <w:rPr>
          <w:rFonts w:ascii="Times New Roman" w:hAnsi="Times New Roman" w:cs="Times New Roman"/>
          <w:b w:val="0"/>
          <w:sz w:val="22"/>
          <w:szCs w:val="22"/>
        </w:rPr>
        <w:t xml:space="preserve"> in the country where the device is activated</w:t>
      </w:r>
      <w:r w:rsidR="001C163D" w:rsidRPr="00A7782C">
        <w:rPr>
          <w:rFonts w:ascii="Times New Roman" w:hAnsi="Times New Roman" w:cs="Times New Roman"/>
          <w:b w:val="0"/>
          <w:sz w:val="22"/>
          <w:szCs w:val="22"/>
        </w:rPr>
        <w:t>, the sentence “Significantly higher charges may</w:t>
      </w:r>
      <w:r w:rsidR="001C163D">
        <w:rPr>
          <w:rFonts w:ascii="Times New Roman" w:hAnsi="Times New Roman" w:cs="Times New Roman"/>
          <w:b w:val="0"/>
          <w:sz w:val="22"/>
          <w:szCs w:val="22"/>
        </w:rPr>
        <w:t xml:space="preserve"> apply” may be removed from a warning message </w:t>
      </w:r>
      <w:r w:rsidR="00202A16">
        <w:rPr>
          <w:rFonts w:ascii="Times New Roman" w:hAnsi="Times New Roman" w:cs="Times New Roman"/>
          <w:b w:val="0"/>
          <w:sz w:val="22"/>
          <w:szCs w:val="22"/>
        </w:rPr>
        <w:t>given</w:t>
      </w:r>
      <w:r w:rsidR="001C163D">
        <w:rPr>
          <w:rFonts w:ascii="Times New Roman" w:hAnsi="Times New Roman" w:cs="Times New Roman"/>
          <w:b w:val="0"/>
          <w:sz w:val="22"/>
          <w:szCs w:val="22"/>
        </w:rPr>
        <w:t xml:space="preserve"> to customer</w:t>
      </w:r>
      <w:r w:rsidR="00E073B1">
        <w:rPr>
          <w:rFonts w:ascii="Times New Roman" w:hAnsi="Times New Roman" w:cs="Times New Roman"/>
          <w:b w:val="0"/>
          <w:sz w:val="22"/>
          <w:szCs w:val="22"/>
        </w:rPr>
        <w:t>s</w:t>
      </w:r>
      <w:r w:rsidR="00202A16" w:rsidRPr="00202A16">
        <w:rPr>
          <w:rFonts w:ascii="Times New Roman" w:hAnsi="Times New Roman" w:cs="Times New Roman"/>
          <w:b w:val="0"/>
          <w:sz w:val="22"/>
          <w:szCs w:val="22"/>
        </w:rPr>
        <w:t xml:space="preserve"> </w:t>
      </w:r>
      <w:r w:rsidR="00202A16" w:rsidRPr="00A7782C">
        <w:rPr>
          <w:rFonts w:ascii="Times New Roman" w:hAnsi="Times New Roman" w:cs="Times New Roman"/>
          <w:b w:val="0"/>
          <w:sz w:val="22"/>
          <w:szCs w:val="22"/>
        </w:rPr>
        <w:t>under paragraphs 5(1)(a) and 5(2)(a)</w:t>
      </w:r>
      <w:r w:rsidR="001C163D">
        <w:rPr>
          <w:rFonts w:ascii="Times New Roman" w:hAnsi="Times New Roman" w:cs="Times New Roman"/>
          <w:b w:val="0"/>
          <w:sz w:val="22"/>
          <w:szCs w:val="22"/>
        </w:rPr>
        <w:t xml:space="preserve">. </w:t>
      </w:r>
    </w:p>
    <w:p w:rsidR="00B07454" w:rsidRDefault="00B07454">
      <w:pPr>
        <w:pStyle w:val="Heading1"/>
        <w:keepLines/>
        <w:suppressAutoHyphens w:val="0"/>
        <w:spacing w:before="0" w:line="360" w:lineRule="auto"/>
        <w:rPr>
          <w:rFonts w:ascii="Times New Roman" w:hAnsi="Times New Roman" w:cs="Times New Roman"/>
          <w:b w:val="0"/>
          <w:sz w:val="22"/>
          <w:szCs w:val="22"/>
        </w:rPr>
      </w:pPr>
    </w:p>
    <w:p w:rsidR="00B07454" w:rsidRDefault="001C163D">
      <w:pPr>
        <w:pStyle w:val="Heading1"/>
        <w:keepLines/>
        <w:suppressAutoHyphens w:val="0"/>
        <w:spacing w:before="0" w:line="360" w:lineRule="auto"/>
        <w:rPr>
          <w:rFonts w:ascii="Times New Roman" w:hAnsi="Times New Roman" w:cs="Times New Roman"/>
          <w:b w:val="0"/>
          <w:sz w:val="22"/>
          <w:szCs w:val="22"/>
        </w:rPr>
      </w:pPr>
      <w:r>
        <w:rPr>
          <w:rFonts w:ascii="Times New Roman" w:hAnsi="Times New Roman" w:cs="Times New Roman"/>
          <w:b w:val="0"/>
          <w:sz w:val="22"/>
          <w:szCs w:val="22"/>
        </w:rPr>
        <w:t>Sub</w:t>
      </w:r>
      <w:r w:rsidR="00CE4449">
        <w:rPr>
          <w:rFonts w:ascii="Times New Roman" w:hAnsi="Times New Roman" w:cs="Times New Roman"/>
          <w:b w:val="0"/>
          <w:sz w:val="22"/>
          <w:szCs w:val="22"/>
        </w:rPr>
        <w:t>clause</w:t>
      </w:r>
      <w:r>
        <w:rPr>
          <w:rFonts w:ascii="Times New Roman" w:hAnsi="Times New Roman" w:cs="Times New Roman"/>
          <w:b w:val="0"/>
          <w:sz w:val="22"/>
          <w:szCs w:val="22"/>
        </w:rPr>
        <w:t xml:space="preserve"> </w:t>
      </w:r>
      <w:r w:rsidR="00CE4449">
        <w:rPr>
          <w:rFonts w:ascii="Times New Roman" w:hAnsi="Times New Roman" w:cs="Times New Roman"/>
          <w:b w:val="0"/>
          <w:sz w:val="22"/>
          <w:szCs w:val="22"/>
        </w:rPr>
        <w:t>5(</w:t>
      </w:r>
      <w:r>
        <w:rPr>
          <w:rFonts w:ascii="Times New Roman" w:hAnsi="Times New Roman" w:cs="Times New Roman"/>
          <w:b w:val="0"/>
          <w:sz w:val="22"/>
          <w:szCs w:val="22"/>
        </w:rPr>
        <w:t>4</w:t>
      </w:r>
      <w:r w:rsidR="00CE4449">
        <w:rPr>
          <w:rFonts w:ascii="Times New Roman" w:hAnsi="Times New Roman" w:cs="Times New Roman"/>
          <w:b w:val="0"/>
          <w:sz w:val="22"/>
          <w:szCs w:val="22"/>
        </w:rPr>
        <w:t>)</w:t>
      </w:r>
      <w:r>
        <w:rPr>
          <w:rFonts w:ascii="Times New Roman" w:hAnsi="Times New Roman" w:cs="Times New Roman"/>
          <w:b w:val="0"/>
          <w:sz w:val="22"/>
          <w:szCs w:val="22"/>
        </w:rPr>
        <w:t xml:space="preserve"> </w:t>
      </w:r>
      <w:r w:rsidR="00CE4449">
        <w:rPr>
          <w:rFonts w:ascii="Times New Roman" w:hAnsi="Times New Roman" w:cs="Times New Roman"/>
          <w:b w:val="0"/>
          <w:sz w:val="22"/>
          <w:szCs w:val="22"/>
        </w:rPr>
        <w:t xml:space="preserve">places an obligation on </w:t>
      </w:r>
      <w:r w:rsidR="00A7782C">
        <w:rPr>
          <w:rFonts w:ascii="Times New Roman" w:hAnsi="Times New Roman" w:cs="Times New Roman"/>
          <w:b w:val="0"/>
          <w:sz w:val="22"/>
          <w:szCs w:val="22"/>
        </w:rPr>
        <w:t xml:space="preserve">CSPs that receive information supplied under paragraph 5(2)(b) or 5(2)(c) (i.e. information about customers of MVNOs </w:t>
      </w:r>
      <w:r w:rsidR="001B2DC5">
        <w:rPr>
          <w:rFonts w:ascii="Times New Roman" w:hAnsi="Times New Roman" w:cs="Times New Roman"/>
          <w:b w:val="0"/>
          <w:sz w:val="22"/>
          <w:szCs w:val="22"/>
        </w:rPr>
        <w:t>who</w:t>
      </w:r>
      <w:r w:rsidR="00A7782C">
        <w:rPr>
          <w:rFonts w:ascii="Times New Roman" w:hAnsi="Times New Roman" w:cs="Times New Roman"/>
          <w:b w:val="0"/>
          <w:sz w:val="22"/>
          <w:szCs w:val="22"/>
        </w:rPr>
        <w:t xml:space="preserve"> activate their device overseas) to take reasonable steps to supply the information to the customer’s CSP</w:t>
      </w:r>
      <w:r w:rsidR="000D092C">
        <w:rPr>
          <w:rFonts w:ascii="Times New Roman" w:hAnsi="Times New Roman" w:cs="Times New Roman"/>
          <w:b w:val="0"/>
          <w:sz w:val="22"/>
          <w:szCs w:val="22"/>
        </w:rPr>
        <w:t>.  This provision is inserted to ensure that information is passed as appropriate through the chain of supply so that it reaches the customer’s CSP, and that if possible it is redirected if mistakenly given to the wrong CSP.  For example,</w:t>
      </w:r>
      <w:r w:rsidR="000C12D0">
        <w:rPr>
          <w:rFonts w:ascii="Times New Roman" w:hAnsi="Times New Roman" w:cs="Times New Roman"/>
          <w:b w:val="0"/>
          <w:sz w:val="22"/>
          <w:szCs w:val="22"/>
        </w:rPr>
        <w:t xml:space="preserve"> a</w:t>
      </w:r>
      <w:r w:rsidR="000D092C">
        <w:rPr>
          <w:rFonts w:ascii="Times New Roman" w:hAnsi="Times New Roman" w:cs="Times New Roman"/>
          <w:b w:val="0"/>
          <w:sz w:val="22"/>
          <w:szCs w:val="22"/>
        </w:rPr>
        <w:t xml:space="preserve"> MVNO </w:t>
      </w:r>
      <w:r w:rsidR="00A7782C">
        <w:rPr>
          <w:rFonts w:ascii="Times New Roman" w:hAnsi="Times New Roman" w:cs="Times New Roman"/>
          <w:b w:val="0"/>
          <w:sz w:val="22"/>
          <w:szCs w:val="22"/>
        </w:rPr>
        <w:t xml:space="preserve"> that </w:t>
      </w:r>
      <w:r>
        <w:rPr>
          <w:rFonts w:ascii="Times New Roman" w:hAnsi="Times New Roman" w:cs="Times New Roman"/>
          <w:b w:val="0"/>
          <w:sz w:val="22"/>
          <w:szCs w:val="22"/>
        </w:rPr>
        <w:t>resell</w:t>
      </w:r>
      <w:r w:rsidR="000D092C">
        <w:rPr>
          <w:rFonts w:ascii="Times New Roman" w:hAnsi="Times New Roman" w:cs="Times New Roman"/>
          <w:b w:val="0"/>
          <w:sz w:val="22"/>
          <w:szCs w:val="22"/>
        </w:rPr>
        <w:t>s</w:t>
      </w:r>
      <w:r>
        <w:rPr>
          <w:rFonts w:ascii="Times New Roman" w:hAnsi="Times New Roman" w:cs="Times New Roman"/>
          <w:b w:val="0"/>
          <w:sz w:val="22"/>
          <w:szCs w:val="22"/>
        </w:rPr>
        <w:t xml:space="preserve"> </w:t>
      </w:r>
      <w:r w:rsidR="000D092C">
        <w:rPr>
          <w:rFonts w:ascii="Times New Roman" w:hAnsi="Times New Roman" w:cs="Times New Roman"/>
          <w:b w:val="0"/>
          <w:sz w:val="22"/>
          <w:szCs w:val="22"/>
        </w:rPr>
        <w:t xml:space="preserve">IMR </w:t>
      </w:r>
      <w:r>
        <w:rPr>
          <w:rFonts w:ascii="Times New Roman" w:hAnsi="Times New Roman" w:cs="Times New Roman"/>
          <w:b w:val="0"/>
          <w:sz w:val="22"/>
          <w:szCs w:val="22"/>
        </w:rPr>
        <w:t>services to a</w:t>
      </w:r>
      <w:r w:rsidR="00415638">
        <w:rPr>
          <w:rFonts w:ascii="Times New Roman" w:hAnsi="Times New Roman" w:cs="Times New Roman"/>
          <w:b w:val="0"/>
          <w:sz w:val="22"/>
          <w:szCs w:val="22"/>
        </w:rPr>
        <w:t>nother MVNO</w:t>
      </w:r>
      <w:r>
        <w:rPr>
          <w:rFonts w:ascii="Times New Roman" w:hAnsi="Times New Roman" w:cs="Times New Roman"/>
          <w:b w:val="0"/>
          <w:sz w:val="22"/>
          <w:szCs w:val="22"/>
        </w:rPr>
        <w:t xml:space="preserve"> </w:t>
      </w:r>
      <w:r w:rsidR="000D092C">
        <w:rPr>
          <w:rFonts w:ascii="Times New Roman" w:hAnsi="Times New Roman" w:cs="Times New Roman"/>
          <w:b w:val="0"/>
          <w:sz w:val="22"/>
          <w:szCs w:val="22"/>
        </w:rPr>
        <w:t xml:space="preserve">will be required by subclause 5(4) to pass </w:t>
      </w:r>
      <w:r w:rsidR="00415638">
        <w:rPr>
          <w:rFonts w:ascii="Times New Roman" w:hAnsi="Times New Roman" w:cs="Times New Roman"/>
          <w:b w:val="0"/>
          <w:sz w:val="22"/>
          <w:szCs w:val="22"/>
        </w:rPr>
        <w:t>the information given to it under paragraphs 5(2)(b) or 5(2)(c)</w:t>
      </w:r>
      <w:r>
        <w:rPr>
          <w:rFonts w:ascii="Times New Roman" w:hAnsi="Times New Roman" w:cs="Times New Roman"/>
          <w:b w:val="0"/>
          <w:sz w:val="22"/>
          <w:szCs w:val="22"/>
        </w:rPr>
        <w:t xml:space="preserve"> to the </w:t>
      </w:r>
      <w:r w:rsidR="008E7947">
        <w:rPr>
          <w:rFonts w:ascii="Times New Roman" w:hAnsi="Times New Roman" w:cs="Times New Roman"/>
          <w:b w:val="0"/>
          <w:sz w:val="22"/>
          <w:szCs w:val="22"/>
        </w:rPr>
        <w:t>other MVNO</w:t>
      </w:r>
      <w:r>
        <w:rPr>
          <w:rFonts w:ascii="Times New Roman" w:hAnsi="Times New Roman" w:cs="Times New Roman"/>
          <w:b w:val="0"/>
          <w:sz w:val="22"/>
          <w:szCs w:val="22"/>
        </w:rPr>
        <w:t xml:space="preserve">. </w:t>
      </w:r>
    </w:p>
    <w:p w:rsidR="00B07454" w:rsidRDefault="00B07454">
      <w:pPr>
        <w:pStyle w:val="Heading1"/>
        <w:keepLines/>
        <w:suppressAutoHyphens w:val="0"/>
        <w:spacing w:before="0" w:line="360" w:lineRule="auto"/>
        <w:rPr>
          <w:rFonts w:ascii="Times New Roman" w:hAnsi="Times New Roman" w:cs="Times New Roman"/>
          <w:b w:val="0"/>
          <w:sz w:val="22"/>
          <w:szCs w:val="22"/>
        </w:rPr>
      </w:pPr>
    </w:p>
    <w:p w:rsidR="00B07454" w:rsidRDefault="001C163D">
      <w:pPr>
        <w:pStyle w:val="Heading1"/>
        <w:keepLines/>
        <w:suppressAutoHyphens w:val="0"/>
        <w:spacing w:before="0" w:line="360" w:lineRule="auto"/>
        <w:rPr>
          <w:rFonts w:ascii="Times New Roman" w:hAnsi="Times New Roman" w:cs="Times New Roman"/>
          <w:b w:val="0"/>
          <w:sz w:val="22"/>
          <w:szCs w:val="22"/>
        </w:rPr>
      </w:pPr>
      <w:r>
        <w:rPr>
          <w:rFonts w:ascii="Times New Roman" w:hAnsi="Times New Roman" w:cs="Times New Roman"/>
          <w:b w:val="0"/>
          <w:sz w:val="22"/>
          <w:szCs w:val="22"/>
        </w:rPr>
        <w:t>Sub</w:t>
      </w:r>
      <w:r w:rsidR="00415638">
        <w:rPr>
          <w:rFonts w:ascii="Times New Roman" w:hAnsi="Times New Roman" w:cs="Times New Roman"/>
          <w:b w:val="0"/>
          <w:sz w:val="22"/>
          <w:szCs w:val="22"/>
        </w:rPr>
        <w:t>clause</w:t>
      </w:r>
      <w:r w:rsidR="00CE164A">
        <w:rPr>
          <w:rFonts w:ascii="Times New Roman" w:hAnsi="Times New Roman" w:cs="Times New Roman"/>
          <w:b w:val="0"/>
          <w:sz w:val="22"/>
          <w:szCs w:val="22"/>
        </w:rPr>
        <w:t>s</w:t>
      </w:r>
      <w:r w:rsidR="00415638">
        <w:rPr>
          <w:rFonts w:ascii="Times New Roman" w:hAnsi="Times New Roman" w:cs="Times New Roman"/>
          <w:b w:val="0"/>
          <w:sz w:val="22"/>
          <w:szCs w:val="22"/>
        </w:rPr>
        <w:t xml:space="preserve"> 5(</w:t>
      </w:r>
      <w:r>
        <w:rPr>
          <w:rFonts w:ascii="Times New Roman" w:hAnsi="Times New Roman" w:cs="Times New Roman"/>
          <w:b w:val="0"/>
          <w:sz w:val="22"/>
          <w:szCs w:val="22"/>
        </w:rPr>
        <w:t>5</w:t>
      </w:r>
      <w:r w:rsidR="00415638">
        <w:rPr>
          <w:rFonts w:ascii="Times New Roman" w:hAnsi="Times New Roman" w:cs="Times New Roman"/>
          <w:b w:val="0"/>
          <w:sz w:val="22"/>
          <w:szCs w:val="22"/>
        </w:rPr>
        <w:t>)</w:t>
      </w:r>
      <w:r>
        <w:rPr>
          <w:rFonts w:ascii="Times New Roman" w:hAnsi="Times New Roman" w:cs="Times New Roman"/>
          <w:b w:val="0"/>
          <w:sz w:val="22"/>
          <w:szCs w:val="22"/>
        </w:rPr>
        <w:t xml:space="preserve"> </w:t>
      </w:r>
      <w:r w:rsidR="00CE164A">
        <w:rPr>
          <w:rFonts w:ascii="Times New Roman" w:hAnsi="Times New Roman" w:cs="Times New Roman"/>
          <w:b w:val="0"/>
          <w:sz w:val="22"/>
          <w:szCs w:val="22"/>
        </w:rPr>
        <w:t xml:space="preserve">and (6) </w:t>
      </w:r>
      <w:r w:rsidR="00415638">
        <w:rPr>
          <w:rFonts w:ascii="Times New Roman" w:hAnsi="Times New Roman" w:cs="Times New Roman"/>
          <w:b w:val="0"/>
          <w:sz w:val="22"/>
          <w:szCs w:val="22"/>
        </w:rPr>
        <w:t>set out</w:t>
      </w:r>
      <w:r w:rsidR="00EB64FA">
        <w:rPr>
          <w:rFonts w:ascii="Times New Roman" w:hAnsi="Times New Roman" w:cs="Times New Roman"/>
          <w:b w:val="0"/>
          <w:sz w:val="22"/>
          <w:szCs w:val="22"/>
        </w:rPr>
        <w:t xml:space="preserve"> the frequency of messaging with respect to both warning and pricing notifications. There is no requirement to send notifications within the same country if a customer leaves and re-enters within a 14 day period</w:t>
      </w:r>
      <w:r w:rsidR="00415638">
        <w:rPr>
          <w:rFonts w:ascii="Times New Roman" w:hAnsi="Times New Roman" w:cs="Times New Roman"/>
          <w:b w:val="0"/>
          <w:sz w:val="22"/>
          <w:szCs w:val="22"/>
        </w:rPr>
        <w:t>. A</w:t>
      </w:r>
      <w:r w:rsidR="00EB64FA">
        <w:rPr>
          <w:rFonts w:ascii="Times New Roman" w:hAnsi="Times New Roman" w:cs="Times New Roman"/>
          <w:b w:val="0"/>
          <w:sz w:val="22"/>
          <w:szCs w:val="22"/>
        </w:rPr>
        <w:t>fter a 14 day period another notification must be sen</w:t>
      </w:r>
      <w:r w:rsidR="000C12D0">
        <w:rPr>
          <w:rFonts w:ascii="Times New Roman" w:hAnsi="Times New Roman" w:cs="Times New Roman"/>
          <w:b w:val="0"/>
          <w:sz w:val="22"/>
          <w:szCs w:val="22"/>
        </w:rPr>
        <w:t>t</w:t>
      </w:r>
      <w:r w:rsidR="00EB64FA">
        <w:rPr>
          <w:rFonts w:ascii="Times New Roman" w:hAnsi="Times New Roman" w:cs="Times New Roman"/>
          <w:b w:val="0"/>
          <w:sz w:val="22"/>
          <w:szCs w:val="22"/>
        </w:rPr>
        <w:t xml:space="preserve">. </w:t>
      </w:r>
    </w:p>
    <w:p w:rsidR="00B07454" w:rsidRDefault="00B07454">
      <w:pPr>
        <w:pStyle w:val="Heading1"/>
        <w:keepLines/>
        <w:suppressAutoHyphens w:val="0"/>
        <w:spacing w:before="0" w:line="360" w:lineRule="auto"/>
        <w:rPr>
          <w:rFonts w:ascii="Times New Roman" w:hAnsi="Times New Roman" w:cs="Times New Roman"/>
          <w:b w:val="0"/>
          <w:sz w:val="22"/>
          <w:szCs w:val="22"/>
        </w:rPr>
      </w:pPr>
    </w:p>
    <w:p w:rsidR="00B07454" w:rsidRDefault="00602837">
      <w:pPr>
        <w:pStyle w:val="Heading1"/>
        <w:keepLines/>
        <w:suppressAutoHyphens w:val="0"/>
        <w:spacing w:before="0" w:line="360" w:lineRule="auto"/>
        <w:rPr>
          <w:rFonts w:ascii="Times New Roman" w:hAnsi="Times New Roman" w:cs="Times New Roman"/>
          <w:b w:val="0"/>
          <w:sz w:val="22"/>
          <w:szCs w:val="22"/>
        </w:rPr>
      </w:pPr>
      <w:r>
        <w:rPr>
          <w:rFonts w:ascii="Times New Roman" w:hAnsi="Times New Roman" w:cs="Times New Roman"/>
          <w:b w:val="0"/>
          <w:sz w:val="22"/>
          <w:szCs w:val="22"/>
        </w:rPr>
        <w:t>Sub</w:t>
      </w:r>
      <w:r w:rsidR="00415638">
        <w:rPr>
          <w:rFonts w:ascii="Times New Roman" w:hAnsi="Times New Roman" w:cs="Times New Roman"/>
          <w:b w:val="0"/>
          <w:sz w:val="22"/>
          <w:szCs w:val="22"/>
        </w:rPr>
        <w:t>clause 5(</w:t>
      </w:r>
      <w:r w:rsidR="00CE164A">
        <w:rPr>
          <w:rFonts w:ascii="Times New Roman" w:hAnsi="Times New Roman" w:cs="Times New Roman"/>
          <w:b w:val="0"/>
          <w:sz w:val="22"/>
          <w:szCs w:val="22"/>
        </w:rPr>
        <w:t>7</w:t>
      </w:r>
      <w:r w:rsidR="00415638">
        <w:rPr>
          <w:rFonts w:ascii="Times New Roman" w:hAnsi="Times New Roman" w:cs="Times New Roman"/>
          <w:b w:val="0"/>
          <w:sz w:val="22"/>
          <w:szCs w:val="22"/>
        </w:rPr>
        <w:t>)</w:t>
      </w:r>
      <w:r>
        <w:rPr>
          <w:rFonts w:ascii="Times New Roman" w:hAnsi="Times New Roman" w:cs="Times New Roman"/>
          <w:b w:val="0"/>
          <w:sz w:val="22"/>
          <w:szCs w:val="22"/>
        </w:rPr>
        <w:t xml:space="preserve"> </w:t>
      </w:r>
      <w:r w:rsidR="0099160C">
        <w:rPr>
          <w:rFonts w:ascii="Times New Roman" w:hAnsi="Times New Roman" w:cs="Times New Roman"/>
          <w:b w:val="0"/>
          <w:sz w:val="22"/>
          <w:szCs w:val="22"/>
        </w:rPr>
        <w:t xml:space="preserve">provides </w:t>
      </w:r>
      <w:r>
        <w:rPr>
          <w:rFonts w:ascii="Times New Roman" w:hAnsi="Times New Roman" w:cs="Times New Roman"/>
          <w:b w:val="0"/>
          <w:sz w:val="22"/>
          <w:szCs w:val="22"/>
        </w:rPr>
        <w:t xml:space="preserve">that fees cannot be charged </w:t>
      </w:r>
      <w:r w:rsidR="00391F04">
        <w:rPr>
          <w:rFonts w:ascii="Times New Roman" w:hAnsi="Times New Roman" w:cs="Times New Roman"/>
          <w:b w:val="0"/>
          <w:sz w:val="22"/>
          <w:szCs w:val="22"/>
        </w:rPr>
        <w:t xml:space="preserve">to customers </w:t>
      </w:r>
      <w:r>
        <w:rPr>
          <w:rFonts w:ascii="Times New Roman" w:hAnsi="Times New Roman" w:cs="Times New Roman"/>
          <w:b w:val="0"/>
          <w:sz w:val="22"/>
          <w:szCs w:val="22"/>
        </w:rPr>
        <w:t>by a CSP f</w:t>
      </w:r>
      <w:r w:rsidR="00391F04">
        <w:rPr>
          <w:rFonts w:ascii="Times New Roman" w:hAnsi="Times New Roman" w:cs="Times New Roman"/>
          <w:b w:val="0"/>
          <w:sz w:val="22"/>
          <w:szCs w:val="22"/>
        </w:rPr>
        <w:t>or</w:t>
      </w:r>
      <w:r>
        <w:rPr>
          <w:rFonts w:ascii="Times New Roman" w:hAnsi="Times New Roman" w:cs="Times New Roman"/>
          <w:b w:val="0"/>
          <w:sz w:val="22"/>
          <w:szCs w:val="22"/>
        </w:rPr>
        <w:t xml:space="preserve"> providing </w:t>
      </w:r>
      <w:r w:rsidR="00202A16">
        <w:rPr>
          <w:rFonts w:ascii="Times New Roman" w:hAnsi="Times New Roman" w:cs="Times New Roman"/>
          <w:b w:val="0"/>
          <w:sz w:val="22"/>
          <w:szCs w:val="22"/>
        </w:rPr>
        <w:t xml:space="preserve">SMS </w:t>
      </w:r>
      <w:r>
        <w:rPr>
          <w:rFonts w:ascii="Times New Roman" w:hAnsi="Times New Roman" w:cs="Times New Roman"/>
          <w:b w:val="0"/>
          <w:sz w:val="22"/>
          <w:szCs w:val="22"/>
        </w:rPr>
        <w:t>notifications to customers</w:t>
      </w:r>
      <w:r w:rsidR="00202A16">
        <w:rPr>
          <w:rFonts w:ascii="Times New Roman" w:hAnsi="Times New Roman" w:cs="Times New Roman"/>
          <w:b w:val="0"/>
          <w:sz w:val="22"/>
          <w:szCs w:val="22"/>
        </w:rPr>
        <w:t xml:space="preserve"> in accordance with the Standard</w:t>
      </w:r>
      <w:r>
        <w:rPr>
          <w:rFonts w:ascii="Times New Roman" w:hAnsi="Times New Roman" w:cs="Times New Roman"/>
          <w:b w:val="0"/>
          <w:sz w:val="22"/>
          <w:szCs w:val="22"/>
        </w:rPr>
        <w:t xml:space="preserve">. </w:t>
      </w:r>
    </w:p>
    <w:p w:rsidR="00B07454" w:rsidRDefault="001565A1" w:rsidP="007C63B2">
      <w:pPr>
        <w:pStyle w:val="Heading1"/>
        <w:keepLines/>
        <w:tabs>
          <w:tab w:val="left" w:pos="1985"/>
        </w:tabs>
        <w:suppressAutoHyphens w:val="0"/>
        <w:spacing w:before="360" w:line="360" w:lineRule="auto"/>
        <w:rPr>
          <w:sz w:val="24"/>
          <w:szCs w:val="24"/>
        </w:rPr>
      </w:pPr>
      <w:r>
        <w:rPr>
          <w:sz w:val="24"/>
          <w:szCs w:val="24"/>
        </w:rPr>
        <w:t xml:space="preserve">Clause 6 - </w:t>
      </w:r>
      <w:r w:rsidR="00154F1D">
        <w:rPr>
          <w:sz w:val="24"/>
          <w:szCs w:val="24"/>
        </w:rPr>
        <w:t xml:space="preserve">Mobile virtual network </w:t>
      </w:r>
      <w:r w:rsidR="00F97A74">
        <w:rPr>
          <w:sz w:val="24"/>
          <w:szCs w:val="24"/>
        </w:rPr>
        <w:t xml:space="preserve">operators </w:t>
      </w:r>
      <w:r w:rsidR="00154F1D" w:rsidRPr="009D132F">
        <w:rPr>
          <w:sz w:val="24"/>
          <w:szCs w:val="24"/>
        </w:rPr>
        <w:t>to give information about supply of IMR services</w:t>
      </w:r>
      <w:r w:rsidR="00154F1D" w:rsidDel="00E807BA">
        <w:rPr>
          <w:sz w:val="24"/>
          <w:szCs w:val="24"/>
        </w:rPr>
        <w:t xml:space="preserve"> </w:t>
      </w:r>
    </w:p>
    <w:p w:rsidR="00B07454" w:rsidRDefault="00682B33" w:rsidP="00F97A74">
      <w:pPr>
        <w:pStyle w:val="ACMABodyText"/>
        <w:spacing w:before="0" w:after="0" w:line="360" w:lineRule="auto"/>
        <w:rPr>
          <w:sz w:val="22"/>
          <w:szCs w:val="22"/>
        </w:rPr>
      </w:pPr>
      <w:r>
        <w:rPr>
          <w:sz w:val="22"/>
          <w:szCs w:val="22"/>
        </w:rPr>
        <w:t>Subc</w:t>
      </w:r>
      <w:r w:rsidR="000806F6">
        <w:rPr>
          <w:sz w:val="22"/>
          <w:szCs w:val="22"/>
        </w:rPr>
        <w:t>lause 6</w:t>
      </w:r>
      <w:r>
        <w:rPr>
          <w:sz w:val="22"/>
          <w:szCs w:val="22"/>
        </w:rPr>
        <w:t>(1)</w:t>
      </w:r>
      <w:r w:rsidR="000806F6">
        <w:rPr>
          <w:sz w:val="22"/>
          <w:szCs w:val="22"/>
        </w:rPr>
        <w:t xml:space="preserve"> provides </w:t>
      </w:r>
      <w:r w:rsidR="00F321BB">
        <w:rPr>
          <w:sz w:val="22"/>
          <w:szCs w:val="22"/>
        </w:rPr>
        <w:t>that, prior to 23 May</w:t>
      </w:r>
      <w:r>
        <w:rPr>
          <w:sz w:val="22"/>
          <w:szCs w:val="22"/>
        </w:rPr>
        <w:t xml:space="preserve"> 2016, </w:t>
      </w:r>
      <w:r w:rsidR="0099160C">
        <w:rPr>
          <w:sz w:val="22"/>
          <w:szCs w:val="22"/>
        </w:rPr>
        <w:t xml:space="preserve">in respect of post paid and automatic pre-pay services, </w:t>
      </w:r>
      <w:r w:rsidR="000806F6">
        <w:rPr>
          <w:sz w:val="22"/>
          <w:szCs w:val="22"/>
        </w:rPr>
        <w:t>MVNO</w:t>
      </w:r>
      <w:r w:rsidR="00865891">
        <w:rPr>
          <w:sz w:val="22"/>
          <w:szCs w:val="22"/>
        </w:rPr>
        <w:t>s</w:t>
      </w:r>
      <w:r w:rsidR="000806F6">
        <w:rPr>
          <w:sz w:val="22"/>
          <w:szCs w:val="22"/>
        </w:rPr>
        <w:t xml:space="preserve"> </w:t>
      </w:r>
      <w:r>
        <w:rPr>
          <w:sz w:val="22"/>
          <w:szCs w:val="22"/>
        </w:rPr>
        <w:t xml:space="preserve">may choose whether to give </w:t>
      </w:r>
      <w:r w:rsidR="00202A16">
        <w:rPr>
          <w:sz w:val="22"/>
          <w:szCs w:val="22"/>
        </w:rPr>
        <w:t xml:space="preserve">maximum charge </w:t>
      </w:r>
      <w:r w:rsidR="000806F6">
        <w:rPr>
          <w:sz w:val="22"/>
          <w:szCs w:val="22"/>
        </w:rPr>
        <w:t xml:space="preserve">information </w:t>
      </w:r>
      <w:r w:rsidR="00202A16">
        <w:rPr>
          <w:sz w:val="22"/>
          <w:szCs w:val="22"/>
        </w:rPr>
        <w:t xml:space="preserve">and information about discontinuing the supply of IMR services </w:t>
      </w:r>
      <w:r w:rsidR="000806F6">
        <w:rPr>
          <w:sz w:val="22"/>
          <w:szCs w:val="22"/>
        </w:rPr>
        <w:t>to their customers on arrival overseas</w:t>
      </w:r>
      <w:r w:rsidR="00865891">
        <w:rPr>
          <w:sz w:val="22"/>
          <w:szCs w:val="22"/>
        </w:rPr>
        <w:t xml:space="preserve">, </w:t>
      </w:r>
      <w:r>
        <w:rPr>
          <w:sz w:val="22"/>
          <w:szCs w:val="22"/>
        </w:rPr>
        <w:t>or whether to provide detailed information about IMR services to the customer immediately prior to agreeing to provide an IMR service to the customer</w:t>
      </w:r>
      <w:r w:rsidR="000806F6">
        <w:rPr>
          <w:sz w:val="22"/>
          <w:szCs w:val="22"/>
        </w:rPr>
        <w:t>.</w:t>
      </w:r>
      <w:r w:rsidR="00F321BB">
        <w:rPr>
          <w:sz w:val="22"/>
          <w:szCs w:val="22"/>
        </w:rPr>
        <w:t xml:space="preserve">  However, from 23 May</w:t>
      </w:r>
      <w:r w:rsidR="008E7947">
        <w:rPr>
          <w:sz w:val="22"/>
          <w:szCs w:val="22"/>
        </w:rPr>
        <w:t xml:space="preserve"> 2016, all MVNOs will be required to offer pric</w:t>
      </w:r>
      <w:r w:rsidR="00173FCE">
        <w:rPr>
          <w:sz w:val="22"/>
          <w:szCs w:val="22"/>
        </w:rPr>
        <w:t xml:space="preserve">ing information </w:t>
      </w:r>
      <w:r w:rsidR="00F87CF6">
        <w:rPr>
          <w:sz w:val="22"/>
          <w:szCs w:val="22"/>
        </w:rPr>
        <w:t xml:space="preserve">and information about discontinuing the supply of IMR services </w:t>
      </w:r>
      <w:r w:rsidR="00173FCE">
        <w:rPr>
          <w:sz w:val="22"/>
          <w:szCs w:val="22"/>
        </w:rPr>
        <w:t>to their customers on arrival overseas.</w:t>
      </w:r>
      <w:r w:rsidR="000806F6">
        <w:rPr>
          <w:sz w:val="22"/>
          <w:szCs w:val="22"/>
        </w:rPr>
        <w:t xml:space="preserve"> </w:t>
      </w:r>
    </w:p>
    <w:p w:rsidR="007C63B2" w:rsidRDefault="007C63B2" w:rsidP="00F97A74">
      <w:pPr>
        <w:pStyle w:val="ACMABodyText"/>
        <w:spacing w:before="0" w:after="0" w:line="360" w:lineRule="auto"/>
        <w:rPr>
          <w:sz w:val="22"/>
          <w:szCs w:val="22"/>
        </w:rPr>
      </w:pPr>
    </w:p>
    <w:p w:rsidR="00B07454" w:rsidRDefault="005D61CA" w:rsidP="00F97A74">
      <w:pPr>
        <w:pStyle w:val="ACMABodyText"/>
        <w:spacing w:before="0" w:after="0" w:line="360" w:lineRule="auto"/>
        <w:rPr>
          <w:sz w:val="22"/>
          <w:szCs w:val="22"/>
        </w:rPr>
      </w:pPr>
      <w:r w:rsidRPr="00894395">
        <w:rPr>
          <w:sz w:val="22"/>
          <w:szCs w:val="22"/>
        </w:rPr>
        <w:t>Th</w:t>
      </w:r>
      <w:r w:rsidR="00173FCE">
        <w:rPr>
          <w:sz w:val="22"/>
          <w:szCs w:val="22"/>
        </w:rPr>
        <w:t>e tran</w:t>
      </w:r>
      <w:r w:rsidR="00BF69AC">
        <w:rPr>
          <w:sz w:val="22"/>
          <w:szCs w:val="22"/>
        </w:rPr>
        <w:t>s</w:t>
      </w:r>
      <w:r w:rsidR="00173FCE">
        <w:rPr>
          <w:sz w:val="22"/>
          <w:szCs w:val="22"/>
        </w:rPr>
        <w:t>itional a</w:t>
      </w:r>
      <w:r w:rsidR="00664109">
        <w:rPr>
          <w:sz w:val="22"/>
          <w:szCs w:val="22"/>
        </w:rPr>
        <w:t>rra</w:t>
      </w:r>
      <w:r w:rsidR="000C305D">
        <w:rPr>
          <w:sz w:val="22"/>
          <w:szCs w:val="22"/>
        </w:rPr>
        <w:t>n</w:t>
      </w:r>
      <w:r w:rsidR="00F321BB">
        <w:rPr>
          <w:sz w:val="22"/>
          <w:szCs w:val="22"/>
        </w:rPr>
        <w:t>gement in place prior to 23 May</w:t>
      </w:r>
      <w:r w:rsidR="00664109">
        <w:rPr>
          <w:sz w:val="22"/>
          <w:szCs w:val="22"/>
        </w:rPr>
        <w:t xml:space="preserve"> 2016</w:t>
      </w:r>
      <w:r w:rsidR="00A54CAC">
        <w:rPr>
          <w:sz w:val="22"/>
          <w:szCs w:val="22"/>
        </w:rPr>
        <w:t xml:space="preserve"> </w:t>
      </w:r>
      <w:r w:rsidR="00BB4063">
        <w:rPr>
          <w:sz w:val="22"/>
          <w:szCs w:val="22"/>
        </w:rPr>
        <w:t>recognise</w:t>
      </w:r>
      <w:r w:rsidR="001B67E3">
        <w:rPr>
          <w:sz w:val="22"/>
          <w:szCs w:val="22"/>
        </w:rPr>
        <w:t>s</w:t>
      </w:r>
      <w:r w:rsidR="00BB4063">
        <w:rPr>
          <w:sz w:val="22"/>
          <w:szCs w:val="22"/>
        </w:rPr>
        <w:t xml:space="preserve"> that the development of systems </w:t>
      </w:r>
      <w:r w:rsidR="00664109">
        <w:rPr>
          <w:sz w:val="22"/>
          <w:szCs w:val="22"/>
        </w:rPr>
        <w:t xml:space="preserve">by </w:t>
      </w:r>
      <w:r w:rsidR="00BB4063">
        <w:rPr>
          <w:sz w:val="22"/>
          <w:szCs w:val="22"/>
        </w:rPr>
        <w:t xml:space="preserve">MVNOs </w:t>
      </w:r>
      <w:r w:rsidR="00664109">
        <w:rPr>
          <w:sz w:val="22"/>
          <w:szCs w:val="22"/>
        </w:rPr>
        <w:t xml:space="preserve">that would facilitate the giving of pricing information </w:t>
      </w:r>
      <w:r w:rsidR="00A54CAC">
        <w:rPr>
          <w:sz w:val="22"/>
          <w:szCs w:val="22"/>
        </w:rPr>
        <w:t xml:space="preserve">and information about how to decline the further supply of IMR services </w:t>
      </w:r>
      <w:r w:rsidR="00664109">
        <w:rPr>
          <w:sz w:val="22"/>
          <w:szCs w:val="22"/>
        </w:rPr>
        <w:t xml:space="preserve">to their customers </w:t>
      </w:r>
      <w:r w:rsidR="00AC40BA" w:rsidRPr="00AC40BA">
        <w:rPr>
          <w:sz w:val="22"/>
          <w:szCs w:val="22"/>
          <w:u w:val="single"/>
        </w:rPr>
        <w:t>on arrival</w:t>
      </w:r>
      <w:r w:rsidR="00664109">
        <w:rPr>
          <w:sz w:val="22"/>
          <w:szCs w:val="22"/>
        </w:rPr>
        <w:t xml:space="preserve"> overseas </w:t>
      </w:r>
      <w:r w:rsidR="000806F6">
        <w:rPr>
          <w:sz w:val="22"/>
          <w:szCs w:val="22"/>
        </w:rPr>
        <w:t>may</w:t>
      </w:r>
      <w:r w:rsidR="00892094">
        <w:rPr>
          <w:sz w:val="22"/>
          <w:szCs w:val="22"/>
        </w:rPr>
        <w:t xml:space="preserve"> be a lengthy and complex </w:t>
      </w:r>
      <w:r w:rsidR="00865891">
        <w:rPr>
          <w:sz w:val="22"/>
          <w:szCs w:val="22"/>
        </w:rPr>
        <w:t>undertaking</w:t>
      </w:r>
      <w:r w:rsidR="00892094">
        <w:rPr>
          <w:sz w:val="22"/>
          <w:szCs w:val="22"/>
        </w:rPr>
        <w:t xml:space="preserve">. </w:t>
      </w:r>
      <w:r w:rsidR="001B67E3">
        <w:rPr>
          <w:sz w:val="22"/>
          <w:szCs w:val="22"/>
        </w:rPr>
        <w:t>The aim is t</w:t>
      </w:r>
      <w:r w:rsidR="00892094">
        <w:rPr>
          <w:sz w:val="22"/>
          <w:szCs w:val="22"/>
        </w:rPr>
        <w:t xml:space="preserve">o </w:t>
      </w:r>
      <w:r w:rsidR="00892094" w:rsidRPr="001B2DC5">
        <w:rPr>
          <w:sz w:val="22"/>
          <w:szCs w:val="22"/>
        </w:rPr>
        <w:t>ensure</w:t>
      </w:r>
      <w:r w:rsidR="001B2DC5" w:rsidRPr="001B2DC5">
        <w:rPr>
          <w:sz w:val="22"/>
          <w:szCs w:val="22"/>
        </w:rPr>
        <w:t>, during this transition phase,</w:t>
      </w:r>
      <w:r w:rsidR="00892094" w:rsidRPr="001B2DC5">
        <w:rPr>
          <w:sz w:val="22"/>
          <w:szCs w:val="22"/>
        </w:rPr>
        <w:t xml:space="preserve"> customers </w:t>
      </w:r>
      <w:r w:rsidR="001B2DC5" w:rsidRPr="001B2DC5">
        <w:rPr>
          <w:sz w:val="22"/>
          <w:szCs w:val="22"/>
        </w:rPr>
        <w:t>at least</w:t>
      </w:r>
      <w:r w:rsidR="001B2DC5">
        <w:rPr>
          <w:sz w:val="22"/>
          <w:szCs w:val="22"/>
        </w:rPr>
        <w:t xml:space="preserve"> </w:t>
      </w:r>
      <w:r w:rsidR="00892094">
        <w:rPr>
          <w:sz w:val="22"/>
          <w:szCs w:val="22"/>
        </w:rPr>
        <w:t xml:space="preserve">receive </w:t>
      </w:r>
      <w:r w:rsidR="00A54CAC">
        <w:rPr>
          <w:sz w:val="22"/>
          <w:szCs w:val="22"/>
        </w:rPr>
        <w:t xml:space="preserve">relevant </w:t>
      </w:r>
      <w:r w:rsidR="00391F04">
        <w:rPr>
          <w:sz w:val="22"/>
          <w:szCs w:val="22"/>
        </w:rPr>
        <w:t xml:space="preserve">information at the point </w:t>
      </w:r>
      <w:r w:rsidR="0069513B">
        <w:rPr>
          <w:sz w:val="22"/>
          <w:szCs w:val="22"/>
        </w:rPr>
        <w:t xml:space="preserve">they </w:t>
      </w:r>
      <w:r w:rsidR="00C84C50">
        <w:rPr>
          <w:sz w:val="22"/>
          <w:szCs w:val="22"/>
        </w:rPr>
        <w:t>enable</w:t>
      </w:r>
      <w:r w:rsidR="00D573C1">
        <w:rPr>
          <w:sz w:val="22"/>
          <w:szCs w:val="22"/>
        </w:rPr>
        <w:t xml:space="preserve"> IMR</w:t>
      </w:r>
      <w:r w:rsidR="0069513B">
        <w:rPr>
          <w:sz w:val="22"/>
          <w:szCs w:val="22"/>
        </w:rPr>
        <w:t xml:space="preserve"> functionality with their mobile service provider</w:t>
      </w:r>
      <w:r w:rsidR="00391F04">
        <w:rPr>
          <w:sz w:val="22"/>
          <w:szCs w:val="22"/>
        </w:rPr>
        <w:t xml:space="preserve">, </w:t>
      </w:r>
      <w:r w:rsidR="001B67E3">
        <w:rPr>
          <w:sz w:val="22"/>
          <w:szCs w:val="22"/>
        </w:rPr>
        <w:t xml:space="preserve">prior to </w:t>
      </w:r>
      <w:r w:rsidR="00892094">
        <w:rPr>
          <w:sz w:val="22"/>
          <w:szCs w:val="22"/>
        </w:rPr>
        <w:t>the development of</w:t>
      </w:r>
      <w:r w:rsidR="00D573C1">
        <w:rPr>
          <w:sz w:val="22"/>
          <w:szCs w:val="22"/>
        </w:rPr>
        <w:t xml:space="preserve"> inter-CSP communications and/or</w:t>
      </w:r>
      <w:r w:rsidR="00892094">
        <w:rPr>
          <w:sz w:val="22"/>
          <w:szCs w:val="22"/>
        </w:rPr>
        <w:t xml:space="preserve"> </w:t>
      </w:r>
      <w:r w:rsidR="00D573C1">
        <w:rPr>
          <w:sz w:val="22"/>
          <w:szCs w:val="22"/>
        </w:rPr>
        <w:t xml:space="preserve">SMS </w:t>
      </w:r>
      <w:r w:rsidR="00892094">
        <w:rPr>
          <w:sz w:val="22"/>
          <w:szCs w:val="22"/>
        </w:rPr>
        <w:t>notification systems</w:t>
      </w:r>
      <w:r w:rsidR="001B67E3">
        <w:rPr>
          <w:sz w:val="22"/>
          <w:szCs w:val="22"/>
        </w:rPr>
        <w:t xml:space="preserve"> by MVNOs. Th</w:t>
      </w:r>
      <w:r w:rsidR="00BF69AC">
        <w:rPr>
          <w:sz w:val="22"/>
          <w:szCs w:val="22"/>
        </w:rPr>
        <w:t>e transitional a</w:t>
      </w:r>
      <w:r w:rsidR="00664109">
        <w:rPr>
          <w:sz w:val="22"/>
          <w:szCs w:val="22"/>
        </w:rPr>
        <w:t xml:space="preserve">rrangement </w:t>
      </w:r>
      <w:r w:rsidR="001B67E3">
        <w:rPr>
          <w:sz w:val="22"/>
          <w:szCs w:val="22"/>
        </w:rPr>
        <w:t>does not prevent MVNOs f</w:t>
      </w:r>
      <w:r w:rsidR="000C12D0">
        <w:rPr>
          <w:sz w:val="22"/>
          <w:szCs w:val="22"/>
        </w:rPr>
        <w:t>rom</w:t>
      </w:r>
      <w:r w:rsidR="001B67E3">
        <w:rPr>
          <w:sz w:val="22"/>
          <w:szCs w:val="22"/>
        </w:rPr>
        <w:t xml:space="preserve"> developing and utilising their noti</w:t>
      </w:r>
      <w:r w:rsidR="000C305D">
        <w:rPr>
          <w:sz w:val="22"/>
          <w:szCs w:val="22"/>
        </w:rPr>
        <w:t>f</w:t>
      </w:r>
      <w:r w:rsidR="00F321BB">
        <w:rPr>
          <w:sz w:val="22"/>
          <w:szCs w:val="22"/>
        </w:rPr>
        <w:t>ication systems prior to 23 May</w:t>
      </w:r>
      <w:r w:rsidR="001B67E3">
        <w:rPr>
          <w:sz w:val="22"/>
          <w:szCs w:val="22"/>
        </w:rPr>
        <w:t xml:space="preserve"> 2016</w:t>
      </w:r>
      <w:r w:rsidR="0066509C">
        <w:rPr>
          <w:sz w:val="22"/>
          <w:szCs w:val="22"/>
        </w:rPr>
        <w:t>.</w:t>
      </w:r>
    </w:p>
    <w:p w:rsidR="00F97A74" w:rsidRDefault="00F97A74" w:rsidP="00F97A74">
      <w:pPr>
        <w:pStyle w:val="ACMABodyText"/>
        <w:spacing w:before="0" w:after="0" w:line="360" w:lineRule="auto"/>
        <w:rPr>
          <w:sz w:val="22"/>
          <w:szCs w:val="22"/>
        </w:rPr>
      </w:pPr>
    </w:p>
    <w:p w:rsidR="00B07454" w:rsidRDefault="00E87233" w:rsidP="00F97A74">
      <w:pPr>
        <w:pStyle w:val="ACMABodyText"/>
        <w:spacing w:before="0" w:after="0" w:line="360" w:lineRule="auto"/>
        <w:rPr>
          <w:sz w:val="22"/>
          <w:szCs w:val="22"/>
        </w:rPr>
      </w:pPr>
      <w:r>
        <w:rPr>
          <w:sz w:val="22"/>
          <w:szCs w:val="22"/>
        </w:rPr>
        <w:t xml:space="preserve">Subclause </w:t>
      </w:r>
      <w:r w:rsidR="0018673E">
        <w:rPr>
          <w:sz w:val="22"/>
          <w:szCs w:val="22"/>
        </w:rPr>
        <w:t>6(</w:t>
      </w:r>
      <w:r>
        <w:rPr>
          <w:sz w:val="22"/>
          <w:szCs w:val="22"/>
        </w:rPr>
        <w:t>2</w:t>
      </w:r>
      <w:r w:rsidR="0018673E">
        <w:rPr>
          <w:sz w:val="22"/>
          <w:szCs w:val="22"/>
        </w:rPr>
        <w:t>)</w:t>
      </w:r>
      <w:r>
        <w:rPr>
          <w:sz w:val="22"/>
          <w:szCs w:val="22"/>
        </w:rPr>
        <w:t xml:space="preserve"> provides a list of information to be supplied </w:t>
      </w:r>
      <w:r w:rsidR="008A3F14">
        <w:rPr>
          <w:sz w:val="22"/>
          <w:szCs w:val="22"/>
        </w:rPr>
        <w:t xml:space="preserve">to customers in the event of an MVNO </w:t>
      </w:r>
      <w:r w:rsidR="00664109">
        <w:rPr>
          <w:sz w:val="22"/>
          <w:szCs w:val="22"/>
        </w:rPr>
        <w:t xml:space="preserve">choosing not </w:t>
      </w:r>
      <w:r w:rsidR="00E073B1">
        <w:rPr>
          <w:sz w:val="22"/>
          <w:szCs w:val="22"/>
        </w:rPr>
        <w:t xml:space="preserve">to </w:t>
      </w:r>
      <w:r w:rsidR="00FB1A8C">
        <w:rPr>
          <w:sz w:val="22"/>
          <w:szCs w:val="22"/>
        </w:rPr>
        <w:t xml:space="preserve">supply </w:t>
      </w:r>
      <w:r w:rsidR="00664109">
        <w:rPr>
          <w:sz w:val="22"/>
          <w:szCs w:val="22"/>
        </w:rPr>
        <w:t>pricing information to their customers on arrival overseas during t</w:t>
      </w:r>
      <w:r w:rsidR="000C305D">
        <w:rPr>
          <w:sz w:val="22"/>
          <w:szCs w:val="22"/>
        </w:rPr>
        <w:t>h</w:t>
      </w:r>
      <w:r w:rsidR="00F321BB">
        <w:rPr>
          <w:sz w:val="22"/>
          <w:szCs w:val="22"/>
        </w:rPr>
        <w:t>e transitional period to 23 May</w:t>
      </w:r>
      <w:r w:rsidR="00664109">
        <w:rPr>
          <w:sz w:val="22"/>
          <w:szCs w:val="22"/>
        </w:rPr>
        <w:t xml:space="preserve"> 2016.  The information required to be provided</w:t>
      </w:r>
      <w:r w:rsidR="00FB1A8C">
        <w:rPr>
          <w:sz w:val="22"/>
          <w:szCs w:val="22"/>
        </w:rPr>
        <w:t xml:space="preserve"> includ</w:t>
      </w:r>
      <w:r w:rsidR="00664109">
        <w:rPr>
          <w:sz w:val="22"/>
          <w:szCs w:val="22"/>
        </w:rPr>
        <w:t>es</w:t>
      </w:r>
      <w:r w:rsidR="00FB1A8C">
        <w:rPr>
          <w:sz w:val="22"/>
          <w:szCs w:val="22"/>
        </w:rPr>
        <w:t xml:space="preserve"> a fact sheet prepared by the ACMA that will be available on the ACMA website</w:t>
      </w:r>
      <w:r w:rsidR="00097748">
        <w:rPr>
          <w:sz w:val="22"/>
          <w:szCs w:val="22"/>
        </w:rPr>
        <w:t xml:space="preserve"> (paragraph 6(2)(a)) </w:t>
      </w:r>
      <w:r w:rsidR="00097748">
        <w:t xml:space="preserve">and information about </w:t>
      </w:r>
      <w:r w:rsidR="00E66A2C">
        <w:t>how to decline the continued supply of IMR services while overseas (subparagraph 6(2)(b)(v)).</w:t>
      </w:r>
    </w:p>
    <w:p w:rsidR="00B07454" w:rsidRDefault="00B07454" w:rsidP="00F97A74">
      <w:pPr>
        <w:spacing w:line="360" w:lineRule="auto"/>
        <w:rPr>
          <w:rFonts w:ascii="Times New Roman" w:hAnsi="Times New Roman"/>
          <w:bCs/>
          <w:szCs w:val="22"/>
          <w:lang w:eastAsia="en-US"/>
        </w:rPr>
      </w:pPr>
    </w:p>
    <w:p w:rsidR="002D4806" w:rsidRDefault="00097748" w:rsidP="00F97A74">
      <w:pPr>
        <w:spacing w:line="360" w:lineRule="auto"/>
        <w:rPr>
          <w:rFonts w:ascii="Times New Roman" w:hAnsi="Times New Roman"/>
          <w:bCs/>
          <w:szCs w:val="22"/>
          <w:lang w:eastAsia="en-US"/>
        </w:rPr>
      </w:pPr>
      <w:r>
        <w:rPr>
          <w:rFonts w:ascii="Times New Roman" w:hAnsi="Times New Roman"/>
          <w:bCs/>
          <w:szCs w:val="22"/>
          <w:lang w:eastAsia="en-US"/>
        </w:rPr>
        <w:t xml:space="preserve">Paragraph </w:t>
      </w:r>
      <w:r w:rsidR="0018673E">
        <w:rPr>
          <w:rFonts w:ascii="Times New Roman" w:hAnsi="Times New Roman"/>
          <w:bCs/>
          <w:szCs w:val="22"/>
          <w:lang w:eastAsia="en-US"/>
        </w:rPr>
        <w:t>6(</w:t>
      </w:r>
      <w:r w:rsidR="00FB1A8C" w:rsidRPr="00FB1A8C">
        <w:rPr>
          <w:rFonts w:ascii="Times New Roman" w:hAnsi="Times New Roman"/>
          <w:bCs/>
          <w:szCs w:val="22"/>
          <w:lang w:eastAsia="en-US"/>
        </w:rPr>
        <w:t>3</w:t>
      </w:r>
      <w:r w:rsidR="0018673E">
        <w:rPr>
          <w:rFonts w:ascii="Times New Roman" w:hAnsi="Times New Roman"/>
          <w:bCs/>
          <w:szCs w:val="22"/>
          <w:lang w:eastAsia="en-US"/>
        </w:rPr>
        <w:t>)</w:t>
      </w:r>
      <w:r>
        <w:rPr>
          <w:rFonts w:ascii="Times New Roman" w:hAnsi="Times New Roman"/>
          <w:bCs/>
          <w:szCs w:val="22"/>
          <w:lang w:eastAsia="en-US"/>
        </w:rPr>
        <w:t>(a)</w:t>
      </w:r>
      <w:r w:rsidR="00FB1A8C" w:rsidRPr="00FB1A8C">
        <w:rPr>
          <w:rFonts w:ascii="Times New Roman" w:hAnsi="Times New Roman"/>
          <w:bCs/>
          <w:szCs w:val="22"/>
          <w:lang w:eastAsia="en-US"/>
        </w:rPr>
        <w:t xml:space="preserve"> </w:t>
      </w:r>
      <w:r w:rsidR="00664109">
        <w:rPr>
          <w:rFonts w:ascii="Times New Roman" w:hAnsi="Times New Roman"/>
          <w:bCs/>
          <w:szCs w:val="22"/>
          <w:lang w:eastAsia="en-US"/>
        </w:rPr>
        <w:t>sets out</w:t>
      </w:r>
      <w:r w:rsidR="0018673E">
        <w:rPr>
          <w:rFonts w:ascii="Times New Roman" w:hAnsi="Times New Roman"/>
          <w:bCs/>
          <w:szCs w:val="22"/>
          <w:lang w:eastAsia="en-US"/>
        </w:rPr>
        <w:t xml:space="preserve"> </w:t>
      </w:r>
      <w:r w:rsidR="002477FC" w:rsidRPr="002477FC">
        <w:rPr>
          <w:rFonts w:ascii="Times New Roman" w:hAnsi="Times New Roman"/>
          <w:bCs/>
          <w:szCs w:val="22"/>
          <w:lang w:eastAsia="en-US"/>
        </w:rPr>
        <w:t xml:space="preserve">the </w:t>
      </w:r>
      <w:r w:rsidR="00F87CF6">
        <w:rPr>
          <w:rFonts w:ascii="Times New Roman" w:hAnsi="Times New Roman"/>
          <w:szCs w:val="22"/>
        </w:rPr>
        <w:t>maximum charge</w:t>
      </w:r>
      <w:r w:rsidR="002477FC" w:rsidRPr="002477FC">
        <w:rPr>
          <w:rFonts w:ascii="Times New Roman" w:hAnsi="Times New Roman"/>
          <w:szCs w:val="22"/>
        </w:rPr>
        <w:t xml:space="preserve"> information </w:t>
      </w:r>
      <w:r w:rsidR="002477FC">
        <w:rPr>
          <w:rFonts w:ascii="Times New Roman" w:hAnsi="Times New Roman"/>
          <w:szCs w:val="22"/>
        </w:rPr>
        <w:t xml:space="preserve">that MVNOs must give to their </w:t>
      </w:r>
      <w:r w:rsidR="002477FC" w:rsidRPr="002477FC">
        <w:rPr>
          <w:rFonts w:ascii="Times New Roman" w:hAnsi="Times New Roman"/>
          <w:szCs w:val="22"/>
        </w:rPr>
        <w:t>customers on arrival overseas</w:t>
      </w:r>
      <w:r w:rsidR="002477FC">
        <w:rPr>
          <w:rFonts w:ascii="Times New Roman" w:hAnsi="Times New Roman"/>
          <w:szCs w:val="22"/>
        </w:rPr>
        <w:t xml:space="preserve"> </w:t>
      </w:r>
      <w:r w:rsidR="00F321BB">
        <w:rPr>
          <w:rFonts w:ascii="Times New Roman" w:hAnsi="Times New Roman"/>
          <w:szCs w:val="22"/>
        </w:rPr>
        <w:t>from 23 May</w:t>
      </w:r>
      <w:r w:rsidR="007A7AC3">
        <w:rPr>
          <w:rFonts w:ascii="Times New Roman" w:hAnsi="Times New Roman"/>
          <w:szCs w:val="22"/>
        </w:rPr>
        <w:t xml:space="preserve"> 2016</w:t>
      </w:r>
      <w:r w:rsidR="0097368E">
        <w:rPr>
          <w:rFonts w:ascii="Times New Roman" w:hAnsi="Times New Roman"/>
          <w:szCs w:val="22"/>
        </w:rPr>
        <w:t xml:space="preserve"> (</w:t>
      </w:r>
      <w:r w:rsidR="007A7AC3">
        <w:rPr>
          <w:rFonts w:ascii="Times New Roman" w:hAnsi="Times New Roman"/>
          <w:szCs w:val="22"/>
        </w:rPr>
        <w:t>or prior</w:t>
      </w:r>
      <w:r w:rsidR="0097368E">
        <w:rPr>
          <w:rFonts w:ascii="Times New Roman" w:hAnsi="Times New Roman"/>
          <w:szCs w:val="22"/>
        </w:rPr>
        <w:t xml:space="preserve"> to that date </w:t>
      </w:r>
      <w:r w:rsidR="007A7AC3">
        <w:rPr>
          <w:rFonts w:ascii="Times New Roman" w:hAnsi="Times New Roman"/>
          <w:szCs w:val="22"/>
        </w:rPr>
        <w:t xml:space="preserve"> if </w:t>
      </w:r>
      <w:r w:rsidR="002477FC">
        <w:rPr>
          <w:rFonts w:ascii="Times New Roman" w:hAnsi="Times New Roman"/>
          <w:szCs w:val="22"/>
        </w:rPr>
        <w:t xml:space="preserve">the MVNO </w:t>
      </w:r>
      <w:r w:rsidR="007A7AC3" w:rsidRPr="001B2DC5">
        <w:rPr>
          <w:rFonts w:ascii="Times New Roman" w:hAnsi="Times New Roman"/>
          <w:szCs w:val="22"/>
        </w:rPr>
        <w:t>chooses</w:t>
      </w:r>
      <w:r w:rsidR="001B2DC5" w:rsidRPr="001B2DC5">
        <w:rPr>
          <w:rFonts w:ascii="Times New Roman" w:hAnsi="Times New Roman"/>
          <w:szCs w:val="22"/>
        </w:rPr>
        <w:t xml:space="preserve"> to do so to comply with  paragraph 6(1)(a)</w:t>
      </w:r>
      <w:r w:rsidR="0097368E" w:rsidRPr="001B2DC5">
        <w:rPr>
          <w:rFonts w:ascii="Times New Roman" w:hAnsi="Times New Roman"/>
          <w:szCs w:val="22"/>
        </w:rPr>
        <w:t>)</w:t>
      </w:r>
      <w:r w:rsidR="0018673E" w:rsidRPr="001B2DC5">
        <w:rPr>
          <w:rFonts w:ascii="Times New Roman" w:hAnsi="Times New Roman"/>
          <w:bCs/>
          <w:szCs w:val="22"/>
          <w:lang w:eastAsia="en-US"/>
        </w:rPr>
        <w:t>.</w:t>
      </w:r>
      <w:r w:rsidR="0066509C" w:rsidRPr="001B2DC5">
        <w:rPr>
          <w:rFonts w:ascii="Times New Roman" w:hAnsi="Times New Roman"/>
          <w:bCs/>
          <w:szCs w:val="22"/>
          <w:lang w:eastAsia="en-US"/>
        </w:rPr>
        <w:t xml:space="preserve"> </w:t>
      </w:r>
      <w:r w:rsidRPr="001B2DC5">
        <w:rPr>
          <w:rFonts w:ascii="Times New Roman" w:hAnsi="Times New Roman"/>
          <w:bCs/>
          <w:szCs w:val="22"/>
          <w:lang w:eastAsia="en-US"/>
        </w:rPr>
        <w:t xml:space="preserve"> Paragraph 6(3)(b)</w:t>
      </w:r>
      <w:r w:rsidRPr="001B2DC5">
        <w:rPr>
          <w:rFonts w:ascii="Times New Roman" w:hAnsi="Times New Roman"/>
        </w:rPr>
        <w:t xml:space="preserve"> </w:t>
      </w:r>
      <w:r w:rsidR="0097368E" w:rsidRPr="001B2DC5">
        <w:rPr>
          <w:rFonts w:ascii="Times New Roman" w:hAnsi="Times New Roman"/>
        </w:rPr>
        <w:t>provides</w:t>
      </w:r>
      <w:r w:rsidRPr="001B2DC5">
        <w:rPr>
          <w:rFonts w:ascii="Times New Roman" w:hAnsi="Times New Roman"/>
        </w:rPr>
        <w:t xml:space="preserve"> that customers receiving a notif</w:t>
      </w:r>
      <w:r>
        <w:rPr>
          <w:rFonts w:ascii="Times New Roman" w:hAnsi="Times New Roman"/>
        </w:rPr>
        <w:t xml:space="preserve">ication under paragraph 6(3)(a) must also be given information about how the customer may decline the continued supply of IMR services while overseas. </w:t>
      </w:r>
      <w:r>
        <w:rPr>
          <w:rFonts w:ascii="Times New Roman" w:hAnsi="Times New Roman"/>
          <w:bCs/>
          <w:szCs w:val="22"/>
          <w:lang w:eastAsia="en-US"/>
        </w:rPr>
        <w:t xml:space="preserve"> </w:t>
      </w:r>
      <w:r w:rsidR="002477FC">
        <w:rPr>
          <w:rFonts w:ascii="Times New Roman" w:hAnsi="Times New Roman"/>
          <w:bCs/>
          <w:szCs w:val="22"/>
          <w:lang w:eastAsia="en-US"/>
        </w:rPr>
        <w:t xml:space="preserve">The information required to be </w:t>
      </w:r>
      <w:r>
        <w:rPr>
          <w:rFonts w:ascii="Times New Roman" w:hAnsi="Times New Roman"/>
          <w:bCs/>
          <w:szCs w:val="22"/>
          <w:lang w:eastAsia="en-US"/>
        </w:rPr>
        <w:t>given (via SMS message)</w:t>
      </w:r>
      <w:r w:rsidR="002477FC">
        <w:rPr>
          <w:rFonts w:ascii="Times New Roman" w:hAnsi="Times New Roman"/>
          <w:bCs/>
          <w:szCs w:val="22"/>
          <w:lang w:eastAsia="en-US"/>
        </w:rPr>
        <w:t xml:space="preserve"> is the same as </w:t>
      </w:r>
      <w:r w:rsidR="007E31EE">
        <w:rPr>
          <w:rFonts w:ascii="Times New Roman" w:hAnsi="Times New Roman"/>
          <w:bCs/>
          <w:szCs w:val="22"/>
          <w:lang w:eastAsia="en-US"/>
        </w:rPr>
        <w:t xml:space="preserve">the information that </w:t>
      </w:r>
      <w:r w:rsidR="002477FC">
        <w:rPr>
          <w:rFonts w:ascii="Times New Roman" w:hAnsi="Times New Roman"/>
          <w:bCs/>
          <w:szCs w:val="22"/>
          <w:lang w:eastAsia="en-US"/>
        </w:rPr>
        <w:t>MNOs must provide to their customers under paragraphs 5(1)(b) and 5(1)(c)</w:t>
      </w:r>
      <w:r w:rsidR="007A7AC3">
        <w:rPr>
          <w:rFonts w:ascii="Times New Roman" w:hAnsi="Times New Roman"/>
          <w:bCs/>
          <w:szCs w:val="22"/>
          <w:lang w:eastAsia="en-US"/>
        </w:rPr>
        <w:t xml:space="preserve">, and must be provided within 10 minutes of the receipt </w:t>
      </w:r>
      <w:r w:rsidR="00EF6DEF">
        <w:rPr>
          <w:rFonts w:ascii="Times New Roman" w:hAnsi="Times New Roman"/>
          <w:bCs/>
          <w:szCs w:val="22"/>
          <w:lang w:eastAsia="en-US"/>
        </w:rPr>
        <w:t xml:space="preserve">by the MVNO of information </w:t>
      </w:r>
      <w:r w:rsidR="002C05B4">
        <w:rPr>
          <w:rFonts w:ascii="Times New Roman" w:hAnsi="Times New Roman"/>
          <w:bCs/>
          <w:szCs w:val="22"/>
          <w:lang w:eastAsia="en-US"/>
        </w:rPr>
        <w:t xml:space="preserve">from a MNO </w:t>
      </w:r>
      <w:r w:rsidR="0097368E">
        <w:rPr>
          <w:rFonts w:ascii="Times New Roman" w:hAnsi="Times New Roman"/>
          <w:bCs/>
          <w:szCs w:val="22"/>
          <w:lang w:eastAsia="en-US"/>
        </w:rPr>
        <w:t xml:space="preserve">or another MVNO </w:t>
      </w:r>
      <w:r w:rsidR="00EF6DEF">
        <w:rPr>
          <w:rFonts w:ascii="Times New Roman" w:hAnsi="Times New Roman"/>
          <w:bCs/>
          <w:szCs w:val="22"/>
          <w:lang w:eastAsia="en-US"/>
        </w:rPr>
        <w:t>about</w:t>
      </w:r>
      <w:r w:rsidR="007A7AC3">
        <w:rPr>
          <w:rFonts w:ascii="Times New Roman" w:hAnsi="Times New Roman"/>
          <w:bCs/>
          <w:szCs w:val="22"/>
          <w:lang w:eastAsia="en-US"/>
        </w:rPr>
        <w:t xml:space="preserve"> the customer’s </w:t>
      </w:r>
      <w:r w:rsidR="00CE164A">
        <w:rPr>
          <w:rFonts w:ascii="Times New Roman" w:hAnsi="Times New Roman"/>
          <w:bCs/>
          <w:szCs w:val="22"/>
          <w:lang w:eastAsia="en-US"/>
        </w:rPr>
        <w:t xml:space="preserve">activation of IMR services in an </w:t>
      </w:r>
      <w:r w:rsidR="007A7AC3">
        <w:rPr>
          <w:rFonts w:ascii="Times New Roman" w:hAnsi="Times New Roman"/>
          <w:bCs/>
          <w:szCs w:val="22"/>
          <w:lang w:eastAsia="en-US"/>
        </w:rPr>
        <w:t>overseas country</w:t>
      </w:r>
      <w:r w:rsidR="0066509C">
        <w:rPr>
          <w:rFonts w:ascii="Times New Roman" w:hAnsi="Times New Roman"/>
          <w:bCs/>
          <w:szCs w:val="22"/>
          <w:lang w:eastAsia="en-US"/>
        </w:rPr>
        <w:t>. An example notification is provided a</w:t>
      </w:r>
      <w:r w:rsidR="001B2DC5">
        <w:rPr>
          <w:rFonts w:ascii="Times New Roman" w:hAnsi="Times New Roman"/>
          <w:bCs/>
          <w:szCs w:val="22"/>
          <w:lang w:eastAsia="en-US"/>
        </w:rPr>
        <w:t>t</w:t>
      </w:r>
      <w:r w:rsidR="0066509C">
        <w:rPr>
          <w:rFonts w:ascii="Times New Roman" w:hAnsi="Times New Roman"/>
          <w:bCs/>
          <w:szCs w:val="22"/>
          <w:lang w:eastAsia="en-US"/>
        </w:rPr>
        <w:t xml:space="preserve"> </w:t>
      </w:r>
      <w:r w:rsidR="001B2DC5">
        <w:rPr>
          <w:rFonts w:ascii="Times New Roman" w:hAnsi="Times New Roman"/>
          <w:bCs/>
          <w:szCs w:val="22"/>
          <w:lang w:eastAsia="en-US"/>
        </w:rPr>
        <w:t>N</w:t>
      </w:r>
      <w:r w:rsidR="0066509C">
        <w:rPr>
          <w:rFonts w:ascii="Times New Roman" w:hAnsi="Times New Roman"/>
          <w:bCs/>
          <w:szCs w:val="22"/>
          <w:lang w:eastAsia="en-US"/>
        </w:rPr>
        <w:t xml:space="preserve">ote </w:t>
      </w:r>
      <w:r w:rsidR="001B2DC5">
        <w:rPr>
          <w:rFonts w:ascii="Times New Roman" w:hAnsi="Times New Roman"/>
          <w:bCs/>
          <w:szCs w:val="22"/>
          <w:lang w:eastAsia="en-US"/>
        </w:rPr>
        <w:t xml:space="preserve">2 </w:t>
      </w:r>
      <w:r w:rsidR="0097368E">
        <w:rPr>
          <w:rFonts w:ascii="Times New Roman" w:hAnsi="Times New Roman"/>
          <w:bCs/>
          <w:szCs w:val="22"/>
          <w:lang w:eastAsia="en-US"/>
        </w:rPr>
        <w:t xml:space="preserve">after </w:t>
      </w:r>
      <w:r w:rsidR="0066509C">
        <w:rPr>
          <w:rFonts w:ascii="Times New Roman" w:hAnsi="Times New Roman"/>
          <w:bCs/>
          <w:szCs w:val="22"/>
          <w:lang w:eastAsia="en-US"/>
        </w:rPr>
        <w:t xml:space="preserve">clause </w:t>
      </w:r>
      <w:r w:rsidR="0018673E">
        <w:rPr>
          <w:rFonts w:ascii="Times New Roman" w:hAnsi="Times New Roman"/>
          <w:bCs/>
          <w:szCs w:val="22"/>
          <w:lang w:eastAsia="en-US"/>
        </w:rPr>
        <w:t>6</w:t>
      </w:r>
      <w:r w:rsidR="0066509C">
        <w:rPr>
          <w:rFonts w:ascii="Times New Roman" w:hAnsi="Times New Roman"/>
          <w:bCs/>
          <w:szCs w:val="22"/>
          <w:lang w:eastAsia="en-US"/>
        </w:rPr>
        <w:t xml:space="preserve">. </w:t>
      </w:r>
    </w:p>
    <w:p w:rsidR="00B07454" w:rsidRDefault="00B07454" w:rsidP="00F97A74">
      <w:pPr>
        <w:spacing w:line="360" w:lineRule="auto"/>
        <w:rPr>
          <w:rFonts w:ascii="Times New Roman" w:hAnsi="Times New Roman"/>
          <w:bCs/>
          <w:szCs w:val="22"/>
          <w:lang w:eastAsia="en-US"/>
        </w:rPr>
      </w:pPr>
    </w:p>
    <w:p w:rsidR="006D22E1" w:rsidRDefault="004E1D50" w:rsidP="00F97A74">
      <w:pPr>
        <w:spacing w:line="360" w:lineRule="auto"/>
        <w:rPr>
          <w:rFonts w:ascii="Times New Roman" w:hAnsi="Times New Roman"/>
          <w:szCs w:val="22"/>
        </w:rPr>
      </w:pPr>
      <w:r>
        <w:rPr>
          <w:rFonts w:ascii="Times New Roman" w:hAnsi="Times New Roman"/>
          <w:szCs w:val="22"/>
        </w:rPr>
        <w:t>Subclause 6(4) replicate</w:t>
      </w:r>
      <w:r w:rsidR="00F07781">
        <w:rPr>
          <w:rFonts w:ascii="Times New Roman" w:hAnsi="Times New Roman"/>
          <w:szCs w:val="22"/>
        </w:rPr>
        <w:t>s</w:t>
      </w:r>
      <w:r>
        <w:rPr>
          <w:rFonts w:ascii="Times New Roman" w:hAnsi="Times New Roman"/>
          <w:szCs w:val="22"/>
        </w:rPr>
        <w:t xml:space="preserve"> </w:t>
      </w:r>
      <w:r w:rsidR="00E66A2C">
        <w:rPr>
          <w:rFonts w:ascii="Times New Roman" w:hAnsi="Times New Roman"/>
          <w:szCs w:val="22"/>
        </w:rPr>
        <w:t xml:space="preserve">for MVNOs </w:t>
      </w:r>
      <w:r>
        <w:rPr>
          <w:rFonts w:ascii="Times New Roman" w:hAnsi="Times New Roman"/>
          <w:szCs w:val="22"/>
        </w:rPr>
        <w:t xml:space="preserve">the </w:t>
      </w:r>
      <w:r w:rsidR="001B2DC5">
        <w:rPr>
          <w:rFonts w:ascii="Times New Roman" w:hAnsi="Times New Roman"/>
          <w:szCs w:val="22"/>
        </w:rPr>
        <w:t>prohibition</w:t>
      </w:r>
      <w:r>
        <w:rPr>
          <w:rFonts w:ascii="Times New Roman" w:hAnsi="Times New Roman"/>
          <w:szCs w:val="22"/>
        </w:rPr>
        <w:t xml:space="preserve"> placed upon MNOs in subclause 5(6). </w:t>
      </w:r>
      <w:r w:rsidR="009677C6">
        <w:rPr>
          <w:rFonts w:ascii="Times New Roman" w:hAnsi="Times New Roman"/>
          <w:szCs w:val="22"/>
        </w:rPr>
        <w:t>Th</w:t>
      </w:r>
      <w:r w:rsidR="00F07781">
        <w:rPr>
          <w:rFonts w:ascii="Times New Roman" w:hAnsi="Times New Roman"/>
          <w:szCs w:val="22"/>
        </w:rPr>
        <w:t xml:space="preserve">e requirement at subclause 6(4) </w:t>
      </w:r>
      <w:r w:rsidR="009677C6">
        <w:rPr>
          <w:rFonts w:ascii="Times New Roman" w:hAnsi="Times New Roman"/>
          <w:szCs w:val="22"/>
        </w:rPr>
        <w:t xml:space="preserve">is </w:t>
      </w:r>
      <w:r w:rsidR="00F07781">
        <w:rPr>
          <w:rFonts w:ascii="Times New Roman" w:hAnsi="Times New Roman"/>
          <w:szCs w:val="22"/>
        </w:rPr>
        <w:t xml:space="preserve">included to </w:t>
      </w:r>
      <w:r w:rsidR="009677C6">
        <w:rPr>
          <w:rFonts w:ascii="Times New Roman" w:hAnsi="Times New Roman"/>
          <w:szCs w:val="22"/>
        </w:rPr>
        <w:t xml:space="preserve">ensure that </w:t>
      </w:r>
      <w:r w:rsidR="00E66A2C">
        <w:rPr>
          <w:rFonts w:ascii="Times New Roman" w:hAnsi="Times New Roman"/>
          <w:szCs w:val="22"/>
        </w:rPr>
        <w:t xml:space="preserve">customers are not charged by their CSP </w:t>
      </w:r>
      <w:r w:rsidR="00164F37">
        <w:rPr>
          <w:rFonts w:ascii="Times New Roman" w:hAnsi="Times New Roman"/>
          <w:szCs w:val="22"/>
        </w:rPr>
        <w:t>in relation to an</w:t>
      </w:r>
      <w:r w:rsidR="00E66A2C">
        <w:rPr>
          <w:rFonts w:ascii="Times New Roman" w:hAnsi="Times New Roman"/>
          <w:szCs w:val="22"/>
        </w:rPr>
        <w:t xml:space="preserve"> SMS message that </w:t>
      </w:r>
      <w:r w:rsidR="00164F37">
        <w:rPr>
          <w:rFonts w:ascii="Times New Roman" w:hAnsi="Times New Roman"/>
          <w:szCs w:val="22"/>
        </w:rPr>
        <w:t>the CSP is required to give as a result of the Standard</w:t>
      </w:r>
      <w:r w:rsidR="00E66A2C">
        <w:rPr>
          <w:rFonts w:ascii="Times New Roman" w:hAnsi="Times New Roman"/>
          <w:szCs w:val="22"/>
        </w:rPr>
        <w:t xml:space="preserve"> </w:t>
      </w:r>
      <w:r w:rsidR="00164F37">
        <w:rPr>
          <w:rFonts w:ascii="Times New Roman" w:hAnsi="Times New Roman"/>
          <w:szCs w:val="22"/>
        </w:rPr>
        <w:t>(including in cases w</w:t>
      </w:r>
      <w:r w:rsidR="00F07781">
        <w:rPr>
          <w:rFonts w:ascii="Times New Roman" w:hAnsi="Times New Roman"/>
          <w:szCs w:val="22"/>
        </w:rPr>
        <w:t>h</w:t>
      </w:r>
      <w:r w:rsidR="00164F37">
        <w:rPr>
          <w:rFonts w:ascii="Times New Roman" w:hAnsi="Times New Roman"/>
          <w:szCs w:val="22"/>
        </w:rPr>
        <w:t>ere the CSP chooses to give an SMS notification unde</w:t>
      </w:r>
      <w:r w:rsidR="000C305D">
        <w:rPr>
          <w:rFonts w:ascii="Times New Roman" w:hAnsi="Times New Roman"/>
          <w:szCs w:val="22"/>
        </w:rPr>
        <w:t>r</w:t>
      </w:r>
      <w:r w:rsidR="00F321BB">
        <w:rPr>
          <w:rFonts w:ascii="Times New Roman" w:hAnsi="Times New Roman"/>
          <w:szCs w:val="22"/>
        </w:rPr>
        <w:t xml:space="preserve"> subclause 6(3) prior to 23 May</w:t>
      </w:r>
      <w:r w:rsidR="00164F37">
        <w:rPr>
          <w:rFonts w:ascii="Times New Roman" w:hAnsi="Times New Roman"/>
          <w:szCs w:val="22"/>
        </w:rPr>
        <w:t xml:space="preserve"> 2016</w:t>
      </w:r>
      <w:r w:rsidR="00F07781">
        <w:rPr>
          <w:rFonts w:ascii="Times New Roman" w:hAnsi="Times New Roman"/>
          <w:szCs w:val="22"/>
        </w:rPr>
        <w:t>)</w:t>
      </w:r>
      <w:r w:rsidR="009677C6">
        <w:rPr>
          <w:rFonts w:ascii="Times New Roman" w:hAnsi="Times New Roman"/>
          <w:szCs w:val="22"/>
        </w:rPr>
        <w:t xml:space="preserve">. </w:t>
      </w:r>
      <w:r w:rsidR="00F07781">
        <w:rPr>
          <w:rFonts w:ascii="Times New Roman" w:hAnsi="Times New Roman"/>
          <w:szCs w:val="22"/>
        </w:rPr>
        <w:t xml:space="preserve"> </w:t>
      </w:r>
    </w:p>
    <w:p w:rsidR="00B07454" w:rsidRDefault="00B07454" w:rsidP="00F97A74">
      <w:pPr>
        <w:spacing w:line="360" w:lineRule="auto"/>
        <w:rPr>
          <w:rFonts w:ascii="Times New Roman" w:hAnsi="Times New Roman"/>
          <w:szCs w:val="22"/>
        </w:rPr>
      </w:pPr>
    </w:p>
    <w:p w:rsidR="00B07454" w:rsidRDefault="00632EED" w:rsidP="00F97A74">
      <w:pPr>
        <w:spacing w:line="360" w:lineRule="auto"/>
        <w:rPr>
          <w:rFonts w:ascii="Times New Roman" w:hAnsi="Times New Roman"/>
          <w:szCs w:val="22"/>
        </w:rPr>
      </w:pPr>
      <w:r>
        <w:rPr>
          <w:rFonts w:ascii="Times New Roman" w:hAnsi="Times New Roman"/>
          <w:szCs w:val="22"/>
        </w:rPr>
        <w:t xml:space="preserve">Subclause 6(5) requires that the material provided by MVNOs to customers under </w:t>
      </w:r>
      <w:r w:rsidR="00F07781">
        <w:rPr>
          <w:rFonts w:ascii="Times New Roman" w:hAnsi="Times New Roman"/>
          <w:szCs w:val="22"/>
        </w:rPr>
        <w:t>subclause 6(2) during the tra</w:t>
      </w:r>
      <w:r w:rsidR="000C305D">
        <w:rPr>
          <w:rFonts w:ascii="Times New Roman" w:hAnsi="Times New Roman"/>
          <w:szCs w:val="22"/>
        </w:rPr>
        <w:t>n</w:t>
      </w:r>
      <w:r w:rsidR="00F321BB">
        <w:rPr>
          <w:rFonts w:ascii="Times New Roman" w:hAnsi="Times New Roman"/>
          <w:szCs w:val="22"/>
        </w:rPr>
        <w:t>sitional period prior to 23 May</w:t>
      </w:r>
      <w:r w:rsidR="00F07781">
        <w:rPr>
          <w:rFonts w:ascii="Times New Roman" w:hAnsi="Times New Roman"/>
          <w:szCs w:val="22"/>
        </w:rPr>
        <w:t xml:space="preserve"> 2016</w:t>
      </w:r>
      <w:r>
        <w:rPr>
          <w:rFonts w:ascii="Times New Roman" w:hAnsi="Times New Roman"/>
          <w:szCs w:val="22"/>
        </w:rPr>
        <w:t xml:space="preserve"> must be </w:t>
      </w:r>
      <w:r w:rsidR="0097368E">
        <w:rPr>
          <w:rFonts w:ascii="Times New Roman" w:hAnsi="Times New Roman"/>
          <w:szCs w:val="22"/>
        </w:rPr>
        <w:t>clearly distinguishable</w:t>
      </w:r>
      <w:r>
        <w:rPr>
          <w:rFonts w:ascii="Times New Roman" w:hAnsi="Times New Roman"/>
          <w:szCs w:val="22"/>
        </w:rPr>
        <w:t xml:space="preserve"> from material about other subject matter</w:t>
      </w:r>
      <w:r w:rsidR="007D64CF">
        <w:rPr>
          <w:rFonts w:ascii="Times New Roman" w:hAnsi="Times New Roman"/>
          <w:szCs w:val="22"/>
        </w:rPr>
        <w:t>s.</w:t>
      </w:r>
    </w:p>
    <w:p w:rsidR="001674E0" w:rsidRDefault="001674E0" w:rsidP="001674E0">
      <w:pPr>
        <w:pStyle w:val="Heading1"/>
        <w:keepLines/>
        <w:tabs>
          <w:tab w:val="left" w:pos="1985"/>
        </w:tabs>
        <w:suppressAutoHyphens w:val="0"/>
        <w:spacing w:before="480" w:line="360" w:lineRule="auto"/>
        <w:rPr>
          <w:sz w:val="24"/>
          <w:szCs w:val="24"/>
        </w:rPr>
      </w:pPr>
      <w:r>
        <w:rPr>
          <w:sz w:val="24"/>
          <w:szCs w:val="24"/>
        </w:rPr>
        <w:t xml:space="preserve">Clause 7 - CSPs </w:t>
      </w:r>
      <w:r w:rsidRPr="009D132F">
        <w:rPr>
          <w:sz w:val="24"/>
          <w:szCs w:val="24"/>
        </w:rPr>
        <w:t xml:space="preserve">to </w:t>
      </w:r>
      <w:r>
        <w:rPr>
          <w:sz w:val="24"/>
          <w:szCs w:val="24"/>
        </w:rPr>
        <w:t xml:space="preserve">otherwise </w:t>
      </w:r>
      <w:r w:rsidRPr="009D132F">
        <w:rPr>
          <w:sz w:val="24"/>
          <w:szCs w:val="24"/>
        </w:rPr>
        <w:t xml:space="preserve">give </w:t>
      </w:r>
      <w:r>
        <w:rPr>
          <w:sz w:val="24"/>
          <w:szCs w:val="24"/>
        </w:rPr>
        <w:t xml:space="preserve">maximum charge </w:t>
      </w:r>
      <w:r w:rsidRPr="009D132F">
        <w:rPr>
          <w:sz w:val="24"/>
          <w:szCs w:val="24"/>
        </w:rPr>
        <w:t>information</w:t>
      </w:r>
      <w:r w:rsidDel="00E807BA">
        <w:rPr>
          <w:sz w:val="24"/>
          <w:szCs w:val="24"/>
        </w:rPr>
        <w:t xml:space="preserve"> </w:t>
      </w:r>
    </w:p>
    <w:p w:rsidR="00B07454" w:rsidRDefault="00F07781">
      <w:pPr>
        <w:spacing w:line="360" w:lineRule="auto"/>
        <w:rPr>
          <w:rFonts w:ascii="Times New Roman" w:hAnsi="Times New Roman"/>
          <w:szCs w:val="22"/>
        </w:rPr>
      </w:pPr>
      <w:r>
        <w:rPr>
          <w:rFonts w:ascii="Times New Roman" w:hAnsi="Times New Roman"/>
          <w:szCs w:val="22"/>
        </w:rPr>
        <w:t xml:space="preserve">Subclause </w:t>
      </w:r>
      <w:r w:rsidR="001674E0">
        <w:rPr>
          <w:rFonts w:ascii="Times New Roman" w:hAnsi="Times New Roman"/>
          <w:szCs w:val="22"/>
        </w:rPr>
        <w:t>7</w:t>
      </w:r>
      <w:r>
        <w:rPr>
          <w:rFonts w:ascii="Times New Roman" w:hAnsi="Times New Roman"/>
          <w:szCs w:val="22"/>
        </w:rPr>
        <w:t>(</w:t>
      </w:r>
      <w:r w:rsidR="001674E0">
        <w:rPr>
          <w:rFonts w:ascii="Times New Roman" w:hAnsi="Times New Roman"/>
          <w:szCs w:val="22"/>
        </w:rPr>
        <w:t>1</w:t>
      </w:r>
      <w:r>
        <w:rPr>
          <w:rFonts w:ascii="Times New Roman" w:hAnsi="Times New Roman"/>
          <w:szCs w:val="22"/>
        </w:rPr>
        <w:t xml:space="preserve">) imposes a general requirement on all CSPs to </w:t>
      </w:r>
      <w:r w:rsidR="00431528">
        <w:rPr>
          <w:rFonts w:ascii="Times New Roman" w:hAnsi="Times New Roman"/>
          <w:szCs w:val="22"/>
        </w:rPr>
        <w:t xml:space="preserve">take all reasonable steps to </w:t>
      </w:r>
      <w:r>
        <w:rPr>
          <w:rFonts w:ascii="Times New Roman" w:hAnsi="Times New Roman"/>
          <w:szCs w:val="22"/>
        </w:rPr>
        <w:t xml:space="preserve">provide </w:t>
      </w:r>
      <w:r w:rsidR="00252DC0">
        <w:rPr>
          <w:rFonts w:ascii="Times New Roman" w:hAnsi="Times New Roman"/>
          <w:szCs w:val="22"/>
        </w:rPr>
        <w:t>such information as is reasonably required to enable each other CSP</w:t>
      </w:r>
      <w:r w:rsidR="00281B25">
        <w:rPr>
          <w:rFonts w:ascii="Times New Roman" w:hAnsi="Times New Roman"/>
          <w:szCs w:val="22"/>
        </w:rPr>
        <w:t xml:space="preserve"> in a chain of supply of IMR services to an end-user</w:t>
      </w:r>
      <w:r w:rsidR="00252DC0">
        <w:rPr>
          <w:rFonts w:ascii="Times New Roman" w:hAnsi="Times New Roman"/>
          <w:szCs w:val="22"/>
        </w:rPr>
        <w:t xml:space="preserve"> to provide up to date maximum charge information</w:t>
      </w:r>
      <w:r w:rsidR="00F87CF6">
        <w:rPr>
          <w:rFonts w:ascii="Times New Roman" w:hAnsi="Times New Roman"/>
          <w:szCs w:val="22"/>
        </w:rPr>
        <w:t xml:space="preserve"> to their customers.  This provision recognises that the cost of supply of IMR services to a customer is linked to the supply of services to the customer’s CSP.  Subclause </w:t>
      </w:r>
      <w:r w:rsidR="001674E0">
        <w:rPr>
          <w:rFonts w:ascii="Times New Roman" w:hAnsi="Times New Roman"/>
          <w:szCs w:val="22"/>
        </w:rPr>
        <w:t>7</w:t>
      </w:r>
      <w:r w:rsidR="00F87CF6">
        <w:rPr>
          <w:rFonts w:ascii="Times New Roman" w:hAnsi="Times New Roman"/>
          <w:szCs w:val="22"/>
        </w:rPr>
        <w:t>(</w:t>
      </w:r>
      <w:r w:rsidR="001674E0">
        <w:rPr>
          <w:rFonts w:ascii="Times New Roman" w:hAnsi="Times New Roman"/>
          <w:szCs w:val="22"/>
        </w:rPr>
        <w:t>1</w:t>
      </w:r>
      <w:r w:rsidR="00F87CF6">
        <w:rPr>
          <w:rFonts w:ascii="Times New Roman" w:hAnsi="Times New Roman"/>
          <w:szCs w:val="22"/>
        </w:rPr>
        <w:t xml:space="preserve">) makes it clear that all information necessary to work out the maximum charge information that will apply to a customer must be supplied to the customer’s CSP. </w:t>
      </w:r>
    </w:p>
    <w:p w:rsidR="00632EED" w:rsidRDefault="00632EED" w:rsidP="0066509C">
      <w:pPr>
        <w:spacing w:line="360" w:lineRule="auto"/>
        <w:ind w:left="425"/>
        <w:rPr>
          <w:rFonts w:ascii="Times New Roman" w:hAnsi="Times New Roman"/>
          <w:szCs w:val="22"/>
        </w:rPr>
      </w:pPr>
    </w:p>
    <w:p w:rsidR="00B07454" w:rsidRDefault="00632EED">
      <w:pPr>
        <w:spacing w:line="360" w:lineRule="auto"/>
        <w:rPr>
          <w:rFonts w:ascii="Times New Roman" w:hAnsi="Times New Roman"/>
          <w:szCs w:val="22"/>
        </w:rPr>
      </w:pPr>
      <w:r>
        <w:rPr>
          <w:rFonts w:ascii="Times New Roman" w:hAnsi="Times New Roman"/>
          <w:szCs w:val="22"/>
        </w:rPr>
        <w:t xml:space="preserve">Subclause </w:t>
      </w:r>
      <w:r w:rsidR="001674E0">
        <w:rPr>
          <w:rFonts w:ascii="Times New Roman" w:hAnsi="Times New Roman"/>
          <w:szCs w:val="22"/>
        </w:rPr>
        <w:t>7</w:t>
      </w:r>
      <w:r>
        <w:rPr>
          <w:rFonts w:ascii="Times New Roman" w:hAnsi="Times New Roman"/>
          <w:szCs w:val="22"/>
        </w:rPr>
        <w:t>(</w:t>
      </w:r>
      <w:r w:rsidR="001674E0">
        <w:rPr>
          <w:rFonts w:ascii="Times New Roman" w:hAnsi="Times New Roman"/>
          <w:szCs w:val="22"/>
        </w:rPr>
        <w:t>2</w:t>
      </w:r>
      <w:r>
        <w:rPr>
          <w:rFonts w:ascii="Times New Roman" w:hAnsi="Times New Roman"/>
          <w:szCs w:val="22"/>
        </w:rPr>
        <w:t xml:space="preserve">) </w:t>
      </w:r>
      <w:r w:rsidR="00F87CF6">
        <w:rPr>
          <w:rFonts w:ascii="Times New Roman" w:hAnsi="Times New Roman"/>
          <w:szCs w:val="22"/>
        </w:rPr>
        <w:t xml:space="preserve">imposes a general requirement on all CSPs to provide </w:t>
      </w:r>
      <w:r>
        <w:rPr>
          <w:rFonts w:ascii="Times New Roman" w:hAnsi="Times New Roman"/>
          <w:szCs w:val="22"/>
        </w:rPr>
        <w:t xml:space="preserve">maximum charge information </w:t>
      </w:r>
      <w:r w:rsidR="00F87CF6">
        <w:rPr>
          <w:rFonts w:ascii="Times New Roman" w:hAnsi="Times New Roman"/>
          <w:szCs w:val="22"/>
        </w:rPr>
        <w:t xml:space="preserve">in relation to any </w:t>
      </w:r>
      <w:r w:rsidR="00E11891">
        <w:rPr>
          <w:rFonts w:ascii="Times New Roman" w:hAnsi="Times New Roman"/>
          <w:szCs w:val="22"/>
        </w:rPr>
        <w:t xml:space="preserve">overseas </w:t>
      </w:r>
      <w:r>
        <w:rPr>
          <w:rFonts w:ascii="Times New Roman" w:hAnsi="Times New Roman"/>
          <w:szCs w:val="22"/>
        </w:rPr>
        <w:t>countr</w:t>
      </w:r>
      <w:r w:rsidR="00F87CF6">
        <w:rPr>
          <w:rFonts w:ascii="Times New Roman" w:hAnsi="Times New Roman"/>
          <w:szCs w:val="22"/>
        </w:rPr>
        <w:t xml:space="preserve">y </w:t>
      </w:r>
      <w:r w:rsidR="00E11891">
        <w:rPr>
          <w:rFonts w:ascii="Times New Roman" w:hAnsi="Times New Roman"/>
          <w:szCs w:val="22"/>
        </w:rPr>
        <w:t>within 24 hours of receiving a request from a customer for that information</w:t>
      </w:r>
      <w:r>
        <w:rPr>
          <w:rFonts w:ascii="Times New Roman" w:hAnsi="Times New Roman"/>
          <w:szCs w:val="22"/>
        </w:rPr>
        <w:t xml:space="preserve">. </w:t>
      </w:r>
    </w:p>
    <w:p w:rsidR="00B07454" w:rsidRDefault="001565A1">
      <w:pPr>
        <w:pStyle w:val="Heading1"/>
        <w:keepLines/>
        <w:suppressAutoHyphens w:val="0"/>
        <w:spacing w:before="480" w:line="360" w:lineRule="auto"/>
        <w:rPr>
          <w:sz w:val="24"/>
          <w:szCs w:val="24"/>
        </w:rPr>
      </w:pPr>
      <w:r>
        <w:rPr>
          <w:sz w:val="24"/>
          <w:szCs w:val="24"/>
        </w:rPr>
        <w:t xml:space="preserve">Clause </w:t>
      </w:r>
      <w:r w:rsidR="001674E0">
        <w:rPr>
          <w:sz w:val="24"/>
          <w:szCs w:val="24"/>
        </w:rPr>
        <w:t>8</w:t>
      </w:r>
      <w:r>
        <w:rPr>
          <w:sz w:val="24"/>
          <w:szCs w:val="24"/>
        </w:rPr>
        <w:t xml:space="preserve"> - </w:t>
      </w:r>
      <w:r w:rsidR="00154F1D" w:rsidRPr="009D132F">
        <w:rPr>
          <w:sz w:val="24"/>
          <w:szCs w:val="24"/>
        </w:rPr>
        <w:t xml:space="preserve">CSPs to </w:t>
      </w:r>
      <w:r w:rsidR="00431528">
        <w:rPr>
          <w:sz w:val="24"/>
          <w:szCs w:val="24"/>
        </w:rPr>
        <w:t>make available</w:t>
      </w:r>
      <w:r w:rsidR="00154F1D" w:rsidRPr="009D132F">
        <w:rPr>
          <w:sz w:val="24"/>
          <w:szCs w:val="24"/>
        </w:rPr>
        <w:t xml:space="preserve"> method to decline IMR services</w:t>
      </w:r>
    </w:p>
    <w:p w:rsidR="00F91DA8" w:rsidRDefault="00154F1D" w:rsidP="00F97A74">
      <w:pPr>
        <w:spacing w:line="360" w:lineRule="auto"/>
        <w:rPr>
          <w:rFonts w:ascii="Times New Roman" w:hAnsi="Times New Roman"/>
          <w:szCs w:val="22"/>
          <w:lang w:val="en-US"/>
        </w:rPr>
      </w:pPr>
      <w:r>
        <w:rPr>
          <w:rFonts w:ascii="Times New Roman" w:hAnsi="Times New Roman"/>
          <w:szCs w:val="22"/>
        </w:rPr>
        <w:t xml:space="preserve">Clause </w:t>
      </w:r>
      <w:r w:rsidR="001674E0">
        <w:rPr>
          <w:rFonts w:ascii="Times New Roman" w:hAnsi="Times New Roman"/>
          <w:szCs w:val="22"/>
        </w:rPr>
        <w:t>8</w:t>
      </w:r>
      <w:r>
        <w:rPr>
          <w:rFonts w:ascii="Times New Roman" w:hAnsi="Times New Roman"/>
          <w:szCs w:val="22"/>
        </w:rPr>
        <w:t xml:space="preserve"> fulfils the requirement under </w:t>
      </w:r>
      <w:r w:rsidR="0097368E">
        <w:rPr>
          <w:rFonts w:ascii="Times New Roman" w:hAnsi="Times New Roman"/>
          <w:szCs w:val="22"/>
        </w:rPr>
        <w:t>paragraph</w:t>
      </w:r>
      <w:r>
        <w:rPr>
          <w:rFonts w:ascii="Times New Roman" w:hAnsi="Times New Roman"/>
          <w:szCs w:val="22"/>
        </w:rPr>
        <w:t xml:space="preserve"> 6(1)(b) of the Minister’s Direction to the ACMA which states </w:t>
      </w:r>
      <w:r w:rsidR="00C473BE">
        <w:rPr>
          <w:rFonts w:ascii="Times New Roman" w:hAnsi="Times New Roman"/>
          <w:szCs w:val="22"/>
        </w:rPr>
        <w:t>that CSPs must</w:t>
      </w:r>
      <w:r w:rsidR="0099160C">
        <w:rPr>
          <w:rFonts w:ascii="Times New Roman" w:hAnsi="Times New Roman"/>
          <w:szCs w:val="22"/>
        </w:rPr>
        <w:t xml:space="preserve"> </w:t>
      </w:r>
      <w:r w:rsidR="009D3864" w:rsidRPr="009D3864">
        <w:rPr>
          <w:rFonts w:ascii="Times New Roman" w:hAnsi="Times New Roman"/>
          <w:szCs w:val="22"/>
          <w:lang w:val="en-US"/>
        </w:rPr>
        <w:t xml:space="preserve">permit consumers to decline continued provision of international roaming services, at any time, while at </w:t>
      </w:r>
      <w:r w:rsidR="0097368E">
        <w:rPr>
          <w:rFonts w:ascii="Times New Roman" w:hAnsi="Times New Roman"/>
          <w:szCs w:val="22"/>
          <w:lang w:val="en-US"/>
        </w:rPr>
        <w:t>an</w:t>
      </w:r>
      <w:r w:rsidR="009D3864" w:rsidRPr="009D3864">
        <w:rPr>
          <w:rFonts w:ascii="Times New Roman" w:hAnsi="Times New Roman"/>
          <w:szCs w:val="22"/>
          <w:lang w:val="en-US"/>
        </w:rPr>
        <w:t xml:space="preserve"> overseas destination</w:t>
      </w:r>
      <w:r w:rsidR="0097368E">
        <w:rPr>
          <w:rFonts w:ascii="Times New Roman" w:hAnsi="Times New Roman"/>
          <w:szCs w:val="22"/>
          <w:lang w:val="en-US"/>
        </w:rPr>
        <w:t>.</w:t>
      </w:r>
    </w:p>
    <w:p w:rsidR="00F97A74" w:rsidRDefault="00F97A74" w:rsidP="00F97A74">
      <w:pPr>
        <w:spacing w:line="360" w:lineRule="auto"/>
        <w:rPr>
          <w:rFonts w:ascii="Times New Roman" w:hAnsi="Times New Roman"/>
          <w:szCs w:val="22"/>
          <w:lang w:val="en-US"/>
        </w:rPr>
      </w:pPr>
    </w:p>
    <w:p w:rsidR="00B07454" w:rsidRDefault="00E11891" w:rsidP="00F97A74">
      <w:pPr>
        <w:spacing w:line="360" w:lineRule="auto"/>
        <w:rPr>
          <w:rFonts w:ascii="Times New Roman" w:hAnsi="Times New Roman"/>
          <w:szCs w:val="22"/>
          <w:lang w:val="en-US"/>
        </w:rPr>
      </w:pPr>
      <w:r>
        <w:rPr>
          <w:rFonts w:ascii="Times New Roman" w:hAnsi="Times New Roman"/>
          <w:szCs w:val="22"/>
          <w:lang w:val="en-US"/>
        </w:rPr>
        <w:t>Subc</w:t>
      </w:r>
      <w:r w:rsidR="00C473BE">
        <w:rPr>
          <w:rFonts w:ascii="Times New Roman" w:hAnsi="Times New Roman"/>
          <w:szCs w:val="22"/>
          <w:lang w:val="en-US"/>
        </w:rPr>
        <w:t xml:space="preserve">lause </w:t>
      </w:r>
      <w:r w:rsidR="001674E0">
        <w:rPr>
          <w:rFonts w:ascii="Times New Roman" w:hAnsi="Times New Roman"/>
          <w:szCs w:val="22"/>
          <w:lang w:val="en-US"/>
        </w:rPr>
        <w:t>8</w:t>
      </w:r>
      <w:r>
        <w:rPr>
          <w:rFonts w:ascii="Times New Roman" w:hAnsi="Times New Roman"/>
          <w:szCs w:val="22"/>
          <w:lang w:val="en-US"/>
        </w:rPr>
        <w:t>(1)</w:t>
      </w:r>
      <w:r w:rsidR="00C473BE">
        <w:rPr>
          <w:rFonts w:ascii="Times New Roman" w:hAnsi="Times New Roman"/>
          <w:szCs w:val="22"/>
          <w:lang w:val="en-US"/>
        </w:rPr>
        <w:t xml:space="preserve"> requires that CSPs </w:t>
      </w:r>
      <w:r w:rsidR="00431528">
        <w:rPr>
          <w:rFonts w:ascii="Times New Roman" w:hAnsi="Times New Roman"/>
          <w:szCs w:val="22"/>
          <w:lang w:val="en-US"/>
        </w:rPr>
        <w:t xml:space="preserve">make available </w:t>
      </w:r>
      <w:r>
        <w:rPr>
          <w:rFonts w:ascii="Times New Roman" w:hAnsi="Times New Roman"/>
          <w:szCs w:val="22"/>
          <w:lang w:val="en-US"/>
        </w:rPr>
        <w:t xml:space="preserve">at least one method </w:t>
      </w:r>
      <w:r w:rsidR="00C473BE">
        <w:rPr>
          <w:rFonts w:ascii="Times New Roman" w:hAnsi="Times New Roman"/>
          <w:szCs w:val="22"/>
          <w:lang w:val="en-US"/>
        </w:rPr>
        <w:t>f</w:t>
      </w:r>
      <w:r>
        <w:rPr>
          <w:rFonts w:ascii="Times New Roman" w:hAnsi="Times New Roman"/>
          <w:szCs w:val="22"/>
          <w:lang w:val="en-US"/>
        </w:rPr>
        <w:t>or</w:t>
      </w:r>
      <w:r w:rsidR="00C473BE">
        <w:rPr>
          <w:rFonts w:ascii="Times New Roman" w:hAnsi="Times New Roman"/>
          <w:szCs w:val="22"/>
          <w:lang w:val="en-US"/>
        </w:rPr>
        <w:t xml:space="preserve"> declining the </w:t>
      </w:r>
      <w:r>
        <w:rPr>
          <w:rFonts w:ascii="Times New Roman" w:hAnsi="Times New Roman"/>
          <w:szCs w:val="22"/>
          <w:lang w:val="en-US"/>
        </w:rPr>
        <w:t xml:space="preserve">continued supply of </w:t>
      </w:r>
      <w:r w:rsidR="00C473BE">
        <w:rPr>
          <w:rFonts w:ascii="Times New Roman" w:hAnsi="Times New Roman"/>
          <w:szCs w:val="22"/>
          <w:lang w:val="en-US"/>
        </w:rPr>
        <w:t>IMR services</w:t>
      </w:r>
      <w:r>
        <w:rPr>
          <w:rFonts w:ascii="Times New Roman" w:hAnsi="Times New Roman"/>
          <w:szCs w:val="22"/>
          <w:lang w:val="en-US"/>
        </w:rPr>
        <w:t xml:space="preserve"> that is accessible either by calling a particular Australian number, or by accessing the website of the CSP</w:t>
      </w:r>
      <w:r w:rsidR="00D4181B">
        <w:rPr>
          <w:rFonts w:ascii="Times New Roman" w:hAnsi="Times New Roman"/>
          <w:szCs w:val="22"/>
          <w:lang w:val="en-US"/>
        </w:rPr>
        <w:t>.</w:t>
      </w:r>
      <w:r w:rsidR="00D4181B" w:rsidRPr="00D4181B">
        <w:rPr>
          <w:rFonts w:ascii="Times New Roman" w:hAnsi="Times New Roman"/>
          <w:szCs w:val="22"/>
          <w:lang w:val="en-US"/>
        </w:rPr>
        <w:t xml:space="preserve"> </w:t>
      </w:r>
      <w:r w:rsidR="00D4181B">
        <w:rPr>
          <w:rFonts w:ascii="Times New Roman" w:hAnsi="Times New Roman"/>
          <w:szCs w:val="22"/>
          <w:lang w:val="en-US"/>
        </w:rPr>
        <w:t xml:space="preserve"> This does not limit the methods which a CSP may make available to a customer to decline the continued supply of IMR services</w:t>
      </w:r>
      <w:r w:rsidR="00D4181B" w:rsidRPr="00D4181B">
        <w:rPr>
          <w:rFonts w:ascii="Times New Roman" w:hAnsi="Times New Roman"/>
          <w:szCs w:val="22"/>
        </w:rPr>
        <w:t>.</w:t>
      </w:r>
      <w:r w:rsidR="00D4181B">
        <w:rPr>
          <w:rFonts w:ascii="Times New Roman" w:hAnsi="Times New Roman"/>
          <w:szCs w:val="22"/>
        </w:rPr>
        <w:t xml:space="preserve">  </w:t>
      </w:r>
      <w:r w:rsidR="00D4181B">
        <w:rPr>
          <w:rFonts w:ascii="Times New Roman" w:hAnsi="Times New Roman"/>
          <w:szCs w:val="22"/>
          <w:lang w:val="en-US"/>
        </w:rPr>
        <w:t>S</w:t>
      </w:r>
      <w:r>
        <w:rPr>
          <w:rFonts w:ascii="Times New Roman" w:hAnsi="Times New Roman"/>
          <w:szCs w:val="22"/>
          <w:lang w:val="en-US"/>
        </w:rPr>
        <w:t xml:space="preserve">ubclause </w:t>
      </w:r>
      <w:r w:rsidR="001674E0">
        <w:rPr>
          <w:rFonts w:ascii="Times New Roman" w:hAnsi="Times New Roman"/>
          <w:szCs w:val="22"/>
          <w:lang w:val="en-US"/>
        </w:rPr>
        <w:t>8</w:t>
      </w:r>
      <w:r>
        <w:rPr>
          <w:rFonts w:ascii="Times New Roman" w:hAnsi="Times New Roman"/>
          <w:szCs w:val="22"/>
          <w:lang w:val="en-US"/>
        </w:rPr>
        <w:t xml:space="preserve">(3) </w:t>
      </w:r>
      <w:r w:rsidR="00A81C82">
        <w:rPr>
          <w:rFonts w:ascii="Times New Roman" w:hAnsi="Times New Roman"/>
          <w:szCs w:val="22"/>
          <w:lang w:val="en-US"/>
        </w:rPr>
        <w:t>sets a</w:t>
      </w:r>
      <w:r w:rsidR="00C473BE">
        <w:rPr>
          <w:rFonts w:ascii="Times New Roman" w:hAnsi="Times New Roman"/>
          <w:szCs w:val="22"/>
          <w:lang w:val="en-US"/>
        </w:rPr>
        <w:t xml:space="preserve"> maximum $</w:t>
      </w:r>
      <w:r>
        <w:rPr>
          <w:rFonts w:ascii="Times New Roman" w:hAnsi="Times New Roman"/>
          <w:szCs w:val="22"/>
          <w:lang w:val="en-US"/>
        </w:rPr>
        <w:t>AUD</w:t>
      </w:r>
      <w:r w:rsidR="00C473BE">
        <w:rPr>
          <w:rFonts w:ascii="Times New Roman" w:hAnsi="Times New Roman"/>
          <w:szCs w:val="22"/>
          <w:lang w:val="en-US"/>
        </w:rPr>
        <w:t xml:space="preserve">1.00 charge for </w:t>
      </w:r>
      <w:r w:rsidR="00431528">
        <w:rPr>
          <w:rFonts w:ascii="Times New Roman" w:hAnsi="Times New Roman"/>
          <w:szCs w:val="22"/>
          <w:lang w:val="en-US"/>
        </w:rPr>
        <w:t xml:space="preserve">telephone calls made to </w:t>
      </w:r>
      <w:r w:rsidR="00C473BE">
        <w:rPr>
          <w:rFonts w:ascii="Times New Roman" w:hAnsi="Times New Roman"/>
          <w:szCs w:val="22"/>
          <w:lang w:val="en-US"/>
        </w:rPr>
        <w:t>declin</w:t>
      </w:r>
      <w:r w:rsidR="00431528">
        <w:rPr>
          <w:rFonts w:ascii="Times New Roman" w:hAnsi="Times New Roman"/>
          <w:szCs w:val="22"/>
          <w:lang w:val="en-US"/>
        </w:rPr>
        <w:t>e</w:t>
      </w:r>
      <w:r w:rsidR="00C473BE">
        <w:rPr>
          <w:rFonts w:ascii="Times New Roman" w:hAnsi="Times New Roman"/>
          <w:szCs w:val="22"/>
          <w:lang w:val="en-US"/>
        </w:rPr>
        <w:t xml:space="preserve"> the use of IMR services by phone to </w:t>
      </w:r>
      <w:r w:rsidR="00431528">
        <w:rPr>
          <w:rFonts w:ascii="Times New Roman" w:hAnsi="Times New Roman"/>
          <w:szCs w:val="22"/>
          <w:lang w:val="en-US"/>
        </w:rPr>
        <w:t xml:space="preserve">an </w:t>
      </w:r>
      <w:r w:rsidR="00C473BE">
        <w:rPr>
          <w:rFonts w:ascii="Times New Roman" w:hAnsi="Times New Roman"/>
          <w:szCs w:val="22"/>
          <w:lang w:val="en-US"/>
        </w:rPr>
        <w:t>Australia</w:t>
      </w:r>
      <w:r w:rsidR="00431528">
        <w:rPr>
          <w:rFonts w:ascii="Times New Roman" w:hAnsi="Times New Roman"/>
          <w:szCs w:val="22"/>
          <w:lang w:val="en-US"/>
        </w:rPr>
        <w:t>n number</w:t>
      </w:r>
      <w:r w:rsidR="00D4181B">
        <w:rPr>
          <w:rFonts w:ascii="Times New Roman" w:hAnsi="Times New Roman"/>
          <w:szCs w:val="22"/>
          <w:lang w:val="en-US"/>
        </w:rPr>
        <w:t xml:space="preserve">, and subclause </w:t>
      </w:r>
      <w:r w:rsidR="001674E0">
        <w:rPr>
          <w:rFonts w:ascii="Times New Roman" w:hAnsi="Times New Roman"/>
          <w:szCs w:val="22"/>
          <w:lang w:val="en-US"/>
        </w:rPr>
        <w:t>8</w:t>
      </w:r>
      <w:r w:rsidR="00D4181B">
        <w:rPr>
          <w:rFonts w:ascii="Times New Roman" w:hAnsi="Times New Roman"/>
          <w:szCs w:val="22"/>
          <w:lang w:val="en-US"/>
        </w:rPr>
        <w:t xml:space="preserve">(4) provides that a CSP may not charge the customer for declining the continued supply of IMR services </w:t>
      </w:r>
      <w:r w:rsidR="00281B25">
        <w:rPr>
          <w:rFonts w:ascii="Times New Roman" w:hAnsi="Times New Roman"/>
          <w:szCs w:val="22"/>
          <w:lang w:val="en-US"/>
        </w:rPr>
        <w:t xml:space="preserve">by </w:t>
      </w:r>
      <w:r w:rsidR="00D4181B">
        <w:rPr>
          <w:rFonts w:ascii="Times New Roman" w:hAnsi="Times New Roman"/>
          <w:szCs w:val="22"/>
          <w:lang w:val="en-US"/>
        </w:rPr>
        <w:t>using the CSP’s website</w:t>
      </w:r>
      <w:r w:rsidR="00C473BE">
        <w:rPr>
          <w:rFonts w:ascii="Times New Roman" w:hAnsi="Times New Roman"/>
          <w:szCs w:val="22"/>
          <w:lang w:val="en-US"/>
        </w:rPr>
        <w:t xml:space="preserve">. </w:t>
      </w:r>
      <w:r>
        <w:rPr>
          <w:rFonts w:ascii="Times New Roman" w:hAnsi="Times New Roman"/>
          <w:szCs w:val="22"/>
          <w:lang w:val="en-US"/>
        </w:rPr>
        <w:t xml:space="preserve"> </w:t>
      </w:r>
      <w:r w:rsidR="00C473BE" w:rsidRPr="00D4181B">
        <w:rPr>
          <w:rFonts w:ascii="Times New Roman" w:hAnsi="Times New Roman"/>
          <w:szCs w:val="22"/>
          <w:lang w:val="en-US"/>
        </w:rPr>
        <w:br/>
      </w:r>
    </w:p>
    <w:p w:rsidR="00B07454" w:rsidRDefault="00D4181B" w:rsidP="00F97A74">
      <w:pPr>
        <w:spacing w:line="360" w:lineRule="auto"/>
        <w:rPr>
          <w:rFonts w:ascii="Times New Roman" w:hAnsi="Times New Roman"/>
          <w:szCs w:val="22"/>
          <w:lang w:val="en-US"/>
        </w:rPr>
      </w:pPr>
      <w:r>
        <w:rPr>
          <w:rFonts w:ascii="Times New Roman" w:hAnsi="Times New Roman"/>
          <w:szCs w:val="22"/>
          <w:lang w:val="en-US"/>
        </w:rPr>
        <w:t xml:space="preserve">Subclause </w:t>
      </w:r>
      <w:r w:rsidR="001674E0">
        <w:rPr>
          <w:rFonts w:ascii="Times New Roman" w:hAnsi="Times New Roman"/>
          <w:szCs w:val="22"/>
          <w:lang w:val="en-US"/>
        </w:rPr>
        <w:t>8</w:t>
      </w:r>
      <w:r>
        <w:rPr>
          <w:rFonts w:ascii="Times New Roman" w:hAnsi="Times New Roman"/>
          <w:szCs w:val="22"/>
          <w:lang w:val="en-US"/>
        </w:rPr>
        <w:t xml:space="preserve">(2) provides that </w:t>
      </w:r>
      <w:r w:rsidR="00BB06C8">
        <w:rPr>
          <w:rFonts w:ascii="Times New Roman" w:hAnsi="Times New Roman"/>
          <w:szCs w:val="22"/>
          <w:lang w:val="en-US"/>
        </w:rPr>
        <w:t xml:space="preserve">where a customer declines the continued supply of IMR services, the CSP must ensure that the supply of IMR services to the customer ceases as soon as practicable, and in any case within 24 hours.  </w:t>
      </w:r>
      <w:r w:rsidR="00C473BE">
        <w:rPr>
          <w:rFonts w:ascii="Times New Roman" w:hAnsi="Times New Roman"/>
          <w:szCs w:val="22"/>
          <w:lang w:val="en-US"/>
        </w:rPr>
        <w:t xml:space="preserve">It is expected that CSPs will cease </w:t>
      </w:r>
      <w:r w:rsidR="00834518">
        <w:rPr>
          <w:rFonts w:ascii="Times New Roman" w:hAnsi="Times New Roman"/>
          <w:szCs w:val="22"/>
          <w:lang w:val="en-US"/>
        </w:rPr>
        <w:t xml:space="preserve">IMR </w:t>
      </w:r>
      <w:r w:rsidR="00C473BE">
        <w:rPr>
          <w:rFonts w:ascii="Times New Roman" w:hAnsi="Times New Roman"/>
          <w:szCs w:val="22"/>
          <w:lang w:val="en-US"/>
        </w:rPr>
        <w:t xml:space="preserve">services as soon as they are aware </w:t>
      </w:r>
      <w:r>
        <w:rPr>
          <w:rFonts w:ascii="Times New Roman" w:hAnsi="Times New Roman"/>
          <w:szCs w:val="22"/>
          <w:lang w:val="en-US"/>
        </w:rPr>
        <w:t>that a customer has declined the continued supply of IMR services</w:t>
      </w:r>
      <w:r w:rsidR="00C473BE">
        <w:rPr>
          <w:rFonts w:ascii="Times New Roman" w:hAnsi="Times New Roman"/>
          <w:szCs w:val="22"/>
          <w:lang w:val="en-US"/>
        </w:rPr>
        <w:t xml:space="preserve">, with subclause </w:t>
      </w:r>
      <w:r w:rsidR="001674E0">
        <w:rPr>
          <w:rFonts w:ascii="Times New Roman" w:hAnsi="Times New Roman"/>
          <w:szCs w:val="22"/>
          <w:lang w:val="en-US"/>
        </w:rPr>
        <w:t>8</w:t>
      </w:r>
      <w:r w:rsidR="00834518">
        <w:rPr>
          <w:rFonts w:ascii="Times New Roman" w:hAnsi="Times New Roman"/>
          <w:szCs w:val="22"/>
          <w:lang w:val="en-US"/>
        </w:rPr>
        <w:t>(</w:t>
      </w:r>
      <w:r w:rsidR="00C473BE">
        <w:rPr>
          <w:rFonts w:ascii="Times New Roman" w:hAnsi="Times New Roman"/>
          <w:szCs w:val="22"/>
          <w:lang w:val="en-US"/>
        </w:rPr>
        <w:t>2</w:t>
      </w:r>
      <w:r w:rsidR="00834518">
        <w:rPr>
          <w:rFonts w:ascii="Times New Roman" w:hAnsi="Times New Roman"/>
          <w:szCs w:val="22"/>
          <w:lang w:val="en-US"/>
        </w:rPr>
        <w:t>)</w:t>
      </w:r>
      <w:r w:rsidR="00C473BE">
        <w:rPr>
          <w:rFonts w:ascii="Times New Roman" w:hAnsi="Times New Roman"/>
          <w:szCs w:val="22"/>
          <w:lang w:val="en-US"/>
        </w:rPr>
        <w:t xml:space="preserve"> allowing for reasonable delays due to technology</w:t>
      </w:r>
      <w:r w:rsidR="008B500F">
        <w:rPr>
          <w:rFonts w:ascii="Times New Roman" w:hAnsi="Times New Roman"/>
          <w:szCs w:val="22"/>
          <w:lang w:val="en-US"/>
        </w:rPr>
        <w:t xml:space="preserve"> or the need to pass information between </w:t>
      </w:r>
      <w:r w:rsidR="009B29E3">
        <w:rPr>
          <w:rFonts w:ascii="Times New Roman" w:hAnsi="Times New Roman"/>
          <w:szCs w:val="22"/>
          <w:lang w:val="en-US"/>
        </w:rPr>
        <w:t>CSP</w:t>
      </w:r>
      <w:r w:rsidR="008B500F">
        <w:rPr>
          <w:rFonts w:ascii="Times New Roman" w:hAnsi="Times New Roman"/>
          <w:szCs w:val="22"/>
          <w:lang w:val="en-US"/>
        </w:rPr>
        <w:t>s</w:t>
      </w:r>
      <w:r w:rsidR="00431528">
        <w:rPr>
          <w:rFonts w:ascii="Times New Roman" w:hAnsi="Times New Roman"/>
          <w:szCs w:val="22"/>
          <w:lang w:val="en-US"/>
        </w:rPr>
        <w:t xml:space="preserve"> in the supply chain</w:t>
      </w:r>
      <w:r w:rsidR="00C473BE">
        <w:rPr>
          <w:rFonts w:ascii="Times New Roman" w:hAnsi="Times New Roman"/>
          <w:szCs w:val="22"/>
          <w:lang w:val="en-US"/>
        </w:rPr>
        <w:t xml:space="preserve">.  </w:t>
      </w:r>
    </w:p>
    <w:p w:rsidR="00B07454" w:rsidRDefault="001565A1">
      <w:pPr>
        <w:pStyle w:val="Heading1"/>
        <w:keepLines/>
        <w:suppressAutoHyphens w:val="0"/>
        <w:spacing w:before="480" w:line="360" w:lineRule="auto"/>
        <w:rPr>
          <w:sz w:val="24"/>
          <w:szCs w:val="24"/>
        </w:rPr>
      </w:pPr>
      <w:r>
        <w:rPr>
          <w:sz w:val="24"/>
          <w:szCs w:val="24"/>
        </w:rPr>
        <w:t xml:space="preserve">Clause </w:t>
      </w:r>
      <w:r w:rsidR="001674E0">
        <w:rPr>
          <w:sz w:val="24"/>
          <w:szCs w:val="24"/>
        </w:rPr>
        <w:t>9</w:t>
      </w:r>
      <w:r>
        <w:rPr>
          <w:sz w:val="24"/>
          <w:szCs w:val="24"/>
        </w:rPr>
        <w:t xml:space="preserve"> - </w:t>
      </w:r>
      <w:r w:rsidR="00664C42" w:rsidRPr="009D132F">
        <w:rPr>
          <w:sz w:val="24"/>
          <w:szCs w:val="24"/>
        </w:rPr>
        <w:t>CSPs to make available spend management tools for IMR services</w:t>
      </w:r>
    </w:p>
    <w:p w:rsidR="00B07454" w:rsidRDefault="00154F1D" w:rsidP="00F97A74">
      <w:pPr>
        <w:pStyle w:val="UnnumberedClause"/>
        <w:spacing w:after="0" w:line="360" w:lineRule="auto"/>
        <w:ind w:left="0"/>
        <w:rPr>
          <w:rFonts w:ascii="Times New Roman" w:hAnsi="Times New Roman"/>
          <w:sz w:val="22"/>
        </w:rPr>
      </w:pPr>
      <w:r w:rsidRPr="00C25407">
        <w:rPr>
          <w:rFonts w:ascii="Times New Roman" w:hAnsi="Times New Roman"/>
          <w:sz w:val="22"/>
        </w:rPr>
        <w:t xml:space="preserve">Clause </w:t>
      </w:r>
      <w:r w:rsidR="001674E0">
        <w:rPr>
          <w:rFonts w:ascii="Times New Roman" w:hAnsi="Times New Roman"/>
          <w:sz w:val="22"/>
        </w:rPr>
        <w:t>9</w:t>
      </w:r>
      <w:r w:rsidR="00637092" w:rsidRPr="00C25407">
        <w:rPr>
          <w:rFonts w:ascii="Times New Roman" w:hAnsi="Times New Roman"/>
          <w:sz w:val="22"/>
        </w:rPr>
        <w:t xml:space="preserve"> </w:t>
      </w:r>
      <w:r w:rsidR="00BB06C8">
        <w:rPr>
          <w:rFonts w:ascii="Times New Roman" w:hAnsi="Times New Roman"/>
          <w:sz w:val="22"/>
        </w:rPr>
        <w:t xml:space="preserve">requires </w:t>
      </w:r>
      <w:r w:rsidR="009B29E3" w:rsidRPr="00431528">
        <w:rPr>
          <w:rFonts w:ascii="Times New Roman" w:hAnsi="Times New Roman"/>
          <w:sz w:val="22"/>
        </w:rPr>
        <w:t>CSP</w:t>
      </w:r>
      <w:r w:rsidR="00AD2A98" w:rsidRPr="00431528">
        <w:rPr>
          <w:rFonts w:ascii="Times New Roman" w:hAnsi="Times New Roman"/>
          <w:sz w:val="22"/>
        </w:rPr>
        <w:t xml:space="preserve">s </w:t>
      </w:r>
      <w:r w:rsidR="00431528" w:rsidRPr="00431528">
        <w:rPr>
          <w:rFonts w:ascii="Times New Roman" w:hAnsi="Times New Roman"/>
          <w:sz w:val="22"/>
        </w:rPr>
        <w:t xml:space="preserve">which supply IMR services to customers </w:t>
      </w:r>
      <w:r w:rsidR="00AD2A98" w:rsidRPr="00431528">
        <w:rPr>
          <w:rFonts w:ascii="Times New Roman" w:hAnsi="Times New Roman"/>
          <w:sz w:val="22"/>
        </w:rPr>
        <w:t xml:space="preserve">to make </w:t>
      </w:r>
      <w:r w:rsidR="00637092" w:rsidRPr="00431528">
        <w:rPr>
          <w:rFonts w:ascii="Times New Roman" w:hAnsi="Times New Roman"/>
          <w:sz w:val="22"/>
        </w:rPr>
        <w:t>information</w:t>
      </w:r>
      <w:r w:rsidR="00637092" w:rsidRPr="00C25407">
        <w:rPr>
          <w:rFonts w:ascii="Times New Roman" w:hAnsi="Times New Roman"/>
          <w:sz w:val="22"/>
        </w:rPr>
        <w:t xml:space="preserve"> available </w:t>
      </w:r>
      <w:r w:rsidR="00F95C5B">
        <w:rPr>
          <w:rFonts w:ascii="Times New Roman" w:hAnsi="Times New Roman"/>
          <w:sz w:val="22"/>
        </w:rPr>
        <w:t xml:space="preserve">that allows the customer to monitor their use of </w:t>
      </w:r>
      <w:r w:rsidR="00637092" w:rsidRPr="00C25407">
        <w:rPr>
          <w:rFonts w:ascii="Times New Roman" w:hAnsi="Times New Roman"/>
          <w:sz w:val="22"/>
        </w:rPr>
        <w:t>IMR services</w:t>
      </w:r>
      <w:r w:rsidR="00F95C5B">
        <w:rPr>
          <w:rFonts w:ascii="Times New Roman" w:hAnsi="Times New Roman"/>
          <w:sz w:val="22"/>
        </w:rPr>
        <w:t xml:space="preserve"> and the charges that have been incurred</w:t>
      </w:r>
      <w:r w:rsidR="00637092" w:rsidRPr="00C25407">
        <w:rPr>
          <w:rFonts w:ascii="Times New Roman" w:hAnsi="Times New Roman"/>
          <w:sz w:val="22"/>
        </w:rPr>
        <w:t xml:space="preserve">. </w:t>
      </w:r>
      <w:r w:rsidR="00C25407">
        <w:rPr>
          <w:rFonts w:ascii="Times New Roman" w:hAnsi="Times New Roman"/>
          <w:sz w:val="22"/>
        </w:rPr>
        <w:t xml:space="preserve">Subclause </w:t>
      </w:r>
      <w:r w:rsidR="001674E0">
        <w:rPr>
          <w:rFonts w:ascii="Times New Roman" w:hAnsi="Times New Roman"/>
          <w:sz w:val="22"/>
        </w:rPr>
        <w:t>9</w:t>
      </w:r>
      <w:r w:rsidR="00AD2A98">
        <w:rPr>
          <w:rFonts w:ascii="Times New Roman" w:hAnsi="Times New Roman"/>
          <w:sz w:val="22"/>
        </w:rPr>
        <w:t>(</w:t>
      </w:r>
      <w:r w:rsidR="00C25407">
        <w:rPr>
          <w:rFonts w:ascii="Times New Roman" w:hAnsi="Times New Roman"/>
          <w:sz w:val="22"/>
        </w:rPr>
        <w:t>1</w:t>
      </w:r>
      <w:r w:rsidR="00AD2A98">
        <w:rPr>
          <w:rFonts w:ascii="Times New Roman" w:hAnsi="Times New Roman"/>
          <w:sz w:val="22"/>
        </w:rPr>
        <w:t>)</w:t>
      </w:r>
      <w:r w:rsidR="00C25407">
        <w:rPr>
          <w:rFonts w:ascii="Times New Roman" w:hAnsi="Times New Roman"/>
          <w:sz w:val="22"/>
        </w:rPr>
        <w:t xml:space="preserve"> </w:t>
      </w:r>
      <w:r w:rsidR="00AD2A98">
        <w:rPr>
          <w:rFonts w:ascii="Times New Roman" w:hAnsi="Times New Roman"/>
          <w:sz w:val="22"/>
        </w:rPr>
        <w:t xml:space="preserve">requires </w:t>
      </w:r>
      <w:r w:rsidR="00F95C5B">
        <w:rPr>
          <w:rFonts w:ascii="Times New Roman" w:hAnsi="Times New Roman"/>
          <w:sz w:val="22"/>
        </w:rPr>
        <w:t xml:space="preserve">that </w:t>
      </w:r>
      <w:r w:rsidR="00AD2A98">
        <w:rPr>
          <w:rFonts w:ascii="Times New Roman" w:hAnsi="Times New Roman"/>
          <w:sz w:val="22"/>
        </w:rPr>
        <w:t xml:space="preserve">CSPs provide </w:t>
      </w:r>
      <w:r w:rsidR="00E6252E" w:rsidRPr="00C25407">
        <w:rPr>
          <w:rFonts w:ascii="Times New Roman" w:hAnsi="Times New Roman"/>
          <w:sz w:val="22"/>
        </w:rPr>
        <w:t>customer</w:t>
      </w:r>
      <w:r w:rsidR="00C25407">
        <w:rPr>
          <w:rFonts w:ascii="Times New Roman" w:hAnsi="Times New Roman"/>
          <w:sz w:val="22"/>
        </w:rPr>
        <w:t>s</w:t>
      </w:r>
      <w:r w:rsidR="00E6252E" w:rsidRPr="00C25407">
        <w:rPr>
          <w:rFonts w:ascii="Times New Roman" w:hAnsi="Times New Roman"/>
          <w:sz w:val="22"/>
        </w:rPr>
        <w:t xml:space="preserve"> </w:t>
      </w:r>
      <w:r w:rsidR="00AD2A98">
        <w:rPr>
          <w:rFonts w:ascii="Times New Roman" w:hAnsi="Times New Roman"/>
          <w:sz w:val="22"/>
        </w:rPr>
        <w:t>with</w:t>
      </w:r>
      <w:r w:rsidR="00C25407">
        <w:rPr>
          <w:rFonts w:ascii="Times New Roman" w:hAnsi="Times New Roman"/>
          <w:sz w:val="22"/>
        </w:rPr>
        <w:t xml:space="preserve"> </w:t>
      </w:r>
      <w:r w:rsidR="00E6252E" w:rsidRPr="00C25407">
        <w:rPr>
          <w:rFonts w:ascii="Times New Roman" w:hAnsi="Times New Roman"/>
          <w:sz w:val="22"/>
        </w:rPr>
        <w:t>advi</w:t>
      </w:r>
      <w:r w:rsidR="00C25407">
        <w:rPr>
          <w:rFonts w:ascii="Times New Roman" w:hAnsi="Times New Roman"/>
          <w:sz w:val="22"/>
        </w:rPr>
        <w:t>c</w:t>
      </w:r>
      <w:r w:rsidR="00E6252E" w:rsidRPr="00C25407">
        <w:rPr>
          <w:rFonts w:ascii="Times New Roman" w:hAnsi="Times New Roman"/>
          <w:sz w:val="22"/>
        </w:rPr>
        <w:t xml:space="preserve">e </w:t>
      </w:r>
      <w:r w:rsidR="00AD2A98">
        <w:rPr>
          <w:rFonts w:ascii="Times New Roman" w:hAnsi="Times New Roman"/>
          <w:sz w:val="22"/>
        </w:rPr>
        <w:t>about</w:t>
      </w:r>
      <w:r w:rsidR="00E6252E" w:rsidRPr="00C25407">
        <w:rPr>
          <w:rFonts w:ascii="Times New Roman" w:hAnsi="Times New Roman"/>
          <w:sz w:val="22"/>
        </w:rPr>
        <w:t xml:space="preserve"> the spend management tools available </w:t>
      </w:r>
      <w:r w:rsidR="00F95C5B">
        <w:rPr>
          <w:rFonts w:ascii="Times New Roman" w:hAnsi="Times New Roman"/>
          <w:sz w:val="22"/>
        </w:rPr>
        <w:t xml:space="preserve">in relation to IMR services </w:t>
      </w:r>
      <w:r w:rsidR="00E6252E" w:rsidRPr="00C25407">
        <w:rPr>
          <w:rFonts w:ascii="Times New Roman" w:hAnsi="Times New Roman"/>
          <w:sz w:val="22"/>
        </w:rPr>
        <w:t>prior to entering into a c</w:t>
      </w:r>
      <w:r w:rsidR="002D0D85">
        <w:rPr>
          <w:rFonts w:ascii="Times New Roman" w:hAnsi="Times New Roman"/>
          <w:sz w:val="22"/>
        </w:rPr>
        <w:t>u</w:t>
      </w:r>
      <w:r w:rsidR="00E6252E" w:rsidRPr="00C25407">
        <w:rPr>
          <w:rFonts w:ascii="Times New Roman" w:hAnsi="Times New Roman"/>
          <w:sz w:val="22"/>
        </w:rPr>
        <w:t>st</w:t>
      </w:r>
      <w:r w:rsidR="002D0D85">
        <w:rPr>
          <w:rFonts w:ascii="Times New Roman" w:hAnsi="Times New Roman"/>
          <w:sz w:val="22"/>
        </w:rPr>
        <w:t>o</w:t>
      </w:r>
      <w:r w:rsidR="00E6252E" w:rsidRPr="00C25407">
        <w:rPr>
          <w:rFonts w:ascii="Times New Roman" w:hAnsi="Times New Roman"/>
          <w:sz w:val="22"/>
        </w:rPr>
        <w:t>mer contract</w:t>
      </w:r>
      <w:r w:rsidR="00810077">
        <w:rPr>
          <w:rFonts w:ascii="Times New Roman" w:hAnsi="Times New Roman"/>
          <w:sz w:val="22"/>
        </w:rPr>
        <w:t xml:space="preserve"> which </w:t>
      </w:r>
      <w:r w:rsidR="00431528">
        <w:rPr>
          <w:rFonts w:ascii="Times New Roman" w:hAnsi="Times New Roman"/>
          <w:sz w:val="22"/>
        </w:rPr>
        <w:t>provides</w:t>
      </w:r>
      <w:r w:rsidR="00810077">
        <w:rPr>
          <w:rFonts w:ascii="Times New Roman" w:hAnsi="Times New Roman"/>
          <w:sz w:val="22"/>
        </w:rPr>
        <w:t xml:space="preserve"> for the supply of IMR services</w:t>
      </w:r>
      <w:r w:rsidR="00C25407">
        <w:rPr>
          <w:rFonts w:ascii="Times New Roman" w:hAnsi="Times New Roman"/>
          <w:sz w:val="22"/>
        </w:rPr>
        <w:t xml:space="preserve">. </w:t>
      </w:r>
      <w:r w:rsidR="0053611D">
        <w:rPr>
          <w:rFonts w:ascii="Times New Roman" w:hAnsi="Times New Roman"/>
          <w:sz w:val="22"/>
        </w:rPr>
        <w:t xml:space="preserve">This advice </w:t>
      </w:r>
      <w:r w:rsidR="00F95C5B">
        <w:rPr>
          <w:rFonts w:ascii="Times New Roman" w:hAnsi="Times New Roman"/>
          <w:sz w:val="22"/>
        </w:rPr>
        <w:t xml:space="preserve">must also be provided </w:t>
      </w:r>
      <w:r w:rsidR="0053611D">
        <w:rPr>
          <w:rFonts w:ascii="Times New Roman" w:hAnsi="Times New Roman"/>
          <w:sz w:val="22"/>
        </w:rPr>
        <w:t xml:space="preserve">upon any </w:t>
      </w:r>
      <w:r w:rsidR="00D8507B">
        <w:rPr>
          <w:rFonts w:ascii="Times New Roman" w:hAnsi="Times New Roman"/>
          <w:sz w:val="22"/>
        </w:rPr>
        <w:t>variation</w:t>
      </w:r>
      <w:r w:rsidR="0053611D">
        <w:rPr>
          <w:rFonts w:ascii="Times New Roman" w:hAnsi="Times New Roman"/>
          <w:sz w:val="22"/>
        </w:rPr>
        <w:t xml:space="preserve"> to a customer </w:t>
      </w:r>
      <w:r w:rsidR="0053611D" w:rsidRPr="00431528">
        <w:rPr>
          <w:rFonts w:ascii="Times New Roman" w:hAnsi="Times New Roman"/>
          <w:sz w:val="22"/>
        </w:rPr>
        <w:t>contract</w:t>
      </w:r>
      <w:r w:rsidR="00431528" w:rsidRPr="00431528">
        <w:rPr>
          <w:rFonts w:ascii="Times New Roman" w:hAnsi="Times New Roman"/>
          <w:sz w:val="22"/>
        </w:rPr>
        <w:t xml:space="preserve"> to allow for the supply of IMR services</w:t>
      </w:r>
      <w:r w:rsidR="0053611D" w:rsidRPr="00431528">
        <w:rPr>
          <w:rFonts w:ascii="Times New Roman" w:hAnsi="Times New Roman"/>
          <w:sz w:val="22"/>
        </w:rPr>
        <w:t xml:space="preserve">, and must include </w:t>
      </w:r>
      <w:r w:rsidR="00F95C5B" w:rsidRPr="00431528">
        <w:rPr>
          <w:rFonts w:ascii="Times New Roman" w:hAnsi="Times New Roman"/>
          <w:sz w:val="22"/>
        </w:rPr>
        <w:t xml:space="preserve">information about </w:t>
      </w:r>
      <w:r w:rsidR="006D22E1" w:rsidRPr="00431528">
        <w:rPr>
          <w:rFonts w:ascii="Times New Roman" w:hAnsi="Times New Roman"/>
          <w:sz w:val="22"/>
        </w:rPr>
        <w:t>t</w:t>
      </w:r>
      <w:r w:rsidR="0053611D" w:rsidRPr="00431528">
        <w:rPr>
          <w:rFonts w:ascii="Times New Roman" w:hAnsi="Times New Roman"/>
          <w:sz w:val="22"/>
        </w:rPr>
        <w:t>he methods by which a</w:t>
      </w:r>
      <w:r w:rsidR="0053611D">
        <w:rPr>
          <w:rFonts w:ascii="Times New Roman" w:hAnsi="Times New Roman"/>
          <w:sz w:val="22"/>
        </w:rPr>
        <w:t xml:space="preserve"> customer can </w:t>
      </w:r>
      <w:r w:rsidR="00AD2A98">
        <w:rPr>
          <w:rFonts w:ascii="Times New Roman" w:hAnsi="Times New Roman"/>
          <w:sz w:val="22"/>
        </w:rPr>
        <w:t>make use</w:t>
      </w:r>
      <w:r w:rsidR="0053611D">
        <w:rPr>
          <w:rFonts w:ascii="Times New Roman" w:hAnsi="Times New Roman"/>
          <w:sz w:val="22"/>
        </w:rPr>
        <w:t xml:space="preserve"> of these spend management tools. </w:t>
      </w:r>
    </w:p>
    <w:p w:rsidR="00F97A74" w:rsidRDefault="00F97A74" w:rsidP="00F97A74">
      <w:pPr>
        <w:pStyle w:val="UnnumberedClause"/>
        <w:spacing w:after="0" w:line="360" w:lineRule="auto"/>
        <w:ind w:left="0"/>
        <w:rPr>
          <w:rFonts w:ascii="Times New Roman" w:hAnsi="Times New Roman"/>
          <w:sz w:val="22"/>
        </w:rPr>
      </w:pPr>
    </w:p>
    <w:p w:rsidR="00B07454" w:rsidRDefault="004B4131" w:rsidP="00F97A74">
      <w:pPr>
        <w:pStyle w:val="UnnumberedClause"/>
        <w:spacing w:after="0" w:line="360" w:lineRule="auto"/>
        <w:ind w:left="0"/>
        <w:rPr>
          <w:rFonts w:ascii="Times New Roman" w:hAnsi="Times New Roman"/>
          <w:sz w:val="22"/>
        </w:rPr>
      </w:pPr>
      <w:r>
        <w:rPr>
          <w:rFonts w:ascii="Times New Roman" w:hAnsi="Times New Roman"/>
          <w:sz w:val="22"/>
        </w:rPr>
        <w:t xml:space="preserve">Subclause </w:t>
      </w:r>
      <w:r w:rsidR="001674E0">
        <w:rPr>
          <w:rFonts w:ascii="Times New Roman" w:hAnsi="Times New Roman"/>
          <w:sz w:val="22"/>
        </w:rPr>
        <w:t>9</w:t>
      </w:r>
      <w:r w:rsidR="00AD2A98">
        <w:rPr>
          <w:rFonts w:ascii="Times New Roman" w:hAnsi="Times New Roman"/>
          <w:sz w:val="22"/>
        </w:rPr>
        <w:t>(</w:t>
      </w:r>
      <w:r>
        <w:rPr>
          <w:rFonts w:ascii="Times New Roman" w:hAnsi="Times New Roman"/>
          <w:sz w:val="22"/>
        </w:rPr>
        <w:t>2</w:t>
      </w:r>
      <w:r w:rsidR="00AD2A98">
        <w:rPr>
          <w:rFonts w:ascii="Times New Roman" w:hAnsi="Times New Roman"/>
          <w:sz w:val="22"/>
        </w:rPr>
        <w:t>)</w:t>
      </w:r>
      <w:r>
        <w:rPr>
          <w:rFonts w:ascii="Times New Roman" w:hAnsi="Times New Roman"/>
          <w:sz w:val="22"/>
        </w:rPr>
        <w:t xml:space="preserve"> </w:t>
      </w:r>
      <w:r w:rsidR="00AD2A98">
        <w:rPr>
          <w:rFonts w:ascii="Times New Roman" w:hAnsi="Times New Roman"/>
          <w:sz w:val="22"/>
        </w:rPr>
        <w:t>requires</w:t>
      </w:r>
      <w:r>
        <w:rPr>
          <w:rFonts w:ascii="Times New Roman" w:hAnsi="Times New Roman"/>
          <w:sz w:val="22"/>
        </w:rPr>
        <w:t xml:space="preserve"> </w:t>
      </w:r>
      <w:r w:rsidR="00F95C5B">
        <w:rPr>
          <w:rFonts w:ascii="Times New Roman" w:hAnsi="Times New Roman"/>
          <w:sz w:val="22"/>
        </w:rPr>
        <w:t xml:space="preserve">that </w:t>
      </w:r>
      <w:r w:rsidRPr="00431528">
        <w:rPr>
          <w:rFonts w:ascii="Times New Roman" w:hAnsi="Times New Roman"/>
          <w:sz w:val="22"/>
        </w:rPr>
        <w:t xml:space="preserve">CSPs </w:t>
      </w:r>
      <w:r w:rsidR="00431528" w:rsidRPr="00431528">
        <w:rPr>
          <w:rFonts w:ascii="Times New Roman" w:hAnsi="Times New Roman"/>
          <w:sz w:val="22"/>
        </w:rPr>
        <w:t xml:space="preserve">which supply IMR services to customers make available </w:t>
      </w:r>
      <w:r w:rsidRPr="00431528">
        <w:rPr>
          <w:rFonts w:ascii="Times New Roman" w:hAnsi="Times New Roman"/>
          <w:sz w:val="22"/>
        </w:rPr>
        <w:t>supply</w:t>
      </w:r>
      <w:r>
        <w:rPr>
          <w:rFonts w:ascii="Times New Roman" w:hAnsi="Times New Roman"/>
          <w:sz w:val="22"/>
        </w:rPr>
        <w:t xml:space="preserve"> at least </w:t>
      </w:r>
      <w:r w:rsidR="00136B31">
        <w:rPr>
          <w:rFonts w:ascii="Times New Roman" w:hAnsi="Times New Roman"/>
          <w:sz w:val="22"/>
        </w:rPr>
        <w:t xml:space="preserve">one </w:t>
      </w:r>
      <w:r>
        <w:rPr>
          <w:rFonts w:ascii="Times New Roman" w:hAnsi="Times New Roman"/>
          <w:sz w:val="22"/>
        </w:rPr>
        <w:t>spend management tool to their customers</w:t>
      </w:r>
      <w:r w:rsidR="00136B31">
        <w:rPr>
          <w:rFonts w:ascii="Times New Roman" w:hAnsi="Times New Roman"/>
          <w:sz w:val="22"/>
        </w:rPr>
        <w:t xml:space="preserve"> that provides an estimate of their usage</w:t>
      </w:r>
      <w:r w:rsidR="00F95C5B">
        <w:rPr>
          <w:rFonts w:ascii="Times New Roman" w:hAnsi="Times New Roman"/>
          <w:sz w:val="22"/>
        </w:rPr>
        <w:t xml:space="preserve"> of IMR services</w:t>
      </w:r>
      <w:r w:rsidR="00136B31">
        <w:rPr>
          <w:rFonts w:ascii="Times New Roman" w:hAnsi="Times New Roman"/>
          <w:sz w:val="22"/>
        </w:rPr>
        <w:t>. The ACMA acknowledge</w:t>
      </w:r>
      <w:r w:rsidR="00A81C82">
        <w:rPr>
          <w:rFonts w:ascii="Times New Roman" w:hAnsi="Times New Roman"/>
          <w:sz w:val="22"/>
        </w:rPr>
        <w:t>s</w:t>
      </w:r>
      <w:r w:rsidR="00136B31">
        <w:rPr>
          <w:rFonts w:ascii="Times New Roman" w:hAnsi="Times New Roman"/>
          <w:sz w:val="22"/>
        </w:rPr>
        <w:t xml:space="preserve"> that there may be delays in CSPs receiving data from overseas networks and therefore specifies that in the event of </w:t>
      </w:r>
      <w:r w:rsidR="00217C56">
        <w:rPr>
          <w:rFonts w:ascii="Times New Roman" w:hAnsi="Times New Roman"/>
          <w:sz w:val="22"/>
        </w:rPr>
        <w:t xml:space="preserve"> the current usage estimate</w:t>
      </w:r>
      <w:r w:rsidR="00136B31">
        <w:rPr>
          <w:rFonts w:ascii="Times New Roman" w:hAnsi="Times New Roman"/>
          <w:sz w:val="22"/>
        </w:rPr>
        <w:t xml:space="preserve"> </w:t>
      </w:r>
      <w:r w:rsidR="00217C56">
        <w:rPr>
          <w:rFonts w:ascii="Times New Roman" w:hAnsi="Times New Roman"/>
          <w:sz w:val="22"/>
        </w:rPr>
        <w:t xml:space="preserve">details </w:t>
      </w:r>
      <w:r w:rsidR="00136B31">
        <w:rPr>
          <w:rFonts w:ascii="Times New Roman" w:hAnsi="Times New Roman"/>
          <w:sz w:val="22"/>
        </w:rPr>
        <w:t xml:space="preserve">being unavailable, customers must be informed of these delays and the most up to date </w:t>
      </w:r>
      <w:r w:rsidR="00136B31" w:rsidRPr="00431528">
        <w:rPr>
          <w:rFonts w:ascii="Times New Roman" w:hAnsi="Times New Roman"/>
          <w:sz w:val="22"/>
        </w:rPr>
        <w:t>information</w:t>
      </w:r>
      <w:r w:rsidR="00431528" w:rsidRPr="00431528">
        <w:rPr>
          <w:rFonts w:ascii="Times New Roman" w:hAnsi="Times New Roman"/>
          <w:sz w:val="22"/>
        </w:rPr>
        <w:t xml:space="preserve"> available</w:t>
      </w:r>
      <w:r w:rsidR="00136B31" w:rsidRPr="00431528">
        <w:rPr>
          <w:rFonts w:ascii="Times New Roman" w:hAnsi="Times New Roman"/>
          <w:sz w:val="22"/>
        </w:rPr>
        <w:t xml:space="preserve"> </w:t>
      </w:r>
      <w:r w:rsidR="00AD2A98" w:rsidRPr="00431528">
        <w:rPr>
          <w:rFonts w:ascii="Times New Roman" w:hAnsi="Times New Roman"/>
          <w:sz w:val="22"/>
        </w:rPr>
        <w:t xml:space="preserve">must </w:t>
      </w:r>
      <w:r w:rsidR="00136B31" w:rsidRPr="00431528">
        <w:rPr>
          <w:rFonts w:ascii="Times New Roman" w:hAnsi="Times New Roman"/>
          <w:sz w:val="22"/>
        </w:rPr>
        <w:t>be provided</w:t>
      </w:r>
      <w:r w:rsidR="00136B31">
        <w:rPr>
          <w:rFonts w:ascii="Times New Roman" w:hAnsi="Times New Roman"/>
          <w:sz w:val="22"/>
        </w:rPr>
        <w:t xml:space="preserve"> to them. </w:t>
      </w:r>
    </w:p>
    <w:p w:rsidR="00F97A74" w:rsidRDefault="00F97A74" w:rsidP="00F97A74">
      <w:pPr>
        <w:pStyle w:val="UnnumberedClause"/>
        <w:spacing w:after="0" w:line="360" w:lineRule="auto"/>
        <w:ind w:left="0"/>
        <w:rPr>
          <w:rFonts w:ascii="Times New Roman" w:hAnsi="Times New Roman"/>
          <w:sz w:val="22"/>
        </w:rPr>
      </w:pPr>
    </w:p>
    <w:p w:rsidR="00B07454" w:rsidRDefault="00136B31" w:rsidP="00F97A74">
      <w:pPr>
        <w:pStyle w:val="UnnumberedClause"/>
        <w:spacing w:after="0" w:line="360" w:lineRule="auto"/>
        <w:ind w:left="0"/>
        <w:rPr>
          <w:rFonts w:ascii="Times New Roman" w:hAnsi="Times New Roman"/>
          <w:sz w:val="22"/>
        </w:rPr>
      </w:pPr>
      <w:r>
        <w:rPr>
          <w:rFonts w:ascii="Times New Roman" w:hAnsi="Times New Roman"/>
          <w:sz w:val="22"/>
        </w:rPr>
        <w:t xml:space="preserve">Subclause </w:t>
      </w:r>
      <w:r w:rsidR="001674E0">
        <w:rPr>
          <w:rFonts w:ascii="Times New Roman" w:hAnsi="Times New Roman"/>
          <w:sz w:val="22"/>
        </w:rPr>
        <w:t>9</w:t>
      </w:r>
      <w:r w:rsidR="00AD2A98">
        <w:rPr>
          <w:rFonts w:ascii="Times New Roman" w:hAnsi="Times New Roman"/>
          <w:sz w:val="22"/>
        </w:rPr>
        <w:t>(</w:t>
      </w:r>
      <w:r>
        <w:rPr>
          <w:rFonts w:ascii="Times New Roman" w:hAnsi="Times New Roman"/>
          <w:sz w:val="22"/>
        </w:rPr>
        <w:t>3</w:t>
      </w:r>
      <w:r w:rsidR="00AD2A98">
        <w:rPr>
          <w:rFonts w:ascii="Times New Roman" w:hAnsi="Times New Roman"/>
          <w:sz w:val="22"/>
        </w:rPr>
        <w:t>)</w:t>
      </w:r>
      <w:r>
        <w:rPr>
          <w:rFonts w:ascii="Times New Roman" w:hAnsi="Times New Roman"/>
          <w:sz w:val="22"/>
        </w:rPr>
        <w:t xml:space="preserve"> </w:t>
      </w:r>
      <w:r w:rsidR="00AD2A98">
        <w:rPr>
          <w:rFonts w:ascii="Times New Roman" w:hAnsi="Times New Roman"/>
          <w:sz w:val="22"/>
        </w:rPr>
        <w:t xml:space="preserve">sets out </w:t>
      </w:r>
      <w:r w:rsidR="00F95C5B">
        <w:rPr>
          <w:rFonts w:ascii="Times New Roman" w:hAnsi="Times New Roman"/>
          <w:sz w:val="22"/>
        </w:rPr>
        <w:t xml:space="preserve">additional </w:t>
      </w:r>
      <w:r>
        <w:rPr>
          <w:rFonts w:ascii="Times New Roman" w:hAnsi="Times New Roman"/>
          <w:sz w:val="22"/>
        </w:rPr>
        <w:t>spend management tools</w:t>
      </w:r>
      <w:r w:rsidR="00F95C5B">
        <w:rPr>
          <w:rFonts w:ascii="Times New Roman" w:hAnsi="Times New Roman"/>
          <w:sz w:val="22"/>
        </w:rPr>
        <w:t xml:space="preserve"> that must be supplied by CSPs to their customers (these may be provided in the same tool as </w:t>
      </w:r>
      <w:r w:rsidR="0097368E">
        <w:rPr>
          <w:rFonts w:ascii="Times New Roman" w:hAnsi="Times New Roman"/>
          <w:sz w:val="22"/>
        </w:rPr>
        <w:t>is</w:t>
      </w:r>
      <w:r w:rsidR="00F95C5B">
        <w:rPr>
          <w:rFonts w:ascii="Times New Roman" w:hAnsi="Times New Roman"/>
          <w:sz w:val="22"/>
        </w:rPr>
        <w:t xml:space="preserve"> required by subclause </w:t>
      </w:r>
      <w:r w:rsidR="001674E0">
        <w:rPr>
          <w:rFonts w:ascii="Times New Roman" w:hAnsi="Times New Roman"/>
          <w:sz w:val="22"/>
        </w:rPr>
        <w:t>9</w:t>
      </w:r>
      <w:r w:rsidR="0064315B">
        <w:rPr>
          <w:rFonts w:ascii="Times New Roman" w:hAnsi="Times New Roman"/>
          <w:sz w:val="22"/>
        </w:rPr>
        <w:t>(2)</w:t>
      </w:r>
      <w:r w:rsidR="0097368E">
        <w:rPr>
          <w:rFonts w:ascii="Times New Roman" w:hAnsi="Times New Roman"/>
          <w:sz w:val="22"/>
        </w:rPr>
        <w:t>)</w:t>
      </w:r>
      <w:r>
        <w:rPr>
          <w:rFonts w:ascii="Times New Roman" w:hAnsi="Times New Roman"/>
          <w:sz w:val="22"/>
        </w:rPr>
        <w:t xml:space="preserve">. </w:t>
      </w:r>
      <w:r w:rsidR="0064315B">
        <w:rPr>
          <w:rFonts w:ascii="Times New Roman" w:hAnsi="Times New Roman"/>
          <w:sz w:val="22"/>
        </w:rPr>
        <w:t xml:space="preserve"> </w:t>
      </w:r>
      <w:r w:rsidR="00AD2A98">
        <w:rPr>
          <w:rFonts w:ascii="Times New Roman" w:hAnsi="Times New Roman"/>
          <w:sz w:val="22"/>
        </w:rPr>
        <w:t xml:space="preserve">Paragraphs </w:t>
      </w:r>
      <w:r w:rsidR="001674E0">
        <w:rPr>
          <w:rFonts w:ascii="Times New Roman" w:hAnsi="Times New Roman"/>
          <w:sz w:val="22"/>
        </w:rPr>
        <w:t>9</w:t>
      </w:r>
      <w:r w:rsidR="00AD2A98">
        <w:rPr>
          <w:rFonts w:ascii="Times New Roman" w:hAnsi="Times New Roman"/>
          <w:sz w:val="22"/>
        </w:rPr>
        <w:t>(3)</w:t>
      </w:r>
      <w:r w:rsidR="002D68DF">
        <w:rPr>
          <w:rFonts w:ascii="Times New Roman" w:hAnsi="Times New Roman"/>
          <w:sz w:val="22"/>
        </w:rPr>
        <w:t>(a)</w:t>
      </w:r>
      <w:r w:rsidR="0097368E">
        <w:rPr>
          <w:rFonts w:ascii="Times New Roman" w:hAnsi="Times New Roman"/>
          <w:sz w:val="22"/>
        </w:rPr>
        <w:t xml:space="preserve"> to</w:t>
      </w:r>
      <w:r w:rsidR="002D68DF">
        <w:rPr>
          <w:rFonts w:ascii="Times New Roman" w:hAnsi="Times New Roman"/>
          <w:sz w:val="22"/>
        </w:rPr>
        <w:t xml:space="preserve">(c) </w:t>
      </w:r>
      <w:r w:rsidR="002C56D4">
        <w:rPr>
          <w:rFonts w:ascii="Times New Roman" w:hAnsi="Times New Roman"/>
          <w:sz w:val="22"/>
        </w:rPr>
        <w:t>specif</w:t>
      </w:r>
      <w:r w:rsidR="002D68DF">
        <w:rPr>
          <w:rFonts w:ascii="Times New Roman" w:hAnsi="Times New Roman"/>
          <w:sz w:val="22"/>
        </w:rPr>
        <w:t>y</w:t>
      </w:r>
      <w:r w:rsidR="002C56D4">
        <w:rPr>
          <w:rFonts w:ascii="Times New Roman" w:hAnsi="Times New Roman"/>
          <w:sz w:val="22"/>
        </w:rPr>
        <w:t xml:space="preserve"> different requirements for </w:t>
      </w:r>
      <w:r w:rsidR="00C61311">
        <w:rPr>
          <w:rFonts w:ascii="Times New Roman" w:hAnsi="Times New Roman"/>
          <w:sz w:val="22"/>
        </w:rPr>
        <w:t>th</w:t>
      </w:r>
      <w:r w:rsidR="00217C56">
        <w:rPr>
          <w:rFonts w:ascii="Times New Roman" w:hAnsi="Times New Roman"/>
          <w:sz w:val="22"/>
        </w:rPr>
        <w:t>r</w:t>
      </w:r>
      <w:r w:rsidR="00C61311">
        <w:rPr>
          <w:rFonts w:ascii="Times New Roman" w:hAnsi="Times New Roman"/>
          <w:sz w:val="22"/>
        </w:rPr>
        <w:t>e</w:t>
      </w:r>
      <w:r w:rsidR="00217C56">
        <w:rPr>
          <w:rFonts w:ascii="Times New Roman" w:hAnsi="Times New Roman"/>
          <w:sz w:val="22"/>
        </w:rPr>
        <w:t>e</w:t>
      </w:r>
      <w:r w:rsidR="00C61311">
        <w:rPr>
          <w:rFonts w:ascii="Times New Roman" w:hAnsi="Times New Roman"/>
          <w:sz w:val="22"/>
        </w:rPr>
        <w:t xml:space="preserve"> </w:t>
      </w:r>
      <w:r w:rsidR="002C56D4">
        <w:rPr>
          <w:rFonts w:ascii="Times New Roman" w:hAnsi="Times New Roman"/>
          <w:sz w:val="22"/>
        </w:rPr>
        <w:t>different</w:t>
      </w:r>
      <w:r w:rsidR="00217C56">
        <w:rPr>
          <w:rFonts w:ascii="Times New Roman" w:hAnsi="Times New Roman"/>
          <w:sz w:val="22"/>
        </w:rPr>
        <w:t xml:space="preserve"> classes</w:t>
      </w:r>
      <w:r w:rsidR="00C61311">
        <w:rPr>
          <w:rFonts w:ascii="Times New Roman" w:hAnsi="Times New Roman"/>
          <w:sz w:val="22"/>
        </w:rPr>
        <w:t xml:space="preserve"> </w:t>
      </w:r>
      <w:r w:rsidR="002D68DF">
        <w:rPr>
          <w:rFonts w:ascii="Times New Roman" w:hAnsi="Times New Roman"/>
          <w:sz w:val="22"/>
        </w:rPr>
        <w:t xml:space="preserve">of product </w:t>
      </w:r>
      <w:r w:rsidR="00C61311">
        <w:rPr>
          <w:rFonts w:ascii="Times New Roman" w:hAnsi="Times New Roman"/>
          <w:sz w:val="22"/>
        </w:rPr>
        <w:t>that a customer may be using</w:t>
      </w:r>
      <w:r w:rsidR="00217C56">
        <w:rPr>
          <w:rFonts w:ascii="Times New Roman" w:hAnsi="Times New Roman"/>
          <w:sz w:val="22"/>
        </w:rPr>
        <w:t>, namely a post-paid service, an included value pack and an automatic pre-paid service</w:t>
      </w:r>
      <w:r w:rsidR="00C61311">
        <w:rPr>
          <w:rFonts w:ascii="Times New Roman" w:hAnsi="Times New Roman"/>
          <w:sz w:val="22"/>
        </w:rPr>
        <w:t xml:space="preserve">. Definitions of </w:t>
      </w:r>
      <w:r w:rsidR="002D68DF">
        <w:rPr>
          <w:rFonts w:ascii="Times New Roman" w:hAnsi="Times New Roman"/>
          <w:sz w:val="22"/>
        </w:rPr>
        <w:t>these</w:t>
      </w:r>
      <w:r w:rsidR="00C61311">
        <w:rPr>
          <w:rFonts w:ascii="Times New Roman" w:hAnsi="Times New Roman"/>
          <w:sz w:val="22"/>
        </w:rPr>
        <w:t xml:space="preserve"> products are </w:t>
      </w:r>
      <w:r w:rsidR="00A81C82">
        <w:rPr>
          <w:rFonts w:ascii="Times New Roman" w:hAnsi="Times New Roman"/>
          <w:sz w:val="22"/>
        </w:rPr>
        <w:t>at</w:t>
      </w:r>
      <w:r w:rsidR="00C61311">
        <w:rPr>
          <w:rFonts w:ascii="Times New Roman" w:hAnsi="Times New Roman"/>
          <w:sz w:val="22"/>
        </w:rPr>
        <w:t xml:space="preserve"> </w:t>
      </w:r>
      <w:r w:rsidR="00A81C82">
        <w:rPr>
          <w:rFonts w:ascii="Times New Roman" w:hAnsi="Times New Roman"/>
          <w:sz w:val="22"/>
        </w:rPr>
        <w:t>clause</w:t>
      </w:r>
      <w:r w:rsidR="00C61311">
        <w:rPr>
          <w:rFonts w:ascii="Times New Roman" w:hAnsi="Times New Roman"/>
          <w:sz w:val="22"/>
        </w:rPr>
        <w:t xml:space="preserve"> 3</w:t>
      </w:r>
      <w:r w:rsidR="00A81C82">
        <w:rPr>
          <w:rFonts w:ascii="Times New Roman" w:hAnsi="Times New Roman"/>
          <w:sz w:val="22"/>
        </w:rPr>
        <w:t>.</w:t>
      </w:r>
      <w:r w:rsidR="0064315B">
        <w:rPr>
          <w:rFonts w:ascii="Times New Roman" w:hAnsi="Times New Roman"/>
          <w:sz w:val="22"/>
        </w:rPr>
        <w:t xml:space="preserve">  The requirements in all cases result in SMS notifications to a customer upon reaching certain spending thresholds.</w:t>
      </w:r>
    </w:p>
    <w:p w:rsidR="00F97A74" w:rsidRDefault="00F97A74" w:rsidP="00F97A74">
      <w:pPr>
        <w:pStyle w:val="UnnumberedClause"/>
        <w:spacing w:after="0" w:line="360" w:lineRule="auto"/>
        <w:ind w:left="0"/>
        <w:rPr>
          <w:rFonts w:ascii="Times New Roman" w:hAnsi="Times New Roman"/>
          <w:sz w:val="22"/>
        </w:rPr>
      </w:pPr>
    </w:p>
    <w:p w:rsidR="00B07454" w:rsidRDefault="00217C56" w:rsidP="00F97A74">
      <w:pPr>
        <w:pStyle w:val="UnnumberedClause"/>
        <w:spacing w:after="0" w:line="360" w:lineRule="auto"/>
        <w:ind w:left="0"/>
        <w:rPr>
          <w:rFonts w:ascii="Times New Roman" w:hAnsi="Times New Roman"/>
          <w:sz w:val="22"/>
        </w:rPr>
      </w:pPr>
      <w:r>
        <w:rPr>
          <w:rFonts w:ascii="Times New Roman" w:hAnsi="Times New Roman"/>
          <w:sz w:val="22"/>
        </w:rPr>
        <w:t xml:space="preserve">Subclause </w:t>
      </w:r>
      <w:r w:rsidR="001674E0">
        <w:rPr>
          <w:rFonts w:ascii="Times New Roman" w:hAnsi="Times New Roman"/>
          <w:sz w:val="22"/>
        </w:rPr>
        <w:t>9</w:t>
      </w:r>
      <w:r w:rsidR="002D68DF">
        <w:rPr>
          <w:rFonts w:ascii="Times New Roman" w:hAnsi="Times New Roman"/>
          <w:sz w:val="22"/>
        </w:rPr>
        <w:t>(</w:t>
      </w:r>
      <w:r>
        <w:rPr>
          <w:rFonts w:ascii="Times New Roman" w:hAnsi="Times New Roman"/>
          <w:sz w:val="22"/>
        </w:rPr>
        <w:t>4</w:t>
      </w:r>
      <w:r w:rsidR="002D68DF">
        <w:rPr>
          <w:rFonts w:ascii="Times New Roman" w:hAnsi="Times New Roman"/>
          <w:sz w:val="22"/>
        </w:rPr>
        <w:t>)</w:t>
      </w:r>
      <w:r>
        <w:rPr>
          <w:rFonts w:ascii="Times New Roman" w:hAnsi="Times New Roman"/>
          <w:sz w:val="22"/>
        </w:rPr>
        <w:t xml:space="preserve"> </w:t>
      </w:r>
      <w:r w:rsidRPr="00431528">
        <w:rPr>
          <w:rFonts w:ascii="Times New Roman" w:hAnsi="Times New Roman"/>
          <w:sz w:val="22"/>
        </w:rPr>
        <w:t>exempt</w:t>
      </w:r>
      <w:r w:rsidR="0064315B" w:rsidRPr="00431528">
        <w:rPr>
          <w:rFonts w:ascii="Times New Roman" w:hAnsi="Times New Roman"/>
          <w:sz w:val="22"/>
        </w:rPr>
        <w:t>s</w:t>
      </w:r>
      <w:r w:rsidRPr="00431528">
        <w:rPr>
          <w:rFonts w:ascii="Times New Roman" w:hAnsi="Times New Roman"/>
          <w:sz w:val="22"/>
        </w:rPr>
        <w:t xml:space="preserve"> </w:t>
      </w:r>
      <w:r w:rsidR="00431528" w:rsidRPr="00431528">
        <w:rPr>
          <w:rFonts w:ascii="Times New Roman" w:hAnsi="Times New Roman"/>
          <w:sz w:val="22"/>
        </w:rPr>
        <w:t xml:space="preserve">CSPs from the requirement to provide the spending management tool in respect of </w:t>
      </w:r>
      <w:r w:rsidRPr="00431528">
        <w:rPr>
          <w:rFonts w:ascii="Times New Roman" w:hAnsi="Times New Roman"/>
          <w:sz w:val="22"/>
        </w:rPr>
        <w:t xml:space="preserve">included value packs </w:t>
      </w:r>
      <w:r w:rsidR="00431528">
        <w:rPr>
          <w:rFonts w:ascii="Times New Roman" w:hAnsi="Times New Roman"/>
          <w:sz w:val="22"/>
        </w:rPr>
        <w:t>set out in</w:t>
      </w:r>
      <w:r w:rsidR="00317022" w:rsidRPr="00431528">
        <w:rPr>
          <w:rFonts w:ascii="Times New Roman" w:hAnsi="Times New Roman"/>
          <w:sz w:val="22"/>
        </w:rPr>
        <w:t xml:space="preserve"> subclause </w:t>
      </w:r>
      <w:r w:rsidR="001674E0" w:rsidRPr="00431528">
        <w:rPr>
          <w:rFonts w:ascii="Times New Roman" w:hAnsi="Times New Roman"/>
          <w:sz w:val="22"/>
        </w:rPr>
        <w:t>9</w:t>
      </w:r>
      <w:r w:rsidR="00A81C82" w:rsidRPr="00431528">
        <w:rPr>
          <w:rFonts w:ascii="Times New Roman" w:hAnsi="Times New Roman"/>
          <w:sz w:val="22"/>
        </w:rPr>
        <w:t>(</w:t>
      </w:r>
      <w:r w:rsidR="00317022" w:rsidRPr="00431528">
        <w:rPr>
          <w:rFonts w:ascii="Times New Roman" w:hAnsi="Times New Roman"/>
          <w:sz w:val="22"/>
        </w:rPr>
        <w:t>3</w:t>
      </w:r>
      <w:r w:rsidR="00A81C82" w:rsidRPr="00431528">
        <w:rPr>
          <w:rFonts w:ascii="Times New Roman" w:hAnsi="Times New Roman"/>
          <w:sz w:val="22"/>
        </w:rPr>
        <w:t>)</w:t>
      </w:r>
      <w:r w:rsidR="00317022" w:rsidRPr="00431528">
        <w:rPr>
          <w:rFonts w:ascii="Times New Roman" w:hAnsi="Times New Roman"/>
          <w:sz w:val="22"/>
        </w:rPr>
        <w:t xml:space="preserve"> where they form</w:t>
      </w:r>
      <w:r>
        <w:rPr>
          <w:rFonts w:ascii="Times New Roman" w:hAnsi="Times New Roman"/>
          <w:sz w:val="22"/>
        </w:rPr>
        <w:t xml:space="preserve"> part of an included value plan that was available to customers prior to 1 March 2012.</w:t>
      </w:r>
      <w:r w:rsidR="00491588">
        <w:rPr>
          <w:rFonts w:ascii="Times New Roman" w:hAnsi="Times New Roman"/>
          <w:sz w:val="22"/>
        </w:rPr>
        <w:t xml:space="preserve"> This aligns the IMR Standard with the provisions in the TCP Code.</w:t>
      </w:r>
    </w:p>
    <w:p w:rsidR="00F97A74" w:rsidRDefault="00F97A74" w:rsidP="00F97A74">
      <w:pPr>
        <w:pStyle w:val="UnnumberedClause"/>
        <w:spacing w:after="0" w:line="360" w:lineRule="auto"/>
        <w:ind w:left="0"/>
        <w:rPr>
          <w:rFonts w:ascii="Times New Roman" w:hAnsi="Times New Roman"/>
          <w:sz w:val="22"/>
        </w:rPr>
      </w:pPr>
    </w:p>
    <w:p w:rsidR="00B07454" w:rsidRDefault="00F9719F" w:rsidP="00F97A74">
      <w:pPr>
        <w:pStyle w:val="UnnumberedClause"/>
        <w:spacing w:after="0" w:line="360" w:lineRule="auto"/>
        <w:ind w:left="0"/>
        <w:rPr>
          <w:rFonts w:ascii="Times New Roman" w:hAnsi="Times New Roman"/>
          <w:sz w:val="22"/>
        </w:rPr>
      </w:pPr>
      <w:r>
        <w:rPr>
          <w:rFonts w:ascii="Times New Roman" w:hAnsi="Times New Roman"/>
          <w:sz w:val="22"/>
        </w:rPr>
        <w:t xml:space="preserve">Subclause </w:t>
      </w:r>
      <w:r w:rsidR="00161582">
        <w:rPr>
          <w:rFonts w:ascii="Times New Roman" w:hAnsi="Times New Roman"/>
          <w:sz w:val="22"/>
        </w:rPr>
        <w:t>9</w:t>
      </w:r>
      <w:r w:rsidR="002D68DF">
        <w:rPr>
          <w:rFonts w:ascii="Times New Roman" w:hAnsi="Times New Roman"/>
          <w:sz w:val="22"/>
        </w:rPr>
        <w:t>(</w:t>
      </w:r>
      <w:r w:rsidR="00217C56">
        <w:rPr>
          <w:rFonts w:ascii="Times New Roman" w:hAnsi="Times New Roman"/>
          <w:sz w:val="22"/>
        </w:rPr>
        <w:t>5</w:t>
      </w:r>
      <w:r w:rsidR="002D68DF">
        <w:rPr>
          <w:rFonts w:ascii="Times New Roman" w:hAnsi="Times New Roman"/>
          <w:sz w:val="22"/>
        </w:rPr>
        <w:t>)</w:t>
      </w:r>
      <w:r>
        <w:rPr>
          <w:rFonts w:ascii="Times New Roman" w:hAnsi="Times New Roman"/>
          <w:sz w:val="22"/>
        </w:rPr>
        <w:t xml:space="preserve"> </w:t>
      </w:r>
      <w:r w:rsidR="002D68DF">
        <w:rPr>
          <w:rFonts w:ascii="Times New Roman" w:hAnsi="Times New Roman"/>
          <w:sz w:val="22"/>
        </w:rPr>
        <w:t xml:space="preserve">requires </w:t>
      </w:r>
      <w:r w:rsidR="0064315B">
        <w:rPr>
          <w:rFonts w:ascii="Times New Roman" w:hAnsi="Times New Roman"/>
          <w:sz w:val="22"/>
        </w:rPr>
        <w:t xml:space="preserve">that CSPs inform </w:t>
      </w:r>
      <w:r w:rsidR="002D68DF">
        <w:rPr>
          <w:rFonts w:ascii="Times New Roman" w:hAnsi="Times New Roman"/>
          <w:sz w:val="22"/>
        </w:rPr>
        <w:t xml:space="preserve">customers </w:t>
      </w:r>
      <w:r w:rsidR="0064315B">
        <w:rPr>
          <w:rFonts w:ascii="Times New Roman" w:hAnsi="Times New Roman"/>
          <w:sz w:val="22"/>
        </w:rPr>
        <w:t xml:space="preserve">with an included value pack </w:t>
      </w:r>
      <w:r w:rsidR="002D68DF">
        <w:rPr>
          <w:rFonts w:ascii="Times New Roman" w:hAnsi="Times New Roman"/>
          <w:sz w:val="22"/>
        </w:rPr>
        <w:t xml:space="preserve">of the </w:t>
      </w:r>
      <w:r w:rsidR="0064315B">
        <w:rPr>
          <w:rFonts w:ascii="Times New Roman" w:hAnsi="Times New Roman"/>
          <w:sz w:val="22"/>
        </w:rPr>
        <w:t xml:space="preserve">maximum charge information that will apply </w:t>
      </w:r>
      <w:r w:rsidR="002D68DF">
        <w:rPr>
          <w:rFonts w:ascii="Times New Roman" w:hAnsi="Times New Roman"/>
          <w:sz w:val="22"/>
        </w:rPr>
        <w:t>if the</w:t>
      </w:r>
      <w:r w:rsidR="0064315B">
        <w:rPr>
          <w:rFonts w:ascii="Times New Roman" w:hAnsi="Times New Roman"/>
          <w:sz w:val="22"/>
        </w:rPr>
        <w:t xml:space="preserve"> customer</w:t>
      </w:r>
      <w:r w:rsidR="002D68DF">
        <w:rPr>
          <w:rFonts w:ascii="Times New Roman" w:hAnsi="Times New Roman"/>
          <w:sz w:val="22"/>
        </w:rPr>
        <w:t xml:space="preserve"> continue</w:t>
      </w:r>
      <w:r w:rsidR="0064315B">
        <w:rPr>
          <w:rFonts w:ascii="Times New Roman" w:hAnsi="Times New Roman"/>
          <w:sz w:val="22"/>
        </w:rPr>
        <w:t>s</w:t>
      </w:r>
      <w:r w:rsidR="002D68DF">
        <w:rPr>
          <w:rFonts w:ascii="Times New Roman" w:hAnsi="Times New Roman"/>
          <w:sz w:val="22"/>
        </w:rPr>
        <w:t xml:space="preserve"> to use IMR services after the</w:t>
      </w:r>
      <w:r>
        <w:rPr>
          <w:rFonts w:ascii="Times New Roman" w:hAnsi="Times New Roman"/>
          <w:sz w:val="22"/>
        </w:rPr>
        <w:t xml:space="preserve"> exhaust</w:t>
      </w:r>
      <w:r w:rsidR="002D68DF">
        <w:rPr>
          <w:rFonts w:ascii="Times New Roman" w:hAnsi="Times New Roman"/>
          <w:sz w:val="22"/>
        </w:rPr>
        <w:t>ion</w:t>
      </w:r>
      <w:r>
        <w:rPr>
          <w:rFonts w:ascii="Times New Roman" w:hAnsi="Times New Roman"/>
          <w:sz w:val="22"/>
        </w:rPr>
        <w:t xml:space="preserve"> of their included value pack</w:t>
      </w:r>
      <w:r w:rsidR="002D68DF">
        <w:rPr>
          <w:rFonts w:ascii="Times New Roman" w:hAnsi="Times New Roman"/>
          <w:sz w:val="22"/>
        </w:rPr>
        <w:t>.</w:t>
      </w:r>
      <w:r>
        <w:rPr>
          <w:rFonts w:ascii="Times New Roman" w:hAnsi="Times New Roman"/>
          <w:sz w:val="22"/>
        </w:rPr>
        <w:t xml:space="preserve"> </w:t>
      </w:r>
      <w:r w:rsidR="00E051CB">
        <w:rPr>
          <w:rFonts w:ascii="Times New Roman" w:hAnsi="Times New Roman"/>
          <w:sz w:val="22"/>
        </w:rPr>
        <w:t xml:space="preserve"> This information must be supplied when the customer is given the notification required to be given to them under subclause </w:t>
      </w:r>
      <w:r w:rsidR="001674E0">
        <w:rPr>
          <w:rFonts w:ascii="Times New Roman" w:hAnsi="Times New Roman"/>
          <w:sz w:val="22"/>
        </w:rPr>
        <w:t>9</w:t>
      </w:r>
      <w:r w:rsidR="00E051CB">
        <w:rPr>
          <w:rFonts w:ascii="Times New Roman" w:hAnsi="Times New Roman"/>
          <w:sz w:val="22"/>
        </w:rPr>
        <w:t>(3) when the customer reaches 100% of the included value of their included value pack.</w:t>
      </w:r>
    </w:p>
    <w:p w:rsidR="00F97A74" w:rsidRDefault="00F97A74" w:rsidP="00F97A74">
      <w:pPr>
        <w:pStyle w:val="UnnumberedClause"/>
        <w:spacing w:after="0" w:line="360" w:lineRule="auto"/>
        <w:ind w:left="0"/>
        <w:rPr>
          <w:rFonts w:ascii="Times New Roman" w:hAnsi="Times New Roman"/>
          <w:sz w:val="22"/>
        </w:rPr>
      </w:pPr>
    </w:p>
    <w:p w:rsidR="00B07454" w:rsidRDefault="002D68DF" w:rsidP="00F97A74">
      <w:pPr>
        <w:pStyle w:val="UnnumberedClause"/>
        <w:spacing w:after="0" w:line="360" w:lineRule="auto"/>
        <w:ind w:left="0"/>
        <w:rPr>
          <w:rFonts w:ascii="Times New Roman" w:hAnsi="Times New Roman"/>
          <w:sz w:val="22"/>
          <w:szCs w:val="22"/>
        </w:rPr>
      </w:pPr>
      <w:r>
        <w:rPr>
          <w:rFonts w:ascii="Times New Roman" w:hAnsi="Times New Roman"/>
          <w:sz w:val="22"/>
        </w:rPr>
        <w:t xml:space="preserve">Subclause </w:t>
      </w:r>
      <w:r w:rsidR="001674E0">
        <w:rPr>
          <w:rFonts w:ascii="Times New Roman" w:hAnsi="Times New Roman"/>
          <w:sz w:val="22"/>
        </w:rPr>
        <w:t>9</w:t>
      </w:r>
      <w:r>
        <w:rPr>
          <w:rFonts w:ascii="Times New Roman" w:hAnsi="Times New Roman"/>
          <w:sz w:val="22"/>
        </w:rPr>
        <w:t xml:space="preserve">(6) requires the notifications </w:t>
      </w:r>
      <w:r w:rsidR="00431528">
        <w:rPr>
          <w:rFonts w:ascii="Times New Roman" w:hAnsi="Times New Roman"/>
          <w:sz w:val="22"/>
        </w:rPr>
        <w:t xml:space="preserve">required under </w:t>
      </w:r>
      <w:r>
        <w:rPr>
          <w:rFonts w:ascii="Times New Roman" w:hAnsi="Times New Roman"/>
          <w:sz w:val="22"/>
        </w:rPr>
        <w:t xml:space="preserve">subclause </w:t>
      </w:r>
      <w:r w:rsidR="00161582">
        <w:rPr>
          <w:rFonts w:ascii="Times New Roman" w:hAnsi="Times New Roman"/>
          <w:sz w:val="22"/>
        </w:rPr>
        <w:t>9</w:t>
      </w:r>
      <w:r>
        <w:rPr>
          <w:rFonts w:ascii="Times New Roman" w:hAnsi="Times New Roman"/>
          <w:sz w:val="22"/>
        </w:rPr>
        <w:t xml:space="preserve">(3) to be sent to customers in the form </w:t>
      </w:r>
      <w:r w:rsidRPr="00E051CB">
        <w:rPr>
          <w:rFonts w:ascii="Times New Roman" w:hAnsi="Times New Roman"/>
          <w:sz w:val="22"/>
          <w:szCs w:val="22"/>
        </w:rPr>
        <w:t>of an SMS</w:t>
      </w:r>
      <w:r w:rsidR="00E051CB" w:rsidRPr="00E051CB">
        <w:rPr>
          <w:rFonts w:ascii="Times New Roman" w:hAnsi="Times New Roman"/>
          <w:sz w:val="22"/>
          <w:szCs w:val="22"/>
        </w:rPr>
        <w:t xml:space="preserve"> message</w:t>
      </w:r>
      <w:r w:rsidRPr="00E051CB">
        <w:rPr>
          <w:rFonts w:ascii="Times New Roman" w:hAnsi="Times New Roman"/>
          <w:sz w:val="22"/>
          <w:szCs w:val="22"/>
        </w:rPr>
        <w:t>.</w:t>
      </w:r>
    </w:p>
    <w:p w:rsidR="00F97A74" w:rsidRDefault="00F97A74" w:rsidP="00F97A74">
      <w:pPr>
        <w:pStyle w:val="UnnumberedClause"/>
        <w:spacing w:after="0" w:line="360" w:lineRule="auto"/>
        <w:ind w:left="0"/>
        <w:rPr>
          <w:rFonts w:ascii="Times New Roman" w:hAnsi="Times New Roman"/>
          <w:sz w:val="22"/>
          <w:szCs w:val="22"/>
        </w:rPr>
      </w:pPr>
    </w:p>
    <w:p w:rsidR="00B07454" w:rsidRDefault="00E051CB" w:rsidP="00F97A74">
      <w:pPr>
        <w:pStyle w:val="UnnumberedClause"/>
        <w:spacing w:after="0" w:line="360" w:lineRule="auto"/>
        <w:ind w:left="0"/>
        <w:rPr>
          <w:rFonts w:ascii="Times New Roman" w:hAnsi="Times New Roman"/>
          <w:sz w:val="22"/>
        </w:rPr>
      </w:pPr>
      <w:r w:rsidRPr="00E051CB">
        <w:rPr>
          <w:rFonts w:ascii="Times New Roman" w:hAnsi="Times New Roman"/>
          <w:sz w:val="22"/>
          <w:szCs w:val="22"/>
        </w:rPr>
        <w:t xml:space="preserve">Subclause </w:t>
      </w:r>
      <w:r w:rsidR="001674E0">
        <w:rPr>
          <w:rFonts w:ascii="Times New Roman" w:hAnsi="Times New Roman"/>
          <w:sz w:val="22"/>
          <w:szCs w:val="22"/>
        </w:rPr>
        <w:t>9</w:t>
      </w:r>
      <w:r w:rsidRPr="00E051CB">
        <w:rPr>
          <w:rFonts w:ascii="Times New Roman" w:hAnsi="Times New Roman"/>
          <w:sz w:val="22"/>
          <w:szCs w:val="22"/>
        </w:rPr>
        <w:t>(</w:t>
      </w:r>
      <w:r>
        <w:rPr>
          <w:rFonts w:ascii="Times New Roman" w:hAnsi="Times New Roman"/>
          <w:sz w:val="22"/>
          <w:szCs w:val="22"/>
        </w:rPr>
        <w:t>7</w:t>
      </w:r>
      <w:r w:rsidRPr="00E051CB">
        <w:rPr>
          <w:rFonts w:ascii="Times New Roman" w:hAnsi="Times New Roman"/>
          <w:sz w:val="22"/>
          <w:szCs w:val="22"/>
        </w:rPr>
        <w:t xml:space="preserve">) imposes a general requirement on all </w:t>
      </w:r>
      <w:r w:rsidRPr="00431528">
        <w:rPr>
          <w:rFonts w:ascii="Times New Roman" w:hAnsi="Times New Roman"/>
          <w:sz w:val="22"/>
          <w:szCs w:val="22"/>
        </w:rPr>
        <w:t xml:space="preserve">CSPs </w:t>
      </w:r>
      <w:r w:rsidR="00431528" w:rsidRPr="00431528">
        <w:rPr>
          <w:rFonts w:ascii="Times New Roman" w:hAnsi="Times New Roman"/>
          <w:sz w:val="22"/>
          <w:szCs w:val="22"/>
        </w:rPr>
        <w:t xml:space="preserve">to take reasonable steps </w:t>
      </w:r>
      <w:r w:rsidRPr="00431528">
        <w:rPr>
          <w:rFonts w:ascii="Times New Roman" w:hAnsi="Times New Roman"/>
          <w:sz w:val="22"/>
          <w:szCs w:val="22"/>
        </w:rPr>
        <w:t>to provide such</w:t>
      </w:r>
      <w:r w:rsidRPr="00E051CB">
        <w:rPr>
          <w:rFonts w:ascii="Times New Roman" w:hAnsi="Times New Roman"/>
          <w:sz w:val="22"/>
          <w:szCs w:val="22"/>
        </w:rPr>
        <w:t xml:space="preserve"> information as is reasonably required to enable each other CSP to </w:t>
      </w:r>
      <w:r>
        <w:rPr>
          <w:rFonts w:ascii="Times New Roman" w:hAnsi="Times New Roman"/>
          <w:sz w:val="22"/>
          <w:szCs w:val="22"/>
        </w:rPr>
        <w:t xml:space="preserve">supply to its customers the spend management tools described in subclauses </w:t>
      </w:r>
      <w:r w:rsidR="001674E0">
        <w:rPr>
          <w:rFonts w:ascii="Times New Roman" w:hAnsi="Times New Roman"/>
          <w:sz w:val="22"/>
          <w:szCs w:val="22"/>
        </w:rPr>
        <w:t>9</w:t>
      </w:r>
      <w:r>
        <w:rPr>
          <w:rFonts w:ascii="Times New Roman" w:hAnsi="Times New Roman"/>
          <w:sz w:val="22"/>
          <w:szCs w:val="22"/>
        </w:rPr>
        <w:t xml:space="preserve">(2) and </w:t>
      </w:r>
      <w:r w:rsidR="00161582">
        <w:rPr>
          <w:rFonts w:ascii="Times New Roman" w:hAnsi="Times New Roman"/>
          <w:sz w:val="22"/>
          <w:szCs w:val="22"/>
        </w:rPr>
        <w:t>9</w:t>
      </w:r>
      <w:r>
        <w:rPr>
          <w:rFonts w:ascii="Times New Roman" w:hAnsi="Times New Roman"/>
          <w:sz w:val="22"/>
          <w:szCs w:val="22"/>
        </w:rPr>
        <w:t>(3)</w:t>
      </w:r>
      <w:r w:rsidRPr="00E051CB">
        <w:rPr>
          <w:rFonts w:ascii="Times New Roman" w:hAnsi="Times New Roman"/>
          <w:sz w:val="22"/>
          <w:szCs w:val="22"/>
        </w:rPr>
        <w:t xml:space="preserve">.  This provision recognises that the supply of IMR services to a customer </w:t>
      </w:r>
      <w:r>
        <w:rPr>
          <w:rFonts w:ascii="Times New Roman" w:hAnsi="Times New Roman"/>
          <w:sz w:val="22"/>
          <w:szCs w:val="22"/>
        </w:rPr>
        <w:t xml:space="preserve">may be facilitated through </w:t>
      </w:r>
      <w:r w:rsidR="00DC5101">
        <w:rPr>
          <w:rFonts w:ascii="Times New Roman" w:hAnsi="Times New Roman"/>
          <w:sz w:val="22"/>
          <w:szCs w:val="22"/>
        </w:rPr>
        <w:t xml:space="preserve">a chain of CSPs, and that information required for the customer to be able to monitor their usage and the charges that will apply to them may depend on the timely provision of usage and charging information from one CSP to another. </w:t>
      </w:r>
      <w:r w:rsidRPr="00E051CB">
        <w:rPr>
          <w:rFonts w:ascii="Times New Roman" w:hAnsi="Times New Roman"/>
          <w:sz w:val="22"/>
          <w:szCs w:val="22"/>
        </w:rPr>
        <w:t xml:space="preserve"> </w:t>
      </w:r>
      <w:r w:rsidR="00E23D14">
        <w:rPr>
          <w:rFonts w:ascii="Times New Roman" w:hAnsi="Times New Roman"/>
          <w:sz w:val="22"/>
        </w:rPr>
        <w:t xml:space="preserve">Subclause </w:t>
      </w:r>
      <w:r w:rsidR="001674E0">
        <w:rPr>
          <w:rFonts w:ascii="Times New Roman" w:hAnsi="Times New Roman"/>
          <w:sz w:val="22"/>
        </w:rPr>
        <w:t>9</w:t>
      </w:r>
      <w:r w:rsidR="002D68DF">
        <w:rPr>
          <w:rFonts w:ascii="Times New Roman" w:hAnsi="Times New Roman"/>
          <w:sz w:val="22"/>
        </w:rPr>
        <w:t>(</w:t>
      </w:r>
      <w:r w:rsidR="004734B6">
        <w:rPr>
          <w:rFonts w:ascii="Times New Roman" w:hAnsi="Times New Roman"/>
          <w:sz w:val="22"/>
        </w:rPr>
        <w:t>7</w:t>
      </w:r>
      <w:r w:rsidR="002D68DF">
        <w:rPr>
          <w:rFonts w:ascii="Times New Roman" w:hAnsi="Times New Roman"/>
          <w:sz w:val="22"/>
        </w:rPr>
        <w:t>)</w:t>
      </w:r>
      <w:r w:rsidR="00E23D14">
        <w:rPr>
          <w:rFonts w:ascii="Times New Roman" w:hAnsi="Times New Roman"/>
          <w:sz w:val="22"/>
        </w:rPr>
        <w:t xml:space="preserve"> </w:t>
      </w:r>
      <w:r w:rsidR="00DC5101">
        <w:rPr>
          <w:rFonts w:ascii="Times New Roman" w:hAnsi="Times New Roman"/>
          <w:sz w:val="22"/>
        </w:rPr>
        <w:t xml:space="preserve">makes it clear that </w:t>
      </w:r>
      <w:r w:rsidR="00834518">
        <w:rPr>
          <w:rFonts w:ascii="Times New Roman" w:hAnsi="Times New Roman"/>
          <w:bCs/>
          <w:sz w:val="22"/>
          <w:lang w:val="en-AU"/>
        </w:rPr>
        <w:t xml:space="preserve">CSPs </w:t>
      </w:r>
      <w:r w:rsidR="00DC5101">
        <w:rPr>
          <w:rFonts w:ascii="Times New Roman" w:hAnsi="Times New Roman"/>
          <w:bCs/>
          <w:sz w:val="22"/>
          <w:lang w:val="en-AU"/>
        </w:rPr>
        <w:t xml:space="preserve">must pass on relevant information in a timely manner that will enable other CSPs </w:t>
      </w:r>
      <w:r w:rsidR="00834518">
        <w:rPr>
          <w:rFonts w:ascii="Times New Roman" w:hAnsi="Times New Roman"/>
          <w:bCs/>
          <w:sz w:val="22"/>
          <w:lang w:val="en-AU"/>
        </w:rPr>
        <w:t xml:space="preserve">to provide the usage </w:t>
      </w:r>
      <w:r w:rsidR="00DC5101">
        <w:rPr>
          <w:rFonts w:ascii="Times New Roman" w:hAnsi="Times New Roman"/>
          <w:bCs/>
          <w:sz w:val="22"/>
          <w:lang w:val="en-AU"/>
        </w:rPr>
        <w:t xml:space="preserve">information and </w:t>
      </w:r>
      <w:r w:rsidR="00834518">
        <w:rPr>
          <w:rFonts w:ascii="Times New Roman" w:hAnsi="Times New Roman"/>
          <w:bCs/>
          <w:sz w:val="22"/>
          <w:lang w:val="en-AU"/>
        </w:rPr>
        <w:t xml:space="preserve">alerts described in subclauses </w:t>
      </w:r>
      <w:r w:rsidR="001674E0">
        <w:rPr>
          <w:rFonts w:ascii="Times New Roman" w:hAnsi="Times New Roman"/>
          <w:bCs/>
          <w:sz w:val="22"/>
          <w:lang w:val="en-AU"/>
        </w:rPr>
        <w:t>9</w:t>
      </w:r>
      <w:r w:rsidR="00834518">
        <w:rPr>
          <w:rFonts w:ascii="Times New Roman" w:hAnsi="Times New Roman"/>
          <w:bCs/>
          <w:sz w:val="22"/>
          <w:lang w:val="en-AU"/>
        </w:rPr>
        <w:t xml:space="preserve">(2) and </w:t>
      </w:r>
      <w:r w:rsidR="001674E0">
        <w:rPr>
          <w:rFonts w:ascii="Times New Roman" w:hAnsi="Times New Roman"/>
          <w:bCs/>
          <w:sz w:val="22"/>
          <w:lang w:val="en-AU"/>
        </w:rPr>
        <w:t>9</w:t>
      </w:r>
      <w:r w:rsidR="00834518">
        <w:rPr>
          <w:rFonts w:ascii="Times New Roman" w:hAnsi="Times New Roman"/>
          <w:bCs/>
          <w:sz w:val="22"/>
          <w:lang w:val="en-AU"/>
        </w:rPr>
        <w:t xml:space="preserve">(3). </w:t>
      </w:r>
      <w:r w:rsidR="00DC5101">
        <w:rPr>
          <w:rFonts w:ascii="Times New Roman" w:hAnsi="Times New Roman"/>
          <w:bCs/>
          <w:sz w:val="22"/>
          <w:lang w:val="en-AU"/>
        </w:rPr>
        <w:t>T</w:t>
      </w:r>
      <w:r w:rsidR="00834518" w:rsidRPr="00834518">
        <w:rPr>
          <w:rFonts w:ascii="Times New Roman" w:hAnsi="Times New Roman"/>
          <w:bCs/>
          <w:sz w:val="22"/>
          <w:lang w:val="en-AU"/>
        </w:rPr>
        <w:t xml:space="preserve">he intention is for </w:t>
      </w:r>
      <w:r w:rsidR="00834518">
        <w:rPr>
          <w:rFonts w:ascii="Times New Roman" w:hAnsi="Times New Roman"/>
          <w:bCs/>
          <w:sz w:val="22"/>
          <w:lang w:val="en-AU"/>
        </w:rPr>
        <w:t xml:space="preserve">MNOs and </w:t>
      </w:r>
      <w:r w:rsidR="00834518" w:rsidRPr="00834518">
        <w:rPr>
          <w:rFonts w:ascii="Times New Roman" w:hAnsi="Times New Roman"/>
          <w:bCs/>
          <w:sz w:val="22"/>
          <w:lang w:val="en-AU"/>
        </w:rPr>
        <w:t>MVNOs acting as wholesalers or “upstream providers” to pass on information to MVNOs acti</w:t>
      </w:r>
      <w:r w:rsidR="00834518">
        <w:rPr>
          <w:rFonts w:ascii="Times New Roman" w:hAnsi="Times New Roman"/>
          <w:bCs/>
          <w:sz w:val="22"/>
          <w:lang w:val="en-AU"/>
        </w:rPr>
        <w:t>ng as “downstream providers”</w:t>
      </w:r>
      <w:r w:rsidR="00DC5101">
        <w:rPr>
          <w:rFonts w:ascii="Times New Roman" w:hAnsi="Times New Roman"/>
          <w:sz w:val="22"/>
        </w:rPr>
        <w:t xml:space="preserve"> </w:t>
      </w:r>
      <w:r w:rsidR="00267BB6">
        <w:rPr>
          <w:rFonts w:ascii="Times New Roman" w:hAnsi="Times New Roman"/>
          <w:sz w:val="22"/>
        </w:rPr>
        <w:t>to ensure efficient delivery of all spend management tools and alerts</w:t>
      </w:r>
      <w:r w:rsidR="00431528" w:rsidRPr="00431528">
        <w:rPr>
          <w:rFonts w:ascii="Times New Roman" w:hAnsi="Times New Roman"/>
          <w:sz w:val="22"/>
        </w:rPr>
        <w:t xml:space="preserve"> </w:t>
      </w:r>
      <w:r w:rsidR="00431528">
        <w:rPr>
          <w:rFonts w:ascii="Times New Roman" w:hAnsi="Times New Roman"/>
          <w:sz w:val="22"/>
        </w:rPr>
        <w:t>to the end-user</w:t>
      </w:r>
      <w:r w:rsidR="00267BB6">
        <w:rPr>
          <w:rFonts w:ascii="Times New Roman" w:hAnsi="Times New Roman"/>
          <w:sz w:val="22"/>
        </w:rPr>
        <w:t xml:space="preserve">. </w:t>
      </w:r>
    </w:p>
    <w:p w:rsidR="00F97A74" w:rsidRDefault="00F97A74" w:rsidP="00F97A74">
      <w:pPr>
        <w:pStyle w:val="UnnumberedClause"/>
        <w:spacing w:after="0" w:line="360" w:lineRule="auto"/>
        <w:ind w:left="0"/>
        <w:rPr>
          <w:rFonts w:ascii="Times New Roman" w:hAnsi="Times New Roman"/>
          <w:sz w:val="22"/>
        </w:rPr>
      </w:pPr>
    </w:p>
    <w:p w:rsidR="00F97A74" w:rsidRDefault="00834518" w:rsidP="00F97A74">
      <w:pPr>
        <w:pStyle w:val="UnnumberedClause"/>
        <w:spacing w:after="0" w:line="360" w:lineRule="auto"/>
        <w:ind w:left="0"/>
        <w:rPr>
          <w:rFonts w:ascii="Times New Roman" w:hAnsi="Times New Roman"/>
          <w:sz w:val="22"/>
        </w:rPr>
      </w:pPr>
      <w:r>
        <w:rPr>
          <w:rFonts w:ascii="Times New Roman" w:hAnsi="Times New Roman"/>
          <w:sz w:val="22"/>
        </w:rPr>
        <w:t xml:space="preserve">Subclause </w:t>
      </w:r>
      <w:r w:rsidR="001674E0">
        <w:rPr>
          <w:rFonts w:ascii="Times New Roman" w:hAnsi="Times New Roman"/>
          <w:sz w:val="22"/>
        </w:rPr>
        <w:t>9</w:t>
      </w:r>
      <w:r>
        <w:rPr>
          <w:rFonts w:ascii="Times New Roman" w:hAnsi="Times New Roman"/>
          <w:sz w:val="22"/>
        </w:rPr>
        <w:t>(8) sets out th</w:t>
      </w:r>
      <w:r w:rsidR="00DC5101">
        <w:rPr>
          <w:rFonts w:ascii="Times New Roman" w:hAnsi="Times New Roman"/>
          <w:sz w:val="22"/>
        </w:rPr>
        <w:t>at</w:t>
      </w:r>
      <w:r>
        <w:rPr>
          <w:rFonts w:ascii="Times New Roman" w:hAnsi="Times New Roman"/>
          <w:sz w:val="22"/>
        </w:rPr>
        <w:t xml:space="preserve"> the spend management tools required at subclauses </w:t>
      </w:r>
      <w:r w:rsidR="001674E0">
        <w:rPr>
          <w:rFonts w:ascii="Times New Roman" w:hAnsi="Times New Roman"/>
          <w:sz w:val="22"/>
        </w:rPr>
        <w:t>9</w:t>
      </w:r>
      <w:r>
        <w:rPr>
          <w:rFonts w:ascii="Times New Roman" w:hAnsi="Times New Roman"/>
          <w:sz w:val="22"/>
        </w:rPr>
        <w:t xml:space="preserve">(2) and </w:t>
      </w:r>
      <w:r w:rsidR="001674E0">
        <w:rPr>
          <w:rFonts w:ascii="Times New Roman" w:hAnsi="Times New Roman"/>
          <w:sz w:val="22"/>
        </w:rPr>
        <w:t>9</w:t>
      </w:r>
      <w:r>
        <w:rPr>
          <w:rFonts w:ascii="Times New Roman" w:hAnsi="Times New Roman"/>
          <w:sz w:val="22"/>
        </w:rPr>
        <w:t xml:space="preserve">(3) </w:t>
      </w:r>
      <w:r w:rsidR="00DC5101">
        <w:rPr>
          <w:rFonts w:ascii="Times New Roman" w:hAnsi="Times New Roman"/>
          <w:sz w:val="22"/>
        </w:rPr>
        <w:t xml:space="preserve">must be </w:t>
      </w:r>
      <w:r>
        <w:rPr>
          <w:rFonts w:ascii="Times New Roman" w:hAnsi="Times New Roman"/>
          <w:sz w:val="22"/>
        </w:rPr>
        <w:t xml:space="preserve">easy for the customer to </w:t>
      </w:r>
      <w:r w:rsidR="00A81C82">
        <w:rPr>
          <w:rFonts w:ascii="Times New Roman" w:hAnsi="Times New Roman"/>
          <w:sz w:val="22"/>
        </w:rPr>
        <w:t xml:space="preserve">find and </w:t>
      </w:r>
      <w:r>
        <w:rPr>
          <w:rFonts w:ascii="Times New Roman" w:hAnsi="Times New Roman"/>
          <w:sz w:val="22"/>
        </w:rPr>
        <w:t>access.</w:t>
      </w:r>
      <w:r w:rsidR="00F97A74" w:rsidRPr="00F97A74">
        <w:rPr>
          <w:rFonts w:ascii="Times New Roman" w:hAnsi="Times New Roman"/>
          <w:sz w:val="22"/>
        </w:rPr>
        <w:t xml:space="preserve"> </w:t>
      </w:r>
    </w:p>
    <w:p w:rsidR="00F97A74" w:rsidRDefault="00F97A74" w:rsidP="00F97A74">
      <w:pPr>
        <w:pStyle w:val="UnnumberedClause"/>
        <w:spacing w:after="0" w:line="360" w:lineRule="auto"/>
        <w:ind w:left="0"/>
        <w:rPr>
          <w:rFonts w:ascii="Times New Roman" w:hAnsi="Times New Roman"/>
          <w:sz w:val="22"/>
        </w:rPr>
      </w:pPr>
    </w:p>
    <w:p w:rsidR="00B07454" w:rsidRDefault="00F97A74" w:rsidP="00F97A74">
      <w:pPr>
        <w:pStyle w:val="UnnumberedClause"/>
        <w:spacing w:after="0" w:line="360" w:lineRule="auto"/>
        <w:ind w:left="0"/>
        <w:rPr>
          <w:rFonts w:ascii="Times New Roman" w:hAnsi="Times New Roman"/>
          <w:sz w:val="22"/>
        </w:rPr>
      </w:pPr>
      <w:r>
        <w:rPr>
          <w:rFonts w:ascii="Times New Roman" w:hAnsi="Times New Roman"/>
          <w:sz w:val="22"/>
        </w:rPr>
        <w:t>Subclause 9(9) describes the delayed implem</w:t>
      </w:r>
      <w:r w:rsidR="004A01C3">
        <w:rPr>
          <w:rFonts w:ascii="Times New Roman" w:hAnsi="Times New Roman"/>
          <w:sz w:val="22"/>
        </w:rPr>
        <w:t xml:space="preserve">entation of subclauses 9(2) to </w:t>
      </w:r>
      <w:r>
        <w:rPr>
          <w:rFonts w:ascii="Times New Roman" w:hAnsi="Times New Roman"/>
          <w:sz w:val="22"/>
        </w:rPr>
        <w:t>9(8) for MVNOs, with the obligat</w:t>
      </w:r>
      <w:r w:rsidR="000C305D">
        <w:rPr>
          <w:rFonts w:ascii="Times New Roman" w:hAnsi="Times New Roman"/>
          <w:sz w:val="22"/>
        </w:rPr>
        <w:t>i</w:t>
      </w:r>
      <w:r w:rsidR="00F37D63">
        <w:rPr>
          <w:rFonts w:ascii="Times New Roman" w:hAnsi="Times New Roman"/>
          <w:sz w:val="22"/>
        </w:rPr>
        <w:t>on coming into effect on 23 May</w:t>
      </w:r>
      <w:r>
        <w:rPr>
          <w:rFonts w:ascii="Times New Roman" w:hAnsi="Times New Roman"/>
          <w:sz w:val="22"/>
        </w:rPr>
        <w:t xml:space="preserve"> 2016. The delay reflects the need to allow reasonable time </w:t>
      </w:r>
      <w:r w:rsidRPr="004E1D50">
        <w:rPr>
          <w:rFonts w:ascii="Times New Roman" w:hAnsi="Times New Roman"/>
          <w:sz w:val="22"/>
          <w:lang w:val="en-AU"/>
        </w:rPr>
        <w:t>for the development of notification systems</w:t>
      </w:r>
      <w:r>
        <w:rPr>
          <w:rFonts w:ascii="Times New Roman" w:hAnsi="Times New Roman"/>
          <w:sz w:val="22"/>
          <w:lang w:val="en-AU"/>
        </w:rPr>
        <w:t xml:space="preserve"> between MNOs and MVNOs and between MVNOs</w:t>
      </w:r>
    </w:p>
    <w:p w:rsidR="00B07454" w:rsidRDefault="001565A1" w:rsidP="00F97A74">
      <w:pPr>
        <w:pStyle w:val="UnnumberedClause"/>
        <w:spacing w:before="480" w:after="0" w:line="360" w:lineRule="auto"/>
        <w:ind w:left="0"/>
        <w:rPr>
          <w:rFonts w:ascii="Arial" w:hAnsi="Arial" w:cs="Arial"/>
          <w:b/>
          <w:sz w:val="24"/>
          <w:szCs w:val="24"/>
          <w:lang w:val="en-AU"/>
        </w:rPr>
      </w:pPr>
      <w:r>
        <w:rPr>
          <w:rFonts w:ascii="Arial" w:hAnsi="Arial" w:cs="Arial"/>
          <w:b/>
          <w:sz w:val="24"/>
          <w:szCs w:val="24"/>
          <w:lang w:val="en-AU"/>
        </w:rPr>
        <w:t xml:space="preserve">Clause </w:t>
      </w:r>
      <w:r w:rsidR="001674E0">
        <w:rPr>
          <w:rFonts w:ascii="Arial" w:hAnsi="Arial" w:cs="Arial"/>
          <w:b/>
          <w:sz w:val="24"/>
          <w:szCs w:val="24"/>
          <w:lang w:val="en-AU"/>
        </w:rPr>
        <w:t>10</w:t>
      </w:r>
      <w:r>
        <w:rPr>
          <w:rFonts w:ascii="Arial" w:hAnsi="Arial" w:cs="Arial"/>
          <w:b/>
          <w:sz w:val="24"/>
          <w:szCs w:val="24"/>
          <w:lang w:val="en-AU"/>
        </w:rPr>
        <w:t xml:space="preserve"> - </w:t>
      </w:r>
      <w:r w:rsidR="00664C42" w:rsidRPr="009D132F">
        <w:rPr>
          <w:rFonts w:ascii="Arial" w:hAnsi="Arial" w:cs="Arial"/>
          <w:b/>
          <w:sz w:val="24"/>
          <w:szCs w:val="24"/>
          <w:lang w:val="en-AU"/>
        </w:rPr>
        <w:t xml:space="preserve">Referral of complaints to the Telecommunications Industry Ombudsman </w:t>
      </w:r>
    </w:p>
    <w:p w:rsidR="00B07454" w:rsidRDefault="00EB5AD3">
      <w:pPr>
        <w:pStyle w:val="ACIFNormal"/>
        <w:spacing w:line="360" w:lineRule="auto"/>
        <w:rPr>
          <w:rFonts w:ascii="Times New Roman" w:hAnsi="Times New Roman"/>
          <w:sz w:val="22"/>
          <w:szCs w:val="22"/>
        </w:rPr>
      </w:pPr>
      <w:r>
        <w:rPr>
          <w:rFonts w:ascii="Times New Roman" w:hAnsi="Times New Roman"/>
          <w:sz w:val="22"/>
          <w:szCs w:val="22"/>
        </w:rPr>
        <w:t xml:space="preserve">Under section 114 of the Act, an industry </w:t>
      </w:r>
      <w:r w:rsidR="002D68DF">
        <w:rPr>
          <w:rFonts w:ascii="Times New Roman" w:hAnsi="Times New Roman"/>
          <w:sz w:val="22"/>
          <w:szCs w:val="22"/>
        </w:rPr>
        <w:t>s</w:t>
      </w:r>
      <w:r>
        <w:rPr>
          <w:rFonts w:ascii="Times New Roman" w:hAnsi="Times New Roman"/>
          <w:sz w:val="22"/>
          <w:szCs w:val="22"/>
        </w:rPr>
        <w:t>tandard can confer functions and powers to the T</w:t>
      </w:r>
      <w:r w:rsidR="00477499">
        <w:rPr>
          <w:rFonts w:ascii="Times New Roman" w:hAnsi="Times New Roman"/>
          <w:sz w:val="22"/>
          <w:szCs w:val="22"/>
        </w:rPr>
        <w:t xml:space="preserve">elecommunications </w:t>
      </w:r>
      <w:r>
        <w:rPr>
          <w:rFonts w:ascii="Times New Roman" w:hAnsi="Times New Roman"/>
          <w:sz w:val="22"/>
          <w:szCs w:val="22"/>
        </w:rPr>
        <w:t>I</w:t>
      </w:r>
      <w:r w:rsidR="00477499">
        <w:rPr>
          <w:rFonts w:ascii="Times New Roman" w:hAnsi="Times New Roman"/>
          <w:sz w:val="22"/>
          <w:szCs w:val="22"/>
        </w:rPr>
        <w:t xml:space="preserve">ndustry </w:t>
      </w:r>
      <w:r>
        <w:rPr>
          <w:rFonts w:ascii="Times New Roman" w:hAnsi="Times New Roman"/>
          <w:sz w:val="22"/>
          <w:szCs w:val="22"/>
        </w:rPr>
        <w:t>O</w:t>
      </w:r>
      <w:r w:rsidR="00477499">
        <w:rPr>
          <w:rFonts w:ascii="Times New Roman" w:hAnsi="Times New Roman"/>
          <w:sz w:val="22"/>
          <w:szCs w:val="22"/>
        </w:rPr>
        <w:t>mbudsman (TIO)</w:t>
      </w:r>
      <w:r>
        <w:rPr>
          <w:rFonts w:ascii="Times New Roman" w:hAnsi="Times New Roman"/>
          <w:sz w:val="22"/>
          <w:szCs w:val="22"/>
        </w:rPr>
        <w:t xml:space="preserve"> if the TIO consents. </w:t>
      </w:r>
      <w:r w:rsidR="00477499">
        <w:rPr>
          <w:rFonts w:ascii="Times New Roman" w:hAnsi="Times New Roman"/>
          <w:sz w:val="22"/>
          <w:szCs w:val="22"/>
        </w:rPr>
        <w:t xml:space="preserve"> </w:t>
      </w:r>
      <w:r w:rsidR="00A81C82">
        <w:rPr>
          <w:rFonts w:ascii="Times New Roman" w:hAnsi="Times New Roman"/>
          <w:sz w:val="22"/>
          <w:szCs w:val="22"/>
        </w:rPr>
        <w:t>C</w:t>
      </w:r>
      <w:r>
        <w:rPr>
          <w:rFonts w:ascii="Times New Roman" w:hAnsi="Times New Roman"/>
          <w:sz w:val="22"/>
          <w:szCs w:val="22"/>
        </w:rPr>
        <w:t xml:space="preserve">lause </w:t>
      </w:r>
      <w:r w:rsidR="00161582">
        <w:rPr>
          <w:rFonts w:ascii="Times New Roman" w:hAnsi="Times New Roman"/>
          <w:sz w:val="22"/>
          <w:szCs w:val="22"/>
        </w:rPr>
        <w:t>10</w:t>
      </w:r>
      <w:r w:rsidR="00A81C82">
        <w:rPr>
          <w:rFonts w:ascii="Times New Roman" w:hAnsi="Times New Roman"/>
          <w:sz w:val="22"/>
          <w:szCs w:val="22"/>
        </w:rPr>
        <w:t xml:space="preserve"> recognises </w:t>
      </w:r>
      <w:r>
        <w:rPr>
          <w:rFonts w:ascii="Times New Roman" w:hAnsi="Times New Roman"/>
          <w:sz w:val="22"/>
          <w:szCs w:val="22"/>
        </w:rPr>
        <w:t>th</w:t>
      </w:r>
      <w:r w:rsidR="00477499">
        <w:rPr>
          <w:rFonts w:ascii="Times New Roman" w:hAnsi="Times New Roman"/>
          <w:sz w:val="22"/>
          <w:szCs w:val="22"/>
        </w:rPr>
        <w:t xml:space="preserve">at the TIO has accepted the conferral of certain powers and functions in relation to the Standard.  Under clause </w:t>
      </w:r>
      <w:r w:rsidR="00161582">
        <w:rPr>
          <w:rFonts w:ascii="Times New Roman" w:hAnsi="Times New Roman"/>
          <w:sz w:val="22"/>
          <w:szCs w:val="22"/>
        </w:rPr>
        <w:t>10</w:t>
      </w:r>
      <w:r w:rsidR="00477499">
        <w:rPr>
          <w:rFonts w:ascii="Times New Roman" w:hAnsi="Times New Roman"/>
          <w:sz w:val="22"/>
          <w:szCs w:val="22"/>
        </w:rPr>
        <w:t xml:space="preserve"> of the Standard, the TIO may, among other things investigate </w:t>
      </w:r>
      <w:r w:rsidR="004E6AC8">
        <w:rPr>
          <w:rFonts w:ascii="Times New Roman" w:hAnsi="Times New Roman"/>
          <w:sz w:val="22"/>
          <w:szCs w:val="22"/>
        </w:rPr>
        <w:t>and give directions in relation to complaints made by customers about matters referred to in the Standard</w:t>
      </w:r>
      <w:r>
        <w:rPr>
          <w:rFonts w:ascii="Times New Roman" w:hAnsi="Times New Roman"/>
          <w:sz w:val="22"/>
          <w:szCs w:val="22"/>
        </w:rPr>
        <w:t xml:space="preserve">. These powers take effect at the same time as the </w:t>
      </w:r>
      <w:r w:rsidR="002D68DF">
        <w:rPr>
          <w:rFonts w:ascii="Times New Roman" w:hAnsi="Times New Roman"/>
          <w:sz w:val="22"/>
          <w:szCs w:val="22"/>
        </w:rPr>
        <w:t xml:space="preserve">first </w:t>
      </w:r>
      <w:r>
        <w:rPr>
          <w:rFonts w:ascii="Times New Roman" w:hAnsi="Times New Roman"/>
          <w:sz w:val="22"/>
          <w:szCs w:val="22"/>
        </w:rPr>
        <w:t xml:space="preserve">provisions contained within the </w:t>
      </w:r>
      <w:r w:rsidR="0097368E">
        <w:rPr>
          <w:rFonts w:ascii="Times New Roman" w:hAnsi="Times New Roman"/>
          <w:sz w:val="22"/>
          <w:szCs w:val="22"/>
        </w:rPr>
        <w:t>S</w:t>
      </w:r>
      <w:r>
        <w:rPr>
          <w:rFonts w:ascii="Times New Roman" w:hAnsi="Times New Roman"/>
          <w:sz w:val="22"/>
          <w:szCs w:val="22"/>
        </w:rPr>
        <w:t xml:space="preserve">tandard, </w:t>
      </w:r>
      <w:r w:rsidR="00477499">
        <w:rPr>
          <w:rFonts w:ascii="Times New Roman" w:hAnsi="Times New Roman"/>
          <w:sz w:val="22"/>
          <w:szCs w:val="22"/>
        </w:rPr>
        <w:t xml:space="preserve">which is </w:t>
      </w:r>
      <w:r w:rsidR="00DB72B8">
        <w:rPr>
          <w:rFonts w:ascii="Times New Roman" w:hAnsi="Times New Roman"/>
          <w:sz w:val="22"/>
          <w:szCs w:val="22"/>
        </w:rPr>
        <w:t>27 September</w:t>
      </w:r>
      <w:r w:rsidRPr="006D22E1">
        <w:rPr>
          <w:rFonts w:ascii="Times New Roman" w:hAnsi="Times New Roman"/>
          <w:sz w:val="22"/>
          <w:szCs w:val="22"/>
        </w:rPr>
        <w:t xml:space="preserve"> 2013.</w:t>
      </w:r>
    </w:p>
    <w:p w:rsidR="00B07454" w:rsidRDefault="00FB7823" w:rsidP="00F97A74">
      <w:pPr>
        <w:pStyle w:val="UnnumberedClause"/>
        <w:spacing w:before="480" w:after="0" w:line="360" w:lineRule="auto"/>
        <w:ind w:left="0"/>
        <w:rPr>
          <w:rFonts w:ascii="Arial" w:hAnsi="Arial" w:cs="Arial"/>
          <w:b/>
          <w:sz w:val="24"/>
          <w:szCs w:val="24"/>
          <w:lang w:val="en-AU"/>
        </w:rPr>
      </w:pPr>
      <w:r>
        <w:rPr>
          <w:rFonts w:ascii="Arial" w:hAnsi="Arial" w:cs="Arial"/>
          <w:b/>
          <w:sz w:val="24"/>
          <w:szCs w:val="24"/>
          <w:lang w:val="en-AU"/>
        </w:rPr>
        <w:t>Clause 1</w:t>
      </w:r>
      <w:r w:rsidR="00161582">
        <w:rPr>
          <w:rFonts w:ascii="Arial" w:hAnsi="Arial" w:cs="Arial"/>
          <w:b/>
          <w:sz w:val="24"/>
          <w:szCs w:val="24"/>
          <w:lang w:val="en-AU"/>
        </w:rPr>
        <w:t>1</w:t>
      </w:r>
      <w:r>
        <w:rPr>
          <w:rFonts w:ascii="Arial" w:hAnsi="Arial" w:cs="Arial"/>
          <w:b/>
          <w:sz w:val="24"/>
          <w:szCs w:val="24"/>
          <w:lang w:val="en-AU"/>
        </w:rPr>
        <w:t xml:space="preserve"> - </w:t>
      </w:r>
      <w:r w:rsidR="00154F1D" w:rsidRPr="00154F1D">
        <w:rPr>
          <w:rFonts w:ascii="Arial" w:hAnsi="Arial" w:cs="Arial"/>
          <w:b/>
          <w:sz w:val="24"/>
          <w:szCs w:val="24"/>
          <w:lang w:val="en-AU"/>
        </w:rPr>
        <w:t>Review of Standard</w:t>
      </w:r>
    </w:p>
    <w:p w:rsidR="0097368E" w:rsidRDefault="00A81C82">
      <w:pPr>
        <w:pStyle w:val="ACIFNormal"/>
        <w:spacing w:line="360" w:lineRule="auto"/>
        <w:rPr>
          <w:rFonts w:ascii="Times New Roman" w:hAnsi="Times New Roman"/>
          <w:sz w:val="22"/>
          <w:szCs w:val="22"/>
        </w:rPr>
      </w:pPr>
      <w:r>
        <w:rPr>
          <w:rFonts w:ascii="Times New Roman" w:hAnsi="Times New Roman"/>
          <w:sz w:val="22"/>
          <w:szCs w:val="22"/>
        </w:rPr>
        <w:t>Clause 1</w:t>
      </w:r>
      <w:r w:rsidR="00161582">
        <w:rPr>
          <w:rFonts w:ascii="Times New Roman" w:hAnsi="Times New Roman"/>
          <w:sz w:val="22"/>
          <w:szCs w:val="22"/>
        </w:rPr>
        <w:t>1</w:t>
      </w:r>
      <w:r>
        <w:rPr>
          <w:rFonts w:ascii="Times New Roman" w:hAnsi="Times New Roman"/>
          <w:sz w:val="22"/>
          <w:szCs w:val="22"/>
        </w:rPr>
        <w:t xml:space="preserve"> states that t</w:t>
      </w:r>
      <w:r w:rsidR="00267BB6">
        <w:rPr>
          <w:rFonts w:ascii="Times New Roman" w:hAnsi="Times New Roman"/>
          <w:sz w:val="22"/>
          <w:szCs w:val="22"/>
        </w:rPr>
        <w:t xml:space="preserve">he ACMA must review the </w:t>
      </w:r>
      <w:r w:rsidR="0097368E">
        <w:rPr>
          <w:rFonts w:ascii="Times New Roman" w:hAnsi="Times New Roman"/>
          <w:sz w:val="22"/>
          <w:szCs w:val="22"/>
        </w:rPr>
        <w:t>S</w:t>
      </w:r>
      <w:r>
        <w:rPr>
          <w:rFonts w:ascii="Times New Roman" w:hAnsi="Times New Roman"/>
          <w:sz w:val="22"/>
          <w:szCs w:val="22"/>
        </w:rPr>
        <w:t>tandard</w:t>
      </w:r>
      <w:r w:rsidR="00142210">
        <w:rPr>
          <w:rFonts w:ascii="Times New Roman" w:hAnsi="Times New Roman"/>
          <w:sz w:val="22"/>
          <w:szCs w:val="22"/>
        </w:rPr>
        <w:t xml:space="preserve"> prior to 27 June</w:t>
      </w:r>
      <w:r w:rsidR="00267BB6">
        <w:rPr>
          <w:rFonts w:ascii="Times New Roman" w:hAnsi="Times New Roman"/>
          <w:sz w:val="22"/>
          <w:szCs w:val="22"/>
        </w:rPr>
        <w:t xml:space="preserve"> 2018</w:t>
      </w:r>
      <w:r>
        <w:rPr>
          <w:rFonts w:ascii="Times New Roman" w:hAnsi="Times New Roman"/>
          <w:sz w:val="22"/>
          <w:szCs w:val="22"/>
        </w:rPr>
        <w:t>, two years after its full implementation</w:t>
      </w:r>
      <w:r w:rsidR="002D68DF">
        <w:rPr>
          <w:rFonts w:ascii="Times New Roman" w:hAnsi="Times New Roman"/>
          <w:sz w:val="22"/>
          <w:szCs w:val="22"/>
        </w:rPr>
        <w:t xml:space="preserve">. </w:t>
      </w:r>
      <w:r w:rsidR="004E1D50">
        <w:rPr>
          <w:rFonts w:ascii="Times New Roman" w:hAnsi="Times New Roman"/>
          <w:sz w:val="22"/>
          <w:szCs w:val="22"/>
        </w:rPr>
        <w:t>A</w:t>
      </w:r>
      <w:r w:rsidR="00267BB6">
        <w:rPr>
          <w:rFonts w:ascii="Times New Roman" w:hAnsi="Times New Roman"/>
          <w:sz w:val="22"/>
          <w:szCs w:val="22"/>
        </w:rPr>
        <w:t>n earlier review may be undertaken at the discretion of the ACMA.</w:t>
      </w:r>
    </w:p>
    <w:p w:rsidR="002E0376" w:rsidRPr="002E0376" w:rsidRDefault="002E0376">
      <w:pPr>
        <w:pStyle w:val="ACIFNormal"/>
        <w:spacing w:line="360" w:lineRule="auto"/>
        <w:rPr>
          <w:rFonts w:ascii="Times New Roman" w:hAnsi="Times New Roman"/>
          <w:sz w:val="22"/>
          <w:szCs w:val="22"/>
        </w:rPr>
      </w:pPr>
    </w:p>
    <w:p w:rsidR="002E0376" w:rsidRDefault="002E0376">
      <w:pPr>
        <w:pStyle w:val="ACIFNormal"/>
        <w:spacing w:line="360" w:lineRule="auto"/>
        <w:rPr>
          <w:rFonts w:ascii="Times New Roman" w:hAnsi="Times New Roman"/>
          <w:sz w:val="22"/>
          <w:szCs w:val="22"/>
        </w:rPr>
      </w:pPr>
      <w:r w:rsidRPr="002E0376">
        <w:rPr>
          <w:rFonts w:ascii="Times New Roman" w:hAnsi="Times New Roman"/>
          <w:sz w:val="22"/>
          <w:szCs w:val="22"/>
        </w:rPr>
        <w:t>A Statement of Compatibility with Human Rights is attached.</w:t>
      </w:r>
    </w:p>
    <w:p w:rsidR="009D5019" w:rsidRDefault="009D5019">
      <w:pPr>
        <w:rPr>
          <w:rFonts w:ascii="Times New Roman" w:hAnsi="Times New Roman"/>
          <w:szCs w:val="22"/>
          <w:lang w:val="en-US" w:eastAsia="en-US"/>
        </w:rPr>
      </w:pPr>
      <w:r>
        <w:rPr>
          <w:rFonts w:ascii="Times New Roman" w:hAnsi="Times New Roman"/>
          <w:szCs w:val="22"/>
        </w:rPr>
        <w:br w:type="page"/>
      </w:r>
    </w:p>
    <w:p w:rsidR="009D5019" w:rsidRDefault="009D5019" w:rsidP="009D5019">
      <w:pPr>
        <w:spacing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9D5019" w:rsidRDefault="009D5019" w:rsidP="009D5019">
      <w:pPr>
        <w:spacing w:before="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rsidR="009D5019" w:rsidRDefault="009D5019" w:rsidP="009D5019">
      <w:pPr>
        <w:jc w:val="center"/>
        <w:rPr>
          <w:rFonts w:ascii="Times New Roman" w:hAnsi="Times New Roman"/>
          <w:sz w:val="16"/>
          <w:szCs w:val="16"/>
        </w:rPr>
      </w:pPr>
    </w:p>
    <w:p w:rsidR="009D5019" w:rsidRDefault="009D5019" w:rsidP="009D5019">
      <w:pPr>
        <w:jc w:val="center"/>
        <w:rPr>
          <w:rFonts w:ascii="Times New Roman" w:hAnsi="Times New Roman"/>
          <w:b/>
          <w:sz w:val="24"/>
        </w:rPr>
      </w:pPr>
      <w:r>
        <w:rPr>
          <w:rFonts w:ascii="Times New Roman" w:hAnsi="Times New Roman"/>
          <w:b/>
          <w:sz w:val="24"/>
        </w:rPr>
        <w:t>Telecommunications (International Mobile Roaming) Industry Standard 2013</w:t>
      </w:r>
    </w:p>
    <w:p w:rsidR="009D5019" w:rsidRDefault="009D5019" w:rsidP="009D5019">
      <w:pPr>
        <w:jc w:val="center"/>
        <w:rPr>
          <w:rFonts w:ascii="Times New Roman" w:hAnsi="Times New Roman"/>
          <w:sz w:val="16"/>
          <w:szCs w:val="16"/>
        </w:rPr>
      </w:pPr>
    </w:p>
    <w:p w:rsidR="009D5019" w:rsidRDefault="009D5019" w:rsidP="009D5019">
      <w:pPr>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rsidR="009D5019" w:rsidRDefault="009D5019" w:rsidP="009D5019">
      <w:pPr>
        <w:jc w:val="center"/>
        <w:rPr>
          <w:rFonts w:ascii="Times New Roman" w:hAnsi="Times New Roman"/>
          <w:sz w:val="16"/>
          <w:szCs w:val="16"/>
        </w:rPr>
      </w:pPr>
    </w:p>
    <w:p w:rsidR="009D5019" w:rsidRDefault="009D5019" w:rsidP="009D5019">
      <w:pPr>
        <w:spacing w:after="120"/>
        <w:jc w:val="both"/>
        <w:rPr>
          <w:rFonts w:ascii="Times New Roman" w:hAnsi="Times New Roman"/>
          <w:b/>
          <w:sz w:val="24"/>
        </w:rPr>
      </w:pPr>
      <w:r w:rsidRPr="00E4135E">
        <w:rPr>
          <w:rFonts w:ascii="Times New Roman" w:hAnsi="Times New Roman"/>
          <w:b/>
          <w:sz w:val="24"/>
        </w:rPr>
        <w:t>Overview of the Legislative Instrument</w:t>
      </w:r>
    </w:p>
    <w:p w:rsidR="009D5019" w:rsidRPr="00724B3E" w:rsidRDefault="009D5019" w:rsidP="009D5019">
      <w:pPr>
        <w:spacing w:before="120" w:after="120"/>
        <w:rPr>
          <w:rFonts w:ascii="Times New Roman" w:hAnsi="Times New Roman"/>
          <w:sz w:val="24"/>
          <w:lang w:val="en-US"/>
        </w:rPr>
      </w:pPr>
      <w:r>
        <w:rPr>
          <w:rFonts w:ascii="Times New Roman" w:hAnsi="Times New Roman"/>
          <w:sz w:val="24"/>
        </w:rPr>
        <w:t xml:space="preserve">This Standard is made in response to a Direction from the </w:t>
      </w:r>
      <w:r w:rsidRPr="008867F4">
        <w:rPr>
          <w:rFonts w:ascii="Times New Roman" w:hAnsi="Times New Roman"/>
          <w:sz w:val="24"/>
        </w:rPr>
        <w:t>Minister for Broadband, Communications and the Digital Economy</w:t>
      </w:r>
      <w:r>
        <w:rPr>
          <w:rFonts w:ascii="Times New Roman" w:hAnsi="Times New Roman"/>
          <w:sz w:val="24"/>
        </w:rPr>
        <w:t xml:space="preserve"> made on 23 August 2012, under subsection </w:t>
      </w:r>
      <w:proofErr w:type="gramStart"/>
      <w:r w:rsidRPr="008867F4">
        <w:rPr>
          <w:rFonts w:ascii="Times New Roman" w:hAnsi="Times New Roman"/>
          <w:sz w:val="24"/>
        </w:rPr>
        <w:t>125AA(</w:t>
      </w:r>
      <w:proofErr w:type="gramEnd"/>
      <w:r w:rsidRPr="008867F4">
        <w:rPr>
          <w:rFonts w:ascii="Times New Roman" w:hAnsi="Times New Roman"/>
          <w:sz w:val="24"/>
        </w:rPr>
        <w:t xml:space="preserve">4) of the </w:t>
      </w:r>
      <w:r w:rsidRPr="008867F4">
        <w:rPr>
          <w:rFonts w:ascii="Times New Roman" w:hAnsi="Times New Roman"/>
          <w:i/>
          <w:sz w:val="24"/>
        </w:rPr>
        <w:t>Telecommunications Act 1997</w:t>
      </w:r>
      <w:r w:rsidRPr="008867F4">
        <w:rPr>
          <w:rFonts w:ascii="Times New Roman" w:hAnsi="Times New Roman"/>
          <w:sz w:val="24"/>
        </w:rPr>
        <w:t xml:space="preserve"> (the Act)</w:t>
      </w:r>
      <w:r>
        <w:rPr>
          <w:rFonts w:ascii="Times New Roman" w:hAnsi="Times New Roman"/>
          <w:sz w:val="24"/>
        </w:rPr>
        <w:t xml:space="preserve">. </w:t>
      </w:r>
    </w:p>
    <w:p w:rsidR="009D5019" w:rsidRPr="00406E2D" w:rsidRDefault="009D5019" w:rsidP="009D5019">
      <w:pPr>
        <w:spacing w:before="120" w:after="120"/>
        <w:rPr>
          <w:rFonts w:ascii="Times New Roman" w:hAnsi="Times New Roman"/>
        </w:rPr>
      </w:pPr>
      <w:r w:rsidRPr="00F0626B">
        <w:rPr>
          <w:rFonts w:ascii="Times New Roman" w:hAnsi="Times New Roman"/>
          <w:sz w:val="24"/>
        </w:rPr>
        <w:t xml:space="preserve">The </w:t>
      </w:r>
      <w:r w:rsidRPr="00F0626B">
        <w:rPr>
          <w:rFonts w:ascii="Times New Roman" w:hAnsi="Times New Roman"/>
          <w:i/>
          <w:sz w:val="24"/>
        </w:rPr>
        <w:t>Telecommunications (International Mobile Roaming) Industry Standard 2013</w:t>
      </w:r>
      <w:r w:rsidRPr="00F0626B">
        <w:rPr>
          <w:rFonts w:ascii="Times New Roman" w:hAnsi="Times New Roman"/>
          <w:sz w:val="24"/>
        </w:rPr>
        <w:t xml:space="preserve"> (the Standard) introduces certain requirements for carriage service providers that supply international mobile roaming (IMR) services.  The Standard meets the minimum requirements of the Direction (generally, to establish rules to provide customers supplied with IMR services with </w:t>
      </w:r>
      <w:r w:rsidRPr="00F0626B">
        <w:rPr>
          <w:rFonts w:ascii="Times New Roman" w:hAnsi="Times New Roman"/>
          <w:sz w:val="24"/>
          <w:lang w:val="en-US"/>
        </w:rPr>
        <w:t xml:space="preserve">easily understood information about the </w:t>
      </w:r>
      <w:r>
        <w:rPr>
          <w:rFonts w:ascii="Times New Roman" w:hAnsi="Times New Roman"/>
          <w:sz w:val="24"/>
          <w:lang w:val="en-US"/>
        </w:rPr>
        <w:t xml:space="preserve">charges for these </w:t>
      </w:r>
      <w:r w:rsidRPr="00F0626B">
        <w:rPr>
          <w:rFonts w:ascii="Times New Roman" w:hAnsi="Times New Roman"/>
          <w:sz w:val="24"/>
          <w:lang w:val="en-US"/>
        </w:rPr>
        <w:t xml:space="preserve">services, and facilitate the ability to ‘stop’ those services whilst customers are overseas).  The Standard </w:t>
      </w:r>
      <w:r w:rsidRPr="00F0626B">
        <w:rPr>
          <w:rFonts w:ascii="Times New Roman" w:hAnsi="Times New Roman"/>
          <w:sz w:val="24"/>
        </w:rPr>
        <w:t xml:space="preserve">also includes additional measures as contemplated by the Direction to enable customers supplied with IMR services to monitor their usage of IMR services and the associated cost. </w:t>
      </w:r>
    </w:p>
    <w:p w:rsidR="009D5019" w:rsidRDefault="009D5019" w:rsidP="009D5019">
      <w:pPr>
        <w:spacing w:before="120" w:after="120"/>
        <w:rPr>
          <w:rFonts w:ascii="Times New Roman" w:hAnsi="Times New Roman"/>
          <w:b/>
          <w:sz w:val="24"/>
        </w:rPr>
      </w:pPr>
      <w:r w:rsidRPr="00F0626B">
        <w:rPr>
          <w:rFonts w:ascii="Times New Roman" w:hAnsi="Times New Roman"/>
          <w:sz w:val="24"/>
        </w:rPr>
        <w:t xml:space="preserve"> </w:t>
      </w:r>
      <w:r w:rsidRPr="00E4135E">
        <w:rPr>
          <w:rFonts w:ascii="Times New Roman" w:hAnsi="Times New Roman"/>
          <w:b/>
          <w:sz w:val="24"/>
        </w:rPr>
        <w:t>Human rights implications</w:t>
      </w:r>
    </w:p>
    <w:p w:rsidR="009D5019" w:rsidRPr="001A4399" w:rsidRDefault="009D5019" w:rsidP="009D5019">
      <w:pPr>
        <w:spacing w:before="120" w:after="120"/>
        <w:rPr>
          <w:rFonts w:ascii="Times New Roman" w:hAnsi="Times New Roman"/>
          <w:i/>
          <w:sz w:val="24"/>
        </w:rPr>
      </w:pPr>
      <w:r w:rsidRPr="00F67DFA">
        <w:rPr>
          <w:rFonts w:ascii="Times New Roman" w:hAnsi="Times New Roman"/>
          <w:i/>
          <w:sz w:val="24"/>
        </w:rPr>
        <w:t>Right to privacy</w:t>
      </w:r>
    </w:p>
    <w:p w:rsidR="009D5019" w:rsidRDefault="009D5019" w:rsidP="009D5019">
      <w:pPr>
        <w:spacing w:before="120" w:after="120"/>
        <w:rPr>
          <w:rFonts w:ascii="Times New Roman" w:hAnsi="Times New Roman"/>
          <w:sz w:val="24"/>
        </w:rPr>
      </w:pPr>
      <w:r>
        <w:rPr>
          <w:rFonts w:ascii="Times New Roman" w:hAnsi="Times New Roman"/>
          <w:sz w:val="24"/>
        </w:rPr>
        <w:t>The Standard engages the right to privacy in a limited way. Subclauses 5(2), 5(4) and 9(7) of the Standard require that information relating to IMR services supplied to customers be passed between carriage service providers.  Some of this customer information will be personal information.  Requiring that</w:t>
      </w:r>
      <w:r w:rsidRPr="00B7446D">
        <w:rPr>
          <w:rFonts w:ascii="Times New Roman" w:hAnsi="Times New Roman"/>
          <w:sz w:val="24"/>
        </w:rPr>
        <w:t xml:space="preserve"> </w:t>
      </w:r>
      <w:r>
        <w:rPr>
          <w:rFonts w:ascii="Times New Roman" w:hAnsi="Times New Roman"/>
          <w:sz w:val="24"/>
        </w:rPr>
        <w:t xml:space="preserve">personal information be passed between carriage service providers </w:t>
      </w:r>
      <w:r w:rsidRPr="00150E44">
        <w:rPr>
          <w:rFonts w:ascii="Times New Roman" w:hAnsi="Times New Roman"/>
          <w:sz w:val="24"/>
        </w:rPr>
        <w:t>limits t</w:t>
      </w:r>
      <w:r>
        <w:rPr>
          <w:rFonts w:ascii="Times New Roman" w:hAnsi="Times New Roman"/>
          <w:sz w:val="24"/>
        </w:rPr>
        <w:t>he</w:t>
      </w:r>
      <w:r w:rsidRPr="00150E44">
        <w:rPr>
          <w:rFonts w:ascii="Times New Roman" w:hAnsi="Times New Roman"/>
          <w:sz w:val="24"/>
        </w:rPr>
        <w:t xml:space="preserve"> right to privacy (Article 17 of The International Covenant on Civil and Political Rights)</w:t>
      </w:r>
      <w:r>
        <w:rPr>
          <w:rFonts w:ascii="Times New Roman" w:hAnsi="Times New Roman"/>
          <w:sz w:val="24"/>
        </w:rPr>
        <w:t xml:space="preserve">.  However, these provisions of the Standard are directed towards ensuring that the customer’s carriage service provider is given current information about the customer’s use of IMR services, so that the customer can benefit from the provisions of the Standard that require they be informed of the costs associated with using IMR services on arrival overseas, and that they be provided with spend management tools.  In most cases the customer’s CSP would in any event eventually receive the personal information in question for billing related purposes, and these provisions are directed toward ensuring timely provision of this information. </w:t>
      </w:r>
    </w:p>
    <w:p w:rsidR="009D5019" w:rsidRPr="00E4135E" w:rsidRDefault="009D5019" w:rsidP="009D5019">
      <w:pPr>
        <w:spacing w:before="120" w:after="120"/>
        <w:rPr>
          <w:rFonts w:ascii="Times New Roman" w:hAnsi="Times New Roman"/>
          <w:b/>
          <w:sz w:val="24"/>
        </w:rPr>
      </w:pPr>
      <w:r w:rsidRPr="00E4135E">
        <w:rPr>
          <w:rFonts w:ascii="Times New Roman" w:hAnsi="Times New Roman"/>
          <w:b/>
          <w:sz w:val="24"/>
        </w:rPr>
        <w:t>Conclusion</w:t>
      </w:r>
    </w:p>
    <w:p w:rsidR="009D5019" w:rsidRPr="00E4135E" w:rsidRDefault="009D5019" w:rsidP="009D5019">
      <w:pPr>
        <w:spacing w:before="120" w:after="120"/>
        <w:rPr>
          <w:rFonts w:ascii="Times New Roman" w:hAnsi="Times New Roman"/>
          <w:sz w:val="24"/>
        </w:rPr>
      </w:pPr>
      <w:r w:rsidRPr="00150E44">
        <w:rPr>
          <w:rFonts w:ascii="Times New Roman" w:hAnsi="Times New Roman"/>
          <w:sz w:val="24"/>
        </w:rPr>
        <w:t>The Legislative Instrument is compatible with human rights because</w:t>
      </w:r>
      <w:r>
        <w:rPr>
          <w:rFonts w:ascii="Times New Roman" w:hAnsi="Times New Roman"/>
          <w:sz w:val="24"/>
        </w:rPr>
        <w:t>, to the extent that it may limit the right to privacy,</w:t>
      </w:r>
      <w:r w:rsidRPr="00150E44">
        <w:rPr>
          <w:rFonts w:ascii="Times New Roman" w:hAnsi="Times New Roman"/>
          <w:sz w:val="24"/>
        </w:rPr>
        <w:t xml:space="preserve"> the limitations are reasonable, necessary and proportionate</w:t>
      </w:r>
      <w:r w:rsidRPr="00E4135E">
        <w:rPr>
          <w:rFonts w:ascii="Times New Roman" w:hAnsi="Times New Roman"/>
          <w:sz w:val="24"/>
        </w:rPr>
        <w:t>.</w:t>
      </w:r>
    </w:p>
    <w:p w:rsidR="009D5019" w:rsidRPr="00E4135E" w:rsidRDefault="009D5019" w:rsidP="009D5019">
      <w:pPr>
        <w:spacing w:before="120" w:after="120"/>
        <w:jc w:val="center"/>
        <w:rPr>
          <w:rFonts w:ascii="Times New Roman" w:hAnsi="Times New Roman"/>
          <w:sz w:val="24"/>
        </w:rPr>
      </w:pPr>
    </w:p>
    <w:p w:rsidR="009D5019" w:rsidRDefault="009D5019" w:rsidP="009D5019">
      <w:pPr>
        <w:spacing w:before="120" w:after="120"/>
        <w:jc w:val="center"/>
      </w:pPr>
      <w:r>
        <w:rPr>
          <w:rFonts w:ascii="Times New Roman" w:hAnsi="Times New Roman"/>
          <w:b/>
          <w:sz w:val="24"/>
        </w:rPr>
        <w:t>Australian Communications and Media Authority</w:t>
      </w:r>
    </w:p>
    <w:p w:rsidR="009D5019" w:rsidRPr="002E0376" w:rsidRDefault="009D5019">
      <w:pPr>
        <w:pStyle w:val="ACIFNormal"/>
        <w:spacing w:line="360" w:lineRule="auto"/>
        <w:rPr>
          <w:rFonts w:ascii="Times New Roman" w:hAnsi="Times New Roman"/>
          <w:sz w:val="22"/>
          <w:szCs w:val="22"/>
        </w:rPr>
      </w:pPr>
    </w:p>
    <w:sectPr w:rsidR="009D5019" w:rsidRPr="002E0376" w:rsidSect="00066E03">
      <w:headerReference w:type="even" r:id="rId13"/>
      <w:headerReference w:type="default" r:id="rId14"/>
      <w:footerReference w:type="even" r:id="rId15"/>
      <w:footerReference w:type="default" r:id="rId16"/>
      <w:footerReference w:type="first" r:id="rId17"/>
      <w:pgSz w:w="11907" w:h="16839" w:code="9"/>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097" w:rsidRDefault="00B64097" w:rsidP="009C3421">
      <w:r>
        <w:separator/>
      </w:r>
    </w:p>
  </w:endnote>
  <w:endnote w:type="continuationSeparator" w:id="0">
    <w:p w:rsidR="00B64097" w:rsidRDefault="00B64097" w:rsidP="009C3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E1" w:rsidRDefault="006D22E1" w:rsidP="00224FB6">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6D22E1">
      <w:tc>
        <w:tcPr>
          <w:tcW w:w="1134" w:type="dxa"/>
        </w:tcPr>
        <w:p w:rsidR="006D22E1" w:rsidRPr="003D7214" w:rsidRDefault="00423EA8" w:rsidP="00224FB6">
          <w:pPr>
            <w:spacing w:line="240" w:lineRule="exact"/>
            <w:rPr>
              <w:rFonts w:cs="Arial"/>
              <w:szCs w:val="22"/>
            </w:rPr>
          </w:pPr>
          <w:r w:rsidRPr="003D7214">
            <w:rPr>
              <w:rStyle w:val="PageNumber"/>
              <w:rFonts w:cs="Arial"/>
              <w:szCs w:val="22"/>
            </w:rPr>
            <w:fldChar w:fldCharType="begin"/>
          </w:r>
          <w:r w:rsidR="006D22E1" w:rsidRPr="003D7214">
            <w:rPr>
              <w:rStyle w:val="PageNumber"/>
              <w:rFonts w:cs="Arial"/>
              <w:szCs w:val="22"/>
            </w:rPr>
            <w:instrText xml:space="preserve">PAGE  </w:instrText>
          </w:r>
          <w:r w:rsidRPr="003D7214">
            <w:rPr>
              <w:rStyle w:val="PageNumber"/>
              <w:rFonts w:cs="Arial"/>
              <w:szCs w:val="22"/>
            </w:rPr>
            <w:fldChar w:fldCharType="separate"/>
          </w:r>
          <w:r w:rsidR="006D22E1">
            <w:rPr>
              <w:rStyle w:val="PageNumber"/>
              <w:rFonts w:cs="Arial"/>
              <w:noProof/>
              <w:szCs w:val="22"/>
            </w:rPr>
            <w:t>2</w:t>
          </w:r>
          <w:r w:rsidRPr="003D7214">
            <w:rPr>
              <w:rStyle w:val="PageNumber"/>
              <w:rFonts w:cs="Arial"/>
              <w:szCs w:val="22"/>
            </w:rPr>
            <w:fldChar w:fldCharType="end"/>
          </w:r>
        </w:p>
      </w:tc>
      <w:tc>
        <w:tcPr>
          <w:tcW w:w="6095" w:type="dxa"/>
        </w:tcPr>
        <w:p w:rsidR="006D22E1" w:rsidRPr="004F5D6D" w:rsidRDefault="00423EA8" w:rsidP="00224FB6">
          <w:pPr>
            <w:pStyle w:val="Footer"/>
            <w:spacing w:before="20" w:line="240" w:lineRule="exact"/>
          </w:pPr>
          <w:fldSimple w:instr=" STYLEREF  Title  ">
            <w:r w:rsidR="00FE507F">
              <w:rPr>
                <w:noProof/>
              </w:rPr>
              <w:t>Legislative Instruments Act 2003</w:t>
            </w:r>
          </w:fldSimple>
        </w:p>
      </w:tc>
      <w:tc>
        <w:tcPr>
          <w:tcW w:w="1134" w:type="dxa"/>
        </w:tcPr>
        <w:p w:rsidR="006D22E1" w:rsidRPr="00451BF5" w:rsidRDefault="006D22E1" w:rsidP="00224FB6">
          <w:pPr>
            <w:spacing w:line="240" w:lineRule="exact"/>
            <w:jc w:val="right"/>
            <w:rPr>
              <w:rStyle w:val="PageNumber"/>
            </w:rPr>
          </w:pPr>
        </w:p>
      </w:tc>
    </w:tr>
  </w:tbl>
  <w:p w:rsidR="006D22E1" w:rsidRDefault="006D22E1" w:rsidP="00224FB6">
    <w:pPr>
      <w:pStyle w:val="FooterDraft"/>
      <w:ind w:right="360" w:firstLine="360"/>
    </w:pPr>
    <w:r>
      <w:t>DRAFT ONLY</w:t>
    </w:r>
  </w:p>
  <w:p w:rsidR="006D22E1" w:rsidRDefault="00423EA8" w:rsidP="00224FB6">
    <w:pPr>
      <w:pStyle w:val="FooterInfo"/>
    </w:pPr>
    <w:fldSimple w:instr=" FILENAME   \* MERGEFORMAT ">
      <w:r w:rsidR="00FE507F">
        <w:rPr>
          <w:noProof/>
        </w:rPr>
        <w:t>ES - IMR standard clean copy.docx</w:t>
      </w:r>
    </w:fldSimple>
    <w:r w:rsidR="006D22E1" w:rsidRPr="00974D8C">
      <w:t xml:space="preserve"> </w:t>
    </w:r>
    <w:fldSimple w:instr=" DATE  \@ &quot;D/MM/YYYY&quot;  \* MERGEFORMAT ">
      <w:r w:rsidR="009D5019">
        <w:rPr>
          <w:noProof/>
        </w:rPr>
        <w:t>28/06/2013</w:t>
      </w:r>
    </w:fldSimple>
    <w:r w:rsidR="006D22E1">
      <w:t xml:space="preserve"> </w:t>
    </w:r>
    <w:fldSimple w:instr=" TIME  \@ &quot;h:mm am/pm&quot;  \* MERGEFORMAT ">
      <w:r w:rsidR="009D5019">
        <w:rPr>
          <w:noProof/>
        </w:rPr>
        <w:t>1:58 PM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6378"/>
      <w:docPartObj>
        <w:docPartGallery w:val="Page Numbers (Bottom of Page)"/>
        <w:docPartUnique/>
      </w:docPartObj>
    </w:sdtPr>
    <w:sdtContent>
      <w:p w:rsidR="006D22E1" w:rsidRDefault="00423EA8">
        <w:pPr>
          <w:pStyle w:val="Footer"/>
          <w:jc w:val="center"/>
        </w:pPr>
        <w:fldSimple w:instr=" PAGE   \* MERGEFORMAT ">
          <w:r w:rsidR="009D5019">
            <w:rPr>
              <w:noProof/>
            </w:rPr>
            <w:t>2</w:t>
          </w:r>
        </w:fldSimple>
      </w:p>
    </w:sdtContent>
  </w:sdt>
  <w:p w:rsidR="006D22E1" w:rsidRDefault="006D22E1" w:rsidP="00224FB6">
    <w:pPr>
      <w:pStyle w:val="FooterDra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6379"/>
      <w:docPartObj>
        <w:docPartGallery w:val="Page Numbers (Bottom of Page)"/>
        <w:docPartUnique/>
      </w:docPartObj>
    </w:sdtPr>
    <w:sdtContent>
      <w:p w:rsidR="006D22E1" w:rsidRDefault="00423EA8">
        <w:pPr>
          <w:pStyle w:val="Footer"/>
          <w:jc w:val="center"/>
        </w:pPr>
        <w:fldSimple w:instr=" PAGE   \* MERGEFORMAT ">
          <w:r w:rsidR="009D5019">
            <w:rPr>
              <w:noProof/>
            </w:rPr>
            <w:t>1</w:t>
          </w:r>
        </w:fldSimple>
      </w:p>
    </w:sdtContent>
  </w:sdt>
  <w:p w:rsidR="006D22E1" w:rsidRDefault="006D22E1">
    <w:pPr>
      <w:pStyle w:val="FooterDra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097" w:rsidRDefault="00B64097" w:rsidP="009C3421">
      <w:r>
        <w:separator/>
      </w:r>
    </w:p>
  </w:footnote>
  <w:footnote w:type="continuationSeparator" w:id="0">
    <w:p w:rsidR="00B64097" w:rsidRDefault="00B64097" w:rsidP="009C3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6D22E1">
      <w:tc>
        <w:tcPr>
          <w:tcW w:w="1494" w:type="dxa"/>
        </w:tcPr>
        <w:p w:rsidR="006D22E1" w:rsidRDefault="006D22E1" w:rsidP="00224FB6">
          <w:pPr>
            <w:pStyle w:val="HeaderLiteEven"/>
          </w:pPr>
        </w:p>
      </w:tc>
      <w:tc>
        <w:tcPr>
          <w:tcW w:w="6891" w:type="dxa"/>
        </w:tcPr>
        <w:p w:rsidR="006D22E1" w:rsidRDefault="006D22E1" w:rsidP="00224FB6">
          <w:pPr>
            <w:pStyle w:val="HeaderLiteEven"/>
          </w:pPr>
        </w:p>
      </w:tc>
    </w:tr>
    <w:tr w:rsidR="006D22E1">
      <w:tc>
        <w:tcPr>
          <w:tcW w:w="1494" w:type="dxa"/>
        </w:tcPr>
        <w:p w:rsidR="006D22E1" w:rsidRDefault="006D22E1" w:rsidP="00224FB6">
          <w:pPr>
            <w:pStyle w:val="HeaderLiteEven"/>
          </w:pPr>
        </w:p>
      </w:tc>
      <w:tc>
        <w:tcPr>
          <w:tcW w:w="6891" w:type="dxa"/>
        </w:tcPr>
        <w:p w:rsidR="006D22E1" w:rsidRDefault="006D22E1" w:rsidP="00224FB6">
          <w:pPr>
            <w:pStyle w:val="HeaderLiteEven"/>
          </w:pPr>
        </w:p>
      </w:tc>
    </w:tr>
    <w:tr w:rsidR="006D22E1">
      <w:tc>
        <w:tcPr>
          <w:tcW w:w="8385" w:type="dxa"/>
          <w:gridSpan w:val="2"/>
          <w:tcBorders>
            <w:bottom w:val="single" w:sz="4" w:space="0" w:color="auto"/>
          </w:tcBorders>
        </w:tcPr>
        <w:p w:rsidR="006D22E1" w:rsidRDefault="006D22E1" w:rsidP="00224FB6">
          <w:pPr>
            <w:pStyle w:val="HeaderBoldEven"/>
          </w:pPr>
        </w:p>
      </w:tc>
    </w:tr>
  </w:tbl>
  <w:p w:rsidR="006D22E1" w:rsidRDefault="006D22E1" w:rsidP="00224FB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6D22E1">
      <w:tc>
        <w:tcPr>
          <w:tcW w:w="6914" w:type="dxa"/>
        </w:tcPr>
        <w:p w:rsidR="006D22E1" w:rsidRDefault="006D22E1" w:rsidP="00224FB6">
          <w:pPr>
            <w:pStyle w:val="HeaderLiteOdd"/>
          </w:pPr>
        </w:p>
      </w:tc>
      <w:tc>
        <w:tcPr>
          <w:tcW w:w="1471" w:type="dxa"/>
        </w:tcPr>
        <w:p w:rsidR="006D22E1" w:rsidRDefault="006D22E1" w:rsidP="00224FB6">
          <w:pPr>
            <w:pStyle w:val="HeaderLiteOdd"/>
          </w:pPr>
        </w:p>
      </w:tc>
    </w:tr>
    <w:tr w:rsidR="006D22E1">
      <w:tc>
        <w:tcPr>
          <w:tcW w:w="6914" w:type="dxa"/>
        </w:tcPr>
        <w:p w:rsidR="006D22E1" w:rsidRDefault="006D22E1" w:rsidP="00224FB6">
          <w:pPr>
            <w:pStyle w:val="HeaderLiteOdd"/>
            <w:tabs>
              <w:tab w:val="left" w:pos="4908"/>
            </w:tabs>
            <w:jc w:val="left"/>
          </w:pPr>
          <w:r>
            <w:tab/>
          </w:r>
          <w:r>
            <w:tab/>
          </w:r>
        </w:p>
      </w:tc>
      <w:tc>
        <w:tcPr>
          <w:tcW w:w="1471" w:type="dxa"/>
        </w:tcPr>
        <w:p w:rsidR="006D22E1" w:rsidRDefault="006D22E1" w:rsidP="00224FB6">
          <w:pPr>
            <w:pStyle w:val="HeaderLiteOdd"/>
          </w:pPr>
        </w:p>
      </w:tc>
    </w:tr>
    <w:tr w:rsidR="006D22E1">
      <w:tc>
        <w:tcPr>
          <w:tcW w:w="8385" w:type="dxa"/>
          <w:gridSpan w:val="2"/>
          <w:tcBorders>
            <w:bottom w:val="single" w:sz="4" w:space="0" w:color="auto"/>
          </w:tcBorders>
        </w:tcPr>
        <w:p w:rsidR="006D22E1" w:rsidRDefault="006D22E1" w:rsidP="00224FB6">
          <w:pPr>
            <w:pStyle w:val="HeaderBoldOdd"/>
          </w:pPr>
        </w:p>
      </w:tc>
    </w:tr>
  </w:tbl>
  <w:p w:rsidR="006D22E1" w:rsidRDefault="006D22E1" w:rsidP="00224FB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928"/>
    <w:multiLevelType w:val="hybridMultilevel"/>
    <w:tmpl w:val="935A4816"/>
    <w:lvl w:ilvl="0" w:tplc="B43A8A0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03166D"/>
    <w:multiLevelType w:val="multilevel"/>
    <w:tmpl w:val="9AFAE86A"/>
    <w:lvl w:ilvl="0">
      <w:start w:val="1"/>
      <w:numFmt w:val="decimal"/>
      <w:lvlText w:val="%1."/>
      <w:lvlJc w:val="left"/>
      <w:pPr>
        <w:ind w:left="360" w:hanging="360"/>
      </w:pPr>
      <w:rPr>
        <w:rFonts w:hint="default"/>
        <w:b/>
        <w:color w:val="auto"/>
        <w:sz w:val="24"/>
        <w:szCs w:val="24"/>
      </w:rPr>
    </w:lvl>
    <w:lvl w:ilvl="1">
      <w:start w:val="1"/>
      <w:numFmt w:val="decimal"/>
      <w:lvlText w:val="(%2)"/>
      <w:lvlJc w:val="left"/>
      <w:pPr>
        <w:ind w:left="705" w:hanging="432"/>
      </w:pPr>
      <w:rPr>
        <w:rFonts w:ascii="Times New Roman" w:eastAsia="Times New Roman" w:hAnsi="Times New Roman" w:cs="Times New Roman" w:hint="default"/>
        <w:b w:val="0"/>
        <w:i w:val="0"/>
        <w:color w:val="auto"/>
        <w:sz w:val="22"/>
        <w:szCs w:val="22"/>
      </w:rPr>
    </w:lvl>
    <w:lvl w:ilvl="2">
      <w:start w:val="1"/>
      <w:numFmt w:val="lowerLetter"/>
      <w:lvlText w:val="(%3)"/>
      <w:lvlJc w:val="left"/>
      <w:pPr>
        <w:ind w:left="1224" w:hanging="504"/>
      </w:pPr>
      <w:rPr>
        <w:rFonts w:ascii="Times New Roman" w:hAnsi="Times New Roman" w:cs="Times New Roman" w:hint="default"/>
        <w:b w:val="0"/>
        <w:color w:val="auto"/>
        <w:sz w:val="22"/>
        <w:szCs w:val="22"/>
      </w:rPr>
    </w:lvl>
    <w:lvl w:ilvl="3">
      <w:start w:val="1"/>
      <w:numFmt w:val="lowerRoman"/>
      <w:lvlText w:val="(%4)"/>
      <w:lvlJc w:val="left"/>
      <w:pPr>
        <w:ind w:left="1728" w:hanging="648"/>
      </w:pPr>
      <w:rPr>
        <w:rFonts w:hint="default"/>
        <w:b w:val="0"/>
        <w:color w:val="000000" w:themeColor="text1"/>
        <w:sz w:val="20"/>
        <w:szCs w:val="22"/>
      </w:rPr>
    </w:lvl>
    <w:lvl w:ilvl="4">
      <w:start w:val="1"/>
      <w:numFmt w:val="lowerLetter"/>
      <w:lvlText w:val="(%5)"/>
      <w:lvlJc w:val="left"/>
      <w:pPr>
        <w:ind w:left="2232" w:hanging="792"/>
      </w:pPr>
      <w:rPr>
        <w:rFonts w:hint="default"/>
      </w:rPr>
    </w:lvl>
    <w:lvl w:ilvl="5">
      <w:start w:val="1"/>
      <w:numFmt w:val="lowerLetter"/>
      <w:lvlText w:val="(%6)"/>
      <w:lvlJc w:val="left"/>
      <w:pPr>
        <w:ind w:left="2736" w:hanging="936"/>
      </w:pPr>
      <w:rPr>
        <w:rFonts w:hint="default"/>
      </w:rPr>
    </w:lvl>
    <w:lvl w:ilvl="6">
      <w:start w:val="1"/>
      <w:numFmt w:val="lowerLetter"/>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531B35"/>
    <w:multiLevelType w:val="hybridMultilevel"/>
    <w:tmpl w:val="0E96F47C"/>
    <w:lvl w:ilvl="0" w:tplc="B43A8A0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6D6AF8"/>
    <w:multiLevelType w:val="hybridMultilevel"/>
    <w:tmpl w:val="F8A44FC2"/>
    <w:lvl w:ilvl="0" w:tplc="59C2FB0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4AC6C29"/>
    <w:multiLevelType w:val="hybridMultilevel"/>
    <w:tmpl w:val="B4E8A22A"/>
    <w:lvl w:ilvl="0" w:tplc="89C48E52">
      <w:start w:val="1"/>
      <w:numFmt w:val="decimal"/>
      <w:lvlText w:val="%1."/>
      <w:lvlJc w:val="left"/>
      <w:pPr>
        <w:ind w:left="786" w:hanging="360"/>
      </w:pPr>
      <w:rPr>
        <w:rFonts w:asciiTheme="minorHAnsi" w:hAnsiTheme="minorHAnsi" w:cstheme="minorHAnsi"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4D34792"/>
    <w:multiLevelType w:val="multilevel"/>
    <w:tmpl w:val="6DFA839A"/>
    <w:lvl w:ilvl="0">
      <w:start w:val="1"/>
      <w:numFmt w:val="lowerRoman"/>
      <w:lvlText w:val="%1."/>
      <w:lvlJc w:val="right"/>
      <w:pPr>
        <w:ind w:left="1800" w:hanging="360"/>
      </w:pPr>
      <w:rPr>
        <w:rFonts w:hint="default"/>
        <w:b w:val="0"/>
        <w:color w:val="auto"/>
        <w:sz w:val="22"/>
        <w:szCs w:val="22"/>
      </w:rPr>
    </w:lvl>
    <w:lvl w:ilvl="1">
      <w:start w:val="1"/>
      <w:numFmt w:val="decimal"/>
      <w:lvlText w:val="(%2)"/>
      <w:lvlJc w:val="left"/>
      <w:pPr>
        <w:ind w:left="2145" w:hanging="432"/>
      </w:pPr>
      <w:rPr>
        <w:rFonts w:hint="default"/>
        <w:b w:val="0"/>
        <w:i w:val="0"/>
        <w:color w:val="auto"/>
        <w:sz w:val="24"/>
        <w:szCs w:val="24"/>
      </w:rPr>
    </w:lvl>
    <w:lvl w:ilvl="2">
      <w:start w:val="1"/>
      <w:numFmt w:val="lowerLetter"/>
      <w:lvlText w:val="(%3)"/>
      <w:lvlJc w:val="left"/>
      <w:pPr>
        <w:ind w:left="2664" w:hanging="504"/>
      </w:pPr>
      <w:rPr>
        <w:rFonts w:hint="default"/>
        <w:b w:val="0"/>
        <w:color w:val="auto"/>
        <w:sz w:val="22"/>
      </w:rPr>
    </w:lvl>
    <w:lvl w:ilvl="3">
      <w:start w:val="1"/>
      <w:numFmt w:val="lowerRoman"/>
      <w:lvlText w:val="%4."/>
      <w:lvlJc w:val="right"/>
      <w:pPr>
        <w:ind w:left="3168" w:hanging="648"/>
      </w:pPr>
      <w:rPr>
        <w:rFonts w:hint="default"/>
        <w:b w:val="0"/>
        <w:color w:val="000000" w:themeColor="text1"/>
        <w:sz w:val="20"/>
        <w:szCs w:val="22"/>
      </w:r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6">
    <w:nsid w:val="061E5814"/>
    <w:multiLevelType w:val="hybridMultilevel"/>
    <w:tmpl w:val="2B46715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59C2FB00">
      <w:start w:val="1"/>
      <w:numFmt w:val="lowerLetter"/>
      <w:lvlText w:val="(%3)"/>
      <w:lvlJc w:val="left"/>
      <w:pPr>
        <w:ind w:left="2160" w:hanging="180"/>
      </w:pPr>
      <w:rPr>
        <w:rFonts w:hint="default"/>
      </w:rPr>
    </w:lvl>
    <w:lvl w:ilvl="3" w:tplc="0C09001B">
      <w:start w:val="1"/>
      <w:numFmt w:val="lowerRoman"/>
      <w:lvlText w:val="%4."/>
      <w:lvlJc w:val="righ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7A62EB2"/>
    <w:multiLevelType w:val="hybridMultilevel"/>
    <w:tmpl w:val="BA921FEC"/>
    <w:lvl w:ilvl="0" w:tplc="06D216E6">
      <w:start w:val="1"/>
      <w:numFmt w:val="lowerLetter"/>
      <w:lvlText w:val="(%1)"/>
      <w:lvlJc w:val="left"/>
      <w:pPr>
        <w:ind w:left="1080"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7B96B24"/>
    <w:multiLevelType w:val="multilevel"/>
    <w:tmpl w:val="376A62FA"/>
    <w:lvl w:ilvl="0">
      <w:start w:val="1"/>
      <w:numFmt w:val="bullet"/>
      <w:lvlText w:val=""/>
      <w:lvlJc w:val="left"/>
      <w:pPr>
        <w:tabs>
          <w:tab w:val="num" w:pos="1684"/>
        </w:tabs>
        <w:ind w:left="1684" w:hanging="360"/>
      </w:pPr>
      <w:rPr>
        <w:rFonts w:ascii="Symbol" w:hAnsi="Symbol" w:hint="default"/>
      </w:rPr>
    </w:lvl>
    <w:lvl w:ilvl="1">
      <w:start w:val="1"/>
      <w:numFmt w:val="decimal"/>
      <w:lvlText w:val="%1.%2."/>
      <w:lvlJc w:val="left"/>
      <w:pPr>
        <w:tabs>
          <w:tab w:val="num" w:pos="2116"/>
        </w:tabs>
        <w:ind w:left="2116" w:hanging="432"/>
      </w:pPr>
    </w:lvl>
    <w:lvl w:ilvl="2">
      <w:start w:val="1"/>
      <w:numFmt w:val="decimal"/>
      <w:lvlText w:val="%1.%2.%3."/>
      <w:lvlJc w:val="left"/>
      <w:pPr>
        <w:tabs>
          <w:tab w:val="num" w:pos="2764"/>
        </w:tabs>
        <w:ind w:left="2548" w:hanging="504"/>
      </w:pPr>
    </w:lvl>
    <w:lvl w:ilvl="3">
      <w:start w:val="1"/>
      <w:numFmt w:val="decimal"/>
      <w:lvlText w:val="%1.%2.%3.%4."/>
      <w:lvlJc w:val="left"/>
      <w:pPr>
        <w:tabs>
          <w:tab w:val="num" w:pos="3484"/>
        </w:tabs>
        <w:ind w:left="3052" w:hanging="648"/>
      </w:pPr>
    </w:lvl>
    <w:lvl w:ilvl="4">
      <w:start w:val="1"/>
      <w:numFmt w:val="decimal"/>
      <w:lvlText w:val="%1.%2.%3.%4.%5."/>
      <w:lvlJc w:val="left"/>
      <w:pPr>
        <w:tabs>
          <w:tab w:val="num" w:pos="3844"/>
        </w:tabs>
        <w:ind w:left="3556" w:hanging="792"/>
      </w:pPr>
    </w:lvl>
    <w:lvl w:ilvl="5">
      <w:start w:val="1"/>
      <w:numFmt w:val="decimal"/>
      <w:lvlText w:val="%1.%2.%3.%4.%5.%6."/>
      <w:lvlJc w:val="left"/>
      <w:pPr>
        <w:tabs>
          <w:tab w:val="num" w:pos="4564"/>
        </w:tabs>
        <w:ind w:left="4060" w:hanging="936"/>
      </w:pPr>
    </w:lvl>
    <w:lvl w:ilvl="6">
      <w:start w:val="1"/>
      <w:numFmt w:val="decimal"/>
      <w:lvlText w:val="%1.%2.%3.%4.%5.%6.%7."/>
      <w:lvlJc w:val="left"/>
      <w:pPr>
        <w:tabs>
          <w:tab w:val="num" w:pos="4924"/>
        </w:tabs>
        <w:ind w:left="4564" w:hanging="1080"/>
      </w:pPr>
    </w:lvl>
    <w:lvl w:ilvl="7">
      <w:start w:val="1"/>
      <w:numFmt w:val="decimal"/>
      <w:lvlText w:val="%1.%2.%3.%4.%5.%6.%7.%8."/>
      <w:lvlJc w:val="left"/>
      <w:pPr>
        <w:tabs>
          <w:tab w:val="num" w:pos="5644"/>
        </w:tabs>
        <w:ind w:left="5068" w:hanging="1224"/>
      </w:pPr>
    </w:lvl>
    <w:lvl w:ilvl="8">
      <w:start w:val="1"/>
      <w:numFmt w:val="decimal"/>
      <w:lvlText w:val="%1.%2.%3.%4.%5.%6.%7.%8.%9."/>
      <w:lvlJc w:val="left"/>
      <w:pPr>
        <w:tabs>
          <w:tab w:val="num" w:pos="6004"/>
        </w:tabs>
        <w:ind w:left="5644" w:hanging="1440"/>
      </w:pPr>
    </w:lvl>
  </w:abstractNum>
  <w:abstractNum w:abstractNumId="9">
    <w:nsid w:val="0AED5393"/>
    <w:multiLevelType w:val="hybridMultilevel"/>
    <w:tmpl w:val="E1A05C3C"/>
    <w:lvl w:ilvl="0" w:tplc="982EA4D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0BC41759"/>
    <w:multiLevelType w:val="hybridMultilevel"/>
    <w:tmpl w:val="4E56CFF2"/>
    <w:lvl w:ilvl="0" w:tplc="ABEC149C">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43154CB"/>
    <w:multiLevelType w:val="multilevel"/>
    <w:tmpl w:val="554E13B6"/>
    <w:lvl w:ilvl="0">
      <w:start w:val="7"/>
      <w:numFmt w:val="decimal"/>
      <w:lvlText w:val="%1."/>
      <w:lvlJc w:val="left"/>
      <w:pPr>
        <w:ind w:left="360" w:hanging="360"/>
      </w:pPr>
      <w:rPr>
        <w:rFonts w:hint="default"/>
        <w:b/>
        <w:color w:val="auto"/>
        <w:sz w:val="24"/>
        <w:szCs w:val="24"/>
      </w:rPr>
    </w:lvl>
    <w:lvl w:ilvl="1">
      <w:start w:val="2"/>
      <w:numFmt w:val="decimal"/>
      <w:lvlText w:val="(%2)"/>
      <w:lvlJc w:val="left"/>
      <w:pPr>
        <w:ind w:left="705" w:hanging="432"/>
      </w:pPr>
      <w:rPr>
        <w:rFonts w:ascii="Times New Roman" w:eastAsia="Times New Roman" w:hAnsi="Times New Roman" w:cs="Times New Roman" w:hint="default"/>
        <w:b w:val="0"/>
        <w:i w:val="0"/>
        <w:color w:val="auto"/>
        <w:sz w:val="22"/>
        <w:szCs w:val="22"/>
      </w:rPr>
    </w:lvl>
    <w:lvl w:ilvl="2">
      <w:start w:val="2"/>
      <w:numFmt w:val="lowerLetter"/>
      <w:lvlText w:val="(%3)"/>
      <w:lvlJc w:val="left"/>
      <w:pPr>
        <w:ind w:left="1344" w:hanging="504"/>
      </w:pPr>
      <w:rPr>
        <w:rFonts w:hint="default"/>
        <w:b w:val="0"/>
        <w:color w:val="auto"/>
        <w:sz w:val="22"/>
      </w:rPr>
    </w:lvl>
    <w:lvl w:ilvl="3">
      <w:start w:val="1"/>
      <w:numFmt w:val="lowerRoman"/>
      <w:lvlText w:val="(%4)"/>
      <w:lvlJc w:val="left"/>
      <w:pPr>
        <w:ind w:left="1728" w:hanging="648"/>
      </w:pPr>
      <w:rPr>
        <w:rFonts w:hint="default"/>
        <w:b w:val="0"/>
        <w:color w:val="000000" w:themeColor="text1"/>
        <w:sz w:val="20"/>
        <w:szCs w:val="22"/>
      </w:rPr>
    </w:lvl>
    <w:lvl w:ilvl="4">
      <w:start w:val="1"/>
      <w:numFmt w:val="lowerLetter"/>
      <w:lvlText w:val="(%5)"/>
      <w:lvlJc w:val="left"/>
      <w:pPr>
        <w:ind w:left="2232" w:hanging="792"/>
      </w:pPr>
      <w:rPr>
        <w:rFonts w:hint="default"/>
      </w:rPr>
    </w:lvl>
    <w:lvl w:ilvl="5">
      <w:start w:val="1"/>
      <w:numFmt w:val="lowerLetter"/>
      <w:lvlText w:val="(%6)"/>
      <w:lvlJc w:val="left"/>
      <w:pPr>
        <w:ind w:left="2736" w:hanging="936"/>
      </w:pPr>
      <w:rPr>
        <w:rFonts w:hint="default"/>
      </w:rPr>
    </w:lvl>
    <w:lvl w:ilvl="6">
      <w:start w:val="1"/>
      <w:numFmt w:val="lowerLetter"/>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4C169C1"/>
    <w:multiLevelType w:val="multilevel"/>
    <w:tmpl w:val="71DEC53E"/>
    <w:lvl w:ilvl="0">
      <w:start w:val="1"/>
      <w:numFmt w:val="decimal"/>
      <w:lvlText w:val="%1."/>
      <w:lvlJc w:val="left"/>
      <w:pPr>
        <w:ind w:left="1080" w:hanging="360"/>
      </w:pPr>
      <w:rPr>
        <w:rFonts w:hint="default"/>
        <w:b/>
        <w:color w:val="auto"/>
        <w:sz w:val="24"/>
        <w:szCs w:val="24"/>
      </w:rPr>
    </w:lvl>
    <w:lvl w:ilvl="1">
      <w:start w:val="1"/>
      <w:numFmt w:val="decimal"/>
      <w:lvlText w:val="(%2)"/>
      <w:lvlJc w:val="left"/>
      <w:pPr>
        <w:ind w:left="1425" w:hanging="432"/>
      </w:pPr>
      <w:rPr>
        <w:rFonts w:ascii="Times New Roman" w:eastAsia="Times New Roman" w:hAnsi="Times New Roman" w:cs="Times New Roman" w:hint="default"/>
        <w:b w:val="0"/>
        <w:i w:val="0"/>
        <w:color w:val="auto"/>
        <w:sz w:val="22"/>
        <w:szCs w:val="22"/>
      </w:rPr>
    </w:lvl>
    <w:lvl w:ilvl="2">
      <w:start w:val="1"/>
      <w:numFmt w:val="lowerLetter"/>
      <w:lvlText w:val="(%3)"/>
      <w:lvlJc w:val="left"/>
      <w:pPr>
        <w:ind w:left="1944" w:hanging="504"/>
      </w:pPr>
      <w:rPr>
        <w:rFonts w:hint="default"/>
        <w:b w:val="0"/>
        <w:color w:val="auto"/>
        <w:sz w:val="22"/>
      </w:rPr>
    </w:lvl>
    <w:lvl w:ilvl="3">
      <w:start w:val="1"/>
      <w:numFmt w:val="lowerRoman"/>
      <w:lvlText w:val="(%4)"/>
      <w:lvlJc w:val="left"/>
      <w:pPr>
        <w:ind w:left="2448" w:hanging="648"/>
      </w:pPr>
      <w:rPr>
        <w:rFonts w:hint="default"/>
        <w:b w:val="0"/>
        <w:color w:val="000000" w:themeColor="text1"/>
        <w:sz w:val="20"/>
        <w:szCs w:val="22"/>
      </w:rPr>
    </w:lvl>
    <w:lvl w:ilvl="4">
      <w:start w:val="1"/>
      <w:numFmt w:val="lowerLetter"/>
      <w:lvlText w:val="(%5)"/>
      <w:lvlJc w:val="left"/>
      <w:pPr>
        <w:ind w:left="2952" w:hanging="792"/>
      </w:pPr>
      <w:rPr>
        <w:rFonts w:hint="default"/>
      </w:rPr>
    </w:lvl>
    <w:lvl w:ilvl="5">
      <w:start w:val="1"/>
      <w:numFmt w:val="lowerLetter"/>
      <w:lvlText w:val="(%6)"/>
      <w:lvlJc w:val="left"/>
      <w:pPr>
        <w:ind w:left="3456" w:hanging="936"/>
      </w:pPr>
      <w:rPr>
        <w:rFonts w:hint="default"/>
      </w:rPr>
    </w:lvl>
    <w:lvl w:ilvl="6">
      <w:start w:val="1"/>
      <w:numFmt w:val="lowerLetter"/>
      <w:lvlText w:val="(%7)"/>
      <w:lvlJc w:val="left"/>
      <w:pPr>
        <w:ind w:left="3960" w:hanging="1080"/>
      </w:pPr>
      <w:rPr>
        <w:rFonts w:hint="default"/>
      </w:r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nsid w:val="153666F7"/>
    <w:multiLevelType w:val="multilevel"/>
    <w:tmpl w:val="E2C89D7C"/>
    <w:lvl w:ilvl="0">
      <w:start w:val="9"/>
      <w:numFmt w:val="decimal"/>
      <w:lvlText w:val="%1."/>
      <w:lvlJc w:val="left"/>
      <w:pPr>
        <w:ind w:left="1080" w:hanging="360"/>
      </w:pPr>
      <w:rPr>
        <w:rFonts w:hint="default"/>
        <w:b/>
        <w:color w:val="auto"/>
        <w:sz w:val="24"/>
        <w:szCs w:val="24"/>
      </w:rPr>
    </w:lvl>
    <w:lvl w:ilvl="1">
      <w:start w:val="3"/>
      <w:numFmt w:val="decimal"/>
      <w:lvlText w:val="(%2)"/>
      <w:lvlJc w:val="left"/>
      <w:pPr>
        <w:ind w:left="1425" w:hanging="432"/>
      </w:pPr>
      <w:rPr>
        <w:rFonts w:ascii="Times New Roman" w:eastAsia="Times New Roman" w:hAnsi="Times New Roman" w:cs="Times New Roman" w:hint="default"/>
        <w:b w:val="0"/>
        <w:i w:val="0"/>
        <w:color w:val="auto"/>
        <w:sz w:val="22"/>
        <w:szCs w:val="22"/>
      </w:rPr>
    </w:lvl>
    <w:lvl w:ilvl="2">
      <w:start w:val="1"/>
      <w:numFmt w:val="lowerLetter"/>
      <w:lvlText w:val="(%3)"/>
      <w:lvlJc w:val="left"/>
      <w:pPr>
        <w:ind w:left="1944" w:hanging="504"/>
      </w:pPr>
      <w:rPr>
        <w:rFonts w:hint="default"/>
        <w:b w:val="0"/>
        <w:color w:val="auto"/>
        <w:sz w:val="22"/>
      </w:rPr>
    </w:lvl>
    <w:lvl w:ilvl="3">
      <w:start w:val="1"/>
      <w:numFmt w:val="lowerRoman"/>
      <w:lvlText w:val="(%4)"/>
      <w:lvlJc w:val="left"/>
      <w:pPr>
        <w:ind w:left="2448" w:hanging="648"/>
      </w:pPr>
      <w:rPr>
        <w:rFonts w:hint="default"/>
        <w:b w:val="0"/>
        <w:color w:val="000000" w:themeColor="text1"/>
        <w:sz w:val="20"/>
        <w:szCs w:val="22"/>
      </w:rPr>
    </w:lvl>
    <w:lvl w:ilvl="4">
      <w:start w:val="1"/>
      <w:numFmt w:val="lowerLetter"/>
      <w:lvlText w:val="(%5)"/>
      <w:lvlJc w:val="left"/>
      <w:pPr>
        <w:ind w:left="2952" w:hanging="792"/>
      </w:pPr>
      <w:rPr>
        <w:rFonts w:hint="default"/>
      </w:rPr>
    </w:lvl>
    <w:lvl w:ilvl="5">
      <w:start w:val="1"/>
      <w:numFmt w:val="lowerLetter"/>
      <w:lvlText w:val="(%6)"/>
      <w:lvlJc w:val="left"/>
      <w:pPr>
        <w:ind w:left="3456" w:hanging="936"/>
      </w:pPr>
      <w:rPr>
        <w:rFonts w:hint="default"/>
      </w:rPr>
    </w:lvl>
    <w:lvl w:ilvl="6">
      <w:start w:val="1"/>
      <w:numFmt w:val="lowerLetter"/>
      <w:lvlText w:val="(%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nsid w:val="16B26D81"/>
    <w:multiLevelType w:val="multilevel"/>
    <w:tmpl w:val="A08817C2"/>
    <w:lvl w:ilvl="0">
      <w:start w:val="1"/>
      <w:numFmt w:val="lowerLetter"/>
      <w:lvlText w:val="(%1)"/>
      <w:lvlJc w:val="left"/>
      <w:pPr>
        <w:ind w:left="1800" w:hanging="360"/>
      </w:pPr>
      <w:rPr>
        <w:rFonts w:hint="default"/>
        <w:b w:val="0"/>
        <w:color w:val="auto"/>
        <w:sz w:val="22"/>
        <w:szCs w:val="22"/>
      </w:rPr>
    </w:lvl>
    <w:lvl w:ilvl="1">
      <w:start w:val="1"/>
      <w:numFmt w:val="decimal"/>
      <w:lvlText w:val="(%2)"/>
      <w:lvlJc w:val="left"/>
      <w:pPr>
        <w:ind w:left="2145" w:hanging="432"/>
      </w:pPr>
      <w:rPr>
        <w:rFonts w:hint="default"/>
        <w:b w:val="0"/>
        <w:i w:val="0"/>
        <w:color w:val="auto"/>
        <w:sz w:val="24"/>
        <w:szCs w:val="24"/>
      </w:rPr>
    </w:lvl>
    <w:lvl w:ilvl="2">
      <w:start w:val="1"/>
      <w:numFmt w:val="lowerLetter"/>
      <w:lvlText w:val="(%3)"/>
      <w:lvlJc w:val="left"/>
      <w:pPr>
        <w:ind w:left="2664" w:hanging="504"/>
      </w:pPr>
      <w:rPr>
        <w:rFonts w:hint="default"/>
        <w:b w:val="0"/>
        <w:color w:val="auto"/>
        <w:sz w:val="22"/>
      </w:rPr>
    </w:lvl>
    <w:lvl w:ilvl="3">
      <w:start w:val="1"/>
      <w:numFmt w:val="lowerRoman"/>
      <w:lvlText w:val="%4."/>
      <w:lvlJc w:val="right"/>
      <w:pPr>
        <w:ind w:left="3168" w:hanging="648"/>
      </w:pPr>
      <w:rPr>
        <w:rFonts w:hint="default"/>
        <w:b w:val="0"/>
        <w:color w:val="000000" w:themeColor="text1"/>
        <w:sz w:val="20"/>
        <w:szCs w:val="22"/>
      </w:r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8">
    <w:nsid w:val="170C6AFF"/>
    <w:multiLevelType w:val="multilevel"/>
    <w:tmpl w:val="71DEC53E"/>
    <w:lvl w:ilvl="0">
      <w:start w:val="1"/>
      <w:numFmt w:val="decimal"/>
      <w:lvlText w:val="%1."/>
      <w:lvlJc w:val="left"/>
      <w:pPr>
        <w:ind w:left="1080" w:hanging="360"/>
      </w:pPr>
      <w:rPr>
        <w:rFonts w:hint="default"/>
        <w:b/>
        <w:color w:val="auto"/>
        <w:sz w:val="24"/>
        <w:szCs w:val="24"/>
      </w:rPr>
    </w:lvl>
    <w:lvl w:ilvl="1">
      <w:start w:val="1"/>
      <w:numFmt w:val="decimal"/>
      <w:lvlText w:val="(%2)"/>
      <w:lvlJc w:val="left"/>
      <w:pPr>
        <w:ind w:left="1425" w:hanging="432"/>
      </w:pPr>
      <w:rPr>
        <w:rFonts w:ascii="Times New Roman" w:eastAsia="Times New Roman" w:hAnsi="Times New Roman" w:cs="Times New Roman" w:hint="default"/>
        <w:b w:val="0"/>
        <w:i w:val="0"/>
        <w:color w:val="auto"/>
        <w:sz w:val="22"/>
        <w:szCs w:val="22"/>
      </w:rPr>
    </w:lvl>
    <w:lvl w:ilvl="2">
      <w:start w:val="1"/>
      <w:numFmt w:val="lowerLetter"/>
      <w:lvlText w:val="(%3)"/>
      <w:lvlJc w:val="left"/>
      <w:pPr>
        <w:ind w:left="1944" w:hanging="504"/>
      </w:pPr>
      <w:rPr>
        <w:rFonts w:hint="default"/>
        <w:b w:val="0"/>
        <w:color w:val="auto"/>
        <w:sz w:val="22"/>
      </w:rPr>
    </w:lvl>
    <w:lvl w:ilvl="3">
      <w:start w:val="1"/>
      <w:numFmt w:val="lowerRoman"/>
      <w:lvlText w:val="(%4)"/>
      <w:lvlJc w:val="left"/>
      <w:pPr>
        <w:ind w:left="2448" w:hanging="648"/>
      </w:pPr>
      <w:rPr>
        <w:rFonts w:hint="default"/>
        <w:b w:val="0"/>
        <w:color w:val="000000" w:themeColor="text1"/>
        <w:sz w:val="20"/>
        <w:szCs w:val="22"/>
      </w:rPr>
    </w:lvl>
    <w:lvl w:ilvl="4">
      <w:start w:val="1"/>
      <w:numFmt w:val="lowerLetter"/>
      <w:lvlText w:val="(%5)"/>
      <w:lvlJc w:val="left"/>
      <w:pPr>
        <w:ind w:left="2952" w:hanging="792"/>
      </w:pPr>
      <w:rPr>
        <w:rFonts w:hint="default"/>
      </w:rPr>
    </w:lvl>
    <w:lvl w:ilvl="5">
      <w:start w:val="1"/>
      <w:numFmt w:val="lowerLetter"/>
      <w:lvlText w:val="(%6)"/>
      <w:lvlJc w:val="left"/>
      <w:pPr>
        <w:ind w:left="3456" w:hanging="936"/>
      </w:pPr>
      <w:rPr>
        <w:rFonts w:hint="default"/>
      </w:rPr>
    </w:lvl>
    <w:lvl w:ilvl="6">
      <w:start w:val="1"/>
      <w:numFmt w:val="lowerLetter"/>
      <w:lvlText w:val="(%7)"/>
      <w:lvlJc w:val="left"/>
      <w:pPr>
        <w:ind w:left="3960" w:hanging="1080"/>
      </w:pPr>
      <w:rPr>
        <w:rFonts w:hint="default"/>
      </w:r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nsid w:val="18633F35"/>
    <w:multiLevelType w:val="multilevel"/>
    <w:tmpl w:val="29807D48"/>
    <w:lvl w:ilvl="0">
      <w:start w:val="1"/>
      <w:numFmt w:val="decimal"/>
      <w:lvlText w:val="%1."/>
      <w:lvlJc w:val="left"/>
      <w:pPr>
        <w:ind w:left="1080" w:hanging="360"/>
      </w:pPr>
      <w:rPr>
        <w:rFonts w:hint="default"/>
        <w:b/>
        <w:color w:val="auto"/>
        <w:sz w:val="24"/>
        <w:szCs w:val="24"/>
      </w:rPr>
    </w:lvl>
    <w:lvl w:ilvl="1">
      <w:start w:val="1"/>
      <w:numFmt w:val="decimal"/>
      <w:lvlText w:val="(%2)"/>
      <w:lvlJc w:val="left"/>
      <w:pPr>
        <w:ind w:left="1425" w:hanging="432"/>
      </w:pPr>
      <w:rPr>
        <w:rFonts w:ascii="Times New Roman" w:eastAsia="Times New Roman" w:hAnsi="Times New Roman" w:cs="Times New Roman"/>
        <w:b w:val="0"/>
        <w:i w:val="0"/>
        <w:color w:val="auto"/>
        <w:sz w:val="22"/>
        <w:szCs w:val="22"/>
      </w:rPr>
    </w:lvl>
    <w:lvl w:ilvl="2">
      <w:start w:val="1"/>
      <w:numFmt w:val="lowerLetter"/>
      <w:lvlText w:val="(%3)"/>
      <w:lvlJc w:val="left"/>
      <w:pPr>
        <w:ind w:left="1944" w:hanging="504"/>
      </w:pPr>
      <w:rPr>
        <w:rFonts w:hint="default"/>
        <w:b w:val="0"/>
        <w:color w:val="auto"/>
        <w:sz w:val="22"/>
      </w:rPr>
    </w:lvl>
    <w:lvl w:ilvl="3">
      <w:start w:val="1"/>
      <w:numFmt w:val="lowerRoman"/>
      <w:lvlText w:val="(%4)"/>
      <w:lvlJc w:val="left"/>
      <w:pPr>
        <w:ind w:left="2448" w:hanging="648"/>
      </w:pPr>
      <w:rPr>
        <w:rFonts w:hint="default"/>
        <w:b w:val="0"/>
        <w:color w:val="000000" w:themeColor="text1"/>
        <w:sz w:val="20"/>
        <w:szCs w:val="22"/>
      </w:rPr>
    </w:lvl>
    <w:lvl w:ilvl="4">
      <w:start w:val="1"/>
      <w:numFmt w:val="lowerLetter"/>
      <w:lvlText w:val="(%5)"/>
      <w:lvlJc w:val="left"/>
      <w:pPr>
        <w:ind w:left="2952" w:hanging="792"/>
      </w:pPr>
      <w:rPr>
        <w:rFonts w:hint="default"/>
      </w:rPr>
    </w:lvl>
    <w:lvl w:ilvl="5">
      <w:start w:val="1"/>
      <w:numFmt w:val="lowerLetter"/>
      <w:lvlText w:val="(%6)"/>
      <w:lvlJc w:val="left"/>
      <w:pPr>
        <w:ind w:left="3456" w:hanging="936"/>
      </w:pPr>
      <w:rPr>
        <w:rFonts w:hint="default"/>
      </w:rPr>
    </w:lvl>
    <w:lvl w:ilvl="6">
      <w:start w:val="1"/>
      <w:numFmt w:val="lowerLetter"/>
      <w:lvlText w:val="(%7)"/>
      <w:lvlJc w:val="left"/>
      <w:pPr>
        <w:ind w:left="3960" w:hanging="1080"/>
      </w:pPr>
      <w:rPr>
        <w:rFonts w:hint="default"/>
      </w:r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9A32F53"/>
    <w:multiLevelType w:val="multilevel"/>
    <w:tmpl w:val="8130A7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Roman"/>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lvl>
  </w:abstractNum>
  <w:abstractNum w:abstractNumId="22">
    <w:nsid w:val="1ABF545E"/>
    <w:multiLevelType w:val="multilevel"/>
    <w:tmpl w:val="A20C50E2"/>
    <w:lvl w:ilvl="0">
      <w:start w:val="1"/>
      <w:numFmt w:val="decimal"/>
      <w:lvlText w:val="%1."/>
      <w:lvlJc w:val="left"/>
      <w:pPr>
        <w:ind w:left="1080" w:hanging="360"/>
      </w:pPr>
      <w:rPr>
        <w:rFonts w:hint="default"/>
        <w:b/>
        <w:color w:val="1F497D" w:themeColor="text2"/>
        <w:sz w:val="28"/>
      </w:rPr>
    </w:lvl>
    <w:lvl w:ilvl="1">
      <w:start w:val="1"/>
      <w:numFmt w:val="decimal"/>
      <w:lvlText w:val="%1.%2."/>
      <w:lvlJc w:val="left"/>
      <w:pPr>
        <w:ind w:left="1512" w:hanging="432"/>
      </w:pPr>
      <w:rPr>
        <w:rFonts w:ascii="Century Gothic" w:hAnsi="Century Gothic" w:hint="default"/>
        <w:b w:val="0"/>
        <w:color w:val="auto"/>
        <w:sz w:val="24"/>
        <w:szCs w:val="24"/>
      </w:rPr>
    </w:lvl>
    <w:lvl w:ilvl="2">
      <w:start w:val="1"/>
      <w:numFmt w:val="decimal"/>
      <w:lvlText w:val="%1.%2.%3."/>
      <w:lvlJc w:val="left"/>
      <w:pPr>
        <w:ind w:left="1944" w:hanging="504"/>
      </w:pPr>
      <w:rPr>
        <w:rFonts w:ascii="Century Gothic" w:hAnsi="Century Gothic" w:hint="default"/>
        <w:b w:val="0"/>
        <w:color w:val="auto"/>
        <w:sz w:val="22"/>
      </w:rPr>
    </w:lvl>
    <w:lvl w:ilvl="3">
      <w:start w:val="1"/>
      <w:numFmt w:val="decimal"/>
      <w:lvlText w:val="%1.%2.%3.%4."/>
      <w:lvlJc w:val="left"/>
      <w:pPr>
        <w:ind w:left="2448" w:hanging="648"/>
      </w:pPr>
      <w:rPr>
        <w:b w:val="0"/>
        <w:color w:val="000000" w:themeColor="text1"/>
        <w:sz w:val="20"/>
        <w:szCs w:val="22"/>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nsid w:val="1D4F20E6"/>
    <w:multiLevelType w:val="multilevel"/>
    <w:tmpl w:val="9AFAE86A"/>
    <w:lvl w:ilvl="0">
      <w:start w:val="1"/>
      <w:numFmt w:val="decimal"/>
      <w:lvlText w:val="%1."/>
      <w:lvlJc w:val="left"/>
      <w:pPr>
        <w:ind w:left="1080" w:hanging="360"/>
      </w:pPr>
      <w:rPr>
        <w:rFonts w:hint="default"/>
        <w:b/>
        <w:color w:val="auto"/>
        <w:sz w:val="24"/>
        <w:szCs w:val="24"/>
      </w:rPr>
    </w:lvl>
    <w:lvl w:ilvl="1">
      <w:start w:val="1"/>
      <w:numFmt w:val="decimal"/>
      <w:lvlText w:val="(%2)"/>
      <w:lvlJc w:val="left"/>
      <w:pPr>
        <w:ind w:left="1425" w:hanging="432"/>
      </w:pPr>
      <w:rPr>
        <w:rFonts w:ascii="Times New Roman" w:eastAsia="Times New Roman" w:hAnsi="Times New Roman" w:cs="Times New Roman" w:hint="default"/>
        <w:b w:val="0"/>
        <w:i w:val="0"/>
        <w:color w:val="auto"/>
        <w:sz w:val="22"/>
        <w:szCs w:val="22"/>
      </w:rPr>
    </w:lvl>
    <w:lvl w:ilvl="2">
      <w:start w:val="1"/>
      <w:numFmt w:val="lowerLetter"/>
      <w:lvlText w:val="(%3)"/>
      <w:lvlJc w:val="left"/>
      <w:pPr>
        <w:ind w:left="1944" w:hanging="504"/>
      </w:pPr>
      <w:rPr>
        <w:rFonts w:ascii="Times New Roman" w:hAnsi="Times New Roman" w:cs="Times New Roman" w:hint="default"/>
        <w:b w:val="0"/>
        <w:color w:val="auto"/>
        <w:sz w:val="22"/>
        <w:szCs w:val="22"/>
      </w:rPr>
    </w:lvl>
    <w:lvl w:ilvl="3">
      <w:start w:val="1"/>
      <w:numFmt w:val="lowerRoman"/>
      <w:lvlText w:val="(%4)"/>
      <w:lvlJc w:val="left"/>
      <w:pPr>
        <w:ind w:left="2448" w:hanging="648"/>
      </w:pPr>
      <w:rPr>
        <w:rFonts w:hint="default"/>
        <w:b w:val="0"/>
        <w:color w:val="000000" w:themeColor="text1"/>
        <w:sz w:val="20"/>
        <w:szCs w:val="22"/>
      </w:rPr>
    </w:lvl>
    <w:lvl w:ilvl="4">
      <w:start w:val="1"/>
      <w:numFmt w:val="lowerLetter"/>
      <w:lvlText w:val="(%5)"/>
      <w:lvlJc w:val="left"/>
      <w:pPr>
        <w:ind w:left="2952" w:hanging="792"/>
      </w:pPr>
      <w:rPr>
        <w:rFonts w:hint="default"/>
      </w:rPr>
    </w:lvl>
    <w:lvl w:ilvl="5">
      <w:start w:val="1"/>
      <w:numFmt w:val="lowerLetter"/>
      <w:lvlText w:val="(%6)"/>
      <w:lvlJc w:val="left"/>
      <w:pPr>
        <w:ind w:left="3456" w:hanging="936"/>
      </w:pPr>
      <w:rPr>
        <w:rFonts w:hint="default"/>
      </w:rPr>
    </w:lvl>
    <w:lvl w:ilvl="6">
      <w:start w:val="1"/>
      <w:numFmt w:val="lowerLetter"/>
      <w:lvlText w:val="(%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nsid w:val="1DB439B4"/>
    <w:multiLevelType w:val="multilevel"/>
    <w:tmpl w:val="44EEC21E"/>
    <w:lvl w:ilvl="0">
      <w:start w:val="6"/>
      <w:numFmt w:val="decimal"/>
      <w:lvlText w:val="%1."/>
      <w:lvlJc w:val="left"/>
      <w:pPr>
        <w:ind w:left="1080" w:hanging="360"/>
      </w:pPr>
      <w:rPr>
        <w:rFonts w:hint="default"/>
        <w:b/>
        <w:color w:val="auto"/>
        <w:sz w:val="24"/>
        <w:szCs w:val="24"/>
      </w:rPr>
    </w:lvl>
    <w:lvl w:ilvl="1">
      <w:start w:val="1"/>
      <w:numFmt w:val="decimal"/>
      <w:lvlText w:val="(%2)"/>
      <w:lvlJc w:val="left"/>
      <w:pPr>
        <w:ind w:left="1425" w:hanging="432"/>
      </w:pPr>
      <w:rPr>
        <w:rFonts w:ascii="Times New Roman" w:eastAsia="Times New Roman" w:hAnsi="Times New Roman" w:cs="Times New Roman" w:hint="default"/>
        <w:b w:val="0"/>
        <w:i w:val="0"/>
        <w:color w:val="auto"/>
        <w:sz w:val="22"/>
        <w:szCs w:val="22"/>
      </w:rPr>
    </w:lvl>
    <w:lvl w:ilvl="2">
      <w:start w:val="3"/>
      <w:numFmt w:val="lowerLetter"/>
      <w:lvlText w:val="(%3)"/>
      <w:lvlJc w:val="left"/>
      <w:pPr>
        <w:ind w:left="1944" w:hanging="504"/>
      </w:pPr>
      <w:rPr>
        <w:rFonts w:hint="default"/>
        <w:b w:val="0"/>
        <w:color w:val="auto"/>
        <w:sz w:val="22"/>
      </w:rPr>
    </w:lvl>
    <w:lvl w:ilvl="3">
      <w:start w:val="1"/>
      <w:numFmt w:val="lowerRoman"/>
      <w:lvlText w:val="(%4)"/>
      <w:lvlJc w:val="left"/>
      <w:pPr>
        <w:ind w:left="2448" w:hanging="648"/>
      </w:pPr>
      <w:rPr>
        <w:rFonts w:hint="default"/>
        <w:b w:val="0"/>
        <w:color w:val="000000" w:themeColor="text1"/>
        <w:sz w:val="20"/>
        <w:szCs w:val="22"/>
      </w:rPr>
    </w:lvl>
    <w:lvl w:ilvl="4">
      <w:start w:val="1"/>
      <w:numFmt w:val="lowerLetter"/>
      <w:lvlText w:val="(%5)"/>
      <w:lvlJc w:val="left"/>
      <w:pPr>
        <w:ind w:left="2952" w:hanging="792"/>
      </w:pPr>
      <w:rPr>
        <w:rFonts w:hint="default"/>
      </w:rPr>
    </w:lvl>
    <w:lvl w:ilvl="5">
      <w:start w:val="1"/>
      <w:numFmt w:val="lowerLetter"/>
      <w:lvlText w:val="(%6)"/>
      <w:lvlJc w:val="left"/>
      <w:pPr>
        <w:ind w:left="3456" w:hanging="936"/>
      </w:pPr>
      <w:rPr>
        <w:rFonts w:hint="default"/>
      </w:rPr>
    </w:lvl>
    <w:lvl w:ilvl="6">
      <w:start w:val="1"/>
      <w:numFmt w:val="lowerLetter"/>
      <w:lvlText w:val="(%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nsid w:val="2228071A"/>
    <w:multiLevelType w:val="hybridMultilevel"/>
    <w:tmpl w:val="0940275E"/>
    <w:lvl w:ilvl="0" w:tplc="ABEC149C">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982EA4D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3D01A21"/>
    <w:multiLevelType w:val="hybridMultilevel"/>
    <w:tmpl w:val="67D0FF56"/>
    <w:lvl w:ilvl="0" w:tplc="B43A8A00">
      <w:start w:val="1"/>
      <w:numFmt w:val="decimal"/>
      <w:lvlText w:val="(%1)"/>
      <w:lvlJc w:val="left"/>
      <w:pPr>
        <w:ind w:left="720" w:hanging="360"/>
      </w:pPr>
      <w:rPr>
        <w:rFonts w:hint="default"/>
      </w:rPr>
    </w:lvl>
    <w:lvl w:ilvl="1" w:tplc="2124E7F0">
      <w:start w:val="1"/>
      <w:numFmt w:val="lowerLetter"/>
      <w:lvlText w:val="%2."/>
      <w:lvlJc w:val="left"/>
      <w:pPr>
        <w:ind w:left="1440" w:hanging="360"/>
      </w:pPr>
      <w:rPr>
        <w:b w:val="0"/>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82545D9"/>
    <w:multiLevelType w:val="multilevel"/>
    <w:tmpl w:val="714E4336"/>
    <w:lvl w:ilvl="0">
      <w:start w:val="9"/>
      <w:numFmt w:val="decimal"/>
      <w:lvlText w:val="%1."/>
      <w:lvlJc w:val="left"/>
      <w:pPr>
        <w:ind w:left="1080" w:hanging="360"/>
      </w:pPr>
      <w:rPr>
        <w:rFonts w:hint="default"/>
        <w:b/>
        <w:color w:val="auto"/>
        <w:sz w:val="24"/>
        <w:szCs w:val="24"/>
      </w:rPr>
    </w:lvl>
    <w:lvl w:ilvl="1">
      <w:start w:val="5"/>
      <w:numFmt w:val="decimal"/>
      <w:lvlText w:val="(%2)"/>
      <w:lvlJc w:val="left"/>
      <w:pPr>
        <w:ind w:left="1425" w:hanging="432"/>
      </w:pPr>
      <w:rPr>
        <w:rFonts w:ascii="Times New Roman" w:eastAsia="Times New Roman" w:hAnsi="Times New Roman" w:cs="Times New Roman" w:hint="default"/>
        <w:b w:val="0"/>
        <w:i w:val="0"/>
        <w:color w:val="auto"/>
        <w:sz w:val="22"/>
        <w:szCs w:val="22"/>
      </w:rPr>
    </w:lvl>
    <w:lvl w:ilvl="2">
      <w:start w:val="1"/>
      <w:numFmt w:val="lowerLetter"/>
      <w:lvlText w:val="(%3)"/>
      <w:lvlJc w:val="left"/>
      <w:pPr>
        <w:ind w:left="1944" w:hanging="504"/>
      </w:pPr>
      <w:rPr>
        <w:rFonts w:hint="default"/>
        <w:b w:val="0"/>
        <w:color w:val="auto"/>
        <w:sz w:val="22"/>
      </w:rPr>
    </w:lvl>
    <w:lvl w:ilvl="3">
      <w:start w:val="1"/>
      <w:numFmt w:val="lowerRoman"/>
      <w:lvlText w:val="(%4)"/>
      <w:lvlJc w:val="left"/>
      <w:pPr>
        <w:ind w:left="2448" w:hanging="648"/>
      </w:pPr>
      <w:rPr>
        <w:rFonts w:hint="default"/>
        <w:b w:val="0"/>
        <w:color w:val="000000" w:themeColor="text1"/>
        <w:sz w:val="20"/>
        <w:szCs w:val="22"/>
      </w:rPr>
    </w:lvl>
    <w:lvl w:ilvl="4">
      <w:start w:val="1"/>
      <w:numFmt w:val="lowerLetter"/>
      <w:lvlText w:val="(%5)"/>
      <w:lvlJc w:val="left"/>
      <w:pPr>
        <w:ind w:left="2952" w:hanging="792"/>
      </w:pPr>
      <w:rPr>
        <w:rFonts w:hint="default"/>
      </w:rPr>
    </w:lvl>
    <w:lvl w:ilvl="5">
      <w:start w:val="1"/>
      <w:numFmt w:val="lowerLetter"/>
      <w:lvlText w:val="(%6)"/>
      <w:lvlJc w:val="left"/>
      <w:pPr>
        <w:ind w:left="3456" w:hanging="936"/>
      </w:pPr>
      <w:rPr>
        <w:rFonts w:hint="default"/>
      </w:rPr>
    </w:lvl>
    <w:lvl w:ilvl="6">
      <w:start w:val="1"/>
      <w:numFmt w:val="lowerLetter"/>
      <w:lvlText w:val="(%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nsid w:val="2D2E6F63"/>
    <w:multiLevelType w:val="hybridMultilevel"/>
    <w:tmpl w:val="2484328E"/>
    <w:lvl w:ilvl="0" w:tplc="F9B436AE">
      <w:start w:val="1"/>
      <w:numFmt w:val="decimal"/>
      <w:lvlText w:val="(%1)"/>
      <w:lvlJc w:val="left"/>
      <w:pPr>
        <w:ind w:left="720" w:hanging="360"/>
      </w:pPr>
      <w:rPr>
        <w:rFonts w:hint="default"/>
      </w:rPr>
    </w:lvl>
    <w:lvl w:ilvl="1" w:tplc="C55255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1">
    <w:nsid w:val="2FB612F0"/>
    <w:multiLevelType w:val="hybridMultilevel"/>
    <w:tmpl w:val="4FCCC66C"/>
    <w:lvl w:ilvl="0" w:tplc="60D09C50">
      <w:start w:val="9"/>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30973AD5"/>
    <w:multiLevelType w:val="hybridMultilevel"/>
    <w:tmpl w:val="ED28A184"/>
    <w:lvl w:ilvl="0" w:tplc="B43A8A0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6AB7585"/>
    <w:multiLevelType w:val="multilevel"/>
    <w:tmpl w:val="4E3EF6CA"/>
    <w:lvl w:ilvl="0">
      <w:start w:val="9"/>
      <w:numFmt w:val="decimal"/>
      <w:lvlText w:val="%1."/>
      <w:lvlJc w:val="left"/>
      <w:pPr>
        <w:ind w:left="1080" w:hanging="360"/>
      </w:pPr>
      <w:rPr>
        <w:rFonts w:hint="default"/>
        <w:b/>
        <w:color w:val="auto"/>
        <w:sz w:val="24"/>
        <w:szCs w:val="24"/>
      </w:rPr>
    </w:lvl>
    <w:lvl w:ilvl="1">
      <w:start w:val="1"/>
      <w:numFmt w:val="decimal"/>
      <w:lvlText w:val="(%2)"/>
      <w:lvlJc w:val="left"/>
      <w:pPr>
        <w:ind w:left="1425" w:hanging="432"/>
      </w:pPr>
      <w:rPr>
        <w:rFonts w:ascii="Times New Roman" w:eastAsia="Times New Roman" w:hAnsi="Times New Roman" w:cs="Times New Roman" w:hint="default"/>
        <w:b w:val="0"/>
        <w:i w:val="0"/>
        <w:color w:val="auto"/>
        <w:sz w:val="22"/>
        <w:szCs w:val="22"/>
      </w:rPr>
    </w:lvl>
    <w:lvl w:ilvl="2">
      <w:start w:val="2"/>
      <w:numFmt w:val="lowerLetter"/>
      <w:lvlText w:val="(%3)"/>
      <w:lvlJc w:val="left"/>
      <w:pPr>
        <w:ind w:left="1944" w:hanging="504"/>
      </w:pPr>
      <w:rPr>
        <w:rFonts w:hint="default"/>
        <w:b w:val="0"/>
        <w:color w:val="auto"/>
        <w:sz w:val="22"/>
      </w:rPr>
    </w:lvl>
    <w:lvl w:ilvl="3">
      <w:start w:val="1"/>
      <w:numFmt w:val="lowerRoman"/>
      <w:lvlText w:val="(%4)"/>
      <w:lvlJc w:val="left"/>
      <w:pPr>
        <w:ind w:left="2448" w:hanging="648"/>
      </w:pPr>
      <w:rPr>
        <w:rFonts w:hint="default"/>
        <w:b w:val="0"/>
        <w:color w:val="000000" w:themeColor="text1"/>
        <w:sz w:val="20"/>
        <w:szCs w:val="22"/>
      </w:rPr>
    </w:lvl>
    <w:lvl w:ilvl="4">
      <w:start w:val="1"/>
      <w:numFmt w:val="lowerLetter"/>
      <w:lvlText w:val="(%5)"/>
      <w:lvlJc w:val="left"/>
      <w:pPr>
        <w:ind w:left="2952" w:hanging="792"/>
      </w:pPr>
      <w:rPr>
        <w:rFonts w:hint="default"/>
      </w:rPr>
    </w:lvl>
    <w:lvl w:ilvl="5">
      <w:start w:val="1"/>
      <w:numFmt w:val="lowerLetter"/>
      <w:lvlText w:val="(%6)"/>
      <w:lvlJc w:val="left"/>
      <w:pPr>
        <w:ind w:left="3456" w:hanging="936"/>
      </w:pPr>
      <w:rPr>
        <w:rFonts w:hint="default"/>
      </w:rPr>
    </w:lvl>
    <w:lvl w:ilvl="6">
      <w:start w:val="1"/>
      <w:numFmt w:val="lowerLetter"/>
      <w:lvlText w:val="(%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4">
    <w:nsid w:val="384E34EA"/>
    <w:multiLevelType w:val="hybridMultilevel"/>
    <w:tmpl w:val="534870F4"/>
    <w:lvl w:ilvl="0" w:tplc="ABEC149C">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A075895"/>
    <w:multiLevelType w:val="hybridMultilevel"/>
    <w:tmpl w:val="2338A036"/>
    <w:lvl w:ilvl="0" w:tplc="ABEC149C">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A396CD6"/>
    <w:multiLevelType w:val="multilevel"/>
    <w:tmpl w:val="A20C50E2"/>
    <w:lvl w:ilvl="0">
      <w:start w:val="1"/>
      <w:numFmt w:val="decimal"/>
      <w:lvlText w:val="%1."/>
      <w:lvlJc w:val="left"/>
      <w:pPr>
        <w:ind w:left="1080" w:hanging="360"/>
      </w:pPr>
      <w:rPr>
        <w:rFonts w:hint="default"/>
        <w:b/>
        <w:color w:val="1F497D" w:themeColor="text2"/>
        <w:sz w:val="28"/>
      </w:rPr>
    </w:lvl>
    <w:lvl w:ilvl="1">
      <w:start w:val="1"/>
      <w:numFmt w:val="decimal"/>
      <w:lvlText w:val="%1.%2."/>
      <w:lvlJc w:val="left"/>
      <w:pPr>
        <w:ind w:left="1512" w:hanging="432"/>
      </w:pPr>
      <w:rPr>
        <w:rFonts w:ascii="Century Gothic" w:hAnsi="Century Gothic" w:hint="default"/>
        <w:b w:val="0"/>
        <w:color w:val="auto"/>
        <w:sz w:val="24"/>
        <w:szCs w:val="24"/>
      </w:rPr>
    </w:lvl>
    <w:lvl w:ilvl="2">
      <w:start w:val="1"/>
      <w:numFmt w:val="decimal"/>
      <w:lvlText w:val="%1.%2.%3."/>
      <w:lvlJc w:val="left"/>
      <w:pPr>
        <w:ind w:left="1944" w:hanging="504"/>
      </w:pPr>
      <w:rPr>
        <w:rFonts w:ascii="Century Gothic" w:hAnsi="Century Gothic" w:hint="default"/>
        <w:b w:val="0"/>
        <w:color w:val="auto"/>
        <w:sz w:val="22"/>
      </w:rPr>
    </w:lvl>
    <w:lvl w:ilvl="3">
      <w:start w:val="1"/>
      <w:numFmt w:val="decimal"/>
      <w:lvlText w:val="%1.%2.%3.%4."/>
      <w:lvlJc w:val="left"/>
      <w:pPr>
        <w:ind w:left="2448" w:hanging="648"/>
      </w:pPr>
      <w:rPr>
        <w:b w:val="0"/>
        <w:color w:val="000000" w:themeColor="text1"/>
        <w:sz w:val="20"/>
        <w:szCs w:val="22"/>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7">
    <w:nsid w:val="3A7A2516"/>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3D7D1851"/>
    <w:multiLevelType w:val="hybridMultilevel"/>
    <w:tmpl w:val="00588F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nsid w:val="437235D6"/>
    <w:multiLevelType w:val="hybridMultilevel"/>
    <w:tmpl w:val="654A2AA8"/>
    <w:lvl w:ilvl="0" w:tplc="0C09000F">
      <w:start w:val="1"/>
      <w:numFmt w:val="decimal"/>
      <w:lvlText w:val="%1."/>
      <w:lvlJc w:val="left"/>
      <w:pPr>
        <w:ind w:left="1320" w:hanging="960"/>
      </w:pPr>
      <w:rPr>
        <w:rFonts w:hint="default"/>
      </w:rPr>
    </w:lvl>
    <w:lvl w:ilvl="1" w:tplc="B43A8A0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47162A7"/>
    <w:multiLevelType w:val="multilevel"/>
    <w:tmpl w:val="E110B0B0"/>
    <w:lvl w:ilvl="0">
      <w:start w:val="1"/>
      <w:numFmt w:val="lowerLetter"/>
      <w:lvlText w:val="(%1)"/>
      <w:lvlJc w:val="left"/>
      <w:pPr>
        <w:ind w:left="1080" w:hanging="360"/>
      </w:pPr>
      <w:rPr>
        <w:rFonts w:hint="default"/>
        <w:b w:val="0"/>
        <w:color w:val="auto"/>
        <w:sz w:val="22"/>
        <w:szCs w:val="22"/>
      </w:rPr>
    </w:lvl>
    <w:lvl w:ilvl="1">
      <w:start w:val="1"/>
      <w:numFmt w:val="decimal"/>
      <w:lvlText w:val="(%2)"/>
      <w:lvlJc w:val="left"/>
      <w:pPr>
        <w:ind w:left="1425" w:hanging="432"/>
      </w:pPr>
      <w:rPr>
        <w:rFonts w:hint="default"/>
        <w:b w:val="0"/>
        <w:i w:val="0"/>
        <w:color w:val="auto"/>
        <w:sz w:val="24"/>
        <w:szCs w:val="24"/>
      </w:rPr>
    </w:lvl>
    <w:lvl w:ilvl="2">
      <w:start w:val="1"/>
      <w:numFmt w:val="lowerLetter"/>
      <w:lvlText w:val="(%3)"/>
      <w:lvlJc w:val="left"/>
      <w:pPr>
        <w:ind w:left="1944" w:hanging="504"/>
      </w:pPr>
      <w:rPr>
        <w:rFonts w:hint="default"/>
        <w:b w:val="0"/>
        <w:color w:val="auto"/>
        <w:sz w:val="22"/>
      </w:rPr>
    </w:lvl>
    <w:lvl w:ilvl="3">
      <w:start w:val="1"/>
      <w:numFmt w:val="lowerRoman"/>
      <w:lvlText w:val="%4."/>
      <w:lvlJc w:val="right"/>
      <w:pPr>
        <w:ind w:left="2448" w:hanging="648"/>
      </w:pPr>
      <w:rPr>
        <w:rFonts w:hint="default"/>
        <w:b w:val="0"/>
        <w:color w:val="000000" w:themeColor="text1"/>
        <w:sz w:val="20"/>
        <w:szCs w:val="22"/>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nsid w:val="471542AA"/>
    <w:multiLevelType w:val="hybridMultilevel"/>
    <w:tmpl w:val="348C2EE8"/>
    <w:lvl w:ilvl="0" w:tplc="ABEC149C">
      <w:start w:val="5"/>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47276519"/>
    <w:multiLevelType w:val="hybridMultilevel"/>
    <w:tmpl w:val="FEC461AE"/>
    <w:lvl w:ilvl="0" w:tplc="0C09000F">
      <w:start w:val="1"/>
      <w:numFmt w:val="decimal"/>
      <w:lvlText w:val="%1."/>
      <w:lvlJc w:val="left"/>
      <w:pPr>
        <w:ind w:left="1080" w:hanging="360"/>
      </w:pPr>
      <w:rPr>
        <w:b w:val="0"/>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47C92CD3"/>
    <w:multiLevelType w:val="multilevel"/>
    <w:tmpl w:val="08D40790"/>
    <w:lvl w:ilvl="0">
      <w:start w:val="6"/>
      <w:numFmt w:val="decimal"/>
      <w:lvlText w:val="%1."/>
      <w:lvlJc w:val="left"/>
      <w:pPr>
        <w:ind w:left="1080" w:hanging="360"/>
      </w:pPr>
      <w:rPr>
        <w:rFonts w:hint="default"/>
        <w:b/>
        <w:color w:val="auto"/>
        <w:sz w:val="24"/>
        <w:szCs w:val="24"/>
      </w:rPr>
    </w:lvl>
    <w:lvl w:ilvl="1">
      <w:start w:val="1"/>
      <w:numFmt w:val="decimal"/>
      <w:lvlText w:val="(%2)"/>
      <w:lvlJc w:val="left"/>
      <w:pPr>
        <w:ind w:left="1425" w:hanging="432"/>
      </w:pPr>
      <w:rPr>
        <w:rFonts w:ascii="Times New Roman" w:eastAsia="Times New Roman" w:hAnsi="Times New Roman" w:cs="Times New Roman" w:hint="default"/>
        <w:b w:val="0"/>
        <w:i w:val="0"/>
        <w:color w:val="auto"/>
        <w:sz w:val="22"/>
        <w:szCs w:val="22"/>
      </w:rPr>
    </w:lvl>
    <w:lvl w:ilvl="2">
      <w:start w:val="3"/>
      <w:numFmt w:val="lowerLetter"/>
      <w:lvlText w:val="(%3)"/>
      <w:lvlJc w:val="left"/>
      <w:pPr>
        <w:ind w:left="1944" w:hanging="504"/>
      </w:pPr>
      <w:rPr>
        <w:rFonts w:hint="default"/>
        <w:b w:val="0"/>
        <w:color w:val="auto"/>
        <w:sz w:val="22"/>
      </w:rPr>
    </w:lvl>
    <w:lvl w:ilvl="3">
      <w:start w:val="1"/>
      <w:numFmt w:val="lowerRoman"/>
      <w:lvlText w:val="(%4)"/>
      <w:lvlJc w:val="left"/>
      <w:pPr>
        <w:ind w:left="2448" w:hanging="648"/>
      </w:pPr>
      <w:rPr>
        <w:rFonts w:hint="default"/>
        <w:b w:val="0"/>
        <w:color w:val="000000" w:themeColor="text1"/>
        <w:sz w:val="20"/>
        <w:szCs w:val="22"/>
      </w:rPr>
    </w:lvl>
    <w:lvl w:ilvl="4">
      <w:start w:val="1"/>
      <w:numFmt w:val="lowerLetter"/>
      <w:lvlText w:val="(%5)"/>
      <w:lvlJc w:val="left"/>
      <w:pPr>
        <w:ind w:left="2952" w:hanging="792"/>
      </w:pPr>
      <w:rPr>
        <w:rFonts w:hint="default"/>
      </w:rPr>
    </w:lvl>
    <w:lvl w:ilvl="5">
      <w:start w:val="1"/>
      <w:numFmt w:val="lowerLetter"/>
      <w:lvlText w:val="(%6)"/>
      <w:lvlJc w:val="left"/>
      <w:pPr>
        <w:ind w:left="3456" w:hanging="936"/>
      </w:pPr>
      <w:rPr>
        <w:rFonts w:hint="default"/>
      </w:rPr>
    </w:lvl>
    <w:lvl w:ilvl="6">
      <w:start w:val="1"/>
      <w:numFmt w:val="lowerLetter"/>
      <w:lvlText w:val="(%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4">
    <w:nsid w:val="4C191697"/>
    <w:multiLevelType w:val="multilevel"/>
    <w:tmpl w:val="5FCA1F68"/>
    <w:lvl w:ilvl="0">
      <w:start w:val="1"/>
      <w:numFmt w:val="decimal"/>
      <w:lvlText w:val="%1."/>
      <w:lvlJc w:val="left"/>
      <w:pPr>
        <w:ind w:left="360" w:hanging="360"/>
      </w:pPr>
      <w:rPr>
        <w:b/>
        <w:color w:val="1F497D" w:themeColor="text2"/>
        <w:sz w:val="28"/>
      </w:rPr>
    </w:lvl>
    <w:lvl w:ilvl="1">
      <w:start w:val="1"/>
      <w:numFmt w:val="decimal"/>
      <w:lvlText w:val="%1.%2."/>
      <w:lvlJc w:val="left"/>
      <w:pPr>
        <w:ind w:left="792" w:hanging="432"/>
      </w:pPr>
      <w:rPr>
        <w:rFonts w:ascii="Century Gothic" w:hAnsi="Century Gothic" w:hint="default"/>
        <w:b w:val="0"/>
        <w:color w:val="auto"/>
        <w:sz w:val="24"/>
        <w:szCs w:val="24"/>
      </w:rPr>
    </w:lvl>
    <w:lvl w:ilvl="2">
      <w:start w:val="1"/>
      <w:numFmt w:val="decimal"/>
      <w:lvlText w:val="(%3)"/>
      <w:lvlJc w:val="left"/>
      <w:pPr>
        <w:ind w:left="1224" w:hanging="504"/>
      </w:pPr>
      <w:rPr>
        <w:rFonts w:hint="default"/>
        <w:b w:val="0"/>
        <w:color w:val="auto"/>
        <w:sz w:val="22"/>
      </w:rPr>
    </w:lvl>
    <w:lvl w:ilvl="3">
      <w:start w:val="1"/>
      <w:numFmt w:val="lowerLetter"/>
      <w:lvlText w:val="(%4)"/>
      <w:lvlJc w:val="left"/>
      <w:pPr>
        <w:ind w:left="1728" w:hanging="648"/>
      </w:pPr>
      <w:rPr>
        <w:rFonts w:hint="default"/>
        <w:b w:val="0"/>
        <w:color w:val="000000" w:themeColor="text1"/>
        <w:sz w:val="20"/>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CF807A3"/>
    <w:multiLevelType w:val="hybridMultilevel"/>
    <w:tmpl w:val="E6E8E130"/>
    <w:lvl w:ilvl="0" w:tplc="0C090019">
      <w:start w:val="1"/>
      <w:numFmt w:val="lowerLetter"/>
      <w:lvlText w:val="%1."/>
      <w:lvlJc w:val="left"/>
      <w:pPr>
        <w:ind w:left="720" w:hanging="360"/>
      </w:pPr>
    </w:lvl>
    <w:lvl w:ilvl="1" w:tplc="59C2FB00">
      <w:start w:val="1"/>
      <w:numFmt w:val="lowerLetter"/>
      <w:lvlText w:val="(%2)"/>
      <w:lvlJc w:val="left"/>
      <w:pPr>
        <w:ind w:left="1440" w:hanging="360"/>
      </w:pPr>
      <w:rPr>
        <w:rFonts w:hint="default"/>
      </w:rPr>
    </w:lvl>
    <w:lvl w:ilvl="2" w:tplc="59C2FB00">
      <w:start w:val="1"/>
      <w:numFmt w:val="lowerLetter"/>
      <w:lvlText w:val="(%3)"/>
      <w:lvlJc w:val="left"/>
      <w:pPr>
        <w:ind w:left="2160" w:hanging="180"/>
      </w:pPr>
      <w:rPr>
        <w:rFonts w:hint="default"/>
      </w:rPr>
    </w:lvl>
    <w:lvl w:ilvl="3" w:tplc="0C09001B">
      <w:start w:val="1"/>
      <w:numFmt w:val="lowerRoman"/>
      <w:lvlText w:val="%4."/>
      <w:lvlJc w:val="righ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D1C6605"/>
    <w:multiLevelType w:val="hybridMultilevel"/>
    <w:tmpl w:val="37121D06"/>
    <w:lvl w:ilvl="0" w:tplc="B43A8A0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4DCE1D24"/>
    <w:multiLevelType w:val="multilevel"/>
    <w:tmpl w:val="6100BFD2"/>
    <w:lvl w:ilvl="0">
      <w:start w:val="1"/>
      <w:numFmt w:val="decimal"/>
      <w:lvlText w:val="(%1)"/>
      <w:lvlJc w:val="left"/>
      <w:pPr>
        <w:ind w:left="1080" w:hanging="360"/>
      </w:pPr>
      <w:rPr>
        <w:rFonts w:hint="default"/>
        <w:b/>
        <w:color w:val="1F497D" w:themeColor="text2"/>
        <w:sz w:val="28"/>
      </w:rPr>
    </w:lvl>
    <w:lvl w:ilvl="1">
      <w:start w:val="1"/>
      <w:numFmt w:val="decimal"/>
      <w:lvlText w:val="(%2)"/>
      <w:lvlJc w:val="left"/>
      <w:pPr>
        <w:ind w:left="1425" w:hanging="432"/>
      </w:pPr>
      <w:rPr>
        <w:rFonts w:hint="default"/>
        <w:b w:val="0"/>
        <w:i w:val="0"/>
        <w:color w:val="auto"/>
        <w:sz w:val="24"/>
        <w:szCs w:val="24"/>
      </w:rPr>
    </w:lvl>
    <w:lvl w:ilvl="2">
      <w:start w:val="1"/>
      <w:numFmt w:val="lowerLetter"/>
      <w:lvlText w:val="(%3)"/>
      <w:lvlJc w:val="left"/>
      <w:pPr>
        <w:ind w:left="1944" w:hanging="504"/>
      </w:pPr>
      <w:rPr>
        <w:rFonts w:hint="default"/>
        <w:b w:val="0"/>
        <w:color w:val="auto"/>
        <w:sz w:val="22"/>
      </w:rPr>
    </w:lvl>
    <w:lvl w:ilvl="3">
      <w:start w:val="1"/>
      <w:numFmt w:val="lowerRoman"/>
      <w:lvlText w:val="%4."/>
      <w:lvlJc w:val="right"/>
      <w:pPr>
        <w:ind w:left="2448" w:hanging="648"/>
      </w:pPr>
      <w:rPr>
        <w:rFonts w:hint="default"/>
        <w:b w:val="0"/>
        <w:color w:val="000000" w:themeColor="text1"/>
        <w:sz w:val="20"/>
        <w:szCs w:val="22"/>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8">
    <w:nsid w:val="52FC48E3"/>
    <w:multiLevelType w:val="multilevel"/>
    <w:tmpl w:val="554E13B6"/>
    <w:lvl w:ilvl="0">
      <w:start w:val="7"/>
      <w:numFmt w:val="decimal"/>
      <w:lvlText w:val="%1."/>
      <w:lvlJc w:val="left"/>
      <w:pPr>
        <w:ind w:left="786" w:hanging="360"/>
      </w:pPr>
      <w:rPr>
        <w:rFonts w:hint="default"/>
        <w:b/>
        <w:color w:val="auto"/>
        <w:sz w:val="24"/>
        <w:szCs w:val="24"/>
      </w:rPr>
    </w:lvl>
    <w:lvl w:ilvl="1">
      <w:start w:val="2"/>
      <w:numFmt w:val="decimal"/>
      <w:lvlText w:val="(%2)"/>
      <w:lvlJc w:val="left"/>
      <w:pPr>
        <w:ind w:left="1131" w:hanging="432"/>
      </w:pPr>
      <w:rPr>
        <w:rFonts w:ascii="Times New Roman" w:eastAsia="Times New Roman" w:hAnsi="Times New Roman" w:cs="Times New Roman" w:hint="default"/>
        <w:b w:val="0"/>
        <w:i w:val="0"/>
        <w:color w:val="auto"/>
        <w:sz w:val="22"/>
        <w:szCs w:val="22"/>
      </w:rPr>
    </w:lvl>
    <w:lvl w:ilvl="2">
      <w:start w:val="2"/>
      <w:numFmt w:val="lowerLetter"/>
      <w:lvlText w:val="(%3)"/>
      <w:lvlJc w:val="left"/>
      <w:pPr>
        <w:ind w:left="1770" w:hanging="504"/>
      </w:pPr>
      <w:rPr>
        <w:rFonts w:hint="default"/>
        <w:b w:val="0"/>
        <w:color w:val="auto"/>
        <w:sz w:val="22"/>
      </w:rPr>
    </w:lvl>
    <w:lvl w:ilvl="3">
      <w:start w:val="1"/>
      <w:numFmt w:val="lowerRoman"/>
      <w:lvlText w:val="(%4)"/>
      <w:lvlJc w:val="left"/>
      <w:pPr>
        <w:ind w:left="2154" w:hanging="648"/>
      </w:pPr>
      <w:rPr>
        <w:rFonts w:hint="default"/>
        <w:b w:val="0"/>
        <w:color w:val="000000" w:themeColor="text1"/>
        <w:sz w:val="20"/>
        <w:szCs w:val="22"/>
      </w:rPr>
    </w:lvl>
    <w:lvl w:ilvl="4">
      <w:start w:val="1"/>
      <w:numFmt w:val="lowerLetter"/>
      <w:lvlText w:val="(%5)"/>
      <w:lvlJc w:val="left"/>
      <w:pPr>
        <w:ind w:left="2658" w:hanging="792"/>
      </w:pPr>
      <w:rPr>
        <w:rFonts w:hint="default"/>
      </w:rPr>
    </w:lvl>
    <w:lvl w:ilvl="5">
      <w:start w:val="1"/>
      <w:numFmt w:val="lowerLetter"/>
      <w:lvlText w:val="(%6)"/>
      <w:lvlJc w:val="left"/>
      <w:pPr>
        <w:ind w:left="3162" w:hanging="936"/>
      </w:pPr>
      <w:rPr>
        <w:rFonts w:hint="default"/>
      </w:rPr>
    </w:lvl>
    <w:lvl w:ilvl="6">
      <w:start w:val="1"/>
      <w:numFmt w:val="lowerLetter"/>
      <w:lvlText w:val="(%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49">
    <w:nsid w:val="542147B5"/>
    <w:multiLevelType w:val="multilevel"/>
    <w:tmpl w:val="22D006EA"/>
    <w:lvl w:ilvl="0">
      <w:start w:val="9"/>
      <w:numFmt w:val="decimal"/>
      <w:lvlText w:val="%1."/>
      <w:lvlJc w:val="left"/>
      <w:pPr>
        <w:ind w:left="1080" w:hanging="360"/>
      </w:pPr>
      <w:rPr>
        <w:rFonts w:hint="default"/>
        <w:b/>
        <w:color w:val="auto"/>
        <w:sz w:val="24"/>
        <w:szCs w:val="24"/>
      </w:rPr>
    </w:lvl>
    <w:lvl w:ilvl="1">
      <w:start w:val="4"/>
      <w:numFmt w:val="decimal"/>
      <w:lvlText w:val="(%2)"/>
      <w:lvlJc w:val="left"/>
      <w:pPr>
        <w:ind w:left="1425" w:hanging="432"/>
      </w:pPr>
      <w:rPr>
        <w:rFonts w:ascii="Times New Roman" w:eastAsia="Times New Roman" w:hAnsi="Times New Roman" w:cs="Times New Roman" w:hint="default"/>
        <w:b w:val="0"/>
        <w:i w:val="0"/>
        <w:color w:val="auto"/>
        <w:sz w:val="22"/>
        <w:szCs w:val="22"/>
      </w:rPr>
    </w:lvl>
    <w:lvl w:ilvl="2">
      <w:start w:val="1"/>
      <w:numFmt w:val="lowerLetter"/>
      <w:lvlText w:val="(%3)"/>
      <w:lvlJc w:val="left"/>
      <w:pPr>
        <w:ind w:left="1944" w:hanging="504"/>
      </w:pPr>
      <w:rPr>
        <w:rFonts w:hint="default"/>
        <w:b w:val="0"/>
        <w:color w:val="auto"/>
        <w:sz w:val="22"/>
      </w:rPr>
    </w:lvl>
    <w:lvl w:ilvl="3">
      <w:start w:val="1"/>
      <w:numFmt w:val="lowerRoman"/>
      <w:lvlText w:val="(%4)"/>
      <w:lvlJc w:val="left"/>
      <w:pPr>
        <w:ind w:left="2448" w:hanging="648"/>
      </w:pPr>
      <w:rPr>
        <w:rFonts w:hint="default"/>
        <w:b w:val="0"/>
        <w:color w:val="000000" w:themeColor="text1"/>
        <w:sz w:val="20"/>
        <w:szCs w:val="22"/>
      </w:rPr>
    </w:lvl>
    <w:lvl w:ilvl="4">
      <w:start w:val="1"/>
      <w:numFmt w:val="lowerLetter"/>
      <w:lvlText w:val="(%5)"/>
      <w:lvlJc w:val="left"/>
      <w:pPr>
        <w:ind w:left="2952" w:hanging="792"/>
      </w:pPr>
      <w:rPr>
        <w:rFonts w:hint="default"/>
      </w:rPr>
    </w:lvl>
    <w:lvl w:ilvl="5">
      <w:start w:val="1"/>
      <w:numFmt w:val="lowerLetter"/>
      <w:lvlText w:val="(%6)"/>
      <w:lvlJc w:val="left"/>
      <w:pPr>
        <w:ind w:left="3456" w:hanging="936"/>
      </w:pPr>
      <w:rPr>
        <w:rFonts w:hint="default"/>
      </w:rPr>
    </w:lvl>
    <w:lvl w:ilvl="6">
      <w:start w:val="1"/>
      <w:numFmt w:val="lowerLetter"/>
      <w:lvlText w:val="(%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0">
    <w:nsid w:val="5979378E"/>
    <w:multiLevelType w:val="hybridMultilevel"/>
    <w:tmpl w:val="80D4BB0E"/>
    <w:lvl w:ilvl="0" w:tplc="B43A8A0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8C8A2450">
      <w:start w:val="1"/>
      <w:numFmt w:val="decimal"/>
      <w:lvlText w:val="%4."/>
      <w:lvlJc w:val="left"/>
      <w:pPr>
        <w:ind w:left="2880" w:hanging="360"/>
      </w:pPr>
      <w:rPr>
        <w:b w:val="0"/>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598507DA"/>
    <w:multiLevelType w:val="multilevel"/>
    <w:tmpl w:val="CB1C6C56"/>
    <w:lvl w:ilvl="0">
      <w:start w:val="5"/>
      <w:numFmt w:val="decimal"/>
      <w:lvlText w:val="%1."/>
      <w:lvlJc w:val="left"/>
      <w:pPr>
        <w:ind w:left="1080" w:hanging="360"/>
      </w:pPr>
      <w:rPr>
        <w:rFonts w:hint="default"/>
        <w:b/>
        <w:color w:val="auto"/>
        <w:sz w:val="24"/>
        <w:szCs w:val="24"/>
      </w:rPr>
    </w:lvl>
    <w:lvl w:ilvl="1">
      <w:start w:val="2"/>
      <w:numFmt w:val="decimal"/>
      <w:lvlText w:val="(%2)"/>
      <w:lvlJc w:val="left"/>
      <w:pPr>
        <w:ind w:left="1425" w:hanging="432"/>
      </w:pPr>
      <w:rPr>
        <w:rFonts w:ascii="Times New Roman" w:eastAsia="Times New Roman" w:hAnsi="Times New Roman" w:cs="Times New Roman" w:hint="default"/>
        <w:b w:val="0"/>
        <w:i w:val="0"/>
        <w:color w:val="auto"/>
        <w:sz w:val="22"/>
        <w:szCs w:val="22"/>
      </w:rPr>
    </w:lvl>
    <w:lvl w:ilvl="2">
      <w:start w:val="1"/>
      <w:numFmt w:val="lowerLetter"/>
      <w:lvlText w:val="(%3)"/>
      <w:lvlJc w:val="left"/>
      <w:pPr>
        <w:ind w:left="1944" w:hanging="504"/>
      </w:pPr>
      <w:rPr>
        <w:rFonts w:ascii="Times New Roman" w:hAnsi="Times New Roman" w:cs="Times New Roman" w:hint="default"/>
        <w:b w:val="0"/>
        <w:color w:val="auto"/>
        <w:sz w:val="22"/>
        <w:szCs w:val="22"/>
      </w:rPr>
    </w:lvl>
    <w:lvl w:ilvl="3">
      <w:start w:val="1"/>
      <w:numFmt w:val="lowerRoman"/>
      <w:lvlText w:val="(%4)"/>
      <w:lvlJc w:val="left"/>
      <w:pPr>
        <w:ind w:left="2448" w:hanging="648"/>
      </w:pPr>
      <w:rPr>
        <w:rFonts w:hint="default"/>
        <w:b w:val="0"/>
        <w:color w:val="000000" w:themeColor="text1"/>
        <w:sz w:val="20"/>
        <w:szCs w:val="22"/>
      </w:rPr>
    </w:lvl>
    <w:lvl w:ilvl="4">
      <w:start w:val="1"/>
      <w:numFmt w:val="lowerLetter"/>
      <w:lvlText w:val="(%5)"/>
      <w:lvlJc w:val="left"/>
      <w:pPr>
        <w:ind w:left="2952" w:hanging="792"/>
      </w:pPr>
      <w:rPr>
        <w:rFonts w:hint="default"/>
      </w:rPr>
    </w:lvl>
    <w:lvl w:ilvl="5">
      <w:start w:val="1"/>
      <w:numFmt w:val="lowerLetter"/>
      <w:lvlText w:val="(%6)"/>
      <w:lvlJc w:val="left"/>
      <w:pPr>
        <w:ind w:left="3456" w:hanging="936"/>
      </w:pPr>
      <w:rPr>
        <w:rFonts w:hint="default"/>
      </w:rPr>
    </w:lvl>
    <w:lvl w:ilvl="6">
      <w:start w:val="1"/>
      <w:numFmt w:val="lowerLetter"/>
      <w:lvlText w:val="(%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2">
    <w:nsid w:val="5D137B83"/>
    <w:multiLevelType w:val="multilevel"/>
    <w:tmpl w:val="A20C50E2"/>
    <w:lvl w:ilvl="0">
      <w:start w:val="1"/>
      <w:numFmt w:val="decimal"/>
      <w:lvlText w:val="%1."/>
      <w:lvlJc w:val="left"/>
      <w:pPr>
        <w:ind w:left="1080" w:hanging="360"/>
      </w:pPr>
      <w:rPr>
        <w:rFonts w:hint="default"/>
        <w:b/>
        <w:color w:val="1F497D" w:themeColor="text2"/>
        <w:sz w:val="28"/>
      </w:rPr>
    </w:lvl>
    <w:lvl w:ilvl="1">
      <w:start w:val="1"/>
      <w:numFmt w:val="decimal"/>
      <w:lvlText w:val="%1.%2."/>
      <w:lvlJc w:val="left"/>
      <w:pPr>
        <w:ind w:left="1512" w:hanging="432"/>
      </w:pPr>
      <w:rPr>
        <w:rFonts w:ascii="Century Gothic" w:hAnsi="Century Gothic" w:hint="default"/>
        <w:b w:val="0"/>
        <w:color w:val="auto"/>
        <w:sz w:val="24"/>
        <w:szCs w:val="24"/>
      </w:rPr>
    </w:lvl>
    <w:lvl w:ilvl="2">
      <w:start w:val="1"/>
      <w:numFmt w:val="decimal"/>
      <w:lvlText w:val="%1.%2.%3."/>
      <w:lvlJc w:val="left"/>
      <w:pPr>
        <w:ind w:left="1944" w:hanging="504"/>
      </w:pPr>
      <w:rPr>
        <w:rFonts w:ascii="Century Gothic" w:hAnsi="Century Gothic" w:hint="default"/>
        <w:b w:val="0"/>
        <w:color w:val="auto"/>
        <w:sz w:val="22"/>
      </w:rPr>
    </w:lvl>
    <w:lvl w:ilvl="3">
      <w:start w:val="1"/>
      <w:numFmt w:val="decimal"/>
      <w:lvlText w:val="%1.%2.%3.%4."/>
      <w:lvlJc w:val="left"/>
      <w:pPr>
        <w:ind w:left="2448" w:hanging="648"/>
      </w:pPr>
      <w:rPr>
        <w:b w:val="0"/>
        <w:color w:val="000000" w:themeColor="text1"/>
        <w:sz w:val="20"/>
        <w:szCs w:val="22"/>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3">
    <w:nsid w:val="5DCF1C52"/>
    <w:multiLevelType w:val="hybridMultilevel"/>
    <w:tmpl w:val="1D140752"/>
    <w:lvl w:ilvl="0" w:tplc="230CFBD0">
      <w:start w:val="5"/>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70622AF7"/>
    <w:multiLevelType w:val="hybridMultilevel"/>
    <w:tmpl w:val="A02421D8"/>
    <w:lvl w:ilvl="0" w:tplc="D27A1FD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71940DC4"/>
    <w:multiLevelType w:val="multilevel"/>
    <w:tmpl w:val="A1A859F2"/>
    <w:lvl w:ilvl="0">
      <w:start w:val="1"/>
      <w:numFmt w:val="decimal"/>
      <w:lvlText w:val="%1."/>
      <w:lvlJc w:val="left"/>
      <w:pPr>
        <w:ind w:left="360" w:hanging="360"/>
      </w:pPr>
      <w:rPr>
        <w:b/>
        <w:color w:val="1F497D" w:themeColor="text2"/>
        <w:sz w:val="28"/>
      </w:rPr>
    </w:lvl>
    <w:lvl w:ilvl="1">
      <w:start w:val="1"/>
      <w:numFmt w:val="decimal"/>
      <w:lvlText w:val="%1.%2."/>
      <w:lvlJc w:val="left"/>
      <w:pPr>
        <w:ind w:left="792" w:hanging="432"/>
      </w:pPr>
      <w:rPr>
        <w:rFonts w:ascii="Century Gothic" w:hAnsi="Century Gothic" w:hint="default"/>
        <w:b w:val="0"/>
        <w:color w:val="auto"/>
        <w:sz w:val="24"/>
        <w:szCs w:val="24"/>
      </w:rPr>
    </w:lvl>
    <w:lvl w:ilvl="2">
      <w:start w:val="1"/>
      <w:numFmt w:val="lowerLetter"/>
      <w:lvlText w:val="%3)"/>
      <w:lvlJc w:val="left"/>
      <w:pPr>
        <w:ind w:left="1224" w:hanging="504"/>
      </w:pPr>
      <w:rPr>
        <w:b w:val="0"/>
        <w:color w:val="auto"/>
        <w:sz w:val="22"/>
      </w:rPr>
    </w:lvl>
    <w:lvl w:ilvl="3">
      <w:start w:val="1"/>
      <w:numFmt w:val="lowerLetter"/>
      <w:lvlText w:val="(%4)"/>
      <w:lvlJc w:val="left"/>
      <w:pPr>
        <w:ind w:left="2066" w:hanging="648"/>
      </w:pPr>
      <w:rPr>
        <w:rFonts w:hint="default"/>
        <w:b w:val="0"/>
        <w:color w:val="000000" w:themeColor="text1"/>
        <w:sz w:val="20"/>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67C3CDF"/>
    <w:multiLevelType w:val="hybridMultilevel"/>
    <w:tmpl w:val="11ECDAD4"/>
    <w:lvl w:ilvl="0" w:tplc="7AFA3688">
      <w:start w:val="1"/>
      <w:numFmt w:val="decimal"/>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nsid w:val="76BC6440"/>
    <w:multiLevelType w:val="hybridMultilevel"/>
    <w:tmpl w:val="FA66A2D8"/>
    <w:lvl w:ilvl="0" w:tplc="35BA80C4">
      <w:start w:val="1"/>
      <w:numFmt w:val="lowerRoman"/>
      <w:lvlText w:val="(%1)"/>
      <w:lvlJc w:val="left"/>
      <w:pPr>
        <w:ind w:left="3255" w:hanging="360"/>
      </w:pPr>
      <w:rPr>
        <w:rFonts w:hint="default"/>
      </w:rPr>
    </w:lvl>
    <w:lvl w:ilvl="1" w:tplc="0C090019">
      <w:start w:val="1"/>
      <w:numFmt w:val="lowerLetter"/>
      <w:lvlText w:val="%2."/>
      <w:lvlJc w:val="left"/>
      <w:pPr>
        <w:ind w:left="3975" w:hanging="360"/>
      </w:pPr>
    </w:lvl>
    <w:lvl w:ilvl="2" w:tplc="0C09001B">
      <w:start w:val="1"/>
      <w:numFmt w:val="lowerRoman"/>
      <w:lvlText w:val="%3."/>
      <w:lvlJc w:val="right"/>
      <w:pPr>
        <w:ind w:left="4695" w:hanging="180"/>
      </w:pPr>
    </w:lvl>
    <w:lvl w:ilvl="3" w:tplc="0C09000F">
      <w:start w:val="1"/>
      <w:numFmt w:val="decimal"/>
      <w:lvlText w:val="%4."/>
      <w:lvlJc w:val="left"/>
      <w:pPr>
        <w:ind w:left="5415" w:hanging="360"/>
      </w:pPr>
    </w:lvl>
    <w:lvl w:ilvl="4" w:tplc="0C090019" w:tentative="1">
      <w:start w:val="1"/>
      <w:numFmt w:val="lowerLetter"/>
      <w:lvlText w:val="%5."/>
      <w:lvlJc w:val="left"/>
      <w:pPr>
        <w:ind w:left="6135" w:hanging="360"/>
      </w:pPr>
    </w:lvl>
    <w:lvl w:ilvl="5" w:tplc="0C09001B" w:tentative="1">
      <w:start w:val="1"/>
      <w:numFmt w:val="lowerRoman"/>
      <w:lvlText w:val="%6."/>
      <w:lvlJc w:val="right"/>
      <w:pPr>
        <w:ind w:left="6855" w:hanging="180"/>
      </w:pPr>
    </w:lvl>
    <w:lvl w:ilvl="6" w:tplc="0C09000F" w:tentative="1">
      <w:start w:val="1"/>
      <w:numFmt w:val="decimal"/>
      <w:lvlText w:val="%7."/>
      <w:lvlJc w:val="left"/>
      <w:pPr>
        <w:ind w:left="7575" w:hanging="360"/>
      </w:pPr>
    </w:lvl>
    <w:lvl w:ilvl="7" w:tplc="0C090019" w:tentative="1">
      <w:start w:val="1"/>
      <w:numFmt w:val="lowerLetter"/>
      <w:lvlText w:val="%8."/>
      <w:lvlJc w:val="left"/>
      <w:pPr>
        <w:ind w:left="8295" w:hanging="360"/>
      </w:pPr>
    </w:lvl>
    <w:lvl w:ilvl="8" w:tplc="0C09001B" w:tentative="1">
      <w:start w:val="1"/>
      <w:numFmt w:val="lowerRoman"/>
      <w:lvlText w:val="%9."/>
      <w:lvlJc w:val="right"/>
      <w:pPr>
        <w:ind w:left="9015" w:hanging="180"/>
      </w:pPr>
    </w:lvl>
  </w:abstractNum>
  <w:abstractNum w:abstractNumId="58">
    <w:nsid w:val="772631EE"/>
    <w:multiLevelType w:val="multilevel"/>
    <w:tmpl w:val="348C2EE8"/>
    <w:lvl w:ilvl="0">
      <w:start w:val="5"/>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0"/>
  </w:num>
  <w:num w:numId="2">
    <w:abstractNumId w:val="20"/>
  </w:num>
  <w:num w:numId="3">
    <w:abstractNumId w:val="13"/>
  </w:num>
  <w:num w:numId="4">
    <w:abstractNumId w:val="27"/>
  </w:num>
  <w:num w:numId="5">
    <w:abstractNumId w:val="12"/>
  </w:num>
  <w:num w:numId="6">
    <w:abstractNumId w:val="11"/>
    <w:lvlOverride w:ilvl="0">
      <w:startOverride w:val="1"/>
    </w:lvlOverride>
  </w:num>
  <w:num w:numId="7">
    <w:abstractNumId w:val="11"/>
  </w:num>
  <w:num w:numId="8">
    <w:abstractNumId w:val="11"/>
  </w:num>
  <w:num w:numId="9">
    <w:abstractNumId w:val="11"/>
  </w:num>
  <w:num w:numId="10">
    <w:abstractNumId w:val="37"/>
  </w:num>
  <w:num w:numId="11">
    <w:abstractNumId w:val="8"/>
  </w:num>
  <w:num w:numId="12">
    <w:abstractNumId w:val="29"/>
  </w:num>
  <w:num w:numId="13">
    <w:abstractNumId w:val="53"/>
  </w:num>
  <w:num w:numId="14">
    <w:abstractNumId w:val="54"/>
  </w:num>
  <w:num w:numId="15">
    <w:abstractNumId w:val="35"/>
  </w:num>
  <w:num w:numId="16">
    <w:abstractNumId w:val="34"/>
  </w:num>
  <w:num w:numId="17">
    <w:abstractNumId w:val="25"/>
  </w:num>
  <w:num w:numId="18">
    <w:abstractNumId w:val="39"/>
  </w:num>
  <w:num w:numId="19">
    <w:abstractNumId w:val="10"/>
  </w:num>
  <w:num w:numId="20">
    <w:abstractNumId w:val="41"/>
  </w:num>
  <w:num w:numId="21">
    <w:abstractNumId w:val="46"/>
  </w:num>
  <w:num w:numId="22">
    <w:abstractNumId w:val="3"/>
  </w:num>
  <w:num w:numId="23">
    <w:abstractNumId w:val="52"/>
  </w:num>
  <w:num w:numId="24">
    <w:abstractNumId w:val="0"/>
  </w:num>
  <w:num w:numId="25">
    <w:abstractNumId w:val="26"/>
  </w:num>
  <w:num w:numId="26">
    <w:abstractNumId w:val="50"/>
  </w:num>
  <w:num w:numId="27">
    <w:abstractNumId w:val="2"/>
  </w:num>
  <w:num w:numId="28">
    <w:abstractNumId w:val="56"/>
  </w:num>
  <w:num w:numId="29">
    <w:abstractNumId w:val="32"/>
  </w:num>
  <w:num w:numId="30">
    <w:abstractNumId w:val="42"/>
  </w:num>
  <w:num w:numId="31">
    <w:abstractNumId w:val="36"/>
  </w:num>
  <w:num w:numId="32">
    <w:abstractNumId w:val="22"/>
  </w:num>
  <w:num w:numId="33">
    <w:abstractNumId w:val="23"/>
  </w:num>
  <w:num w:numId="34">
    <w:abstractNumId w:val="31"/>
  </w:num>
  <w:num w:numId="35">
    <w:abstractNumId w:val="7"/>
  </w:num>
  <w:num w:numId="36">
    <w:abstractNumId w:val="58"/>
  </w:num>
  <w:num w:numId="37">
    <w:abstractNumId w:val="47"/>
  </w:num>
  <w:num w:numId="38">
    <w:abstractNumId w:val="40"/>
  </w:num>
  <w:num w:numId="39">
    <w:abstractNumId w:val="5"/>
  </w:num>
  <w:num w:numId="40">
    <w:abstractNumId w:val="17"/>
  </w:num>
  <w:num w:numId="41">
    <w:abstractNumId w:val="6"/>
  </w:num>
  <w:num w:numId="42">
    <w:abstractNumId w:val="4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num>
  <w:num w:numId="45">
    <w:abstractNumId w:val="44"/>
  </w:num>
  <w:num w:numId="46">
    <w:abstractNumId w:val="21"/>
  </w:num>
  <w:num w:numId="47">
    <w:abstractNumId w:val="57"/>
  </w:num>
  <w:num w:numId="48">
    <w:abstractNumId w:val="19"/>
  </w:num>
  <w:num w:numId="49">
    <w:abstractNumId w:val="9"/>
  </w:num>
  <w:num w:numId="50">
    <w:abstractNumId w:val="18"/>
  </w:num>
  <w:num w:numId="51">
    <w:abstractNumId w:val="43"/>
  </w:num>
  <w:num w:numId="52">
    <w:abstractNumId w:val="24"/>
  </w:num>
  <w:num w:numId="53">
    <w:abstractNumId w:val="48"/>
  </w:num>
  <w:num w:numId="54">
    <w:abstractNumId w:val="15"/>
  </w:num>
  <w:num w:numId="55">
    <w:abstractNumId w:val="33"/>
  </w:num>
  <w:num w:numId="56">
    <w:abstractNumId w:val="28"/>
  </w:num>
  <w:num w:numId="57">
    <w:abstractNumId w:val="49"/>
  </w:num>
  <w:num w:numId="58">
    <w:abstractNumId w:val="16"/>
  </w:num>
  <w:num w:numId="59">
    <w:abstractNumId w:val="51"/>
  </w:num>
  <w:num w:numId="60">
    <w:abstractNumId w:val="38"/>
  </w:num>
  <w:num w:numId="61">
    <w:abstractNumId w:val="4"/>
  </w:num>
  <w:num w:numId="62">
    <w:abstractNumId w:val="1"/>
  </w:num>
  <w:num w:numId="63">
    <w:abstractNumId w:val="1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rsids>
    <w:rsidRoot w:val="007035CE"/>
    <w:rsid w:val="000048FD"/>
    <w:rsid w:val="000057FD"/>
    <w:rsid w:val="00013498"/>
    <w:rsid w:val="00016617"/>
    <w:rsid w:val="000169A3"/>
    <w:rsid w:val="000217A7"/>
    <w:rsid w:val="000321B5"/>
    <w:rsid w:val="00033A98"/>
    <w:rsid w:val="00041347"/>
    <w:rsid w:val="00047C79"/>
    <w:rsid w:val="00053434"/>
    <w:rsid w:val="00060AD9"/>
    <w:rsid w:val="000632C3"/>
    <w:rsid w:val="00065682"/>
    <w:rsid w:val="00066E03"/>
    <w:rsid w:val="00075FC7"/>
    <w:rsid w:val="000806F6"/>
    <w:rsid w:val="00081349"/>
    <w:rsid w:val="00085B86"/>
    <w:rsid w:val="00097748"/>
    <w:rsid w:val="000A44E2"/>
    <w:rsid w:val="000B26A9"/>
    <w:rsid w:val="000B3489"/>
    <w:rsid w:val="000B4CEC"/>
    <w:rsid w:val="000B6B54"/>
    <w:rsid w:val="000C04D1"/>
    <w:rsid w:val="000C12D0"/>
    <w:rsid w:val="000C305D"/>
    <w:rsid w:val="000D092C"/>
    <w:rsid w:val="000D0B0F"/>
    <w:rsid w:val="000F6C89"/>
    <w:rsid w:val="000F71DE"/>
    <w:rsid w:val="001056B1"/>
    <w:rsid w:val="0010788B"/>
    <w:rsid w:val="00110DE7"/>
    <w:rsid w:val="00111C72"/>
    <w:rsid w:val="00112CB0"/>
    <w:rsid w:val="00116AB2"/>
    <w:rsid w:val="00125119"/>
    <w:rsid w:val="001358C6"/>
    <w:rsid w:val="00136B31"/>
    <w:rsid w:val="00136D7B"/>
    <w:rsid w:val="00142210"/>
    <w:rsid w:val="00144558"/>
    <w:rsid w:val="001479C3"/>
    <w:rsid w:val="001503F8"/>
    <w:rsid w:val="00153496"/>
    <w:rsid w:val="001534EB"/>
    <w:rsid w:val="00154F1D"/>
    <w:rsid w:val="001565A1"/>
    <w:rsid w:val="001566B3"/>
    <w:rsid w:val="00160559"/>
    <w:rsid w:val="00161582"/>
    <w:rsid w:val="00164F37"/>
    <w:rsid w:val="001674E0"/>
    <w:rsid w:val="00173EBA"/>
    <w:rsid w:val="00173FCE"/>
    <w:rsid w:val="001742D5"/>
    <w:rsid w:val="00182668"/>
    <w:rsid w:val="001835C8"/>
    <w:rsid w:val="0018673E"/>
    <w:rsid w:val="00187C9C"/>
    <w:rsid w:val="00196A5A"/>
    <w:rsid w:val="001A03E1"/>
    <w:rsid w:val="001A2F92"/>
    <w:rsid w:val="001B2DC5"/>
    <w:rsid w:val="001B63D4"/>
    <w:rsid w:val="001B67E3"/>
    <w:rsid w:val="001C05D6"/>
    <w:rsid w:val="001C163D"/>
    <w:rsid w:val="001C346A"/>
    <w:rsid w:val="001C526A"/>
    <w:rsid w:val="001D1EDB"/>
    <w:rsid w:val="001E0755"/>
    <w:rsid w:val="001E5219"/>
    <w:rsid w:val="001F060A"/>
    <w:rsid w:val="001F0FA5"/>
    <w:rsid w:val="001F3583"/>
    <w:rsid w:val="002018ED"/>
    <w:rsid w:val="00201F51"/>
    <w:rsid w:val="00202A16"/>
    <w:rsid w:val="00206DB2"/>
    <w:rsid w:val="00211C1B"/>
    <w:rsid w:val="002168AC"/>
    <w:rsid w:val="00216AC7"/>
    <w:rsid w:val="00217C56"/>
    <w:rsid w:val="00217FD0"/>
    <w:rsid w:val="0022001A"/>
    <w:rsid w:val="00222053"/>
    <w:rsid w:val="00222DA9"/>
    <w:rsid w:val="00223546"/>
    <w:rsid w:val="00224FB6"/>
    <w:rsid w:val="0023583C"/>
    <w:rsid w:val="0023770B"/>
    <w:rsid w:val="0024257B"/>
    <w:rsid w:val="0024673F"/>
    <w:rsid w:val="00246EE2"/>
    <w:rsid w:val="002477FC"/>
    <w:rsid w:val="00247EAA"/>
    <w:rsid w:val="00252DC0"/>
    <w:rsid w:val="00255B3D"/>
    <w:rsid w:val="00267956"/>
    <w:rsid w:val="00267BB6"/>
    <w:rsid w:val="002711E3"/>
    <w:rsid w:val="00271204"/>
    <w:rsid w:val="00272B0F"/>
    <w:rsid w:val="002756BE"/>
    <w:rsid w:val="00280C72"/>
    <w:rsid w:val="00281B25"/>
    <w:rsid w:val="00284525"/>
    <w:rsid w:val="002A7B22"/>
    <w:rsid w:val="002B1A64"/>
    <w:rsid w:val="002B5A6B"/>
    <w:rsid w:val="002B658D"/>
    <w:rsid w:val="002C05B4"/>
    <w:rsid w:val="002C56D4"/>
    <w:rsid w:val="002D0D85"/>
    <w:rsid w:val="002D1477"/>
    <w:rsid w:val="002D4806"/>
    <w:rsid w:val="002D593F"/>
    <w:rsid w:val="002D68DF"/>
    <w:rsid w:val="002E0376"/>
    <w:rsid w:val="002E3718"/>
    <w:rsid w:val="002E4AAB"/>
    <w:rsid w:val="002F113F"/>
    <w:rsid w:val="002F1657"/>
    <w:rsid w:val="00301ABE"/>
    <w:rsid w:val="003037F2"/>
    <w:rsid w:val="00307AF5"/>
    <w:rsid w:val="00311DEE"/>
    <w:rsid w:val="00317022"/>
    <w:rsid w:val="0032118E"/>
    <w:rsid w:val="003278D5"/>
    <w:rsid w:val="003279EE"/>
    <w:rsid w:val="00330370"/>
    <w:rsid w:val="0033042A"/>
    <w:rsid w:val="0033077D"/>
    <w:rsid w:val="00333CAE"/>
    <w:rsid w:val="00335852"/>
    <w:rsid w:val="003447BB"/>
    <w:rsid w:val="00353D87"/>
    <w:rsid w:val="003706B8"/>
    <w:rsid w:val="00377B21"/>
    <w:rsid w:val="00380885"/>
    <w:rsid w:val="00387FB9"/>
    <w:rsid w:val="00391F04"/>
    <w:rsid w:val="003942A7"/>
    <w:rsid w:val="003A433C"/>
    <w:rsid w:val="003B02AD"/>
    <w:rsid w:val="003B6CBB"/>
    <w:rsid w:val="003D18BE"/>
    <w:rsid w:val="003D5D45"/>
    <w:rsid w:val="003E1C54"/>
    <w:rsid w:val="003E6A8A"/>
    <w:rsid w:val="003E6BAB"/>
    <w:rsid w:val="003E7602"/>
    <w:rsid w:val="003F067C"/>
    <w:rsid w:val="003F3F46"/>
    <w:rsid w:val="00400A77"/>
    <w:rsid w:val="00402CF5"/>
    <w:rsid w:val="00404D45"/>
    <w:rsid w:val="00410A0D"/>
    <w:rsid w:val="004129F6"/>
    <w:rsid w:val="0041316E"/>
    <w:rsid w:val="0041374B"/>
    <w:rsid w:val="00415638"/>
    <w:rsid w:val="00415C15"/>
    <w:rsid w:val="00417A72"/>
    <w:rsid w:val="0042044C"/>
    <w:rsid w:val="0042045E"/>
    <w:rsid w:val="00423C21"/>
    <w:rsid w:val="00423EA8"/>
    <w:rsid w:val="00430949"/>
    <w:rsid w:val="00431528"/>
    <w:rsid w:val="00436701"/>
    <w:rsid w:val="00437AA2"/>
    <w:rsid w:val="00442C38"/>
    <w:rsid w:val="004432D7"/>
    <w:rsid w:val="00443324"/>
    <w:rsid w:val="0044519B"/>
    <w:rsid w:val="0046031E"/>
    <w:rsid w:val="00465957"/>
    <w:rsid w:val="00472300"/>
    <w:rsid w:val="004734B6"/>
    <w:rsid w:val="00474DD0"/>
    <w:rsid w:val="0047559A"/>
    <w:rsid w:val="00477499"/>
    <w:rsid w:val="00485E89"/>
    <w:rsid w:val="004865F4"/>
    <w:rsid w:val="00491588"/>
    <w:rsid w:val="00496551"/>
    <w:rsid w:val="004A01C3"/>
    <w:rsid w:val="004A082D"/>
    <w:rsid w:val="004A3C7F"/>
    <w:rsid w:val="004B4131"/>
    <w:rsid w:val="004C2CB4"/>
    <w:rsid w:val="004C6B4F"/>
    <w:rsid w:val="004D1F57"/>
    <w:rsid w:val="004D1FB3"/>
    <w:rsid w:val="004D247D"/>
    <w:rsid w:val="004E16A1"/>
    <w:rsid w:val="004E1851"/>
    <w:rsid w:val="004E1D50"/>
    <w:rsid w:val="004E6AC8"/>
    <w:rsid w:val="004E6F80"/>
    <w:rsid w:val="004F00D1"/>
    <w:rsid w:val="004F5848"/>
    <w:rsid w:val="004F6666"/>
    <w:rsid w:val="004F74E7"/>
    <w:rsid w:val="005004B1"/>
    <w:rsid w:val="005146B6"/>
    <w:rsid w:val="005211B3"/>
    <w:rsid w:val="005212BE"/>
    <w:rsid w:val="005226B5"/>
    <w:rsid w:val="00526217"/>
    <w:rsid w:val="00535B83"/>
    <w:rsid w:val="0053611D"/>
    <w:rsid w:val="00544309"/>
    <w:rsid w:val="00556F02"/>
    <w:rsid w:val="00561DAC"/>
    <w:rsid w:val="00563876"/>
    <w:rsid w:val="00563B0D"/>
    <w:rsid w:val="00577486"/>
    <w:rsid w:val="00595351"/>
    <w:rsid w:val="00596A92"/>
    <w:rsid w:val="005A0B5A"/>
    <w:rsid w:val="005C7D0E"/>
    <w:rsid w:val="005D0FA2"/>
    <w:rsid w:val="005D4768"/>
    <w:rsid w:val="005D61CA"/>
    <w:rsid w:val="005D7A67"/>
    <w:rsid w:val="005E6A30"/>
    <w:rsid w:val="005F16E8"/>
    <w:rsid w:val="005F458D"/>
    <w:rsid w:val="005F462B"/>
    <w:rsid w:val="005F539B"/>
    <w:rsid w:val="00602837"/>
    <w:rsid w:val="00603C8B"/>
    <w:rsid w:val="006100D2"/>
    <w:rsid w:val="00610F2C"/>
    <w:rsid w:val="00611FBC"/>
    <w:rsid w:val="006138C6"/>
    <w:rsid w:val="006172DD"/>
    <w:rsid w:val="00620E59"/>
    <w:rsid w:val="00621063"/>
    <w:rsid w:val="006224D7"/>
    <w:rsid w:val="006233D4"/>
    <w:rsid w:val="00630112"/>
    <w:rsid w:val="00632EED"/>
    <w:rsid w:val="00637092"/>
    <w:rsid w:val="00637AF1"/>
    <w:rsid w:val="0064315B"/>
    <w:rsid w:val="006433AB"/>
    <w:rsid w:val="006527BB"/>
    <w:rsid w:val="006554D8"/>
    <w:rsid w:val="00661356"/>
    <w:rsid w:val="00664109"/>
    <w:rsid w:val="0066498A"/>
    <w:rsid w:val="00664C42"/>
    <w:rsid w:val="0066509C"/>
    <w:rsid w:val="00682B33"/>
    <w:rsid w:val="00684663"/>
    <w:rsid w:val="006872C7"/>
    <w:rsid w:val="0069513B"/>
    <w:rsid w:val="006A3548"/>
    <w:rsid w:val="006A54AC"/>
    <w:rsid w:val="006A5A1B"/>
    <w:rsid w:val="006B1D9D"/>
    <w:rsid w:val="006B44C8"/>
    <w:rsid w:val="006C1D5D"/>
    <w:rsid w:val="006D13F6"/>
    <w:rsid w:val="006D22E1"/>
    <w:rsid w:val="006D694D"/>
    <w:rsid w:val="006F5B94"/>
    <w:rsid w:val="006F6808"/>
    <w:rsid w:val="007035CE"/>
    <w:rsid w:val="007045C9"/>
    <w:rsid w:val="007139D8"/>
    <w:rsid w:val="0071609E"/>
    <w:rsid w:val="0071611A"/>
    <w:rsid w:val="007255CF"/>
    <w:rsid w:val="00726C61"/>
    <w:rsid w:val="007311F5"/>
    <w:rsid w:val="007371F6"/>
    <w:rsid w:val="007417B3"/>
    <w:rsid w:val="007465E1"/>
    <w:rsid w:val="00751E60"/>
    <w:rsid w:val="007558DC"/>
    <w:rsid w:val="00755A56"/>
    <w:rsid w:val="00756B0C"/>
    <w:rsid w:val="00764FE1"/>
    <w:rsid w:val="007668D1"/>
    <w:rsid w:val="00770BA1"/>
    <w:rsid w:val="00783C0D"/>
    <w:rsid w:val="00790465"/>
    <w:rsid w:val="007A7AC3"/>
    <w:rsid w:val="007B5C91"/>
    <w:rsid w:val="007C193A"/>
    <w:rsid w:val="007C63B2"/>
    <w:rsid w:val="007D5CC3"/>
    <w:rsid w:val="007D64CF"/>
    <w:rsid w:val="007D666D"/>
    <w:rsid w:val="007E31EE"/>
    <w:rsid w:val="007E7342"/>
    <w:rsid w:val="007F259A"/>
    <w:rsid w:val="007F3EFA"/>
    <w:rsid w:val="0080714D"/>
    <w:rsid w:val="00810077"/>
    <w:rsid w:val="008130F6"/>
    <w:rsid w:val="00813C75"/>
    <w:rsid w:val="008223CF"/>
    <w:rsid w:val="00834518"/>
    <w:rsid w:val="0084122D"/>
    <w:rsid w:val="00853530"/>
    <w:rsid w:val="008560DD"/>
    <w:rsid w:val="00856CC9"/>
    <w:rsid w:val="00857AE0"/>
    <w:rsid w:val="00865891"/>
    <w:rsid w:val="008724BA"/>
    <w:rsid w:val="00872D07"/>
    <w:rsid w:val="00881118"/>
    <w:rsid w:val="00883D9E"/>
    <w:rsid w:val="00885BDD"/>
    <w:rsid w:val="00892094"/>
    <w:rsid w:val="008924F9"/>
    <w:rsid w:val="00894395"/>
    <w:rsid w:val="00897D6D"/>
    <w:rsid w:val="008A0DC5"/>
    <w:rsid w:val="008A3F14"/>
    <w:rsid w:val="008B500F"/>
    <w:rsid w:val="008C7392"/>
    <w:rsid w:val="008D1655"/>
    <w:rsid w:val="008D32F3"/>
    <w:rsid w:val="008E7947"/>
    <w:rsid w:val="008F20F2"/>
    <w:rsid w:val="009017A9"/>
    <w:rsid w:val="00903EAD"/>
    <w:rsid w:val="00910289"/>
    <w:rsid w:val="00910756"/>
    <w:rsid w:val="00911A81"/>
    <w:rsid w:val="00912AAE"/>
    <w:rsid w:val="00917BAB"/>
    <w:rsid w:val="00920BD1"/>
    <w:rsid w:val="00937671"/>
    <w:rsid w:val="009515DE"/>
    <w:rsid w:val="0095397A"/>
    <w:rsid w:val="009555C6"/>
    <w:rsid w:val="00960114"/>
    <w:rsid w:val="009616F2"/>
    <w:rsid w:val="00965D5A"/>
    <w:rsid w:val="009677C6"/>
    <w:rsid w:val="0097368E"/>
    <w:rsid w:val="00974BF8"/>
    <w:rsid w:val="0097636C"/>
    <w:rsid w:val="009770F7"/>
    <w:rsid w:val="0099077A"/>
    <w:rsid w:val="00990C01"/>
    <w:rsid w:val="0099160C"/>
    <w:rsid w:val="00996983"/>
    <w:rsid w:val="00997CA5"/>
    <w:rsid w:val="009A0623"/>
    <w:rsid w:val="009A085F"/>
    <w:rsid w:val="009A64C4"/>
    <w:rsid w:val="009B006F"/>
    <w:rsid w:val="009B29E3"/>
    <w:rsid w:val="009C2169"/>
    <w:rsid w:val="009C3421"/>
    <w:rsid w:val="009C3CAC"/>
    <w:rsid w:val="009D06F1"/>
    <w:rsid w:val="009D132F"/>
    <w:rsid w:val="009D3864"/>
    <w:rsid w:val="009D3B92"/>
    <w:rsid w:val="009D5019"/>
    <w:rsid w:val="009E216F"/>
    <w:rsid w:val="009E5C14"/>
    <w:rsid w:val="009F095F"/>
    <w:rsid w:val="009F2687"/>
    <w:rsid w:val="009F5391"/>
    <w:rsid w:val="009F6E33"/>
    <w:rsid w:val="00A00431"/>
    <w:rsid w:val="00A132F4"/>
    <w:rsid w:val="00A14B99"/>
    <w:rsid w:val="00A14BF1"/>
    <w:rsid w:val="00A20066"/>
    <w:rsid w:val="00A2265F"/>
    <w:rsid w:val="00A2327F"/>
    <w:rsid w:val="00A2646F"/>
    <w:rsid w:val="00A3692A"/>
    <w:rsid w:val="00A53F2F"/>
    <w:rsid w:val="00A54CAC"/>
    <w:rsid w:val="00A57857"/>
    <w:rsid w:val="00A61118"/>
    <w:rsid w:val="00A637F2"/>
    <w:rsid w:val="00A7782C"/>
    <w:rsid w:val="00A81C82"/>
    <w:rsid w:val="00A82E70"/>
    <w:rsid w:val="00A84EAA"/>
    <w:rsid w:val="00A92857"/>
    <w:rsid w:val="00AA0092"/>
    <w:rsid w:val="00AB1C5A"/>
    <w:rsid w:val="00AC3AFE"/>
    <w:rsid w:val="00AC40BA"/>
    <w:rsid w:val="00AC7EB7"/>
    <w:rsid w:val="00AD2A98"/>
    <w:rsid w:val="00AD2C10"/>
    <w:rsid w:val="00AD4320"/>
    <w:rsid w:val="00AD6690"/>
    <w:rsid w:val="00AE5BC5"/>
    <w:rsid w:val="00AF3BC2"/>
    <w:rsid w:val="00B06B52"/>
    <w:rsid w:val="00B07454"/>
    <w:rsid w:val="00B14D70"/>
    <w:rsid w:val="00B21823"/>
    <w:rsid w:val="00B21D18"/>
    <w:rsid w:val="00B236A1"/>
    <w:rsid w:val="00B30039"/>
    <w:rsid w:val="00B30863"/>
    <w:rsid w:val="00B31946"/>
    <w:rsid w:val="00B46DD3"/>
    <w:rsid w:val="00B4732A"/>
    <w:rsid w:val="00B47402"/>
    <w:rsid w:val="00B514A0"/>
    <w:rsid w:val="00B53BDA"/>
    <w:rsid w:val="00B64097"/>
    <w:rsid w:val="00B712C4"/>
    <w:rsid w:val="00B73E28"/>
    <w:rsid w:val="00B969D8"/>
    <w:rsid w:val="00BA1B21"/>
    <w:rsid w:val="00BA7E7A"/>
    <w:rsid w:val="00BB0656"/>
    <w:rsid w:val="00BB06C8"/>
    <w:rsid w:val="00BB0EBF"/>
    <w:rsid w:val="00BB4063"/>
    <w:rsid w:val="00BB70E9"/>
    <w:rsid w:val="00BC3EC4"/>
    <w:rsid w:val="00BC5971"/>
    <w:rsid w:val="00BD5222"/>
    <w:rsid w:val="00BD58EB"/>
    <w:rsid w:val="00BE0263"/>
    <w:rsid w:val="00BE2884"/>
    <w:rsid w:val="00BF07C2"/>
    <w:rsid w:val="00BF1CEA"/>
    <w:rsid w:val="00BF69AC"/>
    <w:rsid w:val="00BF6F44"/>
    <w:rsid w:val="00C04C9E"/>
    <w:rsid w:val="00C05585"/>
    <w:rsid w:val="00C11AB9"/>
    <w:rsid w:val="00C1554E"/>
    <w:rsid w:val="00C22053"/>
    <w:rsid w:val="00C25407"/>
    <w:rsid w:val="00C33E83"/>
    <w:rsid w:val="00C34176"/>
    <w:rsid w:val="00C36249"/>
    <w:rsid w:val="00C379B2"/>
    <w:rsid w:val="00C473BE"/>
    <w:rsid w:val="00C53148"/>
    <w:rsid w:val="00C54A08"/>
    <w:rsid w:val="00C605F9"/>
    <w:rsid w:val="00C61311"/>
    <w:rsid w:val="00C62725"/>
    <w:rsid w:val="00C63518"/>
    <w:rsid w:val="00C63C5F"/>
    <w:rsid w:val="00C75B21"/>
    <w:rsid w:val="00C84C50"/>
    <w:rsid w:val="00C8702B"/>
    <w:rsid w:val="00C94A88"/>
    <w:rsid w:val="00C94EDA"/>
    <w:rsid w:val="00C9756C"/>
    <w:rsid w:val="00C9788C"/>
    <w:rsid w:val="00CB2DFB"/>
    <w:rsid w:val="00CB4AF2"/>
    <w:rsid w:val="00CB542C"/>
    <w:rsid w:val="00CB77B4"/>
    <w:rsid w:val="00CC185D"/>
    <w:rsid w:val="00CC4917"/>
    <w:rsid w:val="00CC687C"/>
    <w:rsid w:val="00CD2C35"/>
    <w:rsid w:val="00CD477B"/>
    <w:rsid w:val="00CE020F"/>
    <w:rsid w:val="00CE1192"/>
    <w:rsid w:val="00CE164A"/>
    <w:rsid w:val="00CE4449"/>
    <w:rsid w:val="00CE5C7A"/>
    <w:rsid w:val="00CE661E"/>
    <w:rsid w:val="00CE7527"/>
    <w:rsid w:val="00CE7BB1"/>
    <w:rsid w:val="00CF0D83"/>
    <w:rsid w:val="00CF2254"/>
    <w:rsid w:val="00CF3548"/>
    <w:rsid w:val="00CF35A7"/>
    <w:rsid w:val="00CF64F6"/>
    <w:rsid w:val="00D01178"/>
    <w:rsid w:val="00D0292F"/>
    <w:rsid w:val="00D10B91"/>
    <w:rsid w:val="00D14F3D"/>
    <w:rsid w:val="00D17786"/>
    <w:rsid w:val="00D23FA5"/>
    <w:rsid w:val="00D24D54"/>
    <w:rsid w:val="00D31C55"/>
    <w:rsid w:val="00D320A4"/>
    <w:rsid w:val="00D320EB"/>
    <w:rsid w:val="00D37802"/>
    <w:rsid w:val="00D4181B"/>
    <w:rsid w:val="00D426C1"/>
    <w:rsid w:val="00D44D59"/>
    <w:rsid w:val="00D44F7C"/>
    <w:rsid w:val="00D4786E"/>
    <w:rsid w:val="00D53B02"/>
    <w:rsid w:val="00D54CBB"/>
    <w:rsid w:val="00D55FE3"/>
    <w:rsid w:val="00D573C1"/>
    <w:rsid w:val="00D65961"/>
    <w:rsid w:val="00D77474"/>
    <w:rsid w:val="00D8507B"/>
    <w:rsid w:val="00D85C3D"/>
    <w:rsid w:val="00D917B8"/>
    <w:rsid w:val="00D942EE"/>
    <w:rsid w:val="00D94786"/>
    <w:rsid w:val="00DB2A5C"/>
    <w:rsid w:val="00DB72B8"/>
    <w:rsid w:val="00DC141F"/>
    <w:rsid w:val="00DC33E0"/>
    <w:rsid w:val="00DC4002"/>
    <w:rsid w:val="00DC5101"/>
    <w:rsid w:val="00DC6717"/>
    <w:rsid w:val="00DF30CC"/>
    <w:rsid w:val="00E0492B"/>
    <w:rsid w:val="00E051CB"/>
    <w:rsid w:val="00E073B1"/>
    <w:rsid w:val="00E11891"/>
    <w:rsid w:val="00E1390C"/>
    <w:rsid w:val="00E15B03"/>
    <w:rsid w:val="00E17012"/>
    <w:rsid w:val="00E172EF"/>
    <w:rsid w:val="00E23D14"/>
    <w:rsid w:val="00E256AB"/>
    <w:rsid w:val="00E33A54"/>
    <w:rsid w:val="00E4313B"/>
    <w:rsid w:val="00E47144"/>
    <w:rsid w:val="00E51373"/>
    <w:rsid w:val="00E530BD"/>
    <w:rsid w:val="00E569E9"/>
    <w:rsid w:val="00E617E1"/>
    <w:rsid w:val="00E6252E"/>
    <w:rsid w:val="00E6665A"/>
    <w:rsid w:val="00E66A2C"/>
    <w:rsid w:val="00E7275D"/>
    <w:rsid w:val="00E752BE"/>
    <w:rsid w:val="00E76655"/>
    <w:rsid w:val="00E87233"/>
    <w:rsid w:val="00EA2988"/>
    <w:rsid w:val="00EA7F7B"/>
    <w:rsid w:val="00EB5AD3"/>
    <w:rsid w:val="00EB64FA"/>
    <w:rsid w:val="00EC1990"/>
    <w:rsid w:val="00EC3C8D"/>
    <w:rsid w:val="00ED60F2"/>
    <w:rsid w:val="00EE08F2"/>
    <w:rsid w:val="00EF3689"/>
    <w:rsid w:val="00EF6DEF"/>
    <w:rsid w:val="00F03863"/>
    <w:rsid w:val="00F04133"/>
    <w:rsid w:val="00F07781"/>
    <w:rsid w:val="00F254F5"/>
    <w:rsid w:val="00F32189"/>
    <w:rsid w:val="00F321BB"/>
    <w:rsid w:val="00F33246"/>
    <w:rsid w:val="00F37D63"/>
    <w:rsid w:val="00F40501"/>
    <w:rsid w:val="00F40AEB"/>
    <w:rsid w:val="00F42DED"/>
    <w:rsid w:val="00F54910"/>
    <w:rsid w:val="00F55F69"/>
    <w:rsid w:val="00F566B9"/>
    <w:rsid w:val="00F66F14"/>
    <w:rsid w:val="00F87CF6"/>
    <w:rsid w:val="00F9120B"/>
    <w:rsid w:val="00F91DA8"/>
    <w:rsid w:val="00F926AF"/>
    <w:rsid w:val="00F94796"/>
    <w:rsid w:val="00F95C5B"/>
    <w:rsid w:val="00F964AA"/>
    <w:rsid w:val="00F9719F"/>
    <w:rsid w:val="00F97A74"/>
    <w:rsid w:val="00FA5581"/>
    <w:rsid w:val="00FB13D6"/>
    <w:rsid w:val="00FB1A8C"/>
    <w:rsid w:val="00FB1B98"/>
    <w:rsid w:val="00FB4828"/>
    <w:rsid w:val="00FB7823"/>
    <w:rsid w:val="00FC78A1"/>
    <w:rsid w:val="00FD011A"/>
    <w:rsid w:val="00FD4934"/>
    <w:rsid w:val="00FE0C53"/>
    <w:rsid w:val="00FE0CDC"/>
    <w:rsid w:val="00FE4787"/>
    <w:rsid w:val="00FE507F"/>
    <w:rsid w:val="00FE7509"/>
    <w:rsid w:val="00FF4AE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5CE"/>
    <w:rPr>
      <w:rFonts w:ascii="Arial" w:hAnsi="Arial"/>
      <w:sz w:val="22"/>
      <w:szCs w:val="24"/>
    </w:rPr>
  </w:style>
  <w:style w:type="paragraph" w:styleId="Heading1">
    <w:name w:val="heading 1"/>
    <w:basedOn w:val="ACMAHeading1"/>
    <w:next w:val="ACMABodyText"/>
    <w:link w:val="Heading1Char"/>
    <w:uiPriority w:val="9"/>
    <w:qFormat/>
    <w:rsid w:val="0084122D"/>
    <w:pPr>
      <w:outlineLvl w:val="0"/>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84122D"/>
    <w:pPr>
      <w:suppressAutoHyphens/>
      <w:spacing w:before="80" w:after="120" w:line="280" w:lineRule="atLeast"/>
    </w:pPr>
    <w:rPr>
      <w:snapToGrid w:val="0"/>
      <w:sz w:val="24"/>
      <w:lang w:eastAsia="en-US"/>
    </w:rPr>
  </w:style>
  <w:style w:type="paragraph" w:customStyle="1" w:styleId="ACMABulletLevel1">
    <w:name w:val="ACMA Bullet Level 1"/>
    <w:rsid w:val="0084122D"/>
    <w:pPr>
      <w:numPr>
        <w:numId w:val="1"/>
      </w:numPr>
      <w:spacing w:after="120"/>
    </w:pPr>
    <w:rPr>
      <w:sz w:val="24"/>
      <w:lang w:eastAsia="en-US"/>
    </w:rPr>
  </w:style>
  <w:style w:type="paragraph" w:customStyle="1" w:styleId="ACMABulletLevel2">
    <w:name w:val="ACMA Bullet Level 2"/>
    <w:rsid w:val="0084122D"/>
    <w:pPr>
      <w:numPr>
        <w:numId w:val="2"/>
      </w:numPr>
      <w:spacing w:after="120"/>
    </w:pPr>
    <w:rPr>
      <w:sz w:val="24"/>
      <w:lang w:eastAsia="en-US"/>
    </w:rPr>
  </w:style>
  <w:style w:type="paragraph" w:customStyle="1" w:styleId="ACMAChapterHeading">
    <w:name w:val="ACMA Chapter Heading"/>
    <w:next w:val="ACMABodyText"/>
    <w:rsid w:val="0084122D"/>
    <w:pPr>
      <w:keepNext/>
      <w:suppressAutoHyphens/>
      <w:spacing w:before="2160" w:after="480"/>
      <w:outlineLvl w:val="0"/>
    </w:pPr>
    <w:rPr>
      <w:sz w:val="56"/>
      <w:szCs w:val="56"/>
      <w:lang w:eastAsia="en-US"/>
    </w:rPr>
  </w:style>
  <w:style w:type="paragraph" w:customStyle="1" w:styleId="ACMAConclusion">
    <w:name w:val="ACMA Conclusion"/>
    <w:rsid w:val="0084122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013498"/>
    <w:pPr>
      <w:spacing w:before="2160" w:after="480"/>
    </w:pPr>
    <w:rPr>
      <w:sz w:val="56"/>
      <w:szCs w:val="56"/>
      <w:lang w:eastAsia="en-US"/>
    </w:rPr>
  </w:style>
  <w:style w:type="paragraph" w:customStyle="1" w:styleId="ACMAFooterEven">
    <w:name w:val="ACMA Footer (Even)"/>
    <w:rsid w:val="0084122D"/>
    <w:pPr>
      <w:pBdr>
        <w:top w:val="single" w:sz="2" w:space="4" w:color="auto"/>
      </w:pBdr>
      <w:tabs>
        <w:tab w:val="right" w:pos="8959"/>
      </w:tabs>
    </w:pPr>
    <w:rPr>
      <w:lang w:eastAsia="en-US"/>
    </w:rPr>
  </w:style>
  <w:style w:type="paragraph" w:customStyle="1" w:styleId="ACMAFooterOdd">
    <w:name w:val="ACMA Footer (Odd)"/>
    <w:rsid w:val="0084122D"/>
    <w:pPr>
      <w:pBdr>
        <w:top w:val="single" w:sz="2" w:space="4" w:color="auto"/>
      </w:pBdr>
      <w:tabs>
        <w:tab w:val="right" w:pos="8959"/>
      </w:tabs>
    </w:pPr>
    <w:rPr>
      <w:lang w:eastAsia="en-US"/>
    </w:rPr>
  </w:style>
  <w:style w:type="paragraph" w:customStyle="1" w:styleId="ACMAFootnote">
    <w:name w:val="ACMA Footnote"/>
    <w:rsid w:val="0084122D"/>
    <w:pPr>
      <w:ind w:left="144" w:hanging="144"/>
    </w:pPr>
    <w:rPr>
      <w:sz w:val="16"/>
      <w:lang w:eastAsia="en-US"/>
    </w:rPr>
  </w:style>
  <w:style w:type="paragraph" w:customStyle="1" w:styleId="ACMAHeaderEven">
    <w:name w:val="ACMA Header (Even)"/>
    <w:rsid w:val="00013498"/>
    <w:rPr>
      <w:i/>
      <w:lang w:eastAsia="en-US"/>
    </w:rPr>
  </w:style>
  <w:style w:type="paragraph" w:customStyle="1" w:styleId="ACMAHeaderOdd">
    <w:name w:val="ACMA Header (Odd)"/>
    <w:rsid w:val="00013498"/>
    <w:pPr>
      <w:jc w:val="right"/>
    </w:pPr>
    <w:rPr>
      <w:i/>
      <w:lang w:eastAsia="en-US"/>
    </w:rPr>
  </w:style>
  <w:style w:type="paragraph" w:customStyle="1" w:styleId="ACMAHeading1">
    <w:name w:val="ACMA Heading 1"/>
    <w:next w:val="ACMABodyText"/>
    <w:rsid w:val="00013498"/>
    <w:pPr>
      <w:keepNext/>
      <w:suppressAutoHyphens/>
      <w:spacing w:before="320"/>
      <w:outlineLvl w:val="1"/>
    </w:pPr>
    <w:rPr>
      <w:rFonts w:ascii="Arial" w:hAnsi="Arial"/>
      <w:b/>
      <w:sz w:val="32"/>
      <w:szCs w:val="32"/>
      <w:lang w:eastAsia="en-US"/>
    </w:rPr>
  </w:style>
  <w:style w:type="paragraph" w:customStyle="1" w:styleId="ACMAHeading2">
    <w:name w:val="ACMA Heading 2"/>
    <w:next w:val="ACMABodyText"/>
    <w:rsid w:val="00013498"/>
    <w:pPr>
      <w:keepNext/>
      <w:suppressAutoHyphens/>
      <w:spacing w:before="240"/>
      <w:outlineLvl w:val="2"/>
    </w:pPr>
    <w:rPr>
      <w:rFonts w:ascii="Arial" w:hAnsi="Arial"/>
      <w:b/>
      <w:caps/>
      <w:sz w:val="26"/>
      <w:szCs w:val="26"/>
      <w:lang w:eastAsia="en-US"/>
    </w:rPr>
  </w:style>
  <w:style w:type="paragraph" w:customStyle="1" w:styleId="ACMAHeading3">
    <w:name w:val="ACMA Heading 3"/>
    <w:next w:val="ACMABodyText"/>
    <w:rsid w:val="00013498"/>
    <w:pPr>
      <w:keepNext/>
      <w:suppressAutoHyphens/>
      <w:spacing w:before="240"/>
      <w:outlineLvl w:val="3"/>
    </w:pPr>
    <w:rPr>
      <w:rFonts w:ascii="Arial" w:hAnsi="Arial"/>
      <w:b/>
      <w:sz w:val="24"/>
      <w:lang w:eastAsia="en-US"/>
    </w:rPr>
  </w:style>
  <w:style w:type="paragraph" w:customStyle="1" w:styleId="ACMAHeading4">
    <w:name w:val="ACMA Heading 4"/>
    <w:next w:val="ACMABodyText"/>
    <w:rsid w:val="0084122D"/>
    <w:pPr>
      <w:keepNext/>
      <w:suppressAutoHyphens/>
      <w:spacing w:before="80"/>
      <w:outlineLvl w:val="4"/>
    </w:pPr>
    <w:rPr>
      <w:rFonts w:ascii="Arial" w:hAnsi="Arial"/>
      <w:b/>
      <w:i/>
      <w:lang w:eastAsia="en-US"/>
    </w:rPr>
  </w:style>
  <w:style w:type="paragraph" w:customStyle="1" w:styleId="ACMAletteredlist">
    <w:name w:val="ACMA lettered list"/>
    <w:rsid w:val="0084122D"/>
    <w:pPr>
      <w:numPr>
        <w:numId w:val="3"/>
      </w:numPr>
      <w:spacing w:before="20" w:after="20"/>
    </w:pPr>
    <w:rPr>
      <w:sz w:val="24"/>
      <w:lang w:eastAsia="en-US"/>
    </w:rPr>
  </w:style>
  <w:style w:type="paragraph" w:customStyle="1" w:styleId="ACMANumberedList">
    <w:name w:val="ACMA Numbered List"/>
    <w:rsid w:val="0084122D"/>
    <w:pPr>
      <w:numPr>
        <w:numId w:val="4"/>
      </w:numPr>
      <w:spacing w:before="20" w:after="20"/>
    </w:pPr>
    <w:rPr>
      <w:sz w:val="24"/>
      <w:lang w:eastAsia="en-US"/>
    </w:rPr>
  </w:style>
  <w:style w:type="paragraph" w:customStyle="1" w:styleId="ACMAQuote">
    <w:name w:val="ACMA Quote"/>
    <w:rsid w:val="0084122D"/>
    <w:pPr>
      <w:spacing w:line="240" w:lineRule="atLeast"/>
      <w:ind w:left="562" w:right="562"/>
    </w:pPr>
    <w:rPr>
      <w:sz w:val="22"/>
      <w:lang w:eastAsia="en-US"/>
    </w:rPr>
  </w:style>
  <w:style w:type="paragraph" w:customStyle="1" w:styleId="ACMAReportDate">
    <w:name w:val="ACMA Report Date"/>
    <w:rsid w:val="0084122D"/>
    <w:rPr>
      <w:snapToGrid w:val="0"/>
      <w:lang w:eastAsia="en-US"/>
    </w:rPr>
  </w:style>
  <w:style w:type="paragraph" w:customStyle="1" w:styleId="ACMAReportImprint">
    <w:name w:val="ACMA Report Imprint"/>
    <w:rsid w:val="0084122D"/>
    <w:pPr>
      <w:spacing w:after="80"/>
    </w:pPr>
    <w:rPr>
      <w:rFonts w:cs="Arial"/>
      <w:lang w:eastAsia="en-US"/>
    </w:rPr>
  </w:style>
  <w:style w:type="paragraph" w:customStyle="1" w:styleId="ACMAReportImprintLast">
    <w:name w:val="ACMA Report Imprint Last"/>
    <w:basedOn w:val="ACMAReportImprint"/>
    <w:rsid w:val="0084122D"/>
    <w:pPr>
      <w:spacing w:before="480" w:after="420"/>
    </w:pPr>
  </w:style>
  <w:style w:type="paragraph" w:customStyle="1" w:styleId="ACMAReportSubtitle">
    <w:name w:val="ACMA Report Subtitle"/>
    <w:rsid w:val="0084122D"/>
    <w:pPr>
      <w:spacing w:before="1440"/>
    </w:pPr>
    <w:rPr>
      <w:sz w:val="36"/>
      <w:lang w:eastAsia="en-US"/>
    </w:rPr>
  </w:style>
  <w:style w:type="paragraph" w:customStyle="1" w:styleId="ACMAReportTitle">
    <w:name w:val="ACMA Report Title"/>
    <w:rsid w:val="0084122D"/>
    <w:pPr>
      <w:spacing w:before="1980"/>
    </w:pPr>
    <w:rPr>
      <w:sz w:val="80"/>
      <w:lang w:eastAsia="en-US"/>
    </w:rPr>
  </w:style>
  <w:style w:type="paragraph" w:customStyle="1" w:styleId="ACMATableBullet">
    <w:name w:val="ACMA Table Bullet"/>
    <w:rsid w:val="0084122D"/>
    <w:pPr>
      <w:numPr>
        <w:numId w:val="5"/>
      </w:numPr>
      <w:spacing w:before="40" w:after="40"/>
    </w:pPr>
    <w:rPr>
      <w:rFonts w:ascii="Arial" w:hAnsi="Arial"/>
      <w:lang w:eastAsia="en-US"/>
    </w:rPr>
  </w:style>
  <w:style w:type="paragraph" w:customStyle="1" w:styleId="ACMATableCaption">
    <w:name w:val="ACMA Table Caption"/>
    <w:rsid w:val="0084122D"/>
    <w:pPr>
      <w:spacing w:after="120"/>
    </w:pPr>
    <w:rPr>
      <w:rFonts w:ascii="Arial" w:hAnsi="Arial"/>
      <w:lang w:eastAsia="en-US"/>
    </w:rPr>
  </w:style>
  <w:style w:type="paragraph" w:customStyle="1" w:styleId="ACMATableHeading">
    <w:name w:val="ACMA Table Heading"/>
    <w:rsid w:val="0084122D"/>
    <w:pPr>
      <w:spacing w:before="40" w:after="40"/>
    </w:pPr>
    <w:rPr>
      <w:rFonts w:ascii="Arial" w:hAnsi="Arial"/>
      <w:b/>
      <w:lang w:eastAsia="en-US"/>
    </w:rPr>
  </w:style>
  <w:style w:type="paragraph" w:customStyle="1" w:styleId="ACMATableNumber">
    <w:name w:val="ACMA Table Number"/>
    <w:rsid w:val="0084122D"/>
    <w:pPr>
      <w:spacing w:before="160"/>
    </w:pPr>
    <w:rPr>
      <w:rFonts w:ascii="Arial" w:hAnsi="Arial"/>
      <w:b/>
      <w:lang w:eastAsia="en-US"/>
    </w:rPr>
  </w:style>
  <w:style w:type="paragraph" w:customStyle="1" w:styleId="ACMATableText">
    <w:name w:val="ACMA Table Text"/>
    <w:rsid w:val="0084122D"/>
    <w:pPr>
      <w:spacing w:before="40" w:after="40"/>
    </w:pPr>
    <w:rPr>
      <w:rFonts w:ascii="Arial" w:hAnsi="Arial"/>
      <w:lang w:eastAsia="en-US"/>
    </w:rPr>
  </w:style>
  <w:style w:type="paragraph" w:styleId="Footer">
    <w:name w:val="footer"/>
    <w:basedOn w:val="Normal"/>
    <w:link w:val="FooterChar"/>
    <w:uiPriority w:val="99"/>
    <w:rsid w:val="0084122D"/>
    <w:pPr>
      <w:tabs>
        <w:tab w:val="center" w:pos="4320"/>
        <w:tab w:val="right" w:pos="8640"/>
      </w:tabs>
    </w:pPr>
  </w:style>
  <w:style w:type="character" w:styleId="FootnoteReference">
    <w:name w:val="footnote reference"/>
    <w:basedOn w:val="DefaultParagraphFont"/>
    <w:semiHidden/>
    <w:rsid w:val="0084122D"/>
    <w:rPr>
      <w:vertAlign w:val="superscript"/>
    </w:rPr>
  </w:style>
  <w:style w:type="paragraph" w:styleId="FootnoteText">
    <w:name w:val="footnote text"/>
    <w:aliases w:val="ACMA Footnote Text"/>
    <w:rsid w:val="0084122D"/>
    <w:pPr>
      <w:tabs>
        <w:tab w:val="left" w:pos="284"/>
      </w:tabs>
      <w:ind w:left="288" w:hanging="288"/>
    </w:pPr>
    <w:rPr>
      <w:lang w:eastAsia="en-US"/>
    </w:rPr>
  </w:style>
  <w:style w:type="character" w:styleId="Hyperlink">
    <w:name w:val="Hyperlink"/>
    <w:basedOn w:val="DefaultParagraphFont"/>
    <w:rsid w:val="0084122D"/>
    <w:rPr>
      <w:color w:val="0000FF"/>
      <w:u w:val="single"/>
    </w:rPr>
  </w:style>
  <w:style w:type="paragraph" w:customStyle="1" w:styleId="LegislationLvl1">
    <w:name w:val="Legislation Lvl 1"/>
    <w:rsid w:val="0084122D"/>
    <w:pPr>
      <w:numPr>
        <w:numId w:val="9"/>
      </w:numPr>
    </w:pPr>
    <w:rPr>
      <w:bCs/>
      <w:sz w:val="22"/>
      <w:lang w:eastAsia="en-US"/>
    </w:rPr>
  </w:style>
  <w:style w:type="paragraph" w:customStyle="1" w:styleId="LegislationLvl2">
    <w:name w:val="Legislation Lvl 2"/>
    <w:rsid w:val="0084122D"/>
    <w:pPr>
      <w:numPr>
        <w:ilvl w:val="1"/>
        <w:numId w:val="9"/>
      </w:numPr>
    </w:pPr>
    <w:rPr>
      <w:sz w:val="22"/>
      <w:lang w:eastAsia="en-US"/>
    </w:rPr>
  </w:style>
  <w:style w:type="paragraph" w:customStyle="1" w:styleId="LegislationLvl3">
    <w:name w:val="Legislation Lvl 3"/>
    <w:rsid w:val="0084122D"/>
    <w:pPr>
      <w:numPr>
        <w:ilvl w:val="2"/>
        <w:numId w:val="9"/>
      </w:numPr>
    </w:pPr>
    <w:rPr>
      <w:sz w:val="22"/>
      <w:lang w:eastAsia="en-US"/>
    </w:rPr>
  </w:style>
  <w:style w:type="paragraph" w:customStyle="1" w:styleId="LegislationLvl4">
    <w:name w:val="Legislation Lvl 4"/>
    <w:rsid w:val="0084122D"/>
    <w:pPr>
      <w:numPr>
        <w:ilvl w:val="3"/>
        <w:numId w:val="9"/>
      </w:numPr>
    </w:pPr>
    <w:rPr>
      <w:sz w:val="22"/>
      <w:lang w:eastAsia="en-US"/>
    </w:rPr>
  </w:style>
  <w:style w:type="character" w:styleId="PageNumber">
    <w:name w:val="page number"/>
    <w:basedOn w:val="DefaultParagraphFont"/>
    <w:rsid w:val="0084122D"/>
    <w:rPr>
      <w:rFonts w:ascii="Times New Roman" w:hAnsi="Times New Roman"/>
      <w:sz w:val="20"/>
      <w:szCs w:val="20"/>
    </w:rPr>
  </w:style>
  <w:style w:type="paragraph" w:customStyle="1" w:styleId="Pre-NumberedLegisLvl1">
    <w:name w:val="Pre-Numbered Legis Lvl 1"/>
    <w:rsid w:val="0084122D"/>
    <w:pPr>
      <w:ind w:left="850" w:hanging="493"/>
    </w:pPr>
    <w:rPr>
      <w:sz w:val="22"/>
      <w:lang w:eastAsia="en-US"/>
    </w:rPr>
  </w:style>
  <w:style w:type="paragraph" w:customStyle="1" w:styleId="Pre-NumberedLegisLvl2">
    <w:name w:val="Pre-Numbered Legis Lvl 2"/>
    <w:rsid w:val="0084122D"/>
    <w:pPr>
      <w:ind w:left="1367" w:hanging="516"/>
    </w:pPr>
    <w:rPr>
      <w:sz w:val="22"/>
      <w:lang w:eastAsia="en-US"/>
    </w:rPr>
  </w:style>
  <w:style w:type="paragraph" w:customStyle="1" w:styleId="Pre-NumberedLegisLvl3">
    <w:name w:val="Pre-Numbered Legis Lvl 3"/>
    <w:rsid w:val="0084122D"/>
    <w:pPr>
      <w:ind w:left="1985" w:hanging="567"/>
    </w:pPr>
    <w:rPr>
      <w:sz w:val="22"/>
      <w:lang w:eastAsia="en-US"/>
    </w:rPr>
  </w:style>
  <w:style w:type="paragraph" w:customStyle="1" w:styleId="Pre-NumberedLegisLvl4">
    <w:name w:val="Pre-Numbered Legis Lvl 4"/>
    <w:rsid w:val="0084122D"/>
    <w:pPr>
      <w:ind w:left="2721" w:hanging="680"/>
    </w:pPr>
    <w:rPr>
      <w:sz w:val="22"/>
      <w:lang w:eastAsia="en-US"/>
    </w:rPr>
  </w:style>
  <w:style w:type="table" w:styleId="TableGrid">
    <w:name w:val="Table Grid"/>
    <w:basedOn w:val="TableNormal"/>
    <w:rsid w:val="0084122D"/>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ACMA 1"/>
    <w:rsid w:val="0084122D"/>
    <w:pPr>
      <w:spacing w:before="360"/>
    </w:pPr>
    <w:rPr>
      <w:rFonts w:ascii="Arial" w:hAnsi="Arial"/>
      <w:b/>
      <w:bCs/>
      <w:caps/>
      <w:szCs w:val="28"/>
      <w:lang w:eastAsia="en-US"/>
    </w:rPr>
  </w:style>
  <w:style w:type="paragraph" w:styleId="TOC2">
    <w:name w:val="toc 2"/>
    <w:aliases w:val="ACMA 2"/>
    <w:rsid w:val="0084122D"/>
    <w:pPr>
      <w:spacing w:before="240"/>
    </w:pPr>
    <w:rPr>
      <w:bCs/>
      <w:sz w:val="22"/>
      <w:szCs w:val="24"/>
      <w:lang w:eastAsia="en-US"/>
    </w:rPr>
  </w:style>
  <w:style w:type="paragraph" w:styleId="TOC3">
    <w:name w:val="toc 3"/>
    <w:aliases w:val="ACMA 3"/>
    <w:rsid w:val="0084122D"/>
    <w:pPr>
      <w:ind w:left="198"/>
    </w:pPr>
    <w:rPr>
      <w:sz w:val="22"/>
      <w:szCs w:val="24"/>
      <w:lang w:eastAsia="en-US"/>
    </w:rPr>
  </w:style>
  <w:style w:type="paragraph" w:customStyle="1" w:styleId="HeaderBoldEven">
    <w:name w:val="HeaderBoldEven"/>
    <w:basedOn w:val="Normal"/>
    <w:rsid w:val="007035CE"/>
    <w:pPr>
      <w:spacing w:before="120" w:after="60"/>
    </w:pPr>
    <w:rPr>
      <w:b/>
      <w:sz w:val="20"/>
    </w:rPr>
  </w:style>
  <w:style w:type="paragraph" w:customStyle="1" w:styleId="HeaderBoldOdd">
    <w:name w:val="HeaderBoldOdd"/>
    <w:basedOn w:val="Normal"/>
    <w:rsid w:val="007035CE"/>
    <w:pPr>
      <w:spacing w:before="120" w:after="60"/>
      <w:jc w:val="right"/>
    </w:pPr>
    <w:rPr>
      <w:b/>
      <w:sz w:val="20"/>
    </w:rPr>
  </w:style>
  <w:style w:type="paragraph" w:customStyle="1" w:styleId="HeaderLiteEven">
    <w:name w:val="HeaderLiteEven"/>
    <w:basedOn w:val="Normal"/>
    <w:rsid w:val="007035CE"/>
    <w:pPr>
      <w:tabs>
        <w:tab w:val="center" w:pos="3969"/>
        <w:tab w:val="right" w:pos="8505"/>
      </w:tabs>
      <w:spacing w:before="60"/>
    </w:pPr>
    <w:rPr>
      <w:sz w:val="18"/>
    </w:rPr>
  </w:style>
  <w:style w:type="paragraph" w:customStyle="1" w:styleId="HeaderLiteOdd">
    <w:name w:val="HeaderLiteOdd"/>
    <w:basedOn w:val="Normal"/>
    <w:rsid w:val="007035CE"/>
    <w:pPr>
      <w:tabs>
        <w:tab w:val="center" w:pos="3969"/>
        <w:tab w:val="right" w:pos="8505"/>
      </w:tabs>
      <w:spacing w:before="60"/>
      <w:jc w:val="right"/>
    </w:pPr>
    <w:rPr>
      <w:sz w:val="18"/>
    </w:rPr>
  </w:style>
  <w:style w:type="paragraph" w:customStyle="1" w:styleId="FooterDraft">
    <w:name w:val="FooterDraft"/>
    <w:basedOn w:val="Normal"/>
    <w:rsid w:val="007035CE"/>
    <w:pPr>
      <w:jc w:val="center"/>
    </w:pPr>
    <w:rPr>
      <w:b/>
      <w:sz w:val="40"/>
    </w:rPr>
  </w:style>
  <w:style w:type="paragraph" w:customStyle="1" w:styleId="FooterInfo">
    <w:name w:val="FooterInfo"/>
    <w:basedOn w:val="Normal"/>
    <w:rsid w:val="007035CE"/>
    <w:rPr>
      <w:sz w:val="12"/>
    </w:rPr>
  </w:style>
  <w:style w:type="paragraph" w:styleId="Header">
    <w:name w:val="header"/>
    <w:basedOn w:val="Normal"/>
    <w:link w:val="HeaderChar"/>
    <w:rsid w:val="007035CE"/>
    <w:pPr>
      <w:tabs>
        <w:tab w:val="center" w:pos="3969"/>
        <w:tab w:val="right" w:pos="8505"/>
      </w:tabs>
      <w:jc w:val="both"/>
    </w:pPr>
    <w:rPr>
      <w:sz w:val="16"/>
    </w:rPr>
  </w:style>
  <w:style w:type="character" w:customStyle="1" w:styleId="HeaderChar">
    <w:name w:val="Header Char"/>
    <w:basedOn w:val="DefaultParagraphFont"/>
    <w:link w:val="Header"/>
    <w:rsid w:val="007035CE"/>
    <w:rPr>
      <w:rFonts w:ascii="Arial" w:hAnsi="Arial"/>
      <w:sz w:val="16"/>
      <w:szCs w:val="24"/>
    </w:rPr>
  </w:style>
  <w:style w:type="paragraph" w:styleId="Title">
    <w:name w:val="Title"/>
    <w:basedOn w:val="Normal"/>
    <w:next w:val="Normal"/>
    <w:link w:val="TitleChar"/>
    <w:qFormat/>
    <w:rsid w:val="007035CE"/>
    <w:pPr>
      <w:spacing w:before="480"/>
    </w:pPr>
    <w:rPr>
      <w:rFonts w:cs="Arial"/>
      <w:b/>
      <w:bCs/>
      <w:sz w:val="40"/>
      <w:szCs w:val="40"/>
    </w:rPr>
  </w:style>
  <w:style w:type="character" w:customStyle="1" w:styleId="TitleChar">
    <w:name w:val="Title Char"/>
    <w:basedOn w:val="DefaultParagraphFont"/>
    <w:link w:val="Title"/>
    <w:rsid w:val="007035CE"/>
    <w:rPr>
      <w:rFonts w:ascii="Arial" w:hAnsi="Arial" w:cs="Arial"/>
      <w:b/>
      <w:bCs/>
      <w:sz w:val="40"/>
      <w:szCs w:val="40"/>
    </w:rPr>
  </w:style>
  <w:style w:type="character" w:customStyle="1" w:styleId="CharDivNo">
    <w:name w:val="CharDivNo"/>
    <w:basedOn w:val="DefaultParagraphFont"/>
    <w:rsid w:val="007035CE"/>
  </w:style>
  <w:style w:type="character" w:customStyle="1" w:styleId="CharDivText">
    <w:name w:val="CharDivText"/>
    <w:basedOn w:val="DefaultParagraphFont"/>
    <w:rsid w:val="007035CE"/>
  </w:style>
  <w:style w:type="character" w:customStyle="1" w:styleId="CharPartNo">
    <w:name w:val="CharPartNo"/>
    <w:basedOn w:val="DefaultParagraphFont"/>
    <w:rsid w:val="007035CE"/>
  </w:style>
  <w:style w:type="character" w:customStyle="1" w:styleId="CharPartText">
    <w:name w:val="CharPartText"/>
    <w:basedOn w:val="DefaultParagraphFont"/>
    <w:rsid w:val="007035CE"/>
  </w:style>
  <w:style w:type="paragraph" w:customStyle="1" w:styleId="definition">
    <w:name w:val="definition"/>
    <w:basedOn w:val="Normal"/>
    <w:rsid w:val="007035CE"/>
    <w:pPr>
      <w:spacing w:before="80" w:line="260" w:lineRule="exact"/>
      <w:ind w:left="964"/>
      <w:jc w:val="both"/>
    </w:pPr>
    <w:rPr>
      <w:rFonts w:ascii="Times New Roman" w:hAnsi="Times New Roman"/>
      <w:sz w:val="24"/>
    </w:rPr>
  </w:style>
  <w:style w:type="paragraph" w:customStyle="1" w:styleId="HR">
    <w:name w:val="HR"/>
    <w:aliases w:val="Regulation Heading"/>
    <w:basedOn w:val="Normal"/>
    <w:next w:val="R1"/>
    <w:rsid w:val="007035CE"/>
    <w:pPr>
      <w:keepNext/>
      <w:keepLines/>
      <w:spacing w:before="360"/>
      <w:ind w:left="964" w:hanging="964"/>
    </w:pPr>
    <w:rPr>
      <w:b/>
      <w:sz w:val="24"/>
    </w:rPr>
  </w:style>
  <w:style w:type="paragraph" w:customStyle="1" w:styleId="R1">
    <w:name w:val="R1"/>
    <w:aliases w:val="1. or 1.(1)"/>
    <w:basedOn w:val="Normal"/>
    <w:next w:val="R2"/>
    <w:rsid w:val="007035CE"/>
    <w:pPr>
      <w:keepLines/>
      <w:tabs>
        <w:tab w:val="right" w:pos="794"/>
      </w:tabs>
      <w:spacing w:before="120" w:line="260" w:lineRule="exact"/>
      <w:ind w:left="964" w:hanging="964"/>
      <w:jc w:val="both"/>
    </w:pPr>
    <w:rPr>
      <w:rFonts w:ascii="Times New Roman" w:hAnsi="Times New Roman"/>
      <w:sz w:val="24"/>
    </w:rPr>
  </w:style>
  <w:style w:type="paragraph" w:customStyle="1" w:styleId="R2">
    <w:name w:val="R2"/>
    <w:aliases w:val="(2)"/>
    <w:basedOn w:val="Normal"/>
    <w:rsid w:val="007035CE"/>
    <w:pPr>
      <w:keepLines/>
      <w:tabs>
        <w:tab w:val="right" w:pos="794"/>
      </w:tabs>
      <w:spacing w:before="180" w:line="260" w:lineRule="exact"/>
      <w:ind w:left="964" w:hanging="964"/>
      <w:jc w:val="both"/>
    </w:pPr>
    <w:rPr>
      <w:rFonts w:ascii="Times New Roman" w:hAnsi="Times New Roman"/>
      <w:sz w:val="24"/>
    </w:rPr>
  </w:style>
  <w:style w:type="paragraph" w:customStyle="1" w:styleId="FooterCitation">
    <w:name w:val="FooterCitation"/>
    <w:basedOn w:val="Footer"/>
    <w:rsid w:val="007035CE"/>
    <w:pPr>
      <w:tabs>
        <w:tab w:val="clear" w:pos="4320"/>
        <w:tab w:val="clear" w:pos="8640"/>
        <w:tab w:val="center" w:pos="4153"/>
        <w:tab w:val="right" w:pos="8306"/>
      </w:tabs>
      <w:spacing w:before="20" w:line="240" w:lineRule="exact"/>
      <w:jc w:val="center"/>
    </w:pPr>
    <w:rPr>
      <w:i/>
      <w:sz w:val="18"/>
    </w:rPr>
  </w:style>
  <w:style w:type="character" w:styleId="CommentReference">
    <w:name w:val="annotation reference"/>
    <w:basedOn w:val="DefaultParagraphFont"/>
    <w:uiPriority w:val="99"/>
    <w:rsid w:val="007035CE"/>
    <w:rPr>
      <w:sz w:val="16"/>
      <w:szCs w:val="16"/>
    </w:rPr>
  </w:style>
  <w:style w:type="paragraph" w:styleId="CommentText">
    <w:name w:val="annotation text"/>
    <w:basedOn w:val="Normal"/>
    <w:link w:val="CommentTextChar"/>
    <w:uiPriority w:val="99"/>
    <w:rsid w:val="007035CE"/>
    <w:rPr>
      <w:sz w:val="20"/>
      <w:szCs w:val="20"/>
    </w:rPr>
  </w:style>
  <w:style w:type="character" w:customStyle="1" w:styleId="CommentTextChar">
    <w:name w:val="Comment Text Char"/>
    <w:basedOn w:val="DefaultParagraphFont"/>
    <w:link w:val="CommentText"/>
    <w:uiPriority w:val="99"/>
    <w:rsid w:val="007035CE"/>
    <w:rPr>
      <w:rFonts w:ascii="Arial" w:hAnsi="Arial"/>
    </w:rPr>
  </w:style>
  <w:style w:type="paragraph" w:styleId="ListParagraph">
    <w:name w:val="List Paragraph"/>
    <w:basedOn w:val="Normal"/>
    <w:uiPriority w:val="34"/>
    <w:qFormat/>
    <w:rsid w:val="007035CE"/>
    <w:pPr>
      <w:ind w:left="720"/>
      <w:contextualSpacing/>
    </w:pPr>
  </w:style>
  <w:style w:type="paragraph" w:customStyle="1" w:styleId="NoteEnd">
    <w:name w:val="Note End"/>
    <w:basedOn w:val="Normal"/>
    <w:rsid w:val="007035CE"/>
    <w:pPr>
      <w:keepLines/>
      <w:spacing w:before="120" w:line="240" w:lineRule="exact"/>
      <w:ind w:left="567" w:hanging="567"/>
      <w:jc w:val="both"/>
    </w:pPr>
    <w:rPr>
      <w:rFonts w:ascii="Times New Roman" w:hAnsi="Times New Roman"/>
    </w:rPr>
  </w:style>
  <w:style w:type="paragraph" w:styleId="BalloonText">
    <w:name w:val="Balloon Text"/>
    <w:basedOn w:val="Normal"/>
    <w:link w:val="BalloonTextChar"/>
    <w:rsid w:val="007035CE"/>
    <w:rPr>
      <w:rFonts w:ascii="Tahoma" w:hAnsi="Tahoma" w:cs="Tahoma"/>
      <w:sz w:val="16"/>
      <w:szCs w:val="16"/>
    </w:rPr>
  </w:style>
  <w:style w:type="character" w:customStyle="1" w:styleId="BalloonTextChar">
    <w:name w:val="Balloon Text Char"/>
    <w:basedOn w:val="DefaultParagraphFont"/>
    <w:link w:val="BalloonText"/>
    <w:rsid w:val="007035CE"/>
    <w:rPr>
      <w:rFonts w:ascii="Tahoma" w:hAnsi="Tahoma" w:cs="Tahoma"/>
      <w:sz w:val="16"/>
      <w:szCs w:val="16"/>
    </w:rPr>
  </w:style>
  <w:style w:type="paragraph" w:customStyle="1" w:styleId="ACIFNormal">
    <w:name w:val="ACIF Normal"/>
    <w:basedOn w:val="Normal"/>
    <w:link w:val="ACIFNormalChar"/>
    <w:rsid w:val="007668D1"/>
    <w:pPr>
      <w:spacing w:after="200"/>
    </w:pPr>
    <w:rPr>
      <w:rFonts w:ascii="Century Gothic" w:hAnsi="Century Gothic"/>
      <w:sz w:val="20"/>
      <w:szCs w:val="20"/>
      <w:lang w:val="en-US" w:eastAsia="en-US"/>
    </w:rPr>
  </w:style>
  <w:style w:type="character" w:customStyle="1" w:styleId="ACIFNormalChar">
    <w:name w:val="ACIF Normal Char"/>
    <w:link w:val="ACIFNormal"/>
    <w:locked/>
    <w:rsid w:val="007668D1"/>
    <w:rPr>
      <w:rFonts w:ascii="Century Gothic" w:hAnsi="Century Gothic"/>
      <w:lang w:val="en-US" w:eastAsia="en-US"/>
    </w:rPr>
  </w:style>
  <w:style w:type="paragraph" w:customStyle="1" w:styleId="UnnumberedClause">
    <w:name w:val="Unnumbered Clause"/>
    <w:basedOn w:val="Normal"/>
    <w:link w:val="UnnumberedClauseChar"/>
    <w:uiPriority w:val="99"/>
    <w:rsid w:val="007668D1"/>
    <w:pPr>
      <w:spacing w:after="200"/>
      <w:ind w:left="1418"/>
    </w:pPr>
    <w:rPr>
      <w:rFonts w:ascii="Century Gothic" w:hAnsi="Century Gothic"/>
      <w:sz w:val="20"/>
      <w:szCs w:val="20"/>
      <w:lang w:val="en-US" w:eastAsia="en-US"/>
    </w:rPr>
  </w:style>
  <w:style w:type="character" w:customStyle="1" w:styleId="UnnumberedClauseChar">
    <w:name w:val="Unnumbered Clause Char"/>
    <w:link w:val="UnnumberedClause"/>
    <w:uiPriority w:val="99"/>
    <w:locked/>
    <w:rsid w:val="007668D1"/>
    <w:rPr>
      <w:rFonts w:ascii="Century Gothic" w:hAnsi="Century Gothic"/>
      <w:lang w:val="en-US" w:eastAsia="en-US"/>
    </w:rPr>
  </w:style>
  <w:style w:type="character" w:customStyle="1" w:styleId="Heading1Char">
    <w:name w:val="Heading 1 Char"/>
    <w:basedOn w:val="DefaultParagraphFont"/>
    <w:link w:val="Heading1"/>
    <w:uiPriority w:val="9"/>
    <w:rsid w:val="007668D1"/>
    <w:rPr>
      <w:rFonts w:ascii="Arial" w:hAnsi="Arial" w:cs="Arial"/>
      <w:b/>
      <w:bCs/>
      <w:sz w:val="32"/>
      <w:szCs w:val="32"/>
      <w:lang w:eastAsia="en-US"/>
    </w:rPr>
  </w:style>
  <w:style w:type="character" w:customStyle="1" w:styleId="FooterChar">
    <w:name w:val="Footer Char"/>
    <w:basedOn w:val="DefaultParagraphFont"/>
    <w:link w:val="Footer"/>
    <w:uiPriority w:val="99"/>
    <w:rsid w:val="003D18BE"/>
    <w:rPr>
      <w:rFonts w:ascii="Arial" w:hAnsi="Arial"/>
      <w:sz w:val="22"/>
      <w:szCs w:val="24"/>
    </w:rPr>
  </w:style>
  <w:style w:type="paragraph" w:styleId="CommentSubject">
    <w:name w:val="annotation subject"/>
    <w:basedOn w:val="CommentText"/>
    <w:next w:val="CommentText"/>
    <w:link w:val="CommentSubjectChar"/>
    <w:rsid w:val="00CE5C7A"/>
    <w:rPr>
      <w:b/>
      <w:bCs/>
    </w:rPr>
  </w:style>
  <w:style w:type="character" w:customStyle="1" w:styleId="CommentSubjectChar">
    <w:name w:val="Comment Subject Char"/>
    <w:basedOn w:val="CommentTextChar"/>
    <w:link w:val="CommentSubject"/>
    <w:rsid w:val="00CE5C7A"/>
    <w:rPr>
      <w:b/>
      <w:bCs/>
    </w:rPr>
  </w:style>
  <w:style w:type="paragraph" w:styleId="Revision">
    <w:name w:val="Revision"/>
    <w:hidden/>
    <w:uiPriority w:val="99"/>
    <w:semiHidden/>
    <w:rsid w:val="00764FE1"/>
    <w:rPr>
      <w:rFonts w:ascii="Arial" w:hAnsi="Arial"/>
      <w:sz w:val="22"/>
      <w:szCs w:val="24"/>
    </w:rPr>
  </w:style>
  <w:style w:type="paragraph" w:styleId="Subtitle">
    <w:name w:val="Subtitle"/>
    <w:basedOn w:val="Normal"/>
    <w:next w:val="Normal"/>
    <w:link w:val="SubtitleChar"/>
    <w:qFormat/>
    <w:rsid w:val="000057F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0057F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94126721">
      <w:bodyDiv w:val="1"/>
      <w:marLeft w:val="0"/>
      <w:marRight w:val="0"/>
      <w:marTop w:val="0"/>
      <w:marBottom w:val="0"/>
      <w:divBdr>
        <w:top w:val="none" w:sz="0" w:space="0" w:color="auto"/>
        <w:left w:val="none" w:sz="0" w:space="0" w:color="auto"/>
        <w:bottom w:val="none" w:sz="0" w:space="0" w:color="auto"/>
        <w:right w:val="none" w:sz="0" w:space="0" w:color="auto"/>
      </w:divBdr>
    </w:div>
    <w:div w:id="1291133902">
      <w:bodyDiv w:val="1"/>
      <w:marLeft w:val="0"/>
      <w:marRight w:val="0"/>
      <w:marTop w:val="0"/>
      <w:marBottom w:val="0"/>
      <w:divBdr>
        <w:top w:val="none" w:sz="0" w:space="0" w:color="auto"/>
        <w:left w:val="none" w:sz="0" w:space="0" w:color="auto"/>
        <w:bottom w:val="none" w:sz="0" w:space="0" w:color="auto"/>
        <w:right w:val="none" w:sz="0" w:space="0" w:color="auto"/>
      </w:divBdr>
    </w:div>
    <w:div w:id="17094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cord" ma:contentTypeID="0x01010070E27D6A746B5B48ADF22C2128054D5500020C07817F1F68498B2166EE12B17A57" ma:contentTypeVersion="35" ma:contentTypeDescription="A document enhanced so that it is automatically captured by RecordPoint." ma:contentTypeScope="" ma:versionID="e7e4629d89fad1c8ff1348d29791285f">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d30610679a7f49b9b50f4c260411420f"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cord_x0020_Number xmlns="83630db1-6fc2-4dfd-b3fe-d61d34e1440c">ER2013/022730</Record_x0020_Number>
    <Legacy_x0020_Record_x0020_Number xmlns="83630db1-6fc2-4dfd-b3fe-d61d34e1440c" xsi:nil="true"/>
    <IconOverlay xmlns="http://schemas.microsoft.com/sharepoint/v4" xsi:nil="true"/>
    <Category xmlns="5e268b55-9e20-462b-aba6-694451a37717">(none)</Category>
    <_dlc_DocId xmlns="6db8f3c6-01a1-4322-b043-a3b2a190f7a8">KNAH4PPFC442-1945-355</_dlc_DocId>
    <_dlc_DocIdUrl xmlns="6db8f3c6-01a1-4322-b043-a3b2a190f7a8">
      <Url>http://collaboration/organisation/Auth/Chair/Auth/_layouts/DocIdRedir.aspx?ID=KNAH4PPFC442-1945-355</Url>
      <Description>KNAH4PPFC442-1945-355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96178-6225-4927-A2EA-570E95D61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C9AB2-6AB8-4641-8204-A5E6D6FAB919}">
  <ds:schemaRefs>
    <ds:schemaRef ds:uri="Microsoft.SharePoint.Taxonomy.ContentTypeSync"/>
  </ds:schemaRefs>
</ds:datastoreItem>
</file>

<file path=customXml/itemProps3.xml><?xml version="1.0" encoding="utf-8"?>
<ds:datastoreItem xmlns:ds="http://schemas.openxmlformats.org/officeDocument/2006/customXml" ds:itemID="{9F908CCA-F608-461A-ABA7-3B9D0BBEA9DC}">
  <ds:schemaRefs>
    <ds:schemaRef ds:uri="http://schemas.microsoft.com/sharepoint/events"/>
  </ds:schemaRefs>
</ds:datastoreItem>
</file>

<file path=customXml/itemProps4.xml><?xml version="1.0" encoding="utf-8"?>
<ds:datastoreItem xmlns:ds="http://schemas.openxmlformats.org/officeDocument/2006/customXml" ds:itemID="{EE204BAC-B68F-4D0C-AC78-6BB112F8B716}">
  <ds:schemaRefs>
    <ds:schemaRef ds:uri="http://schemas.microsoft.com/sharepoint/v3/contenttype/forms"/>
  </ds:schemaRefs>
</ds:datastoreItem>
</file>

<file path=customXml/itemProps5.xml><?xml version="1.0" encoding="utf-8"?>
<ds:datastoreItem xmlns:ds="http://schemas.openxmlformats.org/officeDocument/2006/customXml" ds:itemID="{423B14D3-7F63-40BE-ABAA-9A4B0948AA92}">
  <ds:schemaRefs>
    <ds:schemaRef ds:uri="http://schemas.microsoft.com/office/2006/metadata/properties"/>
    <ds:schemaRef ds:uri="http://schemas.microsoft.com/office/infopath/2007/PartnerControls"/>
    <ds:schemaRef ds:uri="83630db1-6fc2-4dfd-b3fe-d61d34e1440c"/>
    <ds:schemaRef ds:uri="http://schemas.microsoft.com/sharepoint/v4"/>
    <ds:schemaRef ds:uri="5e268b55-9e20-462b-aba6-694451a37717"/>
    <ds:schemaRef ds:uri="6db8f3c6-01a1-4322-b043-a3b2a190f7a8"/>
  </ds:schemaRefs>
</ds:datastoreItem>
</file>

<file path=customXml/itemProps6.xml><?xml version="1.0" encoding="utf-8"?>
<ds:datastoreItem xmlns:ds="http://schemas.openxmlformats.org/officeDocument/2006/customXml" ds:itemID="{10F80D99-BFEF-403D-8B05-E7E0FC6F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3575</Words>
  <Characters>19395</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gmcdona</dc:creator>
  <cp:lastModifiedBy>Helen Turnbull</cp:lastModifiedBy>
  <cp:revision>2</cp:revision>
  <cp:lastPrinted>2013-06-26T23:31:00Z</cp:lastPrinted>
  <dcterms:created xsi:type="dcterms:W3CDTF">2013-06-28T04:00:00Z</dcterms:created>
  <dcterms:modified xsi:type="dcterms:W3CDTF">2013-06-28T04:00:00Z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0x01010070E27D6A746B5B48ADF22C2128054D5500020C07817F1F68498B2166EE12B17A57</vt:lpwstr>
  </property>
  <property fmtid="{D5CDD505-2E9C-101B-9397-08002B2CF9AE}" pid="3" name="_dlc_DocIdItemGuid">
    <vt:lpwstr>f49d3a86-15f2-4d28-b73d-fe4a4dc9fda4</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{12ea2e24-8e38-48f0-8667-2a35c1c96989}</vt:lpwstr>
  </property>
  <property fmtid="{D5CDD505-2E9C-101B-9397-08002B2CF9AE}" pid="7" name="RecordPoint_ActiveItemMoved">
    <vt:lpwstr/>
  </property>
  <property fmtid="{D5CDD505-2E9C-101B-9397-08002B2CF9AE}" pid="8" name="RecordPoint_SubmissionCompleted">
    <vt:lpwstr>2013-05-01T15:08:19.0279104+10:00</vt:lpwstr>
  </property>
  <property fmtid="{D5CDD505-2E9C-101B-9397-08002B2CF9AE}" pid="9" name="RecordPoint_ActiveItemUniqueId">
    <vt:lpwstr>{f49d3a86-15f2-4d28-b73d-fe4a4dc9fda4}</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