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AF" w:rsidRDefault="00AB5AAF" w:rsidP="00AB5AAF">
      <w:pPr>
        <w:tabs>
          <w:tab w:val="left" w:pos="1440"/>
        </w:tabs>
        <w:spacing w:before="100" w:beforeAutospacing="1" w:after="100" w:afterAutospacing="1"/>
        <w:jc w:val="center"/>
        <w:rPr>
          <w:b/>
          <w:u w:val="single"/>
        </w:rPr>
      </w:pPr>
      <w:r w:rsidRPr="00CC0B41">
        <w:rPr>
          <w:b/>
          <w:u w:val="single"/>
        </w:rPr>
        <w:t xml:space="preserve">EXPLANATORY </w:t>
      </w:r>
      <w:r>
        <w:rPr>
          <w:b/>
          <w:u w:val="single"/>
        </w:rPr>
        <w:t>STATEMENT</w:t>
      </w:r>
    </w:p>
    <w:p w:rsidR="00AE162F" w:rsidRDefault="00AE162F" w:rsidP="00AB5AAF">
      <w:pPr>
        <w:tabs>
          <w:tab w:val="left" w:pos="1440"/>
        </w:tabs>
        <w:spacing w:before="100" w:beforeAutospacing="1" w:after="100" w:afterAutospacing="1"/>
        <w:jc w:val="center"/>
        <w:rPr>
          <w:b/>
          <w:u w:val="single"/>
        </w:rPr>
      </w:pPr>
      <w:r>
        <w:rPr>
          <w:b/>
          <w:u w:val="single"/>
        </w:rPr>
        <w:t>Select Leg</w:t>
      </w:r>
      <w:r w:rsidR="004076DB">
        <w:rPr>
          <w:b/>
          <w:u w:val="single"/>
        </w:rPr>
        <w:t>islative Instrument 2013 No. 144</w:t>
      </w:r>
      <w:bookmarkStart w:id="0" w:name="_GoBack"/>
      <w:bookmarkEnd w:id="0"/>
    </w:p>
    <w:p w:rsidR="00AB5AAF" w:rsidRPr="00F87917" w:rsidRDefault="00AB5AAF" w:rsidP="00AB5AAF">
      <w:pPr>
        <w:tabs>
          <w:tab w:val="left" w:pos="1440"/>
        </w:tabs>
        <w:spacing w:before="100" w:beforeAutospacing="1" w:after="100" w:afterAutospacing="1"/>
        <w:jc w:val="center"/>
        <w:rPr>
          <w:u w:val="single"/>
        </w:rPr>
      </w:pPr>
      <w:r w:rsidRPr="00D006C1">
        <w:rPr>
          <w:u w:val="single"/>
        </w:rPr>
        <w:t>Issued by the Authority of</w:t>
      </w:r>
      <w:r w:rsidR="009B359E">
        <w:rPr>
          <w:u w:val="single"/>
        </w:rPr>
        <w:t xml:space="preserve"> the</w:t>
      </w:r>
      <w:r w:rsidRPr="00D006C1">
        <w:rPr>
          <w:u w:val="single"/>
        </w:rPr>
        <w:t xml:space="preserve"> </w:t>
      </w:r>
      <w:r w:rsidR="00396867">
        <w:rPr>
          <w:u w:val="single"/>
        </w:rPr>
        <w:t xml:space="preserve">Parliamentary Secretary </w:t>
      </w:r>
      <w:r w:rsidRPr="00D006C1">
        <w:rPr>
          <w:u w:val="single"/>
        </w:rPr>
        <w:t>for Climat</w:t>
      </w:r>
      <w:r>
        <w:rPr>
          <w:u w:val="single"/>
        </w:rPr>
        <w:t>e Change</w:t>
      </w:r>
      <w:r w:rsidR="006E3DD7">
        <w:rPr>
          <w:u w:val="single"/>
        </w:rPr>
        <w:t xml:space="preserve">, </w:t>
      </w:r>
      <w:r w:rsidR="00EA0D0A">
        <w:rPr>
          <w:u w:val="single"/>
        </w:rPr>
        <w:t xml:space="preserve">Industry and </w:t>
      </w:r>
      <w:r w:rsidR="006E3DD7">
        <w:rPr>
          <w:u w:val="single"/>
        </w:rPr>
        <w:t>Innovation</w:t>
      </w:r>
      <w:r w:rsidR="00396867">
        <w:rPr>
          <w:u w:val="single"/>
        </w:rPr>
        <w:t xml:space="preserve"> </w:t>
      </w:r>
    </w:p>
    <w:p w:rsidR="00A025D0" w:rsidRDefault="00A025D0" w:rsidP="00A025D0">
      <w:pPr>
        <w:spacing w:before="120" w:after="120"/>
        <w:ind w:right="91"/>
        <w:jc w:val="center"/>
        <w:rPr>
          <w:i/>
          <w:iCs/>
        </w:rPr>
      </w:pPr>
      <w:r w:rsidRPr="000C440D">
        <w:rPr>
          <w:i/>
        </w:rPr>
        <w:t>Clean Energy Act 2011</w:t>
      </w:r>
    </w:p>
    <w:p w:rsidR="000E1F50" w:rsidRDefault="000E1F50" w:rsidP="000E1F50">
      <w:pPr>
        <w:spacing w:before="120" w:after="120"/>
        <w:ind w:right="91"/>
        <w:jc w:val="center"/>
        <w:rPr>
          <w:i/>
          <w:iCs/>
        </w:rPr>
      </w:pPr>
      <w:r w:rsidRPr="002E09FE">
        <w:rPr>
          <w:i/>
          <w:iCs/>
        </w:rPr>
        <w:t>Renewable Energy (Electricity) Act 2000</w:t>
      </w:r>
    </w:p>
    <w:p w:rsidR="000E1F50" w:rsidRPr="002E09FE" w:rsidRDefault="00E677F0" w:rsidP="000E1F50">
      <w:pPr>
        <w:spacing w:before="120"/>
        <w:ind w:right="91"/>
        <w:jc w:val="center"/>
        <w:rPr>
          <w:i/>
          <w:iCs/>
        </w:rPr>
      </w:pPr>
      <w:r>
        <w:rPr>
          <w:i/>
          <w:iCs/>
        </w:rPr>
        <w:t xml:space="preserve">Clean and </w:t>
      </w:r>
      <w:r w:rsidR="000E1F50" w:rsidRPr="00E677F0">
        <w:rPr>
          <w:i/>
          <w:iCs/>
        </w:rPr>
        <w:t xml:space="preserve">Renewable Energy </w:t>
      </w:r>
      <w:r>
        <w:rPr>
          <w:i/>
          <w:iCs/>
        </w:rPr>
        <w:t xml:space="preserve">Legislation </w:t>
      </w:r>
      <w:r w:rsidR="000E1F50" w:rsidRPr="00E677F0">
        <w:rPr>
          <w:i/>
          <w:iCs/>
        </w:rPr>
        <w:t xml:space="preserve">Amendment </w:t>
      </w:r>
      <w:r w:rsidR="00D91B3F" w:rsidRPr="00E677F0">
        <w:rPr>
          <w:i/>
          <w:iCs/>
        </w:rPr>
        <w:t xml:space="preserve">(Various Measures) </w:t>
      </w:r>
      <w:r w:rsidR="000E1F50" w:rsidRPr="00E677F0">
        <w:rPr>
          <w:i/>
          <w:iCs/>
        </w:rPr>
        <w:t>Regulation</w:t>
      </w:r>
      <w:r w:rsidR="000E1F50" w:rsidRPr="002E09FE">
        <w:rPr>
          <w:i/>
          <w:iCs/>
        </w:rPr>
        <w:t xml:space="preserve"> 201</w:t>
      </w:r>
      <w:r w:rsidR="00EA33A4">
        <w:rPr>
          <w:i/>
          <w:iCs/>
        </w:rPr>
        <w:t>3</w:t>
      </w:r>
    </w:p>
    <w:p w:rsidR="00586B83" w:rsidRDefault="00586B83" w:rsidP="00586B83">
      <w:pPr>
        <w:ind w:right="91"/>
      </w:pPr>
      <w:r>
        <w:t xml:space="preserve">Section 312 of the </w:t>
      </w:r>
      <w:r w:rsidRPr="000C440D">
        <w:rPr>
          <w:i/>
        </w:rPr>
        <w:t>Clean Energy Act 2011</w:t>
      </w:r>
      <w:r>
        <w:t xml:space="preserve"> (the CE Act) provides, in part, that the Governor</w:t>
      </w:r>
      <w:r>
        <w:noBreakHyphen/>
        <w:t xml:space="preserve">General may make regulations prescribing matters </w:t>
      </w:r>
      <w:r w:rsidR="00050BA7">
        <w:t>required or permitted by the CE </w:t>
      </w:r>
      <w:r>
        <w:t>Act, or necessary or convenient to be prescribed for carrying</w:t>
      </w:r>
      <w:r w:rsidR="00050BA7">
        <w:t xml:space="preserve"> out or giving effect to the CE </w:t>
      </w:r>
      <w:r>
        <w:t xml:space="preserve">Act. </w:t>
      </w:r>
      <w:r w:rsidRPr="00583C11">
        <w:t xml:space="preserve">Section 161 of the </w:t>
      </w:r>
      <w:r w:rsidRPr="00583C11">
        <w:rPr>
          <w:i/>
          <w:iCs/>
        </w:rPr>
        <w:t xml:space="preserve">Renewable Energy (Electricity) Act 2000 </w:t>
      </w:r>
      <w:r w:rsidRPr="00583C11">
        <w:t xml:space="preserve">(the </w:t>
      </w:r>
      <w:r>
        <w:t xml:space="preserve">RET </w:t>
      </w:r>
      <w:r w:rsidRPr="00583C11">
        <w:t>Act)</w:t>
      </w:r>
      <w:r>
        <w:t xml:space="preserve"> </w:t>
      </w:r>
      <w:r w:rsidRPr="00583C11">
        <w:t xml:space="preserve">provides, in part, that the Governor-General may make </w:t>
      </w:r>
      <w:r>
        <w:t>r</w:t>
      </w:r>
      <w:r w:rsidRPr="00583C11">
        <w:t xml:space="preserve">egulations prescribing matters required or permitted by the </w:t>
      </w:r>
      <w:r>
        <w:t xml:space="preserve">RET </w:t>
      </w:r>
      <w:r w:rsidRPr="00583C11">
        <w:t xml:space="preserve">Act, or necessary or convenient to be prescribed for carrying out or giving effect to the </w:t>
      </w:r>
      <w:r>
        <w:t xml:space="preserve">RET </w:t>
      </w:r>
      <w:r w:rsidRPr="00583C11">
        <w:t>Act.</w:t>
      </w:r>
    </w:p>
    <w:p w:rsidR="007232B0" w:rsidRPr="00A276AE" w:rsidRDefault="003F183B" w:rsidP="007232B0">
      <w:pPr>
        <w:spacing w:before="120" w:after="200"/>
      </w:pPr>
      <w:r w:rsidRPr="006C5B76">
        <w:t xml:space="preserve">The </w:t>
      </w:r>
      <w:r w:rsidR="00586B83">
        <w:t xml:space="preserve">RET </w:t>
      </w:r>
      <w:r w:rsidRPr="006C5B76">
        <w:t xml:space="preserve">Act, as amended by the </w:t>
      </w:r>
      <w:r w:rsidRPr="006C5B76">
        <w:rPr>
          <w:i/>
          <w:iCs/>
        </w:rPr>
        <w:t>Renewable Energy (Electricity) Amendment Act 2010</w:t>
      </w:r>
      <w:r w:rsidR="00050BA7">
        <w:t xml:space="preserve"> (the </w:t>
      </w:r>
      <w:r w:rsidRPr="006C5B76">
        <w:t>Amendment Act)</w:t>
      </w:r>
      <w:r w:rsidRPr="006C5B76">
        <w:rPr>
          <w:i/>
          <w:iCs/>
        </w:rPr>
        <w:t xml:space="preserve"> </w:t>
      </w:r>
      <w:r w:rsidRPr="006C5B76">
        <w:t>establishes the Renewable Energy Target (RET) scheme to encourage electricity generation from eligible energy sources. The RET is designed to ensure that the equivalent of at least 20 per cent of Australia’s electricity supply is generated from renewable sources by 2020. From 1</w:t>
      </w:r>
      <w:r>
        <w:t> </w:t>
      </w:r>
      <w:r w:rsidRPr="006C5B76">
        <w:t>January</w:t>
      </w:r>
      <w:r>
        <w:t> </w:t>
      </w:r>
      <w:r w:rsidRPr="006C5B76">
        <w:t xml:space="preserve">2011, the RET has operated as two parts </w:t>
      </w:r>
      <w:r w:rsidRPr="006C5B76">
        <w:rPr>
          <w:lang w:val="en-US"/>
        </w:rPr>
        <w:t>- the</w:t>
      </w:r>
      <w:r w:rsidRPr="006C5B76">
        <w:t xml:space="preserve"> Large-scale</w:t>
      </w:r>
      <w:r w:rsidRPr="006C5B76">
        <w:rPr>
          <w:lang w:val="en-US"/>
        </w:rPr>
        <w:t xml:space="preserve"> Renewable Energy Target (LRET) and the Small-scale Renewable Energy Scheme (SRES).</w:t>
      </w:r>
    </w:p>
    <w:p w:rsidR="007232B0" w:rsidRDefault="007232B0" w:rsidP="007232B0">
      <w:pPr>
        <w:tabs>
          <w:tab w:val="left" w:pos="851"/>
        </w:tabs>
        <w:spacing w:before="120" w:after="200"/>
      </w:pPr>
      <w:r w:rsidRPr="00A276AE">
        <w:t xml:space="preserve">Under the </w:t>
      </w:r>
      <w:r w:rsidR="00586B83">
        <w:t xml:space="preserve">RET </w:t>
      </w:r>
      <w:r w:rsidRPr="00A276AE">
        <w:t>Act, wholesale electricity purchasers (‘liable entities’) are required to contribute to the RET in proportion to their share of the national wholesale electricity</w:t>
      </w:r>
      <w:r w:rsidR="00D331F8">
        <w:t xml:space="preserve"> market until the end of 2030.</w:t>
      </w:r>
      <w:r w:rsidRPr="00A276AE">
        <w:t xml:space="preserve"> The </w:t>
      </w:r>
      <w:r w:rsidR="009658B3">
        <w:t xml:space="preserve">LRET component of the </w:t>
      </w:r>
      <w:r w:rsidR="00586B83" w:rsidRPr="006C5B76">
        <w:t>RET</w:t>
      </w:r>
      <w:r w:rsidR="00586B83" w:rsidRPr="00A276AE">
        <w:t xml:space="preserve"> </w:t>
      </w:r>
      <w:r w:rsidRPr="00A276AE">
        <w:t xml:space="preserve">Act provides for the creation of </w:t>
      </w:r>
      <w:r w:rsidR="00105ACD">
        <w:t>renewable energy certificates for the production of</w:t>
      </w:r>
      <w:r w:rsidRPr="00A276AE">
        <w:t xml:space="preserve"> renewable energy </w:t>
      </w:r>
      <w:r w:rsidR="009658B3">
        <w:t>in power stations utilising s</w:t>
      </w:r>
      <w:r w:rsidR="00105ACD">
        <w:t>ources</w:t>
      </w:r>
      <w:r>
        <w:t xml:space="preserve"> such as from wind</w:t>
      </w:r>
      <w:r w:rsidRPr="00A276AE">
        <w:t>,</w:t>
      </w:r>
      <w:r>
        <w:t xml:space="preserve"> solar</w:t>
      </w:r>
      <w:r w:rsidR="00001B2B">
        <w:t>,</w:t>
      </w:r>
      <w:r>
        <w:t xml:space="preserve"> hydro, various forms of biomass and geothermal energy.</w:t>
      </w:r>
      <w:r w:rsidRPr="00A276AE">
        <w:t xml:space="preserve"> </w:t>
      </w:r>
      <w:r w:rsidR="00050BA7">
        <w:t>One </w:t>
      </w:r>
      <w:r w:rsidR="00EA33A4">
        <w:t xml:space="preserve">certificate generally represents one megawatt-hour (MWh) of electricity from eligible energy </w:t>
      </w:r>
      <w:r w:rsidR="009658B3">
        <w:t xml:space="preserve">sources. The </w:t>
      </w:r>
      <w:r w:rsidR="00EE11C1">
        <w:t xml:space="preserve">RET </w:t>
      </w:r>
      <w:r w:rsidR="009658B3">
        <w:t xml:space="preserve">Act also provides partial relief from RET liabilities for liable entities </w:t>
      </w:r>
      <w:r w:rsidR="00EA33A4">
        <w:t xml:space="preserve">in the form of </w:t>
      </w:r>
      <w:r w:rsidR="00EE11C1">
        <w:t>P</w:t>
      </w:r>
      <w:r w:rsidR="00EA33A4">
        <w:t xml:space="preserve">artial </w:t>
      </w:r>
      <w:r w:rsidR="00EE11C1">
        <w:t>E</w:t>
      </w:r>
      <w:r w:rsidR="00EA33A4">
        <w:t xml:space="preserve">xemption </w:t>
      </w:r>
      <w:r w:rsidR="00EE11C1">
        <w:t>C</w:t>
      </w:r>
      <w:r w:rsidR="00EA33A4">
        <w:t>ertificates (PECs) for electricity used in activities that are defined to be emissions-intensive and trade-exposed (EITE), such as aluminium smelting and the integrated production of lead and zinc.</w:t>
      </w:r>
    </w:p>
    <w:p w:rsidR="00D331F8" w:rsidRDefault="000F337E" w:rsidP="007232B0">
      <w:pPr>
        <w:tabs>
          <w:tab w:val="left" w:pos="851"/>
        </w:tabs>
        <w:spacing w:before="120" w:after="200"/>
      </w:pPr>
      <w:r>
        <w:t>T</w:t>
      </w:r>
      <w:r w:rsidR="00B81ABD">
        <w:t xml:space="preserve">he SRES component of the RET </w:t>
      </w:r>
      <w:r w:rsidR="00E86F54">
        <w:t xml:space="preserve">provides </w:t>
      </w:r>
      <w:r w:rsidR="004326AD">
        <w:t xml:space="preserve">upfront support to households, businesses and community groups that install </w:t>
      </w:r>
      <w:r w:rsidR="00D506A7">
        <w:t>eligible small-scale renewable energy systems by</w:t>
      </w:r>
      <w:r w:rsidR="00E86F54">
        <w:t xml:space="preserve"> </w:t>
      </w:r>
      <w:r w:rsidR="00D506A7">
        <w:t>allowing system owners to create, within 12 months</w:t>
      </w:r>
      <w:r w:rsidR="00947CFF">
        <w:t xml:space="preserve"> </w:t>
      </w:r>
      <w:r w:rsidR="00D506A7">
        <w:t xml:space="preserve">following installation, certificates equivalent to </w:t>
      </w:r>
      <w:r w:rsidR="00A85C8F">
        <w:t>e</w:t>
      </w:r>
      <w:r w:rsidR="002F3117">
        <w:t>stimated</w:t>
      </w:r>
      <w:r w:rsidR="00A85C8F">
        <w:t xml:space="preserve"> </w:t>
      </w:r>
      <w:r w:rsidR="002F3117">
        <w:t>future</w:t>
      </w:r>
      <w:r w:rsidR="00A85C8F">
        <w:t xml:space="preserve"> </w:t>
      </w:r>
      <w:r w:rsidR="00D506A7">
        <w:t>renewable energy production over prescribed periods</w:t>
      </w:r>
      <w:r w:rsidR="00A85C8F">
        <w:t>.</w:t>
      </w:r>
    </w:p>
    <w:p w:rsidR="00EA33A4" w:rsidRDefault="002148FD" w:rsidP="007232B0">
      <w:pPr>
        <w:tabs>
          <w:tab w:val="left" w:pos="851"/>
        </w:tabs>
        <w:spacing w:before="120" w:after="200"/>
      </w:pPr>
      <w:r>
        <w:t xml:space="preserve">The </w:t>
      </w:r>
      <w:r>
        <w:rPr>
          <w:i/>
          <w:iCs/>
        </w:rPr>
        <w:t>Renewable Energy (Electricity) Regulations 2001</w:t>
      </w:r>
      <w:r>
        <w:t xml:space="preserve"> (the </w:t>
      </w:r>
      <w:r w:rsidR="00586B83" w:rsidRPr="006C5B76">
        <w:t>RET</w:t>
      </w:r>
      <w:r>
        <w:t xml:space="preserve"> Regulations) provide an administrative framework to implement the </w:t>
      </w:r>
      <w:r w:rsidR="00586B83" w:rsidRPr="006C5B76">
        <w:t>RET</w:t>
      </w:r>
      <w:r w:rsidR="00586B83">
        <w:t xml:space="preserve"> </w:t>
      </w:r>
      <w:r>
        <w:t xml:space="preserve">Act in relation to power station accreditation, eligibility requirements for renewable energy sources, eligibility requirements for </w:t>
      </w:r>
      <w:r w:rsidR="00795385">
        <w:t>small-scale systems</w:t>
      </w:r>
      <w:r>
        <w:t xml:space="preserve">, calculation methods for determining the number of certificates and a compliance monitoring </w:t>
      </w:r>
      <w:r w:rsidR="003B722A">
        <w:t xml:space="preserve">and </w:t>
      </w:r>
      <w:r>
        <w:t>enforcement framework to support the integrity and smooth operation of the RET scheme for participants.</w:t>
      </w:r>
    </w:p>
    <w:p w:rsidR="00050BA7" w:rsidRDefault="00050BA7" w:rsidP="007232B0">
      <w:pPr>
        <w:tabs>
          <w:tab w:val="left" w:pos="851"/>
        </w:tabs>
        <w:spacing w:before="120" w:after="200"/>
      </w:pPr>
    </w:p>
    <w:p w:rsidR="002347A0" w:rsidRDefault="002347A0" w:rsidP="007232B0">
      <w:pPr>
        <w:tabs>
          <w:tab w:val="left" w:pos="851"/>
        </w:tabs>
        <w:spacing w:before="120" w:after="200"/>
      </w:pPr>
    </w:p>
    <w:p w:rsidR="003305EE" w:rsidRDefault="002148FD" w:rsidP="00050BA7">
      <w:pPr>
        <w:widowControl/>
        <w:autoSpaceDE/>
        <w:autoSpaceDN/>
        <w:adjustRightInd/>
        <w:spacing w:before="100" w:beforeAutospacing="1" w:after="100" w:afterAutospacing="1"/>
      </w:pPr>
      <w:r w:rsidRPr="002148FD">
        <w:lastRenderedPageBreak/>
        <w:t xml:space="preserve">The Regulation amends the </w:t>
      </w:r>
      <w:r w:rsidR="00586B83" w:rsidRPr="006C5B76">
        <w:t>RET</w:t>
      </w:r>
      <w:r w:rsidRPr="002148FD">
        <w:t xml:space="preserve"> Regulations to</w:t>
      </w:r>
      <w:r w:rsidR="00F34C83">
        <w:t xml:space="preserve"> </w:t>
      </w:r>
      <w:r w:rsidR="006C693B" w:rsidRPr="005B1E61">
        <w:t xml:space="preserve">implement the </w:t>
      </w:r>
      <w:r w:rsidR="006D699F">
        <w:t xml:space="preserve">Australian </w:t>
      </w:r>
      <w:r w:rsidR="006C693B" w:rsidRPr="005B1E61">
        <w:t>Government’s decision</w:t>
      </w:r>
      <w:r w:rsidR="006C693B">
        <w:t>s</w:t>
      </w:r>
      <w:r w:rsidR="006C693B" w:rsidRPr="005B1E61">
        <w:t xml:space="preserve">, announced on </w:t>
      </w:r>
      <w:r w:rsidR="006C693B">
        <w:t>21 March 2013 as part of its response to the 2012 statutory review of the RET scheme undertaken by the Climate Change Authority</w:t>
      </w:r>
      <w:r w:rsidR="002408F9">
        <w:t xml:space="preserve"> (CCA)</w:t>
      </w:r>
      <w:r w:rsidR="004F22A1">
        <w:t>,</w:t>
      </w:r>
      <w:r w:rsidR="006C693B">
        <w:t xml:space="preserve"> to</w:t>
      </w:r>
      <w:r w:rsidRPr="002148FD">
        <w:t>:</w:t>
      </w:r>
    </w:p>
    <w:p w:rsidR="00C63FDA" w:rsidRDefault="00587DF1" w:rsidP="00752B08">
      <w:pPr>
        <w:numPr>
          <w:ilvl w:val="0"/>
          <w:numId w:val="32"/>
        </w:numPr>
        <w:tabs>
          <w:tab w:val="left" w:pos="709"/>
        </w:tabs>
      </w:pPr>
      <w:r>
        <w:t>p</w:t>
      </w:r>
      <w:r w:rsidR="00CD3167">
        <w:t>rogressively r</w:t>
      </w:r>
      <w:r w:rsidR="00D331F8">
        <w:t xml:space="preserve">educe the </w:t>
      </w:r>
      <w:r w:rsidR="00CD3167">
        <w:t>length</w:t>
      </w:r>
      <w:r w:rsidR="00891AD1">
        <w:t>s</w:t>
      </w:r>
      <w:r w:rsidR="00CD3167">
        <w:t xml:space="preserve"> of the </w:t>
      </w:r>
      <w:r w:rsidR="00740B47">
        <w:t>prescribed</w:t>
      </w:r>
      <w:r w:rsidR="00CD3167">
        <w:t xml:space="preserve"> periods </w:t>
      </w:r>
      <w:r w:rsidR="00891AD1">
        <w:t>of</w:t>
      </w:r>
      <w:r w:rsidR="00740B47">
        <w:t xml:space="preserve"> </w:t>
      </w:r>
      <w:r w:rsidR="00CD3167">
        <w:t>renewable energy production</w:t>
      </w:r>
      <w:r w:rsidR="00891AD1">
        <w:t xml:space="preserve"> which form the basis for </w:t>
      </w:r>
      <w:r w:rsidR="00740B47">
        <w:t>upfront c</w:t>
      </w:r>
      <w:r w:rsidR="00891AD1">
        <w:t xml:space="preserve">ertificate allocations </w:t>
      </w:r>
      <w:r w:rsidR="00740B47">
        <w:t xml:space="preserve">for eligible </w:t>
      </w:r>
      <w:r w:rsidR="00050BA7">
        <w:t>small</w:t>
      </w:r>
      <w:r w:rsidR="00050BA7">
        <w:noBreakHyphen/>
      </w:r>
      <w:r w:rsidR="00740B47">
        <w:t>scale renewable energy systems</w:t>
      </w:r>
      <w:r w:rsidR="00DF0BD3">
        <w:t>;</w:t>
      </w:r>
    </w:p>
    <w:p w:rsidR="00482982" w:rsidRDefault="00587DF1" w:rsidP="00752B08">
      <w:pPr>
        <w:numPr>
          <w:ilvl w:val="0"/>
          <w:numId w:val="32"/>
        </w:numPr>
        <w:tabs>
          <w:tab w:val="left" w:pos="709"/>
        </w:tabs>
      </w:pPr>
      <w:r>
        <w:t>r</w:t>
      </w:r>
      <w:r w:rsidR="00C63FDA">
        <w:t xml:space="preserve">emove the </w:t>
      </w:r>
      <w:r w:rsidR="00023557">
        <w:t>prerequisite</w:t>
      </w:r>
      <w:r w:rsidR="00CB20D0">
        <w:t xml:space="preserve"> </w:t>
      </w:r>
      <w:r w:rsidR="00DF0BD3">
        <w:t xml:space="preserve">that </w:t>
      </w:r>
      <w:r w:rsidR="008926A3">
        <w:t>a person</w:t>
      </w:r>
      <w:r w:rsidR="00023557">
        <w:t xml:space="preserve"> creating certificates for </w:t>
      </w:r>
      <w:r w:rsidR="008926A3">
        <w:t xml:space="preserve">an eligible small-scale generation system installation </w:t>
      </w:r>
      <w:r w:rsidR="00DF0BD3">
        <w:t xml:space="preserve">must </w:t>
      </w:r>
      <w:r w:rsidR="00CB20D0">
        <w:t xml:space="preserve">provide </w:t>
      </w:r>
      <w:r w:rsidR="008926A3">
        <w:t>data</w:t>
      </w:r>
      <w:r w:rsidR="00DF0BD3">
        <w:t xml:space="preserve"> </w:t>
      </w:r>
      <w:r w:rsidR="00D53AC9">
        <w:t xml:space="preserve">to </w:t>
      </w:r>
      <w:r w:rsidR="00050BA7">
        <w:t>the Clean Energy Regulator (the </w:t>
      </w:r>
      <w:r w:rsidR="00D53AC9">
        <w:t>CER) concerning</w:t>
      </w:r>
      <w:r w:rsidR="00DF0BD3">
        <w:t xml:space="preserve"> </w:t>
      </w:r>
      <w:r w:rsidR="008926A3">
        <w:t xml:space="preserve">the </w:t>
      </w:r>
      <w:r w:rsidR="00D53AC9">
        <w:t>out-of-pocket expenses for</w:t>
      </w:r>
      <w:r w:rsidR="008926A3">
        <w:t xml:space="preserve"> the installation </w:t>
      </w:r>
      <w:r w:rsidR="00FD4940">
        <w:t>and</w:t>
      </w:r>
      <w:r w:rsidR="002B7230">
        <w:t xml:space="preserve"> also remove the requirement for the CER</w:t>
      </w:r>
      <w:r w:rsidR="00FD4940">
        <w:t xml:space="preserve"> to publish</w:t>
      </w:r>
      <w:r w:rsidR="00DF0BD3">
        <w:t xml:space="preserve"> information</w:t>
      </w:r>
      <w:r w:rsidR="008926A3" w:rsidRPr="008926A3">
        <w:t xml:space="preserve"> </w:t>
      </w:r>
      <w:r w:rsidR="008926A3">
        <w:t>on the out-of-pocket-expenses</w:t>
      </w:r>
      <w:r w:rsidR="0026191C">
        <w:t>;</w:t>
      </w:r>
      <w:r>
        <w:t xml:space="preserve"> and</w:t>
      </w:r>
    </w:p>
    <w:p w:rsidR="00314CD9" w:rsidRDefault="00587DF1" w:rsidP="00752B08">
      <w:pPr>
        <w:numPr>
          <w:ilvl w:val="0"/>
          <w:numId w:val="32"/>
        </w:numPr>
        <w:tabs>
          <w:tab w:val="left" w:pos="709"/>
        </w:tabs>
      </w:pPr>
      <w:r>
        <w:t>r</w:t>
      </w:r>
      <w:r w:rsidR="00C63FDA">
        <w:t xml:space="preserve">emove the </w:t>
      </w:r>
      <w:r>
        <w:t>requirement that persons creating certificates in relation to installations of  small-scale renewable energy systems provide</w:t>
      </w:r>
      <w:r w:rsidR="00BE3B63">
        <w:t xml:space="preserve"> specified information </w:t>
      </w:r>
      <w:r w:rsidR="00097515">
        <w:t>as part of</w:t>
      </w:r>
      <w:r>
        <w:t xml:space="preserve"> annual generation returns</w:t>
      </w:r>
      <w:r w:rsidR="00314CD9">
        <w:t>.</w:t>
      </w:r>
    </w:p>
    <w:p w:rsidR="00DB37C9" w:rsidRDefault="00DB37C9" w:rsidP="00DB37C9">
      <w:r>
        <w:t>The Regulation makes minor technical amendments to the Partial Exemption Certificate application process and  the calculation of the amounts of partial exemptions from RET liability for EITE activities under certain circumstances.</w:t>
      </w:r>
    </w:p>
    <w:p w:rsidR="00C70277" w:rsidRDefault="00C70277" w:rsidP="00752B08">
      <w:r w:rsidRPr="00C70277">
        <w:t xml:space="preserve">The Regulation also amends the </w:t>
      </w:r>
      <w:r w:rsidR="001503FD" w:rsidRPr="00752B08">
        <w:rPr>
          <w:i/>
        </w:rPr>
        <w:t>Clean Energy Regulations 2011</w:t>
      </w:r>
      <w:r w:rsidR="001503FD">
        <w:t xml:space="preserve"> (</w:t>
      </w:r>
      <w:r w:rsidRPr="00C70277">
        <w:t>CE Regulations</w:t>
      </w:r>
      <w:r w:rsidR="001503FD">
        <w:t>)</w:t>
      </w:r>
      <w:r w:rsidRPr="00C70277">
        <w:t xml:space="preserve"> and the RET Regulations to </w:t>
      </w:r>
      <w:r w:rsidRPr="003C0A39">
        <w:t xml:space="preserve">include the production of dried distillers grains with solubles as an </w:t>
      </w:r>
      <w:r>
        <w:t xml:space="preserve">eligible EITE </w:t>
      </w:r>
      <w:r w:rsidRPr="00C70277">
        <w:t>activity and extend the Jobs and Competitiveness Pr</w:t>
      </w:r>
      <w:r w:rsidR="00050BA7">
        <w:t>ogram (the Program) and Partial </w:t>
      </w:r>
      <w:r w:rsidRPr="00C70277">
        <w:t>Exemption Certificate (PEC) application deadlines for the activity.</w:t>
      </w:r>
    </w:p>
    <w:p w:rsidR="000E556D" w:rsidRDefault="000E556D" w:rsidP="000E556D">
      <w:pPr>
        <w:rPr>
          <w:i/>
          <w:iCs/>
        </w:rPr>
      </w:pPr>
      <w:r>
        <w:t>The Regulation</w:t>
      </w:r>
      <w:r>
        <w:rPr>
          <w:i/>
          <w:iCs/>
        </w:rPr>
        <w:t xml:space="preserve"> </w:t>
      </w:r>
      <w:r>
        <w:t xml:space="preserve">is a legislative instrument for the purposes of the </w:t>
      </w:r>
      <w:r>
        <w:rPr>
          <w:i/>
          <w:iCs/>
        </w:rPr>
        <w:t>Legislative Instruments Act 2003.</w:t>
      </w:r>
    </w:p>
    <w:p w:rsidR="00EA33A4" w:rsidRDefault="007C04FB" w:rsidP="007232B0">
      <w:pPr>
        <w:tabs>
          <w:tab w:val="left" w:pos="851"/>
        </w:tabs>
        <w:spacing w:before="120" w:after="200"/>
      </w:pPr>
      <w:r>
        <w:t xml:space="preserve">Policy guidance </w:t>
      </w:r>
      <w:r w:rsidR="00BA7179">
        <w:t>on</w:t>
      </w:r>
      <w:r>
        <w:t xml:space="preserve"> the Regulation is included in </w:t>
      </w:r>
      <w:r w:rsidRPr="00EE3D8F">
        <w:rPr>
          <w:u w:val="single"/>
        </w:rPr>
        <w:t>Attachment A</w:t>
      </w:r>
      <w:r>
        <w:t>.</w:t>
      </w:r>
    </w:p>
    <w:p w:rsidR="00EA33A4" w:rsidRDefault="007C04FB" w:rsidP="007232B0">
      <w:pPr>
        <w:tabs>
          <w:tab w:val="left" w:pos="851"/>
        </w:tabs>
        <w:spacing w:before="120" w:after="200"/>
      </w:pPr>
      <w:r>
        <w:t xml:space="preserve">Details of the Regulation are included in </w:t>
      </w:r>
      <w:r w:rsidRPr="00EE3D8F">
        <w:rPr>
          <w:u w:val="single"/>
        </w:rPr>
        <w:t>Attachment B</w:t>
      </w:r>
      <w:r>
        <w:t>.</w:t>
      </w:r>
    </w:p>
    <w:p w:rsidR="007C04FB" w:rsidRDefault="007C04FB" w:rsidP="007232B0">
      <w:pPr>
        <w:tabs>
          <w:tab w:val="left" w:pos="851"/>
        </w:tabs>
        <w:spacing w:before="120" w:after="200"/>
      </w:pPr>
      <w:r>
        <w:rPr>
          <w:b/>
          <w:bCs/>
        </w:rPr>
        <w:t>Consultation</w:t>
      </w:r>
    </w:p>
    <w:p w:rsidR="0047182E" w:rsidRDefault="00AB74CD" w:rsidP="001B27BD">
      <w:r>
        <w:t>To inform the</w:t>
      </w:r>
      <w:r w:rsidR="009E03BF">
        <w:t xml:space="preserve"> recommendations</w:t>
      </w:r>
      <w:r w:rsidRPr="00AB74CD">
        <w:t xml:space="preserve"> </w:t>
      </w:r>
      <w:r>
        <w:t>of the 2012 statutory review of the RET scheme</w:t>
      </w:r>
      <w:r w:rsidR="009E03BF">
        <w:t>, including those implemented in the Regulation,</w:t>
      </w:r>
      <w:r w:rsidR="0073595B">
        <w:t xml:space="preserve"> </w:t>
      </w:r>
      <w:r w:rsidR="009E03BF">
        <w:t>the CCA consulted extensively across a wide range of business and community stakeholders</w:t>
      </w:r>
      <w:r w:rsidR="001B27BD">
        <w:t xml:space="preserve">. </w:t>
      </w:r>
      <w:r w:rsidR="00BA7179">
        <w:t>This included release of</w:t>
      </w:r>
      <w:r w:rsidR="001B27BD">
        <w:t xml:space="preserve"> </w:t>
      </w:r>
      <w:r w:rsidR="00C623C5" w:rsidRPr="00311528">
        <w:t>an issues paper</w:t>
      </w:r>
      <w:r w:rsidR="0073595B">
        <w:t xml:space="preserve"> </w:t>
      </w:r>
      <w:r w:rsidR="00CE0A5C">
        <w:t xml:space="preserve">which generated </w:t>
      </w:r>
      <w:r w:rsidR="0073595B">
        <w:t>a</w:t>
      </w:r>
      <w:r w:rsidR="00C623C5" w:rsidRPr="00311528">
        <w:t xml:space="preserve">lmost 8,700 </w:t>
      </w:r>
      <w:r w:rsidR="00CE0A5C">
        <w:t xml:space="preserve">public </w:t>
      </w:r>
      <w:r w:rsidR="00C623C5" w:rsidRPr="00311528">
        <w:t>submissions</w:t>
      </w:r>
      <w:r w:rsidR="001B27BD">
        <w:t xml:space="preserve"> and </w:t>
      </w:r>
      <w:r w:rsidR="00C623C5" w:rsidRPr="00EB79E3">
        <w:t xml:space="preserve">a </w:t>
      </w:r>
      <w:r w:rsidR="001B27BD">
        <w:t xml:space="preserve">subsequent </w:t>
      </w:r>
      <w:r w:rsidR="00C623C5" w:rsidRPr="00EB79E3">
        <w:t>discussion paper</w:t>
      </w:r>
      <w:r w:rsidR="0073595B">
        <w:t xml:space="preserve"> with draft recommendations </w:t>
      </w:r>
      <w:r w:rsidR="00CE0A5C">
        <w:t xml:space="preserve">and </w:t>
      </w:r>
      <w:r w:rsidR="0047182E">
        <w:t>st</w:t>
      </w:r>
      <w:r w:rsidR="001B27BD">
        <w:t xml:space="preserve">akeholder workshops </w:t>
      </w:r>
      <w:r w:rsidR="00CE0A5C">
        <w:t>which resulted in</w:t>
      </w:r>
      <w:r w:rsidR="0047182E">
        <w:t xml:space="preserve"> a </w:t>
      </w:r>
      <w:r w:rsidR="0073595B">
        <w:t>further</w:t>
      </w:r>
      <w:r w:rsidR="0047182E">
        <w:t xml:space="preserve"> 50 </w:t>
      </w:r>
      <w:r w:rsidR="0073595B">
        <w:t>submissions</w:t>
      </w:r>
      <w:r w:rsidR="0047182E">
        <w:t>.</w:t>
      </w:r>
      <w:r w:rsidR="002408F9" w:rsidRPr="002408F9">
        <w:t xml:space="preserve"> </w:t>
      </w:r>
      <w:r w:rsidR="00F102D2">
        <w:t>D</w:t>
      </w:r>
      <w:r w:rsidR="00050BA7">
        <w:t>raft </w:t>
      </w:r>
      <w:r w:rsidR="002408F9">
        <w:t xml:space="preserve">amendments to implement the agreed CCA recommendations were discussed with </w:t>
      </w:r>
      <w:r w:rsidR="00301CDF">
        <w:t>relevant</w:t>
      </w:r>
      <w:r w:rsidR="002408F9">
        <w:t xml:space="preserve"> industry </w:t>
      </w:r>
      <w:r w:rsidR="00480CFA">
        <w:t xml:space="preserve">bodies and </w:t>
      </w:r>
      <w:r w:rsidR="00301CDF">
        <w:t>stakeholders</w:t>
      </w:r>
      <w:r w:rsidR="002408F9">
        <w:t>.</w:t>
      </w:r>
    </w:p>
    <w:p w:rsidR="0058398E" w:rsidRPr="00BE4869" w:rsidRDefault="0058398E" w:rsidP="0058398E">
      <w:pPr>
        <w:rPr>
          <w:i/>
          <w:u w:val="single"/>
          <w:lang w:val="en-GB"/>
        </w:rPr>
      </w:pPr>
      <w:r w:rsidRPr="00BE4869">
        <w:rPr>
          <w:i/>
          <w:u w:val="single"/>
          <w:lang w:val="en-GB"/>
        </w:rPr>
        <w:t>Amendments to the Jobs and Competitiveness Program</w:t>
      </w:r>
    </w:p>
    <w:p w:rsidR="0058398E" w:rsidRPr="007914CE" w:rsidRDefault="0058398E" w:rsidP="0058398E">
      <w:r>
        <w:t xml:space="preserve">Since 2011, the Department of Climate Change and Energy Efficiency and the Department </w:t>
      </w:r>
      <w:r w:rsidR="00EE11C1">
        <w:t xml:space="preserve">of Industry, Innovation, Climate Change, Science, Research and Tertiary Education </w:t>
      </w:r>
      <w:r w:rsidRPr="007914CE">
        <w:t>ha</w:t>
      </w:r>
      <w:r>
        <w:t>ve</w:t>
      </w:r>
      <w:r w:rsidRPr="007914CE">
        <w:t xml:space="preserve"> undertaken an extensive consultation process to establish the eligibility of EITE activities and develop </w:t>
      </w:r>
      <w:r>
        <w:t>r</w:t>
      </w:r>
      <w:r w:rsidRPr="007914CE">
        <w:t xml:space="preserve">egulations to implement the Program. </w:t>
      </w:r>
    </w:p>
    <w:p w:rsidR="0058398E" w:rsidRPr="007914CE" w:rsidRDefault="0058398E" w:rsidP="0058398E">
      <w:pPr>
        <w:pStyle w:val="NumberLevel1"/>
        <w:numPr>
          <w:ilvl w:val="0"/>
          <w:numId w:val="0"/>
        </w:numPr>
        <w:spacing w:after="240"/>
        <w:rPr>
          <w:rFonts w:ascii="Times New Roman" w:hAnsi="Times New Roman" w:cs="Times New Roman"/>
          <w:sz w:val="24"/>
          <w:szCs w:val="24"/>
          <w:lang w:val="en-GB"/>
        </w:rPr>
      </w:pPr>
      <w:r w:rsidRPr="007914CE">
        <w:rPr>
          <w:rFonts w:ascii="Times New Roman" w:hAnsi="Times New Roman" w:cs="Times New Roman"/>
          <w:sz w:val="24"/>
          <w:szCs w:val="24"/>
          <w:lang w:val="en-GB"/>
        </w:rPr>
        <w:t xml:space="preserve">The policy framework for determining the eligibility of EITE activities for assistance under the Program was originally developed in 2009 and has been used to establish the eligibility of activities with respect to assistance provided under the (RET scheme – </w:t>
      </w:r>
      <w:r w:rsidRPr="007914CE">
        <w:rPr>
          <w:rFonts w:ascii="Times New Roman" w:hAnsi="Times New Roman" w:cs="Times New Roman"/>
          <w:i/>
          <w:sz w:val="24"/>
          <w:szCs w:val="24"/>
          <w:lang w:val="en-GB"/>
        </w:rPr>
        <w:t xml:space="preserve">Renewable Energy </w:t>
      </w:r>
      <w:r w:rsidRPr="007914CE">
        <w:rPr>
          <w:rFonts w:ascii="Times New Roman" w:hAnsi="Times New Roman" w:cs="Times New Roman"/>
          <w:i/>
          <w:sz w:val="24"/>
          <w:szCs w:val="24"/>
          <w:lang w:val="en-GB"/>
        </w:rPr>
        <w:lastRenderedPageBreak/>
        <w:t>(Electricity) Act 2000</w:t>
      </w:r>
      <w:r w:rsidRPr="007914CE">
        <w:rPr>
          <w:rFonts w:ascii="Times New Roman" w:hAnsi="Times New Roman" w:cs="Times New Roman"/>
          <w:sz w:val="24"/>
          <w:szCs w:val="24"/>
          <w:lang w:val="en-GB"/>
        </w:rPr>
        <w:t xml:space="preserve">. The process for assessing activities and defining the technical aspects of the activities, including setting assistance rates and allocative baselines, is outlined in the paper titled </w:t>
      </w:r>
      <w:r w:rsidRPr="007914CE">
        <w:rPr>
          <w:rFonts w:ascii="Times New Roman" w:hAnsi="Times New Roman" w:cs="Times New Roman"/>
          <w:i/>
          <w:iCs/>
          <w:sz w:val="24"/>
          <w:szCs w:val="24"/>
          <w:lang w:val="en-GB"/>
        </w:rPr>
        <w:t>Establishing the eligibility of activities under the Jobs and Competitiveness Program.</w:t>
      </w:r>
    </w:p>
    <w:p w:rsidR="0058398E" w:rsidRDefault="0058398E" w:rsidP="0058398E">
      <w:pPr>
        <w:keepLines/>
      </w:pPr>
      <w:r w:rsidRPr="007914CE">
        <w:t xml:space="preserve">The formal process for defining and determining the eligibility of an EITE activity involves a stakeholder workshop to formulate an appropriate activity definitions and boundary, and approval of the activity definition by the </w:t>
      </w:r>
      <w:r>
        <w:t xml:space="preserve">relevant </w:t>
      </w:r>
      <w:r w:rsidRPr="007914CE">
        <w:t xml:space="preserve">Minister for the purposes of data collection. Audited data based on the approved definition is then submitted to the </w:t>
      </w:r>
      <w:r w:rsidR="00EE11C1">
        <w:t xml:space="preserve">Australian </w:t>
      </w:r>
      <w:r w:rsidRPr="007914CE">
        <w:t xml:space="preserve">Government. If determined to be eligible, stakeholders in the relevant industry are consulted </w:t>
      </w:r>
      <w:r>
        <w:t>on</w:t>
      </w:r>
      <w:r w:rsidRPr="007914CE">
        <w:t xml:space="preserve"> the drafting of the definitions to be included in the Regulations to ensure that the structure of the definitions generally reflects </w:t>
      </w:r>
      <w:r>
        <w:t xml:space="preserve">how </w:t>
      </w:r>
      <w:r w:rsidRPr="007914CE">
        <w:t>the activities</w:t>
      </w:r>
      <w:r>
        <w:t xml:space="preserve"> are conducted</w:t>
      </w:r>
      <w:r w:rsidRPr="007914CE">
        <w:t>.</w:t>
      </w:r>
      <w:r>
        <w:t xml:space="preserve"> This process has been followed for the dried distillers grains with solubles activity included in the CE Regulations and the RET Regulations.</w:t>
      </w:r>
    </w:p>
    <w:p w:rsidR="00D436FD" w:rsidRPr="00896EA4" w:rsidRDefault="00D436FD" w:rsidP="00D436FD">
      <w:pPr>
        <w:pStyle w:val="NumberLevel1"/>
        <w:numPr>
          <w:ilvl w:val="0"/>
          <w:numId w:val="0"/>
        </w:numPr>
        <w:spacing w:after="240"/>
        <w:rPr>
          <w:rFonts w:ascii="Times New Roman" w:hAnsi="Times New Roman" w:cs="Times New Roman"/>
          <w:sz w:val="24"/>
          <w:szCs w:val="24"/>
          <w:lang w:val="en-GB"/>
        </w:rPr>
      </w:pPr>
      <w:r w:rsidRPr="00896EA4">
        <w:rPr>
          <w:rFonts w:ascii="Times New Roman" w:hAnsi="Times New Roman" w:cs="Times New Roman"/>
          <w:sz w:val="24"/>
          <w:szCs w:val="24"/>
          <w:lang w:val="en-GB"/>
        </w:rPr>
        <w:t xml:space="preserve">The Department has consulted with </w:t>
      </w:r>
      <w:r>
        <w:rPr>
          <w:rFonts w:ascii="Times New Roman" w:hAnsi="Times New Roman" w:cs="Times New Roman"/>
          <w:sz w:val="24"/>
          <w:szCs w:val="24"/>
          <w:lang w:val="en-GB"/>
        </w:rPr>
        <w:t>the dried distillers grains with solubles industry</w:t>
      </w:r>
      <w:r w:rsidRPr="00896EA4">
        <w:rPr>
          <w:rFonts w:ascii="Times New Roman" w:hAnsi="Times New Roman" w:cs="Times New Roman"/>
          <w:sz w:val="24"/>
          <w:szCs w:val="24"/>
          <w:lang w:val="en-GB"/>
        </w:rPr>
        <w:t xml:space="preserve"> regarding the </w:t>
      </w:r>
      <w:r w:rsidR="0058398E">
        <w:rPr>
          <w:rFonts w:ascii="Times New Roman" w:hAnsi="Times New Roman" w:cs="Times New Roman"/>
          <w:sz w:val="24"/>
          <w:szCs w:val="24"/>
          <w:lang w:val="en-GB"/>
        </w:rPr>
        <w:t xml:space="preserve">inclusion of the dried distillers grains with solubles activity </w:t>
      </w:r>
      <w:r w:rsidRPr="00896EA4">
        <w:rPr>
          <w:rFonts w:ascii="Times New Roman" w:hAnsi="Times New Roman" w:cs="Times New Roman"/>
          <w:sz w:val="24"/>
          <w:szCs w:val="24"/>
          <w:lang w:val="en-GB"/>
        </w:rPr>
        <w:t>and the application deadline extension throughout the process of developing the Regulation.</w:t>
      </w:r>
    </w:p>
    <w:p w:rsidR="00D436FD" w:rsidRPr="00BE4869" w:rsidRDefault="00D436FD" w:rsidP="00D436FD">
      <w:pPr>
        <w:rPr>
          <w:highlight w:val="yellow"/>
        </w:rPr>
      </w:pPr>
      <w:r w:rsidRPr="00896EA4">
        <w:rPr>
          <w:lang w:val="en-GB"/>
        </w:rPr>
        <w:t xml:space="preserve">The Minister has taken into consideration the principles under subsection 145(5) of the </w:t>
      </w:r>
      <w:r>
        <w:rPr>
          <w:lang w:val="en-GB"/>
        </w:rPr>
        <w:t xml:space="preserve">CE </w:t>
      </w:r>
      <w:r w:rsidRPr="00896EA4">
        <w:rPr>
          <w:lang w:val="en-GB"/>
        </w:rPr>
        <w:t>Act regarding changes that will have a negative impact on recipients of assistance under the Program.</w:t>
      </w:r>
    </w:p>
    <w:p w:rsidR="007B4484" w:rsidRPr="00482982" w:rsidRDefault="007B4484" w:rsidP="00482982">
      <w:pPr>
        <w:widowControl/>
        <w:autoSpaceDE/>
        <w:autoSpaceDN/>
        <w:adjustRightInd/>
        <w:spacing w:before="0" w:after="0"/>
      </w:pPr>
      <w:r w:rsidRPr="00D252F6">
        <w:rPr>
          <w:b/>
        </w:rPr>
        <w:t>Statement of Compatibility with Human Rights</w:t>
      </w:r>
    </w:p>
    <w:p w:rsidR="007B4484" w:rsidRPr="00D252F6" w:rsidRDefault="007B4484" w:rsidP="007B4484">
      <w:pPr>
        <w:tabs>
          <w:tab w:val="left" w:pos="0"/>
        </w:tabs>
        <w:spacing w:before="120" w:after="200"/>
        <w:ind w:right="-143"/>
      </w:pPr>
      <w:r w:rsidRPr="00D252F6">
        <w:t xml:space="preserve">A statement of compatibility with human rights for the purposes of Part 3 of the </w:t>
      </w:r>
      <w:r w:rsidRPr="00D252F6">
        <w:rPr>
          <w:i/>
        </w:rPr>
        <w:t>Human Rights (Parliamentary Scrutiny) Act 2011</w:t>
      </w:r>
      <w:r w:rsidRPr="00D252F6">
        <w:t xml:space="preserve"> is set out in </w:t>
      </w:r>
      <w:r w:rsidR="00482982" w:rsidRPr="00EE3D8F">
        <w:rPr>
          <w:u w:val="single"/>
        </w:rPr>
        <w:t>Attachment C</w:t>
      </w:r>
      <w:r w:rsidRPr="00D252F6">
        <w:t>.</w:t>
      </w:r>
    </w:p>
    <w:p w:rsidR="00FF12F4" w:rsidRPr="00A276AE" w:rsidRDefault="00FF12F4" w:rsidP="009134B3">
      <w:pPr>
        <w:spacing w:before="120" w:after="200"/>
      </w:pPr>
    </w:p>
    <w:p w:rsidR="00902178" w:rsidRDefault="00902178" w:rsidP="00902178">
      <w:pPr>
        <w:tabs>
          <w:tab w:val="left" w:pos="5103"/>
          <w:tab w:val="left" w:pos="5245"/>
        </w:tabs>
        <w:spacing w:before="0"/>
        <w:ind w:left="6480" w:hanging="6480"/>
      </w:pPr>
      <w:r w:rsidRPr="008B586C">
        <w:tab/>
      </w:r>
      <w:r>
        <w:rPr>
          <w:u w:val="single"/>
        </w:rPr>
        <w:t>Authority:</w:t>
      </w:r>
      <w:r>
        <w:tab/>
        <w:t xml:space="preserve">Section 312 of the </w:t>
      </w:r>
      <w:r>
        <w:rPr>
          <w:i/>
          <w:iCs/>
        </w:rPr>
        <w:t>Clean Energy Act</w:t>
      </w:r>
      <w:r>
        <w:t> </w:t>
      </w:r>
      <w:r>
        <w:rPr>
          <w:i/>
          <w:iCs/>
        </w:rPr>
        <w:t>2011</w:t>
      </w:r>
    </w:p>
    <w:p w:rsidR="00902178" w:rsidRDefault="00902178" w:rsidP="00902178">
      <w:pPr>
        <w:tabs>
          <w:tab w:val="left" w:pos="5103"/>
          <w:tab w:val="left" w:pos="5245"/>
        </w:tabs>
        <w:spacing w:before="0"/>
        <w:ind w:left="6480" w:hanging="6480"/>
      </w:pPr>
      <w:r w:rsidRPr="008B586C">
        <w:tab/>
      </w:r>
      <w:r w:rsidRPr="008B586C">
        <w:tab/>
      </w:r>
      <w:r w:rsidRPr="008B586C">
        <w:tab/>
      </w:r>
      <w:r>
        <w:t xml:space="preserve">Section 161 of the </w:t>
      </w:r>
      <w:r>
        <w:rPr>
          <w:i/>
        </w:rPr>
        <w:t>Renewable Energy (Electricity) Act 2000</w:t>
      </w:r>
    </w:p>
    <w:p w:rsidR="008C6730" w:rsidRPr="008C6730" w:rsidRDefault="000A17B8" w:rsidP="00752B08">
      <w:pPr>
        <w:widowControl/>
        <w:autoSpaceDE/>
        <w:autoSpaceDN/>
        <w:adjustRightInd/>
        <w:spacing w:before="0" w:after="0"/>
        <w:rPr>
          <w:b/>
          <w:bCs/>
          <w:u w:val="single"/>
        </w:rPr>
      </w:pPr>
      <w:r>
        <w:rPr>
          <w:b/>
          <w:u w:val="single"/>
        </w:rPr>
        <w:br w:type="page"/>
      </w:r>
      <w:r w:rsidR="00047022" w:rsidRPr="008C6730">
        <w:rPr>
          <w:b/>
          <w:u w:val="single"/>
        </w:rPr>
        <w:lastRenderedPageBreak/>
        <w:t>A</w:t>
      </w:r>
      <w:r w:rsidR="00047022">
        <w:rPr>
          <w:b/>
          <w:u w:val="single"/>
        </w:rPr>
        <w:t>ttachment</w:t>
      </w:r>
      <w:r w:rsidR="00047022" w:rsidRPr="008C6730">
        <w:rPr>
          <w:b/>
          <w:u w:val="single"/>
        </w:rPr>
        <w:t xml:space="preserve"> </w:t>
      </w:r>
      <w:r w:rsidR="008C6730" w:rsidRPr="008C6730">
        <w:rPr>
          <w:b/>
          <w:u w:val="single"/>
        </w:rPr>
        <w:t>A</w:t>
      </w:r>
    </w:p>
    <w:p w:rsidR="007232B0" w:rsidRDefault="00047022" w:rsidP="008C6730">
      <w:pPr>
        <w:rPr>
          <w:b/>
          <w:bCs/>
          <w:u w:val="single"/>
        </w:rPr>
      </w:pPr>
      <w:r w:rsidRPr="007914CE">
        <w:rPr>
          <w:b/>
          <w:bCs/>
        </w:rPr>
        <w:t xml:space="preserve">Summary and Policy Guidance on the </w:t>
      </w:r>
      <w:r w:rsidR="00641BF2" w:rsidRPr="00752B08">
        <w:rPr>
          <w:b/>
          <w:i/>
          <w:iCs/>
        </w:rPr>
        <w:t>Clean and Renewable Energy Legislation Amendment (Various Measures) Regulation 2013</w:t>
      </w:r>
    </w:p>
    <w:p w:rsidR="00C37C07" w:rsidRDefault="00C37C07">
      <w:pPr>
        <w:spacing w:after="120"/>
        <w:rPr>
          <w:highlight w:val="yellow"/>
        </w:rPr>
      </w:pPr>
      <w:r w:rsidRPr="00752B08">
        <w:rPr>
          <w:i/>
        </w:rPr>
        <w:t>Amendments to the Jobs and Competitiveness Program</w:t>
      </w:r>
    </w:p>
    <w:p w:rsidR="00047022" w:rsidRDefault="005512F7" w:rsidP="00047022">
      <w:pPr>
        <w:spacing w:after="120"/>
      </w:pPr>
      <w:r>
        <w:t xml:space="preserve">Schedule 1 of the </w:t>
      </w:r>
      <w:r w:rsidR="00047022">
        <w:t xml:space="preserve">Regulation amends Schedule 1 of the </w:t>
      </w:r>
      <w:r w:rsidR="00047022" w:rsidRPr="00752B08">
        <w:rPr>
          <w:i/>
        </w:rPr>
        <w:t>Clean Energy Regulations 2011</w:t>
      </w:r>
      <w:r w:rsidR="00047022">
        <w:t xml:space="preserve"> to:</w:t>
      </w:r>
    </w:p>
    <w:p w:rsidR="00047022" w:rsidRDefault="00047022" w:rsidP="00752B08">
      <w:pPr>
        <w:numPr>
          <w:ilvl w:val="0"/>
          <w:numId w:val="32"/>
        </w:numPr>
        <w:tabs>
          <w:tab w:val="left" w:pos="709"/>
        </w:tabs>
      </w:pPr>
      <w:r>
        <w:t xml:space="preserve">prescribe the production of </w:t>
      </w:r>
      <w:r w:rsidR="00C1250E">
        <w:t>dried distillers grains with solubles</w:t>
      </w:r>
      <w:r>
        <w:t xml:space="preserve"> as </w:t>
      </w:r>
      <w:r w:rsidR="00531910">
        <w:t xml:space="preserve">an </w:t>
      </w:r>
      <w:r>
        <w:t xml:space="preserve">additional eligible </w:t>
      </w:r>
      <w:r w:rsidR="00EE11C1">
        <w:t>emissions-intensive and trade-exposed  (</w:t>
      </w:r>
      <w:r>
        <w:t>EITE</w:t>
      </w:r>
      <w:r w:rsidR="00EE11C1">
        <w:t>)</w:t>
      </w:r>
      <w:r w:rsidR="00B66781">
        <w:t xml:space="preserve"> activity</w:t>
      </w:r>
      <w:r>
        <w:t xml:space="preserve"> under Part 3 by providing the details and specifications of </w:t>
      </w:r>
      <w:r w:rsidR="0049242A">
        <w:t>the</w:t>
      </w:r>
      <w:r>
        <w:t xml:space="preserve"> activity, including the rate of assistance that applies to the activity and the relevant product produced in undertaking the activity which forms the basis of the</w:t>
      </w:r>
      <w:r w:rsidR="00E255F5">
        <w:t xml:space="preserve"> issue of free carbon units;</w:t>
      </w:r>
    </w:p>
    <w:p w:rsidR="00047022" w:rsidRDefault="00047022" w:rsidP="00752B08">
      <w:pPr>
        <w:numPr>
          <w:ilvl w:val="0"/>
          <w:numId w:val="32"/>
        </w:numPr>
        <w:tabs>
          <w:tab w:val="left" w:pos="709"/>
        </w:tabs>
      </w:pPr>
      <w:r>
        <w:t xml:space="preserve">outline the baselines in Part 4 for </w:t>
      </w:r>
      <w:r w:rsidR="0049242A">
        <w:t>the new eligible EITE activity</w:t>
      </w:r>
      <w:r>
        <w:t xml:space="preserve"> that are to be used in determining the amount of assistance for each applicant in relation to the emissions, electricity and natural gas used as a f</w:t>
      </w:r>
      <w:r w:rsidR="00E255F5">
        <w:t>eedstock for the EITE activity; and</w:t>
      </w:r>
    </w:p>
    <w:p w:rsidR="005512F7" w:rsidRDefault="005512F7" w:rsidP="00752B08">
      <w:pPr>
        <w:numPr>
          <w:ilvl w:val="0"/>
          <w:numId w:val="32"/>
        </w:numPr>
        <w:tabs>
          <w:tab w:val="left" w:pos="709"/>
        </w:tabs>
      </w:pPr>
      <w:r w:rsidRPr="005512F7">
        <w:t xml:space="preserve">provide for an extension to the deadline for </w:t>
      </w:r>
      <w:r w:rsidR="008A598A">
        <w:t xml:space="preserve">2012-13 </w:t>
      </w:r>
      <w:r w:rsidRPr="005512F7">
        <w:t xml:space="preserve">applications for assistance for the </w:t>
      </w:r>
      <w:r>
        <w:t xml:space="preserve">dried distillers grains with solubles </w:t>
      </w:r>
      <w:r w:rsidRPr="005512F7">
        <w:t xml:space="preserve">activity to </w:t>
      </w:r>
      <w:r>
        <w:t>31 August</w:t>
      </w:r>
      <w:r w:rsidRPr="005512F7">
        <w:t xml:space="preserve"> 201</w:t>
      </w:r>
      <w:r>
        <w:t>3.</w:t>
      </w:r>
    </w:p>
    <w:p w:rsidR="002342D6" w:rsidRDefault="00047022">
      <w:pPr>
        <w:spacing w:after="120"/>
      </w:pPr>
      <w:r>
        <w:t>In accordance with subsection 145(5) of the</w:t>
      </w:r>
      <w:r w:rsidR="009363FA">
        <w:t xml:space="preserve"> Clean Energy </w:t>
      </w:r>
      <w:r>
        <w:t>Act</w:t>
      </w:r>
      <w:r w:rsidR="009363FA">
        <w:t xml:space="preserve"> 2011</w:t>
      </w:r>
      <w:r>
        <w:t xml:space="preserve">, the Minister has given regard to the aim and objects of Part 7 of the Act and the principle that changes that will have a negative effect on recipients of assistance under the Program should not take effect before the later of the 1 July 2017 or the end of the </w:t>
      </w:r>
      <w:r w:rsidR="00B66781">
        <w:t>three</w:t>
      </w:r>
      <w:r>
        <w:t>-year period that begins when the reduction is announced.</w:t>
      </w:r>
    </w:p>
    <w:p w:rsidR="0097745F" w:rsidRPr="00752B08" w:rsidRDefault="0097745F" w:rsidP="00D40FE9">
      <w:pPr>
        <w:spacing w:after="120"/>
        <w:rPr>
          <w:i/>
        </w:rPr>
      </w:pPr>
      <w:r w:rsidRPr="00752B08">
        <w:rPr>
          <w:i/>
        </w:rPr>
        <w:t>Changes to the Small-</w:t>
      </w:r>
      <w:r w:rsidR="00B66781">
        <w:rPr>
          <w:i/>
        </w:rPr>
        <w:t>s</w:t>
      </w:r>
      <w:r w:rsidRPr="00752B08">
        <w:rPr>
          <w:i/>
        </w:rPr>
        <w:t>cale component of the Renewable Energy Target</w:t>
      </w:r>
    </w:p>
    <w:p w:rsidR="00545F91" w:rsidRDefault="00670F0F" w:rsidP="00D40FE9">
      <w:pPr>
        <w:spacing w:after="120"/>
      </w:pPr>
      <w:r>
        <w:t>T</w:t>
      </w:r>
      <w:r w:rsidR="00337711" w:rsidRPr="007D5160">
        <w:t>h</w:t>
      </w:r>
      <w:r>
        <w:t>is</w:t>
      </w:r>
      <w:r w:rsidR="00337711" w:rsidRPr="007D5160">
        <w:t xml:space="preserve"> </w:t>
      </w:r>
      <w:r w:rsidR="0097745F">
        <w:t>Regulation</w:t>
      </w:r>
      <w:r w:rsidR="00D97C07" w:rsidRPr="007D5160">
        <w:t xml:space="preserve"> </w:t>
      </w:r>
      <w:r w:rsidR="00337711" w:rsidRPr="007D5160">
        <w:t>implements</w:t>
      </w:r>
      <w:r w:rsidR="00D97C07" w:rsidRPr="007D5160">
        <w:t xml:space="preserve"> three of the </w:t>
      </w:r>
      <w:r w:rsidR="00337711" w:rsidRPr="007D5160">
        <w:t xml:space="preserve">28 </w:t>
      </w:r>
      <w:r w:rsidR="00D97C07" w:rsidRPr="007D5160">
        <w:t>recommendations made</w:t>
      </w:r>
      <w:r w:rsidR="00277C9A" w:rsidRPr="007D5160">
        <w:t xml:space="preserve"> in December 2012</w:t>
      </w:r>
      <w:r w:rsidR="00D97C07" w:rsidRPr="007D5160">
        <w:t xml:space="preserve"> by the independent Climate Change Authority (CCA) following its sta</w:t>
      </w:r>
      <w:r w:rsidR="00277C9A" w:rsidRPr="007D5160">
        <w:t xml:space="preserve">tutory review of the </w:t>
      </w:r>
      <w:r w:rsidR="00050BA7">
        <w:t>Renewable </w:t>
      </w:r>
      <w:r w:rsidR="002468B0">
        <w:t>Energy Target (</w:t>
      </w:r>
      <w:r w:rsidR="00277C9A" w:rsidRPr="007D5160">
        <w:t>RET</w:t>
      </w:r>
      <w:r w:rsidR="002468B0">
        <w:t>)</w:t>
      </w:r>
      <w:r w:rsidR="00277C9A" w:rsidRPr="007D5160">
        <w:t xml:space="preserve"> scheme</w:t>
      </w:r>
      <w:r w:rsidR="00487C21">
        <w:t xml:space="preserve"> that were</w:t>
      </w:r>
      <w:r w:rsidR="00D97C07" w:rsidRPr="007D5160">
        <w:t xml:space="preserve"> subsequently </w:t>
      </w:r>
      <w:r w:rsidR="00487C21">
        <w:t>agreed</w:t>
      </w:r>
      <w:r w:rsidR="00D97C07" w:rsidRPr="007D5160">
        <w:t xml:space="preserve"> by the </w:t>
      </w:r>
      <w:r w:rsidR="00050BA7">
        <w:t>Australian </w:t>
      </w:r>
      <w:r w:rsidR="00D97C07" w:rsidRPr="007D5160">
        <w:t>Government</w:t>
      </w:r>
      <w:r w:rsidR="00277C9A" w:rsidRPr="007D5160">
        <w:t xml:space="preserve"> in March 2013</w:t>
      </w:r>
      <w:r w:rsidR="00D97C07" w:rsidRPr="007D5160">
        <w:t>.</w:t>
      </w:r>
      <w:r w:rsidR="00D97C07" w:rsidRPr="0047182E">
        <w:t xml:space="preserve"> </w:t>
      </w:r>
    </w:p>
    <w:p w:rsidR="00196197" w:rsidRDefault="00970680" w:rsidP="00D40FE9">
      <w:pPr>
        <w:spacing w:after="120"/>
      </w:pPr>
      <w:r w:rsidRPr="00D40FE9">
        <w:t xml:space="preserve">The three </w:t>
      </w:r>
      <w:r w:rsidR="00487C21" w:rsidRPr="00D40FE9">
        <w:t xml:space="preserve">agreed CCA </w:t>
      </w:r>
      <w:r w:rsidRPr="00D40FE9">
        <w:t>recommendations relate to the small-scale component of the RET scheme,</w:t>
      </w:r>
      <w:r w:rsidR="00BA7179">
        <w:t xml:space="preserve"> referred to as</w:t>
      </w:r>
      <w:r w:rsidR="00FD7708" w:rsidRPr="00D40FE9">
        <w:t xml:space="preserve"> the Small-scale Renewable Energy Scheme (SRES),</w:t>
      </w:r>
      <w:r w:rsidRPr="00D40FE9">
        <w:t xml:space="preserve"> </w:t>
      </w:r>
      <w:r w:rsidR="00345311">
        <w:t>which</w:t>
      </w:r>
      <w:r w:rsidR="003F03CA">
        <w:t xml:space="preserve"> provides upfront support to households, businesses and comm</w:t>
      </w:r>
      <w:r w:rsidR="00345311">
        <w:t xml:space="preserve">unity groups </w:t>
      </w:r>
      <w:r w:rsidR="00651817">
        <w:t>to</w:t>
      </w:r>
      <w:r w:rsidR="00345311">
        <w:t xml:space="preserve"> install small-scale </w:t>
      </w:r>
      <w:r w:rsidR="00F811CE">
        <w:t xml:space="preserve">renewable </w:t>
      </w:r>
      <w:r w:rsidR="003F03CA">
        <w:t>generation unit</w:t>
      </w:r>
      <w:r w:rsidR="00345311">
        <w:t>s (solar photovoltaic (PV) systems</w:t>
      </w:r>
      <w:r w:rsidR="00050BA7">
        <w:t>, small wind turbines and micro</w:t>
      </w:r>
      <w:r w:rsidR="00050BA7">
        <w:noBreakHyphen/>
      </w:r>
      <w:r w:rsidR="00345311">
        <w:t>hydro systems) as well as solar and heat pump water heaters</w:t>
      </w:r>
      <w:r w:rsidR="006F5F6B">
        <w:t>.</w:t>
      </w:r>
    </w:p>
    <w:p w:rsidR="00827B2D" w:rsidRDefault="0068166F" w:rsidP="00D40FE9">
      <w:pPr>
        <w:spacing w:after="120"/>
      </w:pPr>
      <w:r w:rsidRPr="00D40FE9">
        <w:t>Under the SRES,</w:t>
      </w:r>
      <w:r w:rsidR="00FA3CC8" w:rsidRPr="00D40FE9">
        <w:t xml:space="preserve"> </w:t>
      </w:r>
      <w:r w:rsidR="00707547" w:rsidRPr="00D40FE9">
        <w:t xml:space="preserve">the </w:t>
      </w:r>
      <w:r w:rsidR="00707547">
        <w:t>purchaser</w:t>
      </w:r>
      <w:r w:rsidR="00FA3CC8" w:rsidRPr="0046694D">
        <w:t xml:space="preserve"> of </w:t>
      </w:r>
      <w:r w:rsidR="00707547">
        <w:t xml:space="preserve">an </w:t>
      </w:r>
      <w:r w:rsidR="00FA3CC8" w:rsidRPr="0046694D">
        <w:t>eligible small-scal</w:t>
      </w:r>
      <w:r w:rsidR="00707547">
        <w:t>e renewable energy system</w:t>
      </w:r>
      <w:r w:rsidR="00FD412C">
        <w:t xml:space="preserve"> may</w:t>
      </w:r>
      <w:r w:rsidR="00FA3CC8" w:rsidRPr="0046694D">
        <w:t xml:space="preserve"> create</w:t>
      </w:r>
      <w:r w:rsidR="00FD412C">
        <w:t>, within 12 months following installation,</w:t>
      </w:r>
      <w:r w:rsidR="00FA3CC8" w:rsidRPr="0046694D">
        <w:t xml:space="preserve"> </w:t>
      </w:r>
      <w:r>
        <w:t xml:space="preserve">tradable </w:t>
      </w:r>
      <w:r w:rsidR="00FA3CC8">
        <w:t xml:space="preserve">certificates </w:t>
      </w:r>
      <w:r w:rsidR="00FA3CC8" w:rsidRPr="0046694D">
        <w:t xml:space="preserve">equivalent to the </w:t>
      </w:r>
      <w:r>
        <w:t>renewable electricity production (or energy displaced</w:t>
      </w:r>
      <w:r w:rsidR="006921A5">
        <w:t xml:space="preserve"> in the case of solar/heat pump water heaters</w:t>
      </w:r>
      <w:r>
        <w:t xml:space="preserve">) deemed to occur over a nominal period, </w:t>
      </w:r>
      <w:r w:rsidR="00D35EB1">
        <w:t>broadly based on the operating</w:t>
      </w:r>
      <w:r w:rsidR="00FD412C">
        <w:t xml:space="preserve"> life of the system.</w:t>
      </w:r>
      <w:r w:rsidR="00153B9A">
        <w:t xml:space="preserve"> Liable entities under the RET (mainly electricity retailers) purchase the </w:t>
      </w:r>
      <w:r w:rsidR="0027078F">
        <w:t>certificates</w:t>
      </w:r>
      <w:r w:rsidR="00153B9A">
        <w:t xml:space="preserve"> and surrender them to the </w:t>
      </w:r>
      <w:r w:rsidR="00545F91">
        <w:t>Clean Energy Regulator (</w:t>
      </w:r>
      <w:r w:rsidR="00153B9A">
        <w:t>CER</w:t>
      </w:r>
      <w:r w:rsidR="00545F91">
        <w:t>)</w:t>
      </w:r>
      <w:r w:rsidR="00153B9A">
        <w:t xml:space="preserve"> to demonstrate their</w:t>
      </w:r>
      <w:r w:rsidR="005623F5">
        <w:t xml:space="preserve"> compliance with annual </w:t>
      </w:r>
      <w:r w:rsidR="00D2302B">
        <w:t xml:space="preserve">legislative </w:t>
      </w:r>
      <w:r w:rsidR="005623F5">
        <w:t>obligations.</w:t>
      </w:r>
      <w:r w:rsidR="00827B2D" w:rsidRPr="00827B2D">
        <w:t xml:space="preserve"> </w:t>
      </w:r>
    </w:p>
    <w:p w:rsidR="009E7B1B" w:rsidRPr="00D40FE9" w:rsidRDefault="00827B2D" w:rsidP="00D40FE9">
      <w:pPr>
        <w:spacing w:after="120"/>
      </w:pPr>
      <w:r>
        <w:t xml:space="preserve">In contrast to the large-scale component of the RET, which has annual legislated targets </w:t>
      </w:r>
      <w:r w:rsidR="00A23956">
        <w:t>that</w:t>
      </w:r>
      <w:r>
        <w:t xml:space="preserve"> cap total certificate creation and hence the cost of the scheme to electricity users, annual SRES targets are based on </w:t>
      </w:r>
      <w:r w:rsidR="00655759">
        <w:t>an estimate of</w:t>
      </w:r>
      <w:r>
        <w:t xml:space="preserve"> </w:t>
      </w:r>
      <w:r w:rsidR="00C45D62">
        <w:t>certificate creations</w:t>
      </w:r>
      <w:r>
        <w:t xml:space="preserve"> for the year. </w:t>
      </w:r>
      <w:r w:rsidR="00FD412C">
        <w:t>Several deeming periods are available depending on the system technology</w:t>
      </w:r>
      <w:r w:rsidR="00050BA7">
        <w:t xml:space="preserve">. </w:t>
      </w:r>
      <w:r w:rsidR="00C12F43">
        <w:t>T</w:t>
      </w:r>
      <w:r w:rsidR="002C07E0">
        <w:t xml:space="preserve">hree deeming </w:t>
      </w:r>
      <w:r w:rsidR="009173E6">
        <w:t>options</w:t>
      </w:r>
      <w:r w:rsidR="002C07E0">
        <w:t xml:space="preserve"> are av</w:t>
      </w:r>
      <w:r w:rsidR="00D16F62">
        <w:t xml:space="preserve">ailable for </w:t>
      </w:r>
      <w:r w:rsidR="00D16F62">
        <w:lastRenderedPageBreak/>
        <w:t>solar PV:</w:t>
      </w:r>
      <w:r w:rsidR="002C07E0">
        <w:t xml:space="preserve"> multipl</w:t>
      </w:r>
      <w:r w:rsidR="00B66781">
        <w:t>e one</w:t>
      </w:r>
      <w:r w:rsidR="002C07E0">
        <w:t xml:space="preserve">-year or </w:t>
      </w:r>
      <w:r w:rsidR="00B66781">
        <w:t>five</w:t>
      </w:r>
      <w:r w:rsidR="002C07E0">
        <w:t>-year periods</w:t>
      </w:r>
      <w:r w:rsidR="00D16F62">
        <w:t xml:space="preserve"> or a single </w:t>
      </w:r>
      <w:r w:rsidR="00B66781">
        <w:t xml:space="preserve"> fifteen</w:t>
      </w:r>
      <w:r w:rsidR="00D16F62">
        <w:noBreakHyphen/>
      </w:r>
      <w:r w:rsidR="002C07E0">
        <w:t xml:space="preserve">year period. </w:t>
      </w:r>
      <w:r w:rsidR="009B104A">
        <w:t>Nearly all solar PV</w:t>
      </w:r>
      <w:r w:rsidR="00D16F62">
        <w:t xml:space="preserve"> </w:t>
      </w:r>
      <w:r w:rsidR="00FD412C">
        <w:t>purchasers</w:t>
      </w:r>
      <w:r w:rsidR="00D16F62">
        <w:t xml:space="preserve"> choose </w:t>
      </w:r>
      <w:r w:rsidR="002453F2">
        <w:t>15-year deeming as it provides</w:t>
      </w:r>
      <w:r w:rsidR="00D16F62">
        <w:t xml:space="preserve"> much </w:t>
      </w:r>
      <w:r w:rsidR="002453F2">
        <w:t>stronger</w:t>
      </w:r>
      <w:r w:rsidR="00D16F62">
        <w:t xml:space="preserve"> upfront </w:t>
      </w:r>
      <w:r w:rsidR="00B44E9A">
        <w:t>assistance</w:t>
      </w:r>
      <w:r w:rsidR="00D16F62">
        <w:t xml:space="preserve"> with </w:t>
      </w:r>
      <w:r w:rsidR="00FD412C">
        <w:t>s</w:t>
      </w:r>
      <w:r w:rsidR="00A23956">
        <w:t>ystem installation</w:t>
      </w:r>
      <w:r w:rsidR="00FD412C">
        <w:t xml:space="preserve">. </w:t>
      </w:r>
      <w:r w:rsidR="009B104A">
        <w:t xml:space="preserve">A single </w:t>
      </w:r>
      <w:r w:rsidR="00B66781">
        <w:t>ten</w:t>
      </w:r>
      <w:r w:rsidR="009B104A">
        <w:t>-year deeming period is available for e</w:t>
      </w:r>
      <w:r w:rsidR="00FA3CC8" w:rsidRPr="00D40FE9">
        <w:t xml:space="preserve">ligible solar </w:t>
      </w:r>
      <w:r w:rsidR="009B104A" w:rsidRPr="00D40FE9">
        <w:t>and heat pump water heaters</w:t>
      </w:r>
      <w:r w:rsidR="009E7B1B" w:rsidRPr="00D40FE9">
        <w:t xml:space="preserve">, and multiple </w:t>
      </w:r>
      <w:r w:rsidR="00B66781">
        <w:t xml:space="preserve"> one-</w:t>
      </w:r>
      <w:r w:rsidR="009E7B1B" w:rsidRPr="00D40FE9">
        <w:t>year</w:t>
      </w:r>
      <w:r w:rsidR="00066436" w:rsidRPr="00D40FE9">
        <w:t xml:space="preserve"> or</w:t>
      </w:r>
      <w:r w:rsidR="00B66781">
        <w:t xml:space="preserve"> five</w:t>
      </w:r>
      <w:r w:rsidR="009E7B1B" w:rsidRPr="00D40FE9">
        <w:t>-year periods are available for small wind turbine and micro-hydro installations.</w:t>
      </w:r>
    </w:p>
    <w:p w:rsidR="00FA3CC8" w:rsidRDefault="00FA3CC8" w:rsidP="00D40FE9">
      <w:pPr>
        <w:spacing w:after="120"/>
      </w:pPr>
      <w:r w:rsidRPr="00D40FE9">
        <w:t>Prior to the Regulation being put in place</w:t>
      </w:r>
      <w:r w:rsidR="00087EC3" w:rsidRPr="00D40FE9">
        <w:t>,</w:t>
      </w:r>
      <w:r w:rsidRPr="00D40FE9">
        <w:t xml:space="preserve"> the deeming</w:t>
      </w:r>
      <w:r w:rsidR="00E106E6" w:rsidRPr="00D40FE9">
        <w:t xml:space="preserve"> periods</w:t>
      </w:r>
      <w:r w:rsidRPr="00D40FE9">
        <w:t xml:space="preserve"> extend</w:t>
      </w:r>
      <w:r w:rsidR="00067F8C">
        <w:t>ed beyond</w:t>
      </w:r>
      <w:r w:rsidRPr="00D40FE9">
        <w:t xml:space="preserve"> 2030, which would result in</w:t>
      </w:r>
      <w:r>
        <w:t xml:space="preserve"> eligible systems receiving support for expected </w:t>
      </w:r>
      <w:r w:rsidR="00CF7E85">
        <w:t xml:space="preserve">renewable energy </w:t>
      </w:r>
      <w:r>
        <w:t xml:space="preserve">generation </w:t>
      </w:r>
      <w:r w:rsidR="00087EC3">
        <w:t xml:space="preserve">well beyond </w:t>
      </w:r>
      <w:r>
        <w:t>t</w:t>
      </w:r>
      <w:r w:rsidR="00E106E6">
        <w:t>he RET s</w:t>
      </w:r>
      <w:r>
        <w:t>cheme</w:t>
      </w:r>
      <w:r w:rsidR="00E106E6">
        <w:t>'s</w:t>
      </w:r>
      <w:r>
        <w:t xml:space="preserve"> </w:t>
      </w:r>
      <w:r w:rsidR="00E106E6">
        <w:t>end date of</w:t>
      </w:r>
      <w:r>
        <w:t xml:space="preserve"> 31 December 2030</w:t>
      </w:r>
      <w:r w:rsidR="005D674D">
        <w:t xml:space="preserve"> (</w:t>
      </w:r>
      <w:r w:rsidR="00827B2D">
        <w:t xml:space="preserve">for example, </w:t>
      </w:r>
      <w:r w:rsidR="005D674D">
        <w:t xml:space="preserve">up to </w:t>
      </w:r>
      <w:r w:rsidR="00B66781">
        <w:t>fifteen</w:t>
      </w:r>
      <w:r w:rsidR="005D674D">
        <w:t xml:space="preserve"> years beyond 2030 for solar PV</w:t>
      </w:r>
      <w:r w:rsidR="00847255">
        <w:t xml:space="preserve"> installations</w:t>
      </w:r>
      <w:r w:rsidR="005D674D">
        <w:t>)</w:t>
      </w:r>
      <w:r>
        <w:t>.</w:t>
      </w:r>
    </w:p>
    <w:p w:rsidR="00361A6D" w:rsidRDefault="00361A6D" w:rsidP="009B0BC3">
      <w:pPr>
        <w:widowControl/>
        <w:autoSpaceDE/>
        <w:autoSpaceDN/>
        <w:adjustRightInd/>
        <w:spacing w:before="100" w:beforeAutospacing="1" w:after="0"/>
      </w:pPr>
      <w:r>
        <w:t xml:space="preserve">Two other aspects of the SRES are relevant </w:t>
      </w:r>
      <w:r w:rsidR="00827B2D">
        <w:t>to this Regulation</w:t>
      </w:r>
      <w:r>
        <w:t>:</w:t>
      </w:r>
    </w:p>
    <w:p w:rsidR="00827B2D" w:rsidRDefault="00361A6D" w:rsidP="00752B08">
      <w:pPr>
        <w:numPr>
          <w:ilvl w:val="0"/>
          <w:numId w:val="32"/>
        </w:numPr>
        <w:tabs>
          <w:tab w:val="left" w:pos="709"/>
        </w:tabs>
      </w:pPr>
      <w:r>
        <w:t>Prior to the R</w:t>
      </w:r>
      <w:r w:rsidR="009B0BC3">
        <w:t xml:space="preserve">egulation being put in place, a person who applied to create certificates </w:t>
      </w:r>
      <w:r w:rsidR="00827B2D">
        <w:t xml:space="preserve">under the SRES for the installation of a small generation unit (a solar PV system, small wind turbine or micro-hydro system) </w:t>
      </w:r>
      <w:r w:rsidR="009B0BC3">
        <w:t xml:space="preserve">was required to provide information regarding the out-of-pocket expense incurred by the </w:t>
      </w:r>
      <w:r w:rsidR="00827B2D">
        <w:t xml:space="preserve">system </w:t>
      </w:r>
      <w:r w:rsidR="009B0BC3">
        <w:t>purc</w:t>
      </w:r>
      <w:r>
        <w:t>haser</w:t>
      </w:r>
      <w:r w:rsidR="00827B2D">
        <w:t>. This data</w:t>
      </w:r>
      <w:r w:rsidR="00A23956">
        <w:t xml:space="preserve"> would help inform </w:t>
      </w:r>
      <w:r w:rsidR="00827B2D">
        <w:t>any future decision to reduce the price available for certificates sold through the voluntary clearing house e</w:t>
      </w:r>
      <w:r w:rsidR="00E023BD">
        <w:t>stablished under the SRES rules</w:t>
      </w:r>
      <w:r w:rsidR="004521A2">
        <w:t>,</w:t>
      </w:r>
      <w:r w:rsidR="00E023BD">
        <w:t xml:space="preserve"> and is also</w:t>
      </w:r>
      <w:r w:rsidR="00C52ED8">
        <w:t xml:space="preserve"> a</w:t>
      </w:r>
      <w:r w:rsidR="00E023BD">
        <w:t xml:space="preserve"> useful </w:t>
      </w:r>
      <w:r w:rsidR="00C52ED8">
        <w:t>indicator of</w:t>
      </w:r>
      <w:r w:rsidR="00E023BD">
        <w:t xml:space="preserve"> the performance of the SRES. </w:t>
      </w:r>
      <w:r w:rsidR="00827B2D">
        <w:t xml:space="preserve"> </w:t>
      </w:r>
    </w:p>
    <w:p w:rsidR="009B0BC3" w:rsidRPr="0035214B" w:rsidRDefault="0035214B" w:rsidP="00752B08">
      <w:pPr>
        <w:numPr>
          <w:ilvl w:val="0"/>
          <w:numId w:val="32"/>
        </w:numPr>
        <w:tabs>
          <w:tab w:val="left" w:pos="709"/>
        </w:tabs>
      </w:pPr>
      <w:r>
        <w:t xml:space="preserve">The RET scheme rules also required persons who create </w:t>
      </w:r>
      <w:r w:rsidR="00C52ED8">
        <w:t xml:space="preserve">more than 250 </w:t>
      </w:r>
      <w:r>
        <w:t xml:space="preserve">certificates </w:t>
      </w:r>
      <w:r w:rsidR="00C52ED8">
        <w:t xml:space="preserve">annually </w:t>
      </w:r>
      <w:r>
        <w:t xml:space="preserve">under the </w:t>
      </w:r>
      <w:r w:rsidR="002E0396">
        <w:t>SRES</w:t>
      </w:r>
      <w:r>
        <w:t xml:space="preserve"> to </w:t>
      </w:r>
      <w:r w:rsidR="00C52ED8">
        <w:t xml:space="preserve">submit annual generation returns to the CER </w:t>
      </w:r>
      <w:r w:rsidR="00951944">
        <w:t xml:space="preserve">which must include </w:t>
      </w:r>
      <w:r>
        <w:t xml:space="preserve">certain information </w:t>
      </w:r>
      <w:r w:rsidR="00C52ED8">
        <w:t>on the solar water heaters and small generation units for which certificates were created.</w:t>
      </w:r>
    </w:p>
    <w:p w:rsidR="00945F68" w:rsidRDefault="00945F68" w:rsidP="00163D34">
      <w:pPr>
        <w:spacing w:after="120"/>
      </w:pPr>
      <w:r>
        <w:t>In undertaking the 2012 statutory review of the RET scheme, the CCA had regard to four broad objectives, two of which: management of overall costs to electricity users and suppliers; and streamlining administration and compliance costs, underpin the three recommendations being implemented through the</w:t>
      </w:r>
      <w:r w:rsidR="002049FC">
        <w:t xml:space="preserve"> Regulation</w:t>
      </w:r>
      <w:r w:rsidR="00A23956">
        <w:t>.</w:t>
      </w:r>
    </w:p>
    <w:p w:rsidR="00881F28" w:rsidRDefault="00B974CF" w:rsidP="00163D34">
      <w:pPr>
        <w:spacing w:after="120"/>
      </w:pPr>
      <w:r>
        <w:t xml:space="preserve">The CCA </w:t>
      </w:r>
      <w:r w:rsidR="00953FFB">
        <w:t>considered</w:t>
      </w:r>
      <w:r>
        <w:t xml:space="preserve"> a mechanism for containing the costs of the uncapped SRE</w:t>
      </w:r>
      <w:r w:rsidR="00F71713">
        <w:t>S</w:t>
      </w:r>
      <w:r w:rsidR="00A23956">
        <w:t xml:space="preserve"> should</w:t>
      </w:r>
      <w:r w:rsidR="00F71713">
        <w:t xml:space="preserve"> be </w:t>
      </w:r>
      <w:r w:rsidR="00A23956">
        <w:t>implemented</w:t>
      </w:r>
      <w:r w:rsidR="00F71713">
        <w:t xml:space="preserve"> to ensure the costs</w:t>
      </w:r>
      <w:r>
        <w:t xml:space="preserve"> remain appropriate and </w:t>
      </w:r>
      <w:r w:rsidR="00A23956">
        <w:t xml:space="preserve">to </w:t>
      </w:r>
      <w:r>
        <w:t xml:space="preserve">provide </w:t>
      </w:r>
      <w:r w:rsidR="00A23956">
        <w:t>increased certainty</w:t>
      </w:r>
      <w:r>
        <w:t xml:space="preserve"> to business,</w:t>
      </w:r>
      <w:r w:rsidR="0085768B">
        <w:t xml:space="preserve"> recommending progressively reducing deeming periods </w:t>
      </w:r>
      <w:r>
        <w:t>to phase out the SRES</w:t>
      </w:r>
      <w:r w:rsidR="00F71713">
        <w:t xml:space="preserve"> by 2030</w:t>
      </w:r>
      <w:r>
        <w:t>.</w:t>
      </w:r>
      <w:r w:rsidR="003A42DA">
        <w:t xml:space="preserve">  </w:t>
      </w:r>
    </w:p>
    <w:p w:rsidR="007557B8" w:rsidRDefault="007557B8" w:rsidP="00163D34">
      <w:pPr>
        <w:spacing w:after="120"/>
      </w:pPr>
      <w:r>
        <w:t xml:space="preserve">The </w:t>
      </w:r>
      <w:r w:rsidR="00B66781">
        <w:t xml:space="preserve">Australian </w:t>
      </w:r>
      <w:r>
        <w:t>Government agreed to t</w:t>
      </w:r>
      <w:r w:rsidRPr="00163D34">
        <w:t>his recommendation</w:t>
      </w:r>
      <w:r w:rsidR="00A23956">
        <w:t>.</w:t>
      </w:r>
      <w:r w:rsidR="0094071A">
        <w:t xml:space="preserve"> T</w:t>
      </w:r>
      <w:r w:rsidR="00F71713" w:rsidRPr="00163D34">
        <w:t xml:space="preserve">he </w:t>
      </w:r>
      <w:r w:rsidRPr="00163D34">
        <w:t>steady phase-out path from 2017 signals the expectation that less support will be needed in the future as technology costs decline and carbon prices rise, and also allows time for the industry to plan and prepare.</w:t>
      </w:r>
      <w:r w:rsidRPr="007557B8">
        <w:t xml:space="preserve"> </w:t>
      </w:r>
    </w:p>
    <w:p w:rsidR="00945F68" w:rsidRDefault="00E44DAC" w:rsidP="00163D34">
      <w:pPr>
        <w:spacing w:after="120"/>
      </w:pPr>
      <w:r>
        <w:t>Under this R</w:t>
      </w:r>
      <w:r w:rsidR="00F71713">
        <w:t>egulation,</w:t>
      </w:r>
      <w:r w:rsidR="007557B8">
        <w:t xml:space="preserve"> deeming </w:t>
      </w:r>
      <w:r w:rsidR="00F71713">
        <w:t xml:space="preserve">is </w:t>
      </w:r>
      <w:r w:rsidR="007A0363">
        <w:t>reduced</w:t>
      </w:r>
      <w:r w:rsidR="007557B8">
        <w:t xml:space="preserve"> progressively starting in 2017</w:t>
      </w:r>
      <w:r w:rsidR="00A23956">
        <w:t>,</w:t>
      </w:r>
      <w:r w:rsidR="007557B8">
        <w:t xml:space="preserve"> with reduction of the </w:t>
      </w:r>
      <w:r w:rsidR="00B66781">
        <w:t>fifteen</w:t>
      </w:r>
      <w:r w:rsidR="007557B8">
        <w:t>-year deeming</w:t>
      </w:r>
      <w:r w:rsidR="007A0363">
        <w:t xml:space="preserve"> period for solar PV</w:t>
      </w:r>
      <w:r w:rsidR="00C03D5C">
        <w:t xml:space="preserve"> by one year and then reducing by one year each year</w:t>
      </w:r>
      <w:r w:rsidR="0094071A">
        <w:t>, so that by 2030</w:t>
      </w:r>
      <w:r w:rsidR="007557B8">
        <w:t xml:space="preserve"> all deemin</w:t>
      </w:r>
      <w:r w:rsidR="00F71713">
        <w:t xml:space="preserve">g periods will have reduced to one </w:t>
      </w:r>
      <w:r w:rsidR="007557B8">
        <w:t>year.</w:t>
      </w:r>
    </w:p>
    <w:p w:rsidR="007D5F4E" w:rsidRDefault="00603669" w:rsidP="00163D34">
      <w:pPr>
        <w:spacing w:after="120"/>
      </w:pPr>
      <w:r>
        <w:t xml:space="preserve">The CCA identified that compliance and </w:t>
      </w:r>
      <w:r w:rsidR="001A6B9C">
        <w:t>admi</w:t>
      </w:r>
      <w:r>
        <w:t xml:space="preserve">nistration costs </w:t>
      </w:r>
      <w:r w:rsidR="007A0363">
        <w:t>of</w:t>
      </w:r>
      <w:r>
        <w:t xml:space="preserve"> data collected by the CER </w:t>
      </w:r>
      <w:r w:rsidR="007D5F4E">
        <w:t xml:space="preserve">could be effectively </w:t>
      </w:r>
      <w:r w:rsidR="00FC79F3">
        <w:t>reduced</w:t>
      </w:r>
      <w:r w:rsidR="007D5F4E">
        <w:t xml:space="preserve"> by removing the existing requirement</w:t>
      </w:r>
      <w:r w:rsidR="009A445B">
        <w:t>s</w:t>
      </w:r>
      <w:r w:rsidR="007D5F4E">
        <w:t xml:space="preserve"> for data on </w:t>
      </w:r>
      <w:r>
        <w:t>out-of-pocket expenses for small</w:t>
      </w:r>
      <w:r w:rsidR="007A0363">
        <w:t xml:space="preserve"> </w:t>
      </w:r>
      <w:r w:rsidR="00BF424E">
        <w:t>generation units</w:t>
      </w:r>
      <w:r w:rsidR="007D5F4E">
        <w:t xml:space="preserve"> to be collected</w:t>
      </w:r>
      <w:r>
        <w:t xml:space="preserve"> and </w:t>
      </w:r>
      <w:r w:rsidR="00A83B5B">
        <w:t xml:space="preserve">the requirement </w:t>
      </w:r>
      <w:r w:rsidR="007D5F4E">
        <w:t xml:space="preserve">for </w:t>
      </w:r>
      <w:r>
        <w:t>annual generation returns</w:t>
      </w:r>
      <w:r w:rsidR="00E820DA">
        <w:t xml:space="preserve"> to be provided</w:t>
      </w:r>
      <w:r>
        <w:t xml:space="preserve"> by entities creating certificates for</w:t>
      </w:r>
      <w:r w:rsidR="00BF424E">
        <w:t xml:space="preserve"> eligible</w:t>
      </w:r>
      <w:r>
        <w:t xml:space="preserve"> small-scale systems.</w:t>
      </w:r>
    </w:p>
    <w:p w:rsidR="004B6B82" w:rsidRPr="00163D34" w:rsidRDefault="007D5F4E" w:rsidP="00163D34">
      <w:pPr>
        <w:spacing w:after="120"/>
      </w:pPr>
      <w:r>
        <w:t>The Government agreed</w:t>
      </w:r>
      <w:r w:rsidRPr="00163D34">
        <w:t xml:space="preserve"> with these recommendations. </w:t>
      </w:r>
    </w:p>
    <w:p w:rsidR="00050BA7" w:rsidRDefault="00050BA7" w:rsidP="00163D34">
      <w:pPr>
        <w:spacing w:after="120"/>
      </w:pPr>
    </w:p>
    <w:p w:rsidR="007D5F4E" w:rsidRPr="00163D34" w:rsidRDefault="007D5F4E" w:rsidP="00163D34">
      <w:pPr>
        <w:spacing w:after="120"/>
      </w:pPr>
      <w:r w:rsidRPr="00163D34">
        <w:lastRenderedPageBreak/>
        <w:t>Regarding collection of out of pocket costs, it was noted that while this data assists policy</w:t>
      </w:r>
      <w:r w:rsidR="004B4224">
        <w:noBreakHyphen/>
      </w:r>
      <w:r w:rsidRPr="00163D34">
        <w:t>makers in identifying trends in system prices compared to the financial incentive provided by the RET, it may be more efficient to collect similar statistical information through a targeted sampling survey rather than requiring it from every small-scale generation unit certificate creator.</w:t>
      </w:r>
    </w:p>
    <w:p w:rsidR="0025570C" w:rsidRDefault="007D5F4E" w:rsidP="00752B08">
      <w:pPr>
        <w:spacing w:after="120"/>
      </w:pPr>
      <w:r>
        <w:t>In respect of</w:t>
      </w:r>
      <w:r w:rsidR="0070047B">
        <w:t xml:space="preserve"> annual</w:t>
      </w:r>
      <w:r w:rsidR="0035214B">
        <w:t xml:space="preserve"> solar water heater and small generation unit returns</w:t>
      </w:r>
      <w:r>
        <w:t>,</w:t>
      </w:r>
      <w:r w:rsidR="0035214B">
        <w:t xml:space="preserve"> </w:t>
      </w:r>
      <w:r w:rsidR="009A445B">
        <w:t xml:space="preserve">the </w:t>
      </w:r>
      <w:r w:rsidR="00410AD2">
        <w:t xml:space="preserve">Australian </w:t>
      </w:r>
      <w:r w:rsidR="009A445B">
        <w:t>Government noted that m</w:t>
      </w:r>
      <w:r w:rsidR="009A445B" w:rsidRPr="00163D34">
        <w:t>ost of the information provided in these returns is available through the Renewable Energy Certificate Registry, rendering the requirements unnecessary.</w:t>
      </w:r>
      <w:r w:rsidR="00050BA7">
        <w:t xml:space="preserve"> </w:t>
      </w:r>
      <w:r w:rsidR="004E58A4">
        <w:t>To reduce the reporting burden, the Regulation removes the requirement for specified information to be provided in</w:t>
      </w:r>
      <w:r w:rsidR="004E58A4" w:rsidRPr="004E58A4">
        <w:t xml:space="preserve"> annual solar water heater and small generation unit returns</w:t>
      </w:r>
      <w:r w:rsidR="004E58A4">
        <w:t xml:space="preserve">. </w:t>
      </w:r>
    </w:p>
    <w:p w:rsidR="0025570C" w:rsidRDefault="0025570C" w:rsidP="00752B08">
      <w:pPr>
        <w:spacing w:after="120"/>
        <w:rPr>
          <w:i/>
        </w:rPr>
      </w:pPr>
      <w:r>
        <w:rPr>
          <w:i/>
        </w:rPr>
        <w:t>Inclusion of an additional activity eligible for partial exemptions</w:t>
      </w:r>
    </w:p>
    <w:p w:rsidR="00F32DD9" w:rsidRDefault="00F32DD9" w:rsidP="00F32DD9">
      <w:pPr>
        <w:spacing w:after="120"/>
      </w:pPr>
      <w:r w:rsidRPr="002E420F">
        <w:t xml:space="preserve">Schedule </w:t>
      </w:r>
      <w:r w:rsidR="002E420F" w:rsidRPr="002E420F">
        <w:t>1</w:t>
      </w:r>
      <w:r w:rsidRPr="002E420F">
        <w:t xml:space="preserve"> of the Regulation amends the </w:t>
      </w:r>
      <w:r w:rsidRPr="002E420F">
        <w:rPr>
          <w:i/>
        </w:rPr>
        <w:t>Renewable Energy (Electricity) Regulations 2001</w:t>
      </w:r>
      <w:r w:rsidRPr="002E420F">
        <w:t xml:space="preserve"> to:</w:t>
      </w:r>
    </w:p>
    <w:p w:rsidR="00F32DD9" w:rsidRDefault="00F32DD9" w:rsidP="00F32DD9">
      <w:pPr>
        <w:numPr>
          <w:ilvl w:val="0"/>
          <w:numId w:val="32"/>
        </w:numPr>
        <w:tabs>
          <w:tab w:val="left" w:pos="709"/>
        </w:tabs>
      </w:pPr>
      <w:r>
        <w:t>prescribe the production of dried distillers grains with solubles as an ad</w:t>
      </w:r>
      <w:r w:rsidR="00B66781">
        <w:t>ditional eligible EITE activity</w:t>
      </w:r>
      <w:r>
        <w:t xml:space="preserve"> by providing the details and specifications of the activity, including the rate of assistance that applies to the activity and the relevant product produced in undertaking the activity which forms the basis of the issue of free carbon units;</w:t>
      </w:r>
    </w:p>
    <w:p w:rsidR="00F32DD9" w:rsidRDefault="00F32DD9" w:rsidP="00F32DD9">
      <w:pPr>
        <w:numPr>
          <w:ilvl w:val="0"/>
          <w:numId w:val="32"/>
        </w:numPr>
        <w:tabs>
          <w:tab w:val="left" w:pos="709"/>
        </w:tabs>
      </w:pPr>
      <w:r>
        <w:t xml:space="preserve">outline the </w:t>
      </w:r>
      <w:r w:rsidR="00F56849">
        <w:t xml:space="preserve">electricity </w:t>
      </w:r>
      <w:r>
        <w:t>baseline for the new eligible EITE activity; and</w:t>
      </w:r>
    </w:p>
    <w:p w:rsidR="00F32DD9" w:rsidRDefault="00F32DD9" w:rsidP="00F32DD9">
      <w:pPr>
        <w:numPr>
          <w:ilvl w:val="0"/>
          <w:numId w:val="32"/>
        </w:numPr>
        <w:tabs>
          <w:tab w:val="left" w:pos="709"/>
        </w:tabs>
      </w:pPr>
      <w:r w:rsidRPr="005512F7">
        <w:t xml:space="preserve">provide for an extension to the deadline for </w:t>
      </w:r>
      <w:r w:rsidR="008A598A">
        <w:t xml:space="preserve">2013 </w:t>
      </w:r>
      <w:r w:rsidRPr="005512F7">
        <w:t xml:space="preserve">applications for assistance for the </w:t>
      </w:r>
      <w:r>
        <w:t xml:space="preserve">dried distillers grains with solubles </w:t>
      </w:r>
      <w:r w:rsidRPr="005512F7">
        <w:t xml:space="preserve">activity to </w:t>
      </w:r>
      <w:r w:rsidR="001941E8">
        <w:t>3</w:t>
      </w:r>
      <w:r>
        <w:t xml:space="preserve">1 </w:t>
      </w:r>
      <w:r w:rsidR="001941E8">
        <w:t>August</w:t>
      </w:r>
      <w:r w:rsidRPr="005512F7">
        <w:t xml:space="preserve"> 201</w:t>
      </w:r>
      <w:r>
        <w:t>3.</w:t>
      </w:r>
    </w:p>
    <w:p w:rsidR="00100510" w:rsidRPr="00100510" w:rsidRDefault="00100510" w:rsidP="00100510">
      <w:pPr>
        <w:spacing w:after="120"/>
        <w:rPr>
          <w:i/>
        </w:rPr>
      </w:pPr>
      <w:r w:rsidRPr="00100510">
        <w:rPr>
          <w:i/>
        </w:rPr>
        <w:t>Amendments to the Partial Exemption Certificate application process</w:t>
      </w:r>
    </w:p>
    <w:p w:rsidR="00100510" w:rsidRDefault="00100510" w:rsidP="00100510">
      <w:pPr>
        <w:tabs>
          <w:tab w:val="left" w:pos="851"/>
        </w:tabs>
        <w:spacing w:before="120" w:after="200"/>
      </w:pPr>
      <w:r w:rsidRPr="00A276AE">
        <w:t xml:space="preserve">Under the </w:t>
      </w:r>
      <w:r>
        <w:t xml:space="preserve">RET </w:t>
      </w:r>
      <w:r w:rsidRPr="00A276AE">
        <w:t>Act, liable entities are required to contribute to the RET in proportion to their share of the national wholesale electricity</w:t>
      </w:r>
      <w:r>
        <w:t xml:space="preserve"> market until the end of 2030.</w:t>
      </w:r>
      <w:r w:rsidRPr="00A276AE">
        <w:t xml:space="preserve"> </w:t>
      </w:r>
      <w:r>
        <w:t xml:space="preserve">The </w:t>
      </w:r>
      <w:r w:rsidR="00410AD2">
        <w:t xml:space="preserve">RET </w:t>
      </w:r>
      <w:r>
        <w:t xml:space="preserve">Act provides for partial relief from RET liabilities for liable entities in the form of PECs for electricity used in activities that are defined to be an EITE </w:t>
      </w:r>
      <w:r w:rsidR="00025CB5">
        <w:t>activity</w:t>
      </w:r>
      <w:r>
        <w:t>, such as aluminium smelting and the integrated production of lead and zinc.</w:t>
      </w:r>
    </w:p>
    <w:p w:rsidR="00025CB5" w:rsidRDefault="00025CB5" w:rsidP="00025CB5">
      <w:r>
        <w:t xml:space="preserve">This regulation makes minor technical amendments to address an inflexibility in the PEC application process and anomalies in the calculation of the amounts of partial exemptions from RET liability for EITE activities under certain circumstances. </w:t>
      </w:r>
    </w:p>
    <w:p w:rsidR="00100510" w:rsidRDefault="00F5185F" w:rsidP="00025CB5">
      <w:r>
        <w:t>This regulation allows</w:t>
      </w:r>
      <w:r w:rsidR="00025CB5">
        <w:t xml:space="preserve"> </w:t>
      </w:r>
      <w:r w:rsidR="00100510">
        <w:t xml:space="preserve">an EITE entity to apply for a second PEC in a situation where a second liable entity started supplying electricity during the year, but at the start of a compliance year was not a liable entity in relation to electricity consumed at the site. </w:t>
      </w:r>
    </w:p>
    <w:p w:rsidR="00100510" w:rsidRDefault="00100510" w:rsidP="00100510">
      <w:pPr>
        <w:rPr>
          <w:rFonts w:ascii="Calibri" w:hAnsi="Calibri" w:cs="Calibri"/>
          <w:sz w:val="22"/>
          <w:szCs w:val="22"/>
        </w:rPr>
      </w:pPr>
      <w:r>
        <w:t>Th</w:t>
      </w:r>
      <w:r w:rsidR="00025CB5">
        <w:t>is</w:t>
      </w:r>
      <w:r>
        <w:t xml:space="preserve"> regulation also allow</w:t>
      </w:r>
      <w:r w:rsidR="00025CB5">
        <w:t>s</w:t>
      </w:r>
      <w:r>
        <w:t xml:space="preserve"> for a situation where a new applicant applying for a PEC can calculate their level of partial exemption according to the regulations.</w:t>
      </w:r>
    </w:p>
    <w:p w:rsidR="00025CB5" w:rsidRDefault="00025CB5" w:rsidP="00025CB5">
      <w:pPr>
        <w:spacing w:before="120" w:after="120"/>
        <w:rPr>
          <w:b/>
        </w:rPr>
      </w:pPr>
    </w:p>
    <w:p w:rsidR="0097745F" w:rsidRDefault="0097745F" w:rsidP="00752B08">
      <w:pPr>
        <w:spacing w:after="120"/>
      </w:pPr>
      <w:r w:rsidRPr="00752B08">
        <w:br w:type="page"/>
      </w:r>
    </w:p>
    <w:p w:rsidR="00100510" w:rsidRDefault="00100510" w:rsidP="00752B08">
      <w:pPr>
        <w:spacing w:after="120"/>
      </w:pPr>
    </w:p>
    <w:p w:rsidR="008C6730" w:rsidRPr="00F845E4" w:rsidRDefault="00F845E4" w:rsidP="00B328E5">
      <w:pPr>
        <w:pStyle w:val="Style1"/>
        <w:spacing w:before="120"/>
        <w:ind w:right="-143"/>
        <w:jc w:val="right"/>
        <w:rPr>
          <w:u w:val="single"/>
        </w:rPr>
      </w:pPr>
      <w:r w:rsidRPr="00F845E4">
        <w:rPr>
          <w:u w:val="single"/>
        </w:rPr>
        <w:t xml:space="preserve">ATTACHMENT </w:t>
      </w:r>
      <w:r w:rsidR="00D42227">
        <w:rPr>
          <w:u w:val="single"/>
        </w:rPr>
        <w:t>B</w:t>
      </w:r>
    </w:p>
    <w:p w:rsidR="00F845E4" w:rsidRPr="005D1B49" w:rsidRDefault="00F845E4" w:rsidP="00F845E4">
      <w:pPr>
        <w:widowControl/>
        <w:autoSpaceDE/>
        <w:autoSpaceDN/>
        <w:adjustRightInd/>
        <w:spacing w:before="100" w:beforeAutospacing="1" w:after="0"/>
        <w:rPr>
          <w:b/>
          <w:bCs/>
          <w:i/>
          <w:iCs/>
          <w:u w:val="single"/>
        </w:rPr>
      </w:pPr>
      <w:r w:rsidRPr="00F845E4">
        <w:rPr>
          <w:b/>
          <w:bCs/>
          <w:u w:val="single"/>
        </w:rPr>
        <w:t xml:space="preserve">Details of </w:t>
      </w:r>
      <w:r w:rsidRPr="00071E08">
        <w:rPr>
          <w:b/>
          <w:bCs/>
          <w:u w:val="single"/>
        </w:rPr>
        <w:t xml:space="preserve">the </w:t>
      </w:r>
      <w:r w:rsidR="005D1B49" w:rsidRPr="005D1B49">
        <w:rPr>
          <w:b/>
          <w:i/>
          <w:iCs/>
          <w:u w:val="single"/>
        </w:rPr>
        <w:t>Clean and Renewable Energy Legislation Amendment (Various Measures) Regulation 2013</w:t>
      </w:r>
    </w:p>
    <w:p w:rsidR="00F845E4" w:rsidRPr="00F845E4" w:rsidRDefault="00F845E4" w:rsidP="00F845E4">
      <w:pPr>
        <w:widowControl/>
        <w:autoSpaceDE/>
        <w:autoSpaceDN/>
        <w:adjustRightInd/>
        <w:spacing w:before="100" w:beforeAutospacing="1" w:after="100" w:afterAutospacing="1"/>
      </w:pPr>
      <w:r w:rsidRPr="00F845E4">
        <w:rPr>
          <w:b/>
          <w:bCs/>
        </w:rPr>
        <w:t xml:space="preserve">Section 1 </w:t>
      </w:r>
      <w:r w:rsidR="00050BA7">
        <w:rPr>
          <w:b/>
          <w:bCs/>
        </w:rPr>
        <w:t>–</w:t>
      </w:r>
      <w:r w:rsidRPr="00F845E4">
        <w:rPr>
          <w:b/>
          <w:bCs/>
        </w:rPr>
        <w:t xml:space="preserve"> Name of Regulation</w:t>
      </w:r>
    </w:p>
    <w:p w:rsidR="00F845E4" w:rsidRPr="00F845E4" w:rsidRDefault="00F845E4" w:rsidP="00F845E4">
      <w:pPr>
        <w:widowControl/>
        <w:autoSpaceDE/>
        <w:autoSpaceDN/>
        <w:adjustRightInd/>
        <w:spacing w:before="100" w:beforeAutospacing="1" w:after="100" w:afterAutospacing="1"/>
      </w:pPr>
      <w:r w:rsidRPr="00F845E4">
        <w:t xml:space="preserve">This section provides that the title of the Regulation is the </w:t>
      </w:r>
      <w:r w:rsidR="001D4D37" w:rsidRPr="001D4D37">
        <w:rPr>
          <w:i/>
          <w:iCs/>
        </w:rPr>
        <w:t>Clean and Renewable Energy Legislation Amendment (Various Measures) Regulation 2013</w:t>
      </w:r>
      <w:r w:rsidRPr="001D4D37">
        <w:t>.</w:t>
      </w:r>
    </w:p>
    <w:p w:rsidR="00D91B3F" w:rsidRPr="00D91B3F" w:rsidRDefault="00D91B3F" w:rsidP="00D91B3F">
      <w:pPr>
        <w:widowControl/>
        <w:autoSpaceDE/>
        <w:autoSpaceDN/>
        <w:adjustRightInd/>
        <w:spacing w:before="100" w:beforeAutospacing="1" w:after="100" w:afterAutospacing="1"/>
      </w:pPr>
      <w:r w:rsidRPr="00D91B3F">
        <w:rPr>
          <w:b/>
          <w:bCs/>
        </w:rPr>
        <w:t xml:space="preserve">Section 2 </w:t>
      </w:r>
      <w:r w:rsidR="00050BA7">
        <w:rPr>
          <w:b/>
          <w:bCs/>
        </w:rPr>
        <w:t>–</w:t>
      </w:r>
      <w:r w:rsidRPr="00D91B3F">
        <w:rPr>
          <w:b/>
          <w:bCs/>
        </w:rPr>
        <w:t xml:space="preserve"> Commencement</w:t>
      </w:r>
    </w:p>
    <w:p w:rsidR="00D91B3F" w:rsidRPr="00D91B3F" w:rsidRDefault="00D91B3F" w:rsidP="00D91B3F">
      <w:pPr>
        <w:widowControl/>
        <w:autoSpaceDE/>
        <w:autoSpaceDN/>
        <w:adjustRightInd/>
        <w:spacing w:before="100" w:beforeAutospacing="1" w:after="100" w:afterAutospacing="1"/>
      </w:pPr>
      <w:r w:rsidRPr="00D91B3F">
        <w:t>This sect</w:t>
      </w:r>
      <w:r w:rsidR="009D156B">
        <w:t>ion provides for sections 1 to 4</w:t>
      </w:r>
      <w:r w:rsidRPr="00D91B3F">
        <w:t xml:space="preserve"> and Schedule 1 to the Regulation to commence </w:t>
      </w:r>
      <w:r w:rsidR="009712EC">
        <w:t>on</w:t>
      </w:r>
      <w:r w:rsidR="009712EC" w:rsidRPr="00AE184C">
        <w:t xml:space="preserve"> the day after registration on the Federal Register of Legislative Instruments</w:t>
      </w:r>
      <w:r w:rsidRPr="00D91B3F">
        <w:t xml:space="preserve">; and for Schedule 2 to commence </w:t>
      </w:r>
      <w:r w:rsidR="00AB04AC" w:rsidRPr="006D7897">
        <w:t>on 29 July 2013.</w:t>
      </w:r>
    </w:p>
    <w:p w:rsidR="009A0AED" w:rsidRPr="00D91B3F" w:rsidRDefault="00402F59" w:rsidP="009A0AED">
      <w:pPr>
        <w:widowControl/>
        <w:autoSpaceDE/>
        <w:autoSpaceDN/>
        <w:adjustRightInd/>
        <w:spacing w:before="100" w:beforeAutospacing="1" w:after="100" w:afterAutospacing="1"/>
      </w:pPr>
      <w:r>
        <w:rPr>
          <w:b/>
          <w:bCs/>
        </w:rPr>
        <w:t>Section 3</w:t>
      </w:r>
      <w:r w:rsidR="009A0AED">
        <w:rPr>
          <w:b/>
          <w:bCs/>
        </w:rPr>
        <w:t xml:space="preserve"> – </w:t>
      </w:r>
      <w:r>
        <w:rPr>
          <w:b/>
          <w:bCs/>
        </w:rPr>
        <w:t>Authority</w:t>
      </w:r>
      <w:r w:rsidR="009A0AED">
        <w:rPr>
          <w:b/>
          <w:bCs/>
        </w:rPr>
        <w:t xml:space="preserve"> </w:t>
      </w:r>
    </w:p>
    <w:p w:rsidR="00402F59" w:rsidRPr="00402F59" w:rsidRDefault="00402F59" w:rsidP="00402F59">
      <w:pPr>
        <w:widowControl/>
        <w:autoSpaceDE/>
        <w:autoSpaceDN/>
        <w:adjustRightInd/>
        <w:spacing w:before="100" w:beforeAutospacing="1" w:after="100" w:afterAutospacing="1"/>
      </w:pPr>
      <w:r w:rsidRPr="00402F59">
        <w:t xml:space="preserve">This section </w:t>
      </w:r>
      <w:r w:rsidR="00F04D13">
        <w:t xml:space="preserve">sets out that the Regulation is made under the authority of the </w:t>
      </w:r>
      <w:r w:rsidR="00F04D13" w:rsidRPr="00F04D13">
        <w:rPr>
          <w:i/>
        </w:rPr>
        <w:t>Renewable Energy (Electricity) Act 2000</w:t>
      </w:r>
      <w:r w:rsidR="00F04D13" w:rsidRPr="00F04D13">
        <w:t xml:space="preserve"> (the </w:t>
      </w:r>
      <w:r w:rsidR="004460A3">
        <w:t xml:space="preserve">RET </w:t>
      </w:r>
      <w:r w:rsidR="00F04D13" w:rsidRPr="00F04D13">
        <w:t>Act)</w:t>
      </w:r>
      <w:r w:rsidR="00994B57">
        <w:t xml:space="preserve"> and the </w:t>
      </w:r>
      <w:r w:rsidR="00994B57" w:rsidRPr="00AE184C">
        <w:rPr>
          <w:i/>
        </w:rPr>
        <w:t>Clean Energy Act 2011</w:t>
      </w:r>
      <w:r w:rsidR="00994B57" w:rsidRPr="00AE184C">
        <w:t xml:space="preserve"> (CE Act).</w:t>
      </w:r>
    </w:p>
    <w:p w:rsidR="00402F59" w:rsidRPr="00D91B3F" w:rsidRDefault="00402F59" w:rsidP="00C6431F">
      <w:pPr>
        <w:widowControl/>
        <w:autoSpaceDE/>
        <w:autoSpaceDN/>
        <w:adjustRightInd/>
        <w:spacing w:before="100" w:beforeAutospacing="1" w:after="100" w:afterAutospacing="1"/>
      </w:pPr>
      <w:r>
        <w:rPr>
          <w:b/>
          <w:bCs/>
        </w:rPr>
        <w:t xml:space="preserve">Section 4 </w:t>
      </w:r>
      <w:r w:rsidR="009D156B">
        <w:rPr>
          <w:b/>
          <w:bCs/>
        </w:rPr>
        <w:t>– Schedules</w:t>
      </w:r>
      <w:r>
        <w:rPr>
          <w:b/>
          <w:bCs/>
        </w:rPr>
        <w:t xml:space="preserve"> </w:t>
      </w:r>
    </w:p>
    <w:p w:rsidR="009D156B" w:rsidRDefault="00EC6F05" w:rsidP="00F845E4">
      <w:pPr>
        <w:widowControl/>
        <w:autoSpaceDE/>
        <w:autoSpaceDN/>
        <w:adjustRightInd/>
        <w:spacing w:before="100" w:beforeAutospacing="1" w:after="0"/>
        <w:rPr>
          <w:b/>
          <w:bCs/>
        </w:rPr>
      </w:pPr>
      <w:r>
        <w:t>This section p</w:t>
      </w:r>
      <w:r w:rsidR="00F04D13" w:rsidRPr="00402F59">
        <w:t xml:space="preserve">rovides </w:t>
      </w:r>
      <w:r>
        <w:t>that each instrume</w:t>
      </w:r>
      <w:r w:rsidR="008916A9">
        <w:t>nt specified in Schedules 1 and 2</w:t>
      </w:r>
      <w:r w:rsidR="00F04D13" w:rsidRPr="00402F59">
        <w:t xml:space="preserve"> to the Regulation </w:t>
      </w:r>
      <w:r>
        <w:t>is amended or repealed as set out in the Schedule concerned, and that an</w:t>
      </w:r>
      <w:r w:rsidR="008916A9">
        <w:t>y other item in Schedules 1 and 2</w:t>
      </w:r>
      <w:r>
        <w:t xml:space="preserve"> has effect according to its terms.</w:t>
      </w:r>
    </w:p>
    <w:p w:rsidR="00F845E4" w:rsidRDefault="00402F59" w:rsidP="00F845E4">
      <w:pPr>
        <w:widowControl/>
        <w:autoSpaceDE/>
        <w:autoSpaceDN/>
        <w:adjustRightInd/>
        <w:spacing w:before="100" w:beforeAutospacing="1" w:after="0"/>
        <w:rPr>
          <w:b/>
          <w:bCs/>
        </w:rPr>
      </w:pPr>
      <w:r>
        <w:rPr>
          <w:b/>
          <w:bCs/>
        </w:rPr>
        <w:t xml:space="preserve">Schedule 1 </w:t>
      </w:r>
      <w:r w:rsidR="00050BA7">
        <w:rPr>
          <w:b/>
          <w:bCs/>
        </w:rPr>
        <w:t>–</w:t>
      </w:r>
      <w:r>
        <w:rPr>
          <w:b/>
          <w:bCs/>
        </w:rPr>
        <w:t xml:space="preserve"> Amendments </w:t>
      </w:r>
      <w:r w:rsidRPr="00383B39">
        <w:rPr>
          <w:b/>
          <w:bCs/>
        </w:rPr>
        <w:t xml:space="preserve">commencing </w:t>
      </w:r>
      <w:r w:rsidR="00383B39" w:rsidRPr="00383B39">
        <w:rPr>
          <w:b/>
        </w:rPr>
        <w:t>on the day after registration</w:t>
      </w:r>
    </w:p>
    <w:p w:rsidR="00781F0D" w:rsidRPr="00057B41" w:rsidRDefault="00781F0D" w:rsidP="00781F0D">
      <w:pPr>
        <w:keepLines/>
        <w:spacing w:before="100" w:beforeAutospacing="1" w:after="100" w:afterAutospacing="1"/>
        <w:ind w:right="91"/>
        <w:rPr>
          <w:b/>
          <w:highlight w:val="yellow"/>
        </w:rPr>
      </w:pPr>
      <w:r w:rsidRPr="00057B41">
        <w:rPr>
          <w:b/>
          <w:bCs/>
          <w:i/>
          <w:iCs/>
          <w:sz w:val="28"/>
          <w:szCs w:val="28"/>
        </w:rPr>
        <w:t>Clean Energy Regulations 2011</w:t>
      </w:r>
    </w:p>
    <w:p w:rsidR="00781F0D" w:rsidRPr="00057B41" w:rsidRDefault="00E1518C" w:rsidP="00781F0D">
      <w:pPr>
        <w:keepLines/>
        <w:spacing w:before="100" w:beforeAutospacing="1" w:after="100" w:afterAutospacing="1"/>
        <w:ind w:right="91"/>
        <w:rPr>
          <w:b/>
        </w:rPr>
      </w:pPr>
      <w:r>
        <w:rPr>
          <w:b/>
        </w:rPr>
        <w:t xml:space="preserve">Item </w:t>
      </w:r>
      <w:r w:rsidR="000A3C2B">
        <w:rPr>
          <w:b/>
        </w:rPr>
        <w:t xml:space="preserve">1 </w:t>
      </w:r>
      <w:r w:rsidR="00050BA7">
        <w:rPr>
          <w:b/>
        </w:rPr>
        <w:t>–</w:t>
      </w:r>
      <w:r w:rsidR="00781F0D" w:rsidRPr="00057B41">
        <w:rPr>
          <w:b/>
        </w:rPr>
        <w:t xml:space="preserve"> At the end of Part 3 of Schedule 1</w:t>
      </w:r>
    </w:p>
    <w:p w:rsidR="00781F0D" w:rsidRPr="00057B41" w:rsidRDefault="00781F0D" w:rsidP="00781F0D">
      <w:pPr>
        <w:ind w:right="91"/>
      </w:pPr>
      <w:r w:rsidRPr="00057B41">
        <w:t xml:space="preserve">This item prescribes an additional activity as an eligible emissions-intensive trade-exposed (EITE) activity for free carbon units under </w:t>
      </w:r>
      <w:r w:rsidR="00601243">
        <w:t xml:space="preserve">the </w:t>
      </w:r>
      <w:r w:rsidRPr="00057B41">
        <w:t>Jobs a</w:t>
      </w:r>
      <w:r w:rsidR="00050BA7">
        <w:t>nd Competitiveness Program (the </w:t>
      </w:r>
      <w:r w:rsidRPr="00057B41">
        <w:t>Program).</w:t>
      </w:r>
    </w:p>
    <w:p w:rsidR="00781F0D" w:rsidRPr="00057B41" w:rsidRDefault="00781F0D" w:rsidP="00781F0D">
      <w:pPr>
        <w:ind w:right="91"/>
      </w:pPr>
      <w:r w:rsidRPr="00057B41">
        <w:t>Clause 350 provides that the production of dried distillers grains with solubles is the physical and/or chemical transformation of condensed distillers solubles, with a moisture content equal to or greater than 55 per cent, and/or wet distillers grains, with a moisture content equal to or greater than 60 per cent, into saleable dried distillers grains with solubles, with a moisture content of equal to or less than 12 per cent and a protein content</w:t>
      </w:r>
      <w:r w:rsidR="00050BA7">
        <w:t xml:space="preserve"> of equal to or greater than 20 </w:t>
      </w:r>
      <w:r w:rsidRPr="00057B41">
        <w:t>per cent on a dry solids basis.</w:t>
      </w:r>
    </w:p>
    <w:p w:rsidR="00781F0D" w:rsidRPr="00057B41" w:rsidRDefault="00781F0D" w:rsidP="00781F0D">
      <w:pPr>
        <w:widowControl/>
        <w:autoSpaceDE/>
        <w:autoSpaceDN/>
        <w:adjustRightInd/>
        <w:spacing w:before="140" w:line="280" w:lineRule="atLeast"/>
        <w:rPr>
          <w:lang w:val="en-GB"/>
        </w:rPr>
      </w:pPr>
      <w:r w:rsidRPr="00057B41">
        <w:rPr>
          <w:lang w:val="en-GB"/>
        </w:rPr>
        <w:t>The production of dried distillers grains with solubles is an EITE activity eligible for assistance at the highly emissions</w:t>
      </w:r>
      <w:r w:rsidRPr="00057B41">
        <w:rPr>
          <w:lang w:val="en-GB"/>
        </w:rPr>
        <w:noBreakHyphen/>
        <w:t>intensive rate.</w:t>
      </w:r>
    </w:p>
    <w:p w:rsidR="00781F0D" w:rsidRPr="00057B41" w:rsidRDefault="00781F0D" w:rsidP="00781F0D">
      <w:pPr>
        <w:ind w:right="91"/>
      </w:pPr>
      <w:r w:rsidRPr="00057B41">
        <w:t xml:space="preserve">The activity as conducted during the period used to assess the eligibility of the activity involved the onsite decantation, mixing, drying and cooling of condensed distillers solubles and mill feed to produce </w:t>
      </w:r>
      <w:r w:rsidRPr="00057B41">
        <w:rPr>
          <w:lang w:val="en-GB"/>
        </w:rPr>
        <w:t>dried distillers grains with solubles</w:t>
      </w:r>
      <w:r w:rsidRPr="00057B41">
        <w:t>.</w:t>
      </w:r>
    </w:p>
    <w:p w:rsidR="00781F0D" w:rsidRPr="00057B41" w:rsidRDefault="00781F0D" w:rsidP="00781F0D">
      <w:pPr>
        <w:ind w:right="91"/>
      </w:pPr>
      <w:r w:rsidRPr="00057B41">
        <w:lastRenderedPageBreak/>
        <w:t xml:space="preserve">The inputs of the activity have been defined to include condensed distillers solubles, with a moisture content equal to or greater than 55 per cent, and/or wet distillers grains, with a moisture content equal to or greater than 60 per cent. The output of this activity is saleable dried distillers grains with solubles, with a moisture content </w:t>
      </w:r>
      <w:r w:rsidR="00050BA7">
        <w:t>of equal to or less than 12 per </w:t>
      </w:r>
      <w:r w:rsidRPr="00057B41">
        <w:t>cent and a protein content of equal to or greater than 20 per cent on a dry solids basis.</w:t>
      </w:r>
    </w:p>
    <w:p w:rsidR="00781F0D" w:rsidRPr="00057B41" w:rsidRDefault="00781F0D" w:rsidP="00781F0D">
      <w:pPr>
        <w:ind w:right="91"/>
      </w:pPr>
      <w:r w:rsidRPr="00057B41">
        <w:t>The activity does not include the upstream production of condensed distillers solub</w:t>
      </w:r>
      <w:r w:rsidR="00B70215">
        <w:t>l</w:t>
      </w:r>
      <w:r w:rsidRPr="00057B41">
        <w:t>es and wet distillers grains. The activity also does not include the production of high purity ethanol.</w:t>
      </w:r>
    </w:p>
    <w:p w:rsidR="00781F0D" w:rsidRPr="00057B41" w:rsidRDefault="00781F0D" w:rsidP="00781F0D">
      <w:pPr>
        <w:ind w:right="91"/>
      </w:pPr>
      <w:r w:rsidRPr="00057B41">
        <w:t>Subclause 350(4) outlines that the basis of issue of free carbon units is by a tonne of dried distillers grains with solubles. The measurement of the relevant dried distillers grains with solubles should be measured according to the accepted industry practice for dried distillers grains with solubles production.</w:t>
      </w:r>
    </w:p>
    <w:p w:rsidR="00781F0D" w:rsidRPr="00057B41" w:rsidRDefault="00781F0D" w:rsidP="00781F0D">
      <w:r w:rsidRPr="00057B41">
        <w:t>To be eligible for assistance, the dried distillers grains with solubles must have been produced by carrying on the activity (as defined by clause 350) to be elig</w:t>
      </w:r>
      <w:r w:rsidR="00050BA7">
        <w:t>ible as a relevant product. For </w:t>
      </w:r>
      <w:r w:rsidRPr="00057B41">
        <w:t>example, if imported dried distillers grains with solubles is included with the product produced from the activity, only the domestically produced dried distillers grains with solubles would be included in the tonnes of the relevant product.</w:t>
      </w:r>
    </w:p>
    <w:p w:rsidR="00781F0D" w:rsidRPr="00057B41" w:rsidRDefault="00781F0D" w:rsidP="00781F0D">
      <w:r w:rsidRPr="00057B41">
        <w:t>The dried distillers grains with solubles must be of saleable quality (as defined by regulation 202). In particular, the tonnes of dried distillers grains with solubles which are lost or discarded are not to be included in the tonnes of relevant product.</w:t>
      </w:r>
    </w:p>
    <w:p w:rsidR="00781F0D" w:rsidRPr="00057B41" w:rsidRDefault="00E1518C" w:rsidP="00781F0D">
      <w:pPr>
        <w:keepNext/>
        <w:keepLines/>
        <w:spacing w:before="100" w:beforeAutospacing="1" w:after="100" w:afterAutospacing="1"/>
        <w:ind w:right="91"/>
        <w:rPr>
          <w:b/>
          <w:bCs/>
        </w:rPr>
      </w:pPr>
      <w:r>
        <w:rPr>
          <w:b/>
          <w:bCs/>
        </w:rPr>
        <w:t xml:space="preserve">Item </w:t>
      </w:r>
      <w:r w:rsidR="00EB06C7">
        <w:rPr>
          <w:b/>
          <w:bCs/>
        </w:rPr>
        <w:t>2 -</w:t>
      </w:r>
      <w:r w:rsidR="00781F0D" w:rsidRPr="00057B41">
        <w:rPr>
          <w:b/>
          <w:bCs/>
        </w:rPr>
        <w:t xml:space="preserve"> Subclause 401(1) of Schedule 1 (after table item 1.33)</w:t>
      </w:r>
    </w:p>
    <w:p w:rsidR="00781F0D" w:rsidRPr="00057B41" w:rsidRDefault="00781F0D" w:rsidP="00781F0D">
      <w:pPr>
        <w:rPr>
          <w:lang w:val="en-GB"/>
        </w:rPr>
      </w:pPr>
      <w:r w:rsidRPr="00057B41">
        <w:rPr>
          <w:lang w:val="en-GB"/>
        </w:rPr>
        <w:t xml:space="preserve">This item inserts into the table in Part 4 of Schedule 1, allocative baselines for assistance that relate to the production of </w:t>
      </w:r>
      <w:r w:rsidRPr="00057B41">
        <w:t xml:space="preserve">dried distillers grains with solubles </w:t>
      </w:r>
      <w:r w:rsidRPr="00057B41">
        <w:rPr>
          <w:lang w:val="en-GB"/>
        </w:rPr>
        <w:t>as prescribed by item 1.34, which is categorised as a highly emissions</w:t>
      </w:r>
      <w:r w:rsidRPr="00057B41">
        <w:rPr>
          <w:lang w:val="en-GB"/>
        </w:rPr>
        <w:noBreakHyphen/>
        <w:t>intensive activity.</w:t>
      </w:r>
    </w:p>
    <w:p w:rsidR="00781F0D" w:rsidRPr="00057B41" w:rsidRDefault="00781F0D" w:rsidP="00781F0D">
      <w:pPr>
        <w:rPr>
          <w:lang w:val="en-GB"/>
        </w:rPr>
      </w:pPr>
      <w:r w:rsidRPr="00057B41">
        <w:rPr>
          <w:lang w:val="en-GB"/>
        </w:rPr>
        <w:t>The baselines are for the direct emissions and electricity use for the activity in clause 350.</w:t>
      </w:r>
    </w:p>
    <w:p w:rsidR="00781F0D" w:rsidRPr="00057B41" w:rsidRDefault="00781F0D" w:rsidP="00781F0D">
      <w:pPr>
        <w:rPr>
          <w:lang w:val="en-GB"/>
        </w:rPr>
      </w:pPr>
      <w:r w:rsidRPr="00057B41">
        <w:rPr>
          <w:lang w:val="en-GB"/>
        </w:rPr>
        <w:t xml:space="preserve">The formula for calculating the number of free permits in Part 9 of Schedule 1 to </w:t>
      </w:r>
      <w:r w:rsidRPr="00057B41">
        <w:rPr>
          <w:i/>
          <w:lang w:val="en-GB"/>
        </w:rPr>
        <w:t>Clean Energy Regulations 2011</w:t>
      </w:r>
      <w:r w:rsidRPr="00057B41">
        <w:rPr>
          <w:lang w:val="en-GB"/>
        </w:rPr>
        <w:t xml:space="preserve"> (the </w:t>
      </w:r>
      <w:r w:rsidR="004460A3">
        <w:rPr>
          <w:lang w:val="en-GB"/>
        </w:rPr>
        <w:t>CE</w:t>
      </w:r>
      <w:r w:rsidR="004460A3" w:rsidRPr="00057B41">
        <w:rPr>
          <w:lang w:val="en-GB"/>
        </w:rPr>
        <w:t xml:space="preserve"> </w:t>
      </w:r>
      <w:r w:rsidRPr="00057B41">
        <w:rPr>
          <w:lang w:val="en-GB"/>
        </w:rPr>
        <w:t>Regulations) applies the baselines as outlined in the table.</w:t>
      </w:r>
    </w:p>
    <w:p w:rsidR="00781F0D" w:rsidRPr="00057B41" w:rsidRDefault="00E1518C" w:rsidP="00781F0D">
      <w:pPr>
        <w:rPr>
          <w:b/>
        </w:rPr>
      </w:pPr>
      <w:r>
        <w:rPr>
          <w:b/>
        </w:rPr>
        <w:t xml:space="preserve">Item </w:t>
      </w:r>
      <w:r w:rsidR="00EB06C7">
        <w:rPr>
          <w:b/>
        </w:rPr>
        <w:t>3 -</w:t>
      </w:r>
      <w:r w:rsidR="00781F0D" w:rsidRPr="00057B41">
        <w:rPr>
          <w:b/>
        </w:rPr>
        <w:t xml:space="preserve"> After subclause 702(1F) of Schedule 1</w:t>
      </w:r>
    </w:p>
    <w:p w:rsidR="00781F0D" w:rsidRPr="00057B41" w:rsidRDefault="00781F0D" w:rsidP="00781F0D">
      <w:pPr>
        <w:rPr>
          <w:lang w:val="en-GB"/>
        </w:rPr>
      </w:pPr>
      <w:r w:rsidRPr="00057B41">
        <w:t xml:space="preserve">This item </w:t>
      </w:r>
      <w:r w:rsidRPr="00057B41">
        <w:rPr>
          <w:lang w:val="en-GB"/>
        </w:rPr>
        <w:t xml:space="preserve">allows for applications for free carbon units for the production of </w:t>
      </w:r>
      <w:r w:rsidRPr="00057B41">
        <w:t>dried distillers grains with solubles</w:t>
      </w:r>
      <w:r w:rsidRPr="00057B41">
        <w:rPr>
          <w:lang w:val="en-GB"/>
        </w:rPr>
        <w:t xml:space="preserve"> to be given to the Clean Energy Regulator</w:t>
      </w:r>
      <w:r w:rsidR="004B7166">
        <w:rPr>
          <w:lang w:val="en-GB"/>
        </w:rPr>
        <w:t xml:space="preserve"> (CER) </w:t>
      </w:r>
      <w:r w:rsidR="00050BA7">
        <w:rPr>
          <w:lang w:val="en-GB"/>
        </w:rPr>
        <w:t>no later than 31 August </w:t>
      </w:r>
      <w:r w:rsidRPr="00057B41">
        <w:rPr>
          <w:lang w:val="en-GB"/>
        </w:rPr>
        <w:t>2013.</w:t>
      </w:r>
    </w:p>
    <w:p w:rsidR="00781F0D" w:rsidRPr="001B2839" w:rsidRDefault="001B2839" w:rsidP="001B2839">
      <w:pPr>
        <w:keepLines/>
        <w:spacing w:before="100" w:beforeAutospacing="1" w:after="100" w:afterAutospacing="1"/>
        <w:ind w:right="91"/>
        <w:rPr>
          <w:b/>
          <w:bCs/>
          <w:i/>
          <w:iCs/>
          <w:sz w:val="28"/>
          <w:szCs w:val="28"/>
        </w:rPr>
      </w:pPr>
      <w:r w:rsidRPr="001B2839">
        <w:rPr>
          <w:b/>
          <w:bCs/>
          <w:i/>
          <w:iCs/>
          <w:sz w:val="28"/>
          <w:szCs w:val="28"/>
        </w:rPr>
        <w:t>Renewable Energy (Electricity) Regulations 2001</w:t>
      </w:r>
    </w:p>
    <w:p w:rsidR="007E11D6" w:rsidRDefault="00C6431F" w:rsidP="00F845E4">
      <w:pPr>
        <w:widowControl/>
        <w:autoSpaceDE/>
        <w:autoSpaceDN/>
        <w:adjustRightInd/>
        <w:spacing w:before="100" w:beforeAutospacing="1" w:after="0"/>
        <w:rPr>
          <w:b/>
          <w:bCs/>
        </w:rPr>
      </w:pPr>
      <w:r>
        <w:rPr>
          <w:b/>
          <w:bCs/>
        </w:rPr>
        <w:t>Item</w:t>
      </w:r>
      <w:r w:rsidR="00947EBE">
        <w:rPr>
          <w:b/>
          <w:bCs/>
        </w:rPr>
        <w:t>s</w:t>
      </w:r>
      <w:r w:rsidR="001B2839">
        <w:rPr>
          <w:b/>
          <w:bCs/>
        </w:rPr>
        <w:t xml:space="preserve"> 4, 5 and 6</w:t>
      </w:r>
      <w:r w:rsidR="007E11D6">
        <w:rPr>
          <w:b/>
          <w:bCs/>
        </w:rPr>
        <w:t xml:space="preserve"> </w:t>
      </w:r>
      <w:r w:rsidR="00E1518C">
        <w:rPr>
          <w:b/>
          <w:bCs/>
        </w:rPr>
        <w:t>– Reducing the length of deeming periods</w:t>
      </w:r>
    </w:p>
    <w:p w:rsidR="00C6431F" w:rsidRDefault="005667A5" w:rsidP="00205C2F">
      <w:pPr>
        <w:rPr>
          <w:bCs/>
        </w:rPr>
      </w:pPr>
      <w:r>
        <w:rPr>
          <w:bCs/>
        </w:rPr>
        <w:t>Items 4 to 6</w:t>
      </w:r>
      <w:r w:rsidR="007E11D6">
        <w:rPr>
          <w:bCs/>
        </w:rPr>
        <w:t xml:space="preserve"> o</w:t>
      </w:r>
      <w:r w:rsidR="00402556">
        <w:rPr>
          <w:bCs/>
        </w:rPr>
        <w:t>f</w:t>
      </w:r>
      <w:r w:rsidR="007E11D6">
        <w:rPr>
          <w:bCs/>
        </w:rPr>
        <w:t xml:space="preserve"> </w:t>
      </w:r>
      <w:r w:rsidR="00947EBE">
        <w:rPr>
          <w:bCs/>
        </w:rPr>
        <w:t>this schedule</w:t>
      </w:r>
      <w:r w:rsidR="005F0503">
        <w:rPr>
          <w:bCs/>
        </w:rPr>
        <w:t xml:space="preserve"> amend regulations 19B, 19BA and 19D of the </w:t>
      </w:r>
      <w:r w:rsidR="004460A3">
        <w:rPr>
          <w:bCs/>
        </w:rPr>
        <w:t xml:space="preserve">RET </w:t>
      </w:r>
      <w:r w:rsidR="001A40DB">
        <w:rPr>
          <w:bCs/>
        </w:rPr>
        <w:t xml:space="preserve">Regulations </w:t>
      </w:r>
      <w:r w:rsidR="005F0503">
        <w:rPr>
          <w:bCs/>
        </w:rPr>
        <w:t>and insert new regulation 19BE</w:t>
      </w:r>
      <w:r w:rsidR="00E1518C">
        <w:rPr>
          <w:bCs/>
        </w:rPr>
        <w:t xml:space="preserve">. The new regulation </w:t>
      </w:r>
      <w:r w:rsidR="005F0503" w:rsidRPr="005F0503">
        <w:rPr>
          <w:bCs/>
        </w:rPr>
        <w:t>progressively reduce</w:t>
      </w:r>
      <w:r w:rsidR="00E1518C">
        <w:rPr>
          <w:bCs/>
        </w:rPr>
        <w:t>s</w:t>
      </w:r>
      <w:r w:rsidR="005F0503" w:rsidRPr="005F0503">
        <w:rPr>
          <w:bCs/>
        </w:rPr>
        <w:t xml:space="preserve"> the lengths of the prescribed periods</w:t>
      </w:r>
      <w:r w:rsidR="00BE347C">
        <w:rPr>
          <w:bCs/>
        </w:rPr>
        <w:t xml:space="preserve"> </w:t>
      </w:r>
      <w:r w:rsidR="005F0503" w:rsidRPr="005F0503">
        <w:rPr>
          <w:bCs/>
        </w:rPr>
        <w:t>of renewable energy production</w:t>
      </w:r>
      <w:r w:rsidR="00BE347C">
        <w:rPr>
          <w:bCs/>
        </w:rPr>
        <w:t xml:space="preserve"> (the deeming periods)</w:t>
      </w:r>
      <w:r w:rsidR="005F0503" w:rsidRPr="005F0503">
        <w:rPr>
          <w:bCs/>
        </w:rPr>
        <w:t xml:space="preserve"> which form the basis for </w:t>
      </w:r>
      <w:r w:rsidR="00416230">
        <w:rPr>
          <w:bCs/>
        </w:rPr>
        <w:t>upfront</w:t>
      </w:r>
      <w:r w:rsidR="005F0503" w:rsidRPr="005F0503">
        <w:rPr>
          <w:bCs/>
        </w:rPr>
        <w:t xml:space="preserve"> allocations</w:t>
      </w:r>
      <w:r w:rsidR="00416230">
        <w:rPr>
          <w:bCs/>
        </w:rPr>
        <w:t xml:space="preserve"> of tradable Small-scale Technology Certificates (STCs)</w:t>
      </w:r>
      <w:r w:rsidR="00205C2F">
        <w:rPr>
          <w:bCs/>
        </w:rPr>
        <w:t xml:space="preserve"> </w:t>
      </w:r>
      <w:r w:rsidR="001613BE" w:rsidRPr="005F0503">
        <w:rPr>
          <w:bCs/>
        </w:rPr>
        <w:t>for eligible small-scale renewable energy systems</w:t>
      </w:r>
      <w:r w:rsidR="001613BE">
        <w:rPr>
          <w:bCs/>
        </w:rPr>
        <w:t xml:space="preserve"> </w:t>
      </w:r>
      <w:r w:rsidR="00205C2F">
        <w:rPr>
          <w:bCs/>
        </w:rPr>
        <w:t xml:space="preserve">under </w:t>
      </w:r>
      <w:r w:rsidR="001A40DB">
        <w:rPr>
          <w:bCs/>
        </w:rPr>
        <w:t>the RET scheme</w:t>
      </w:r>
      <w:r w:rsidR="00205C2F">
        <w:rPr>
          <w:bCs/>
        </w:rPr>
        <w:t>.</w:t>
      </w:r>
    </w:p>
    <w:p w:rsidR="00050BA7" w:rsidRDefault="00050BA7" w:rsidP="00752B08">
      <w:pPr>
        <w:widowControl/>
        <w:autoSpaceDE/>
        <w:autoSpaceDN/>
        <w:adjustRightInd/>
        <w:spacing w:before="100" w:beforeAutospacing="1" w:after="0"/>
        <w:rPr>
          <w:b/>
          <w:bCs/>
        </w:rPr>
      </w:pPr>
    </w:p>
    <w:p w:rsidR="00E1518C" w:rsidRPr="00752B08" w:rsidRDefault="00E1518C" w:rsidP="00752B08">
      <w:pPr>
        <w:widowControl/>
        <w:autoSpaceDE/>
        <w:autoSpaceDN/>
        <w:adjustRightInd/>
        <w:spacing w:before="100" w:beforeAutospacing="1" w:after="0"/>
        <w:rPr>
          <w:b/>
          <w:bCs/>
        </w:rPr>
      </w:pPr>
      <w:r w:rsidRPr="00752B08">
        <w:rPr>
          <w:b/>
          <w:bCs/>
        </w:rPr>
        <w:lastRenderedPageBreak/>
        <w:t>Item 4 – Subregulation 19B(2) and paragraph 19BA(3)(a)</w:t>
      </w:r>
    </w:p>
    <w:p w:rsidR="00965EC8" w:rsidRDefault="005667A5" w:rsidP="00200855">
      <w:pPr>
        <w:widowControl/>
        <w:autoSpaceDE/>
        <w:autoSpaceDN/>
        <w:adjustRightInd/>
        <w:spacing w:before="100" w:beforeAutospacing="1" w:after="0"/>
        <w:rPr>
          <w:bCs/>
        </w:rPr>
      </w:pPr>
      <w:r>
        <w:rPr>
          <w:bCs/>
        </w:rPr>
        <w:t>Item 4</w:t>
      </w:r>
      <w:r w:rsidR="00642D92">
        <w:rPr>
          <w:bCs/>
        </w:rPr>
        <w:t xml:space="preserve"> modifies</w:t>
      </w:r>
      <w:r w:rsidR="00BE347C">
        <w:rPr>
          <w:bCs/>
        </w:rPr>
        <w:t xml:space="preserve"> sub</w:t>
      </w:r>
      <w:r w:rsidR="008710AA">
        <w:rPr>
          <w:bCs/>
        </w:rPr>
        <w:t>regulation 19B(2) and paragraph 19BA(3)(a)</w:t>
      </w:r>
      <w:r w:rsidR="00BE347C">
        <w:rPr>
          <w:bCs/>
        </w:rPr>
        <w:t xml:space="preserve"> to remove the fixed </w:t>
      </w:r>
      <w:r w:rsidR="00BF028D">
        <w:rPr>
          <w:bCs/>
        </w:rPr>
        <w:t>ten</w:t>
      </w:r>
      <w:r w:rsidR="00BE347C">
        <w:rPr>
          <w:bCs/>
        </w:rPr>
        <w:t>-year deeming period</w:t>
      </w:r>
      <w:r w:rsidR="00416230">
        <w:rPr>
          <w:bCs/>
        </w:rPr>
        <w:t xml:space="preserve"> </w:t>
      </w:r>
      <w:r w:rsidR="00F825E3">
        <w:rPr>
          <w:bCs/>
        </w:rPr>
        <w:t>applicable to eligible solar water heater installations</w:t>
      </w:r>
      <w:r w:rsidR="0026665F">
        <w:rPr>
          <w:bCs/>
        </w:rPr>
        <w:t xml:space="preserve"> (which for the purposes of the </w:t>
      </w:r>
      <w:r w:rsidR="008A3BEA">
        <w:rPr>
          <w:bCs/>
        </w:rPr>
        <w:t xml:space="preserve">RET </w:t>
      </w:r>
      <w:r w:rsidR="0026665F">
        <w:rPr>
          <w:bCs/>
        </w:rPr>
        <w:t>Regulations includes heat pump</w:t>
      </w:r>
      <w:r w:rsidR="00F825E3">
        <w:rPr>
          <w:bCs/>
        </w:rPr>
        <w:t xml:space="preserve"> </w:t>
      </w:r>
      <w:r w:rsidR="0026665F">
        <w:rPr>
          <w:bCs/>
        </w:rPr>
        <w:t xml:space="preserve">water heaters) </w:t>
      </w:r>
      <w:r w:rsidR="00416230">
        <w:rPr>
          <w:bCs/>
        </w:rPr>
        <w:t>and replace it with the</w:t>
      </w:r>
      <w:r w:rsidR="00BE347C">
        <w:rPr>
          <w:bCs/>
        </w:rPr>
        <w:t xml:space="preserve"> variable deeming period specified in new regulation 19BE.</w:t>
      </w:r>
      <w:r w:rsidR="008710AA">
        <w:rPr>
          <w:bCs/>
        </w:rPr>
        <w:t xml:space="preserve"> </w:t>
      </w:r>
    </w:p>
    <w:p w:rsidR="00F55859" w:rsidRPr="00752B08" w:rsidRDefault="00F55859" w:rsidP="00F55859">
      <w:pPr>
        <w:widowControl/>
        <w:autoSpaceDE/>
        <w:autoSpaceDN/>
        <w:adjustRightInd/>
        <w:spacing w:before="100" w:beforeAutospacing="1" w:after="0"/>
        <w:rPr>
          <w:b/>
          <w:bCs/>
        </w:rPr>
      </w:pPr>
      <w:r w:rsidRPr="00752B08">
        <w:rPr>
          <w:b/>
          <w:bCs/>
        </w:rPr>
        <w:t>Item 5 – After regulation 19BD</w:t>
      </w:r>
    </w:p>
    <w:p w:rsidR="00965EC8" w:rsidRDefault="00965EC8" w:rsidP="00200855">
      <w:pPr>
        <w:widowControl/>
        <w:autoSpaceDE/>
        <w:autoSpaceDN/>
        <w:adjustRightInd/>
        <w:spacing w:before="100" w:beforeAutospacing="1" w:after="0"/>
        <w:rPr>
          <w:bCs/>
        </w:rPr>
      </w:pPr>
      <w:r>
        <w:rPr>
          <w:bCs/>
        </w:rPr>
        <w:t>I</w:t>
      </w:r>
      <w:r w:rsidR="005667A5">
        <w:rPr>
          <w:bCs/>
        </w:rPr>
        <w:t>tem 5</w:t>
      </w:r>
      <w:r w:rsidR="008710AA">
        <w:rPr>
          <w:bCs/>
        </w:rPr>
        <w:t xml:space="preserve"> inserts new regulation19BE</w:t>
      </w:r>
      <w:r w:rsidR="00416230">
        <w:rPr>
          <w:bCs/>
        </w:rPr>
        <w:t xml:space="preserve"> which</w:t>
      </w:r>
      <w:r w:rsidR="00F825E3">
        <w:rPr>
          <w:bCs/>
        </w:rPr>
        <w:t xml:space="preserve"> stipulates that </w:t>
      </w:r>
      <w:r w:rsidR="0026665F">
        <w:rPr>
          <w:bCs/>
        </w:rPr>
        <w:t>for solar water heaters</w:t>
      </w:r>
      <w:r w:rsidR="00BF526F">
        <w:rPr>
          <w:bCs/>
        </w:rPr>
        <w:t xml:space="preserve"> installed on or before 31 December 2021 the deeming period is </w:t>
      </w:r>
      <w:r w:rsidR="00BF028D">
        <w:rPr>
          <w:bCs/>
        </w:rPr>
        <w:t>ten</w:t>
      </w:r>
      <w:r w:rsidR="00BF526F">
        <w:rPr>
          <w:bCs/>
        </w:rPr>
        <w:t xml:space="preserve"> years, and that for installations during the calendar years 2022 to 2030 the deeming period for those installations is according </w:t>
      </w:r>
      <w:r w:rsidR="0056161C">
        <w:rPr>
          <w:bCs/>
        </w:rPr>
        <w:t>to the table specified in item 5</w:t>
      </w:r>
      <w:r w:rsidR="00BF526F">
        <w:rPr>
          <w:bCs/>
        </w:rPr>
        <w:t xml:space="preserve">. This deeming period (column 2 of the table) </w:t>
      </w:r>
      <w:r w:rsidR="003F610D">
        <w:rPr>
          <w:bCs/>
        </w:rPr>
        <w:t>is reduced</w:t>
      </w:r>
      <w:r w:rsidR="00BF526F">
        <w:rPr>
          <w:bCs/>
        </w:rPr>
        <w:t xml:space="preserve"> by one year each year so that the deeming period for eligible solar water heaters installed in 2030</w:t>
      </w:r>
      <w:r w:rsidR="003F610D">
        <w:rPr>
          <w:bCs/>
        </w:rPr>
        <w:t xml:space="preserve"> (the final year)</w:t>
      </w:r>
      <w:r w:rsidR="00BF526F">
        <w:rPr>
          <w:bCs/>
        </w:rPr>
        <w:t xml:space="preserve"> is one year. </w:t>
      </w:r>
      <w:r w:rsidR="000A22D5">
        <w:rPr>
          <w:bCs/>
        </w:rPr>
        <w:t xml:space="preserve"> </w:t>
      </w:r>
    </w:p>
    <w:p w:rsidR="00F55859" w:rsidRPr="00752B08" w:rsidRDefault="00F55859" w:rsidP="00F55859">
      <w:pPr>
        <w:widowControl/>
        <w:autoSpaceDE/>
        <w:autoSpaceDN/>
        <w:adjustRightInd/>
        <w:spacing w:before="100" w:beforeAutospacing="1" w:after="0"/>
        <w:rPr>
          <w:b/>
          <w:bCs/>
        </w:rPr>
      </w:pPr>
      <w:r w:rsidRPr="00752B08">
        <w:rPr>
          <w:b/>
          <w:bCs/>
        </w:rPr>
        <w:t>Item 6 – Subregulations 19D(2) and (3)</w:t>
      </w:r>
    </w:p>
    <w:p w:rsidR="00467633" w:rsidRDefault="00965EC8" w:rsidP="00200855">
      <w:pPr>
        <w:widowControl/>
        <w:autoSpaceDE/>
        <w:autoSpaceDN/>
        <w:adjustRightInd/>
        <w:spacing w:before="100" w:beforeAutospacing="1" w:after="0"/>
        <w:rPr>
          <w:bCs/>
        </w:rPr>
      </w:pPr>
      <w:r>
        <w:rPr>
          <w:bCs/>
        </w:rPr>
        <w:t>I</w:t>
      </w:r>
      <w:r w:rsidR="00073BB3">
        <w:rPr>
          <w:bCs/>
        </w:rPr>
        <w:t>tem 6</w:t>
      </w:r>
      <w:r w:rsidR="000A22D5">
        <w:rPr>
          <w:bCs/>
        </w:rPr>
        <w:t xml:space="preserve"> </w:t>
      </w:r>
      <w:r w:rsidR="00C3168F">
        <w:rPr>
          <w:bCs/>
        </w:rPr>
        <w:t xml:space="preserve">substitutes </w:t>
      </w:r>
      <w:r w:rsidR="0091481F">
        <w:rPr>
          <w:bCs/>
        </w:rPr>
        <w:t>subregulations</w:t>
      </w:r>
      <w:r w:rsidR="001A7532">
        <w:rPr>
          <w:bCs/>
        </w:rPr>
        <w:t xml:space="preserve"> </w:t>
      </w:r>
      <w:r w:rsidR="000A22D5">
        <w:rPr>
          <w:bCs/>
        </w:rPr>
        <w:t xml:space="preserve">19D(2) and </w:t>
      </w:r>
      <w:r w:rsidR="0091481F">
        <w:rPr>
          <w:bCs/>
        </w:rPr>
        <w:t>19D</w:t>
      </w:r>
      <w:r w:rsidR="000A22D5">
        <w:rPr>
          <w:bCs/>
        </w:rPr>
        <w:t>(3)</w:t>
      </w:r>
      <w:r w:rsidR="00C3168F">
        <w:rPr>
          <w:bCs/>
        </w:rPr>
        <w:t xml:space="preserve"> to stipulate </w:t>
      </w:r>
      <w:r w:rsidR="007A7160">
        <w:rPr>
          <w:bCs/>
        </w:rPr>
        <w:t>the new deeming arrangements for small generation units (</w:t>
      </w:r>
      <w:r w:rsidR="007A7160" w:rsidRPr="007A7160">
        <w:rPr>
          <w:bCs/>
        </w:rPr>
        <w:t>solar photovoltaic (PV) systems</w:t>
      </w:r>
      <w:r w:rsidR="007A7160">
        <w:rPr>
          <w:bCs/>
        </w:rPr>
        <w:t>, small wind turbines and micro</w:t>
      </w:r>
      <w:r w:rsidR="007A7160">
        <w:rPr>
          <w:bCs/>
        </w:rPr>
        <w:noBreakHyphen/>
      </w:r>
      <w:r w:rsidR="007A7160" w:rsidRPr="007A7160">
        <w:rPr>
          <w:bCs/>
        </w:rPr>
        <w:t>hydro systems</w:t>
      </w:r>
      <w:r w:rsidR="007A7160">
        <w:rPr>
          <w:bCs/>
        </w:rPr>
        <w:t>)</w:t>
      </w:r>
      <w:r w:rsidR="00605668">
        <w:rPr>
          <w:bCs/>
        </w:rPr>
        <w:t>.</w:t>
      </w:r>
      <w:r w:rsidR="00614F07">
        <w:rPr>
          <w:bCs/>
        </w:rPr>
        <w:t xml:space="preserve">  </w:t>
      </w:r>
    </w:p>
    <w:p w:rsidR="00881F28" w:rsidRDefault="00D84797" w:rsidP="00961260">
      <w:pPr>
        <w:rPr>
          <w:bCs/>
        </w:rPr>
      </w:pPr>
      <w:r>
        <w:rPr>
          <w:bCs/>
        </w:rPr>
        <w:t>Several fixed deeming periods</w:t>
      </w:r>
      <w:r w:rsidRPr="00D84797">
        <w:rPr>
          <w:bCs/>
        </w:rPr>
        <w:t xml:space="preserve"> </w:t>
      </w:r>
      <w:r>
        <w:rPr>
          <w:bCs/>
        </w:rPr>
        <w:t xml:space="preserve">were </w:t>
      </w:r>
      <w:r w:rsidRPr="00D84797">
        <w:rPr>
          <w:bCs/>
        </w:rPr>
        <w:t>available depending on the system technology</w:t>
      </w:r>
      <w:r w:rsidR="00F537A9">
        <w:rPr>
          <w:bCs/>
        </w:rPr>
        <w:t xml:space="preserve">. </w:t>
      </w:r>
      <w:r w:rsidR="00050BA7">
        <w:rPr>
          <w:bCs/>
        </w:rPr>
        <w:t>Three </w:t>
      </w:r>
      <w:r w:rsidRPr="00D84797">
        <w:rPr>
          <w:bCs/>
        </w:rPr>
        <w:t>deeming options</w:t>
      </w:r>
      <w:r>
        <w:rPr>
          <w:bCs/>
        </w:rPr>
        <w:t xml:space="preserve"> were</w:t>
      </w:r>
      <w:r w:rsidRPr="00D84797">
        <w:rPr>
          <w:bCs/>
        </w:rPr>
        <w:t xml:space="preserve"> available for solar PV: multiple </w:t>
      </w:r>
      <w:r w:rsidR="00BF028D">
        <w:rPr>
          <w:bCs/>
        </w:rPr>
        <w:t>one</w:t>
      </w:r>
      <w:r w:rsidRPr="00D84797">
        <w:rPr>
          <w:bCs/>
        </w:rPr>
        <w:t xml:space="preserve">-year or </w:t>
      </w:r>
      <w:r w:rsidR="00BF028D">
        <w:rPr>
          <w:bCs/>
        </w:rPr>
        <w:t>five</w:t>
      </w:r>
      <w:r w:rsidRPr="00D84797">
        <w:rPr>
          <w:bCs/>
        </w:rPr>
        <w:t>-year periods or a single 15</w:t>
      </w:r>
      <w:r w:rsidRPr="00D84797">
        <w:rPr>
          <w:bCs/>
        </w:rPr>
        <w:noBreakHyphen/>
        <w:t xml:space="preserve">year period.  </w:t>
      </w:r>
      <w:r>
        <w:rPr>
          <w:bCs/>
        </w:rPr>
        <w:t>M</w:t>
      </w:r>
      <w:r w:rsidRPr="00D84797">
        <w:rPr>
          <w:bCs/>
        </w:rPr>
        <w:t>ultiple 1-year or</w:t>
      </w:r>
      <w:r>
        <w:rPr>
          <w:bCs/>
        </w:rPr>
        <w:t xml:space="preserve"> 5-year periods were</w:t>
      </w:r>
      <w:r w:rsidRPr="00D84797">
        <w:rPr>
          <w:bCs/>
        </w:rPr>
        <w:t xml:space="preserve"> available for small wind turbine and micro-hydro installations.</w:t>
      </w:r>
    </w:p>
    <w:p w:rsidR="00B964AA" w:rsidRDefault="0020262E" w:rsidP="00961260">
      <w:pPr>
        <w:rPr>
          <w:bCs/>
        </w:rPr>
      </w:pPr>
      <w:r>
        <w:rPr>
          <w:bCs/>
        </w:rPr>
        <w:t xml:space="preserve">Paragraph 19D(2)(a) modifies the </w:t>
      </w:r>
      <w:r w:rsidR="00641FC7">
        <w:rPr>
          <w:bCs/>
        </w:rPr>
        <w:t xml:space="preserve">1-year and </w:t>
      </w:r>
      <w:r>
        <w:rPr>
          <w:bCs/>
        </w:rPr>
        <w:t>5-year deeming option</w:t>
      </w:r>
      <w:r w:rsidR="00641FC7">
        <w:rPr>
          <w:bCs/>
        </w:rPr>
        <w:t>s</w:t>
      </w:r>
      <w:r>
        <w:rPr>
          <w:bCs/>
        </w:rPr>
        <w:t xml:space="preserve"> by stipulating that for small generation units</w:t>
      </w:r>
      <w:r w:rsidRPr="0020262E">
        <w:rPr>
          <w:bCs/>
        </w:rPr>
        <w:t xml:space="preserve"> installed on or before 31</w:t>
      </w:r>
      <w:r>
        <w:rPr>
          <w:bCs/>
        </w:rPr>
        <w:t> </w:t>
      </w:r>
      <w:r w:rsidRPr="0020262E">
        <w:rPr>
          <w:bCs/>
        </w:rPr>
        <w:t>December</w:t>
      </w:r>
      <w:r>
        <w:rPr>
          <w:bCs/>
        </w:rPr>
        <w:t xml:space="preserve"> 2026</w:t>
      </w:r>
      <w:r w:rsidRPr="0020262E">
        <w:rPr>
          <w:bCs/>
        </w:rPr>
        <w:t xml:space="preserve"> </w:t>
      </w:r>
      <w:r>
        <w:rPr>
          <w:bCs/>
        </w:rPr>
        <w:t>the deeming period</w:t>
      </w:r>
      <w:r w:rsidR="00C213E7">
        <w:rPr>
          <w:bCs/>
        </w:rPr>
        <w:t>s are 1 or</w:t>
      </w:r>
      <w:r>
        <w:rPr>
          <w:bCs/>
        </w:rPr>
        <w:t xml:space="preserve"> 5</w:t>
      </w:r>
      <w:r w:rsidR="00C213E7">
        <w:rPr>
          <w:bCs/>
        </w:rPr>
        <w:t> </w:t>
      </w:r>
      <w:r w:rsidRPr="0020262E">
        <w:rPr>
          <w:bCs/>
        </w:rPr>
        <w:t>years, and that for installations during the calendar years</w:t>
      </w:r>
      <w:r>
        <w:rPr>
          <w:bCs/>
        </w:rPr>
        <w:t xml:space="preserve"> 2027</w:t>
      </w:r>
      <w:r w:rsidRPr="0020262E">
        <w:rPr>
          <w:bCs/>
        </w:rPr>
        <w:t xml:space="preserve"> to 2030 the deeming period</w:t>
      </w:r>
      <w:r w:rsidR="00C213E7">
        <w:rPr>
          <w:bCs/>
        </w:rPr>
        <w:t>s</w:t>
      </w:r>
      <w:r w:rsidRPr="0020262E">
        <w:rPr>
          <w:bCs/>
        </w:rPr>
        <w:t xml:space="preserve"> </w:t>
      </w:r>
      <w:r w:rsidR="00971C42">
        <w:rPr>
          <w:bCs/>
        </w:rPr>
        <w:t>are</w:t>
      </w:r>
      <w:r w:rsidRPr="0020262E">
        <w:rPr>
          <w:bCs/>
        </w:rPr>
        <w:t xml:space="preserve"> according to the table specified</w:t>
      </w:r>
      <w:r>
        <w:rPr>
          <w:bCs/>
        </w:rPr>
        <w:t xml:space="preserve"> in the paragraph</w:t>
      </w:r>
      <w:r w:rsidRPr="0020262E">
        <w:rPr>
          <w:bCs/>
        </w:rPr>
        <w:t>. Th</w:t>
      </w:r>
      <w:r w:rsidR="00641FC7">
        <w:rPr>
          <w:bCs/>
        </w:rPr>
        <w:t>e</w:t>
      </w:r>
      <w:r w:rsidRPr="0020262E">
        <w:rPr>
          <w:bCs/>
        </w:rPr>
        <w:t xml:space="preserve"> </w:t>
      </w:r>
      <w:r w:rsidR="00C213E7">
        <w:rPr>
          <w:bCs/>
        </w:rPr>
        <w:t xml:space="preserve">larger </w:t>
      </w:r>
      <w:r w:rsidRPr="0020262E">
        <w:rPr>
          <w:bCs/>
        </w:rPr>
        <w:t xml:space="preserve">deeming period </w:t>
      </w:r>
      <w:r w:rsidR="00C213E7">
        <w:rPr>
          <w:bCs/>
        </w:rPr>
        <w:t xml:space="preserve">in </w:t>
      </w:r>
      <w:r w:rsidRPr="0020262E">
        <w:rPr>
          <w:bCs/>
        </w:rPr>
        <w:t>col</w:t>
      </w:r>
      <w:r w:rsidR="00C213E7">
        <w:rPr>
          <w:bCs/>
        </w:rPr>
        <w:t>umn 2 of the table is</w:t>
      </w:r>
      <w:r w:rsidRPr="0020262E">
        <w:rPr>
          <w:bCs/>
        </w:rPr>
        <w:t xml:space="preserve"> reduced by one year each year</w:t>
      </w:r>
      <w:r w:rsidR="00073BB3">
        <w:rPr>
          <w:bCs/>
        </w:rPr>
        <w:t xml:space="preserve"> from</w:t>
      </w:r>
      <w:r w:rsidR="009872CA">
        <w:rPr>
          <w:bCs/>
        </w:rPr>
        <w:t xml:space="preserve"> </w:t>
      </w:r>
      <w:r w:rsidR="00073BB3">
        <w:rPr>
          <w:bCs/>
        </w:rPr>
        <w:t>2027</w:t>
      </w:r>
      <w:r w:rsidRPr="0020262E">
        <w:rPr>
          <w:bCs/>
        </w:rPr>
        <w:t xml:space="preserve"> so that the </w:t>
      </w:r>
      <w:r w:rsidR="00641FC7">
        <w:rPr>
          <w:bCs/>
        </w:rPr>
        <w:t xml:space="preserve">sole </w:t>
      </w:r>
      <w:r w:rsidRPr="0020262E">
        <w:rPr>
          <w:bCs/>
        </w:rPr>
        <w:t xml:space="preserve">deeming period for eligible </w:t>
      </w:r>
      <w:r w:rsidR="00641FC7">
        <w:rPr>
          <w:bCs/>
        </w:rPr>
        <w:t>small generation units</w:t>
      </w:r>
      <w:r w:rsidRPr="0020262E">
        <w:rPr>
          <w:bCs/>
        </w:rPr>
        <w:t xml:space="preserve"> installed in 2030 (the final year) is one year.</w:t>
      </w:r>
      <w:r>
        <w:rPr>
          <w:bCs/>
        </w:rPr>
        <w:t xml:space="preserve"> </w:t>
      </w:r>
    </w:p>
    <w:p w:rsidR="00050BA7" w:rsidRDefault="0020262E" w:rsidP="00050BA7">
      <w:pPr>
        <w:rPr>
          <w:bCs/>
        </w:rPr>
      </w:pPr>
      <w:r>
        <w:rPr>
          <w:bCs/>
        </w:rPr>
        <w:t xml:space="preserve">Paragraphs </w:t>
      </w:r>
      <w:r w:rsidRPr="0020262E">
        <w:rPr>
          <w:bCs/>
        </w:rPr>
        <w:t>19D(2)</w:t>
      </w:r>
      <w:r>
        <w:rPr>
          <w:bCs/>
        </w:rPr>
        <w:t>(b</w:t>
      </w:r>
      <w:r w:rsidRPr="0020262E">
        <w:rPr>
          <w:bCs/>
        </w:rPr>
        <w:t>)</w:t>
      </w:r>
      <w:r>
        <w:rPr>
          <w:bCs/>
        </w:rPr>
        <w:t xml:space="preserve"> and </w:t>
      </w:r>
      <w:r w:rsidR="00B964AA" w:rsidRPr="00B964AA">
        <w:rPr>
          <w:bCs/>
        </w:rPr>
        <w:t>19D(2)</w:t>
      </w:r>
      <w:r w:rsidR="00B964AA">
        <w:rPr>
          <w:bCs/>
        </w:rPr>
        <w:t>(c</w:t>
      </w:r>
      <w:r w:rsidR="00B964AA" w:rsidRPr="00B964AA">
        <w:rPr>
          <w:bCs/>
        </w:rPr>
        <w:t>)</w:t>
      </w:r>
      <w:r w:rsidR="00B964AA">
        <w:rPr>
          <w:bCs/>
        </w:rPr>
        <w:t xml:space="preserve"> retain the previous rules around </w:t>
      </w:r>
      <w:r w:rsidR="00641FC7">
        <w:rPr>
          <w:bCs/>
        </w:rPr>
        <w:t>transferring between deeming periods and multiple deeming periods for an eligible installation</w:t>
      </w:r>
      <w:r w:rsidR="00A21439">
        <w:rPr>
          <w:bCs/>
        </w:rPr>
        <w:t xml:space="preserve"> while </w:t>
      </w:r>
      <w:r w:rsidR="008E2E4C">
        <w:rPr>
          <w:bCs/>
        </w:rPr>
        <w:t>also accounting for the modified deeming option.</w:t>
      </w:r>
    </w:p>
    <w:p w:rsidR="00050BA7" w:rsidRDefault="00CD74DF" w:rsidP="00050BA7">
      <w:r>
        <w:t>Paragraph</w:t>
      </w:r>
      <w:r w:rsidR="00D90F73" w:rsidRPr="00D90F73">
        <w:t xml:space="preserve"> 19D(2)(</w:t>
      </w:r>
      <w:r>
        <w:t>d</w:t>
      </w:r>
      <w:r w:rsidR="00D90F73" w:rsidRPr="00D90F73">
        <w:t>)</w:t>
      </w:r>
      <w:r w:rsidR="007F16B5">
        <w:t xml:space="preserve"> </w:t>
      </w:r>
      <w:r w:rsidR="007F16B5" w:rsidRPr="007F16B5">
        <w:t xml:space="preserve">modifies the </w:t>
      </w:r>
      <w:r w:rsidR="007F16B5">
        <w:t>single 1</w:t>
      </w:r>
      <w:r w:rsidR="007F16B5" w:rsidRPr="007F16B5">
        <w:t xml:space="preserve">5-year deeming option </w:t>
      </w:r>
      <w:r w:rsidR="007F16B5">
        <w:t xml:space="preserve">for solar PV installations </w:t>
      </w:r>
      <w:r w:rsidR="007F16B5" w:rsidRPr="007F16B5">
        <w:t xml:space="preserve">by stipulating that for </w:t>
      </w:r>
      <w:r w:rsidR="007F16B5">
        <w:t>systems</w:t>
      </w:r>
      <w:r w:rsidR="007F16B5" w:rsidRPr="007F16B5">
        <w:t xml:space="preserve"> installed on or before 31 December</w:t>
      </w:r>
      <w:r w:rsidR="007F16B5">
        <w:t xml:space="preserve"> 2016</w:t>
      </w:r>
      <w:r w:rsidR="007F16B5" w:rsidRPr="007F16B5">
        <w:t xml:space="preserve"> the deeming period</w:t>
      </w:r>
      <w:r w:rsidR="007F16B5">
        <w:t xml:space="preserve"> is 1</w:t>
      </w:r>
      <w:r w:rsidR="007F16B5" w:rsidRPr="007F16B5">
        <w:t>5 years, and that for installations during the calendar years</w:t>
      </w:r>
      <w:r w:rsidR="007F16B5">
        <w:t xml:space="preserve"> 2017</w:t>
      </w:r>
      <w:r w:rsidR="007F16B5" w:rsidRPr="007F16B5">
        <w:t xml:space="preserve"> to 2030 the deeming periods are according to the table specified in the paragraph. The deeming period in column 2 of the table is reduced by one year each year</w:t>
      </w:r>
      <w:r w:rsidR="00F11160">
        <w:t xml:space="preserve"> from 2017</w:t>
      </w:r>
      <w:r w:rsidR="007F16B5" w:rsidRPr="007F16B5">
        <w:t xml:space="preserve"> so that the sole deeming period for eligible </w:t>
      </w:r>
      <w:r w:rsidR="007F16B5">
        <w:t>solar PV systems</w:t>
      </w:r>
      <w:r w:rsidR="007F16B5" w:rsidRPr="007F16B5">
        <w:t xml:space="preserve"> installed in 2030 (the final year) is one year.</w:t>
      </w:r>
    </w:p>
    <w:p w:rsidR="007F16B5" w:rsidRPr="00D90F73" w:rsidRDefault="007F16B5" w:rsidP="00050BA7">
      <w:pPr>
        <w:rPr>
          <w:b/>
        </w:rPr>
      </w:pPr>
      <w:r>
        <w:t>Subregulation 19D(3) retains the pre-existing requirement that for installations where the deeming option under Paragraph 19D(2)(d) is taken up, no further deeming period can be provided.</w:t>
      </w:r>
    </w:p>
    <w:p w:rsidR="008C6730" w:rsidRPr="00077D91" w:rsidRDefault="00077D91" w:rsidP="007232B0">
      <w:pPr>
        <w:pStyle w:val="Style1"/>
        <w:spacing w:before="120"/>
        <w:ind w:right="-143"/>
      </w:pPr>
      <w:r w:rsidRPr="00077D91">
        <w:lastRenderedPageBreak/>
        <w:t>Item</w:t>
      </w:r>
      <w:r w:rsidR="00B43F3C">
        <w:t>s</w:t>
      </w:r>
      <w:r w:rsidR="005A6412">
        <w:t xml:space="preserve"> 7 and 8</w:t>
      </w:r>
      <w:r w:rsidR="00F55859">
        <w:t xml:space="preserve"> – Provision of Out-of Pocket Expense data</w:t>
      </w:r>
    </w:p>
    <w:p w:rsidR="006919A6" w:rsidRDefault="00B42893" w:rsidP="00B42893">
      <w:pPr>
        <w:widowControl/>
        <w:autoSpaceDE/>
        <w:autoSpaceDN/>
        <w:adjustRightInd/>
        <w:spacing w:before="100" w:beforeAutospacing="1" w:after="0"/>
        <w:rPr>
          <w:bCs/>
        </w:rPr>
      </w:pPr>
      <w:r>
        <w:rPr>
          <w:bCs/>
        </w:rPr>
        <w:t>Item</w:t>
      </w:r>
      <w:r w:rsidR="00B43F3C">
        <w:rPr>
          <w:bCs/>
        </w:rPr>
        <w:t>s</w:t>
      </w:r>
      <w:r w:rsidR="00847D70">
        <w:rPr>
          <w:bCs/>
        </w:rPr>
        <w:t xml:space="preserve"> 7</w:t>
      </w:r>
      <w:r>
        <w:rPr>
          <w:bCs/>
        </w:rPr>
        <w:t xml:space="preserve"> </w:t>
      </w:r>
      <w:r w:rsidR="00847D70">
        <w:rPr>
          <w:bCs/>
        </w:rPr>
        <w:t>and 8</w:t>
      </w:r>
      <w:r w:rsidR="00B43F3C">
        <w:rPr>
          <w:bCs/>
        </w:rPr>
        <w:t xml:space="preserve"> </w:t>
      </w:r>
      <w:r w:rsidR="00202A45" w:rsidRPr="00202A45">
        <w:rPr>
          <w:bCs/>
        </w:rPr>
        <w:t xml:space="preserve">remove the </w:t>
      </w:r>
      <w:r w:rsidR="009872CA">
        <w:rPr>
          <w:bCs/>
        </w:rPr>
        <w:t>requirement</w:t>
      </w:r>
      <w:r w:rsidR="00202A45" w:rsidRPr="00202A45">
        <w:rPr>
          <w:bCs/>
        </w:rPr>
        <w:t xml:space="preserve"> that a person creating </w:t>
      </w:r>
      <w:r w:rsidR="00FE4EB6">
        <w:rPr>
          <w:bCs/>
        </w:rPr>
        <w:t>STCs</w:t>
      </w:r>
      <w:r w:rsidR="00202A45" w:rsidRPr="00202A45">
        <w:rPr>
          <w:bCs/>
        </w:rPr>
        <w:t xml:space="preserve"> for an eligib</w:t>
      </w:r>
      <w:r w:rsidR="00202A45">
        <w:rPr>
          <w:bCs/>
        </w:rPr>
        <w:t>le small generation unit</w:t>
      </w:r>
      <w:r w:rsidR="00202A45" w:rsidRPr="00202A45">
        <w:rPr>
          <w:bCs/>
        </w:rPr>
        <w:t xml:space="preserve"> installation must provide data on the </w:t>
      </w:r>
      <w:r w:rsidR="00202A45">
        <w:rPr>
          <w:bCs/>
        </w:rPr>
        <w:t>out-of-pocket</w:t>
      </w:r>
      <w:r w:rsidR="00393956">
        <w:rPr>
          <w:bCs/>
        </w:rPr>
        <w:t xml:space="preserve"> expenses</w:t>
      </w:r>
      <w:r w:rsidR="004F485B">
        <w:rPr>
          <w:bCs/>
        </w:rPr>
        <w:t xml:space="preserve"> for</w:t>
      </w:r>
      <w:r w:rsidR="00202A45" w:rsidRPr="00202A45">
        <w:rPr>
          <w:bCs/>
        </w:rPr>
        <w:t xml:space="preserve"> the installation to the CER</w:t>
      </w:r>
      <w:r w:rsidR="00202A45">
        <w:rPr>
          <w:bCs/>
        </w:rPr>
        <w:t>.</w:t>
      </w:r>
    </w:p>
    <w:p w:rsidR="00F55859" w:rsidRPr="00752B08" w:rsidRDefault="00F55859" w:rsidP="00F55859">
      <w:pPr>
        <w:rPr>
          <w:b/>
          <w:bCs/>
        </w:rPr>
      </w:pPr>
      <w:r w:rsidRPr="00752B08">
        <w:rPr>
          <w:b/>
          <w:bCs/>
        </w:rPr>
        <w:t>Item 7 – Regulations 19E and 19F</w:t>
      </w:r>
    </w:p>
    <w:p w:rsidR="00F25E65" w:rsidRDefault="003E43A3" w:rsidP="007C20FD">
      <w:r>
        <w:t>Item 7</w:t>
      </w:r>
      <w:r w:rsidR="00202A45">
        <w:t xml:space="preserve"> repeals regulation</w:t>
      </w:r>
      <w:r w:rsidR="00FE4EB6">
        <w:t>s</w:t>
      </w:r>
      <w:r w:rsidR="00202A45">
        <w:t xml:space="preserve"> 19E</w:t>
      </w:r>
      <w:r w:rsidR="00FE4EB6">
        <w:t xml:space="preserve"> and 19F,</w:t>
      </w:r>
      <w:r w:rsidR="00202A45">
        <w:t xml:space="preserve"> which required</w:t>
      </w:r>
      <w:r w:rsidR="007C20FD">
        <w:t xml:space="preserve"> </w:t>
      </w:r>
      <w:r w:rsidR="00FE4EB6">
        <w:t xml:space="preserve">the certificate creator to provide prescribed data on the net </w:t>
      </w:r>
      <w:r w:rsidR="00393956">
        <w:t>out-of-pocket expense</w:t>
      </w:r>
      <w:r w:rsidR="0004693A">
        <w:t>s</w:t>
      </w:r>
      <w:r w:rsidR="00FE4EB6">
        <w:t xml:space="preserve"> of the installation (including inter alia wiring, grid connection and battery storage costs) </w:t>
      </w:r>
      <w:r w:rsidR="009B00BB">
        <w:t xml:space="preserve">to the CER at the time the </w:t>
      </w:r>
      <w:r w:rsidR="00CF45B2">
        <w:t>c</w:t>
      </w:r>
      <w:r w:rsidR="00986A15">
        <w:t>ertificates</w:t>
      </w:r>
      <w:r w:rsidR="009B00BB">
        <w:t xml:space="preserve"> are created i</w:t>
      </w:r>
      <w:r w:rsidR="00F2337F">
        <w:t xml:space="preserve">n the </w:t>
      </w:r>
      <w:r w:rsidR="00CF45B2">
        <w:t>on-line certificate</w:t>
      </w:r>
      <w:r w:rsidR="00F2337F" w:rsidRPr="00525EF7">
        <w:rPr>
          <w:rFonts w:hint="eastAsia"/>
        </w:rPr>
        <w:t xml:space="preserve"> </w:t>
      </w:r>
      <w:r w:rsidR="00F2337F">
        <w:t>registry. This imposes</w:t>
      </w:r>
      <w:r w:rsidR="009B00BB">
        <w:t xml:space="preserve"> </w:t>
      </w:r>
      <w:r w:rsidR="00437961">
        <w:t xml:space="preserve">an </w:t>
      </w:r>
      <w:r w:rsidR="009B00BB">
        <w:t>additional burden on small business and households participating in the RET scheme</w:t>
      </w:r>
      <w:r w:rsidR="006919A6">
        <w:t>, requiri</w:t>
      </w:r>
      <w:r w:rsidR="00286842">
        <w:t>ng the collection and submission</w:t>
      </w:r>
      <w:r w:rsidR="006919A6">
        <w:t xml:space="preserve"> of </w:t>
      </w:r>
      <w:r w:rsidR="00286842">
        <w:t>data for every system</w:t>
      </w:r>
      <w:r w:rsidR="006919A6">
        <w:t xml:space="preserve"> installed. </w:t>
      </w:r>
      <w:r w:rsidR="009B00BB">
        <w:t xml:space="preserve">The Government </w:t>
      </w:r>
      <w:r w:rsidR="00CF45B2">
        <w:t>considers</w:t>
      </w:r>
      <w:r w:rsidR="009B00BB">
        <w:t xml:space="preserve"> this </w:t>
      </w:r>
      <w:r w:rsidR="00437961">
        <w:t>data</w:t>
      </w:r>
      <w:r w:rsidR="00F25E65">
        <w:t xml:space="preserve"> could</w:t>
      </w:r>
      <w:r w:rsidR="009B00BB">
        <w:t xml:space="preserve"> be collected </w:t>
      </w:r>
      <w:r w:rsidR="00F25E65">
        <w:t>m</w:t>
      </w:r>
      <w:r w:rsidR="00CF45B2">
        <w:t xml:space="preserve">ore effectively and efficiently </w:t>
      </w:r>
      <w:r w:rsidR="00F25E65">
        <w:t xml:space="preserve">through </w:t>
      </w:r>
      <w:r w:rsidR="00CF45B2">
        <w:t xml:space="preserve">an </w:t>
      </w:r>
      <w:r w:rsidR="00F25E65">
        <w:t>appropriate survey</w:t>
      </w:r>
      <w:r w:rsidR="00286842">
        <w:t xml:space="preserve"> method</w:t>
      </w:r>
      <w:r w:rsidR="00F25E65">
        <w:t xml:space="preserve">. </w:t>
      </w:r>
    </w:p>
    <w:p w:rsidR="00F55859" w:rsidRPr="00A82B93" w:rsidRDefault="00F55859" w:rsidP="00F55859">
      <w:pPr>
        <w:rPr>
          <w:b/>
          <w:bCs/>
        </w:rPr>
      </w:pPr>
      <w:r w:rsidRPr="00A82B93">
        <w:rPr>
          <w:b/>
          <w:bCs/>
        </w:rPr>
        <w:t xml:space="preserve">Item </w:t>
      </w:r>
      <w:r>
        <w:rPr>
          <w:b/>
          <w:bCs/>
        </w:rPr>
        <w:t>8</w:t>
      </w:r>
      <w:r w:rsidRPr="00A82B93">
        <w:rPr>
          <w:b/>
          <w:bCs/>
        </w:rPr>
        <w:t xml:space="preserve"> – </w:t>
      </w:r>
      <w:r>
        <w:rPr>
          <w:b/>
          <w:bCs/>
        </w:rPr>
        <w:t>Subr</w:t>
      </w:r>
      <w:r w:rsidRPr="00A82B93">
        <w:rPr>
          <w:b/>
          <w:bCs/>
        </w:rPr>
        <w:t>egulation</w:t>
      </w:r>
      <w:r>
        <w:rPr>
          <w:b/>
          <w:bCs/>
        </w:rPr>
        <w:t xml:space="preserve"> 19G(4)</w:t>
      </w:r>
    </w:p>
    <w:p w:rsidR="00B90A88" w:rsidRPr="00B90A88" w:rsidRDefault="003C2D22" w:rsidP="006D7897">
      <w:pPr>
        <w:pStyle w:val="Style1"/>
        <w:spacing w:before="120"/>
        <w:ind w:right="-143"/>
        <w:rPr>
          <w:b w:val="0"/>
        </w:rPr>
      </w:pPr>
      <w:r>
        <w:rPr>
          <w:b w:val="0"/>
        </w:rPr>
        <w:t xml:space="preserve">Item </w:t>
      </w:r>
      <w:r w:rsidR="00DF1F64">
        <w:rPr>
          <w:b w:val="0"/>
        </w:rPr>
        <w:t>8</w:t>
      </w:r>
      <w:r w:rsidR="00B43F3C">
        <w:rPr>
          <w:b w:val="0"/>
        </w:rPr>
        <w:t xml:space="preserve"> substitutes subregulation 19G(4) to preserve the definition of out-of-pocket expen</w:t>
      </w:r>
      <w:r w:rsidR="00DD3A90">
        <w:rPr>
          <w:b w:val="0"/>
        </w:rPr>
        <w:t xml:space="preserve">se to allow publication of out-of-pocket expense information for the quarter ending 30 June 2013. </w:t>
      </w:r>
    </w:p>
    <w:p w:rsidR="002D53A1" w:rsidRDefault="0017012D" w:rsidP="006D7897">
      <w:pPr>
        <w:pStyle w:val="Style1"/>
        <w:spacing w:before="120"/>
        <w:ind w:right="-143"/>
      </w:pPr>
      <w:r>
        <w:t>Item 9</w:t>
      </w:r>
      <w:r w:rsidR="00473E42">
        <w:t xml:space="preserve"> – Division 2.4 of Part 2</w:t>
      </w:r>
    </w:p>
    <w:p w:rsidR="00620A35" w:rsidRDefault="00F25E65" w:rsidP="007C20FD">
      <w:r>
        <w:t xml:space="preserve">Section 23F of the </w:t>
      </w:r>
      <w:r w:rsidR="008A3BEA">
        <w:t xml:space="preserve">RET </w:t>
      </w:r>
      <w:r>
        <w:t>Act requires any registered pe</w:t>
      </w:r>
      <w:r w:rsidR="00050BA7">
        <w:t>rson that creates more than 250 </w:t>
      </w:r>
      <w:r w:rsidR="004A774F">
        <w:t>c</w:t>
      </w:r>
      <w:r w:rsidR="00986A15">
        <w:t>ertificates</w:t>
      </w:r>
      <w:r>
        <w:t xml:space="preserve"> in a calendar year to lodge a ‘solar water heater and small generation unit return’ to the CER</w:t>
      </w:r>
      <w:r w:rsidR="00525EF7">
        <w:t>.</w:t>
      </w:r>
      <w:r>
        <w:t xml:space="preserve"> </w:t>
      </w:r>
      <w:r w:rsidR="00525EF7">
        <w:t>The prep</w:t>
      </w:r>
      <w:r w:rsidR="002D3171">
        <w:t>aration and assessment of these</w:t>
      </w:r>
      <w:r w:rsidR="00525EF7">
        <w:t xml:space="preserve"> generation returns </w:t>
      </w:r>
      <w:r w:rsidR="00F2337F">
        <w:t xml:space="preserve">imposes </w:t>
      </w:r>
      <w:r w:rsidR="00180726">
        <w:t xml:space="preserve">an </w:t>
      </w:r>
      <w:r w:rsidR="00F2337F">
        <w:t xml:space="preserve">administrative burden on </w:t>
      </w:r>
      <w:r w:rsidR="00180726">
        <w:t xml:space="preserve">the </w:t>
      </w:r>
      <w:r w:rsidR="00F2337F">
        <w:t>registered person and the CER</w:t>
      </w:r>
      <w:r w:rsidR="00180726">
        <w:t>.</w:t>
      </w:r>
      <w:r w:rsidR="00620A35" w:rsidRPr="00620A35">
        <w:t xml:space="preserve"> </w:t>
      </w:r>
      <w:r w:rsidR="00620A35">
        <w:t xml:space="preserve">Most of the information provided in annual generation returns is available through the </w:t>
      </w:r>
      <w:r w:rsidR="004A774F">
        <w:t xml:space="preserve">on-line </w:t>
      </w:r>
      <w:r w:rsidR="00620A35">
        <w:t xml:space="preserve">Renewable Energy Certificate Registry maintained by the CER </w:t>
      </w:r>
      <w:r w:rsidR="004A774F">
        <w:t>so</w:t>
      </w:r>
      <w:r w:rsidR="00620A35">
        <w:t xml:space="preserve"> the separate reporting of the information is unnecessary.</w:t>
      </w:r>
    </w:p>
    <w:p w:rsidR="002D53A1" w:rsidRDefault="006272E9">
      <w:r>
        <w:t xml:space="preserve">Item </w:t>
      </w:r>
      <w:r w:rsidR="00473E42">
        <w:t>9</w:t>
      </w:r>
      <w:r>
        <w:t xml:space="preserve"> repeals</w:t>
      </w:r>
      <w:r w:rsidR="0082738D">
        <w:t xml:space="preserve"> Division </w:t>
      </w:r>
      <w:r w:rsidR="00180726">
        <w:t xml:space="preserve">2.4 of Part 2 (Solar water heater and small generation unit returns) of the </w:t>
      </w:r>
      <w:r w:rsidR="009872CA">
        <w:t>RET</w:t>
      </w:r>
      <w:r w:rsidR="00180726">
        <w:t xml:space="preserve"> R</w:t>
      </w:r>
      <w:r w:rsidR="004B5D64">
        <w:t>egulations</w:t>
      </w:r>
      <w:r w:rsidR="0082738D">
        <w:t xml:space="preserve"> </w:t>
      </w:r>
      <w:r w:rsidR="00473E42">
        <w:t xml:space="preserve">and removes the </w:t>
      </w:r>
      <w:r w:rsidR="00620A35">
        <w:t>require</w:t>
      </w:r>
      <w:r w:rsidR="00473E42">
        <w:t>ment</w:t>
      </w:r>
      <w:r w:rsidR="00620A35">
        <w:t xml:space="preserve"> to provide certain information in the returns.</w:t>
      </w:r>
      <w:r w:rsidR="00180726">
        <w:t xml:space="preserve"> </w:t>
      </w:r>
    </w:p>
    <w:p w:rsidR="004F0A0E" w:rsidRPr="004F0A0E" w:rsidRDefault="00CA6412" w:rsidP="00C24F3E">
      <w:pPr>
        <w:rPr>
          <w:b/>
        </w:rPr>
      </w:pPr>
      <w:r>
        <w:rPr>
          <w:b/>
        </w:rPr>
        <w:t>Item</w:t>
      </w:r>
      <w:r w:rsidR="0034422C">
        <w:rPr>
          <w:b/>
        </w:rPr>
        <w:t>s 10 and 11</w:t>
      </w:r>
      <w:r w:rsidR="00473E42">
        <w:rPr>
          <w:b/>
        </w:rPr>
        <w:t xml:space="preserve"> </w:t>
      </w:r>
      <w:r w:rsidR="00050BA7">
        <w:rPr>
          <w:b/>
        </w:rPr>
        <w:t>–</w:t>
      </w:r>
      <w:r w:rsidR="00473E42">
        <w:rPr>
          <w:b/>
        </w:rPr>
        <w:t xml:space="preserve"> Partial Exemption Certificates</w:t>
      </w:r>
    </w:p>
    <w:p w:rsidR="00056417" w:rsidRPr="006D7897" w:rsidRDefault="00D56035" w:rsidP="00C24F3E">
      <w:pPr>
        <w:rPr>
          <w:bCs/>
        </w:rPr>
      </w:pPr>
      <w:r>
        <w:rPr>
          <w:bCs/>
        </w:rPr>
        <w:t xml:space="preserve">The </w:t>
      </w:r>
      <w:r w:rsidR="008A3BEA">
        <w:rPr>
          <w:bCs/>
        </w:rPr>
        <w:t xml:space="preserve">RET </w:t>
      </w:r>
      <w:r>
        <w:rPr>
          <w:bCs/>
        </w:rPr>
        <w:t xml:space="preserve">Act provides, </w:t>
      </w:r>
      <w:r w:rsidR="00056417" w:rsidRPr="006D7897">
        <w:rPr>
          <w:bCs/>
        </w:rPr>
        <w:t xml:space="preserve">at section 46A, that a prescribed person may apply to the </w:t>
      </w:r>
      <w:r w:rsidR="004A77F6">
        <w:rPr>
          <w:bCs/>
        </w:rPr>
        <w:t>CER</w:t>
      </w:r>
      <w:r w:rsidR="00056417" w:rsidRPr="006D7897">
        <w:rPr>
          <w:bCs/>
        </w:rPr>
        <w:t xml:space="preserve"> for a Partial Exemption Certificate (PEC) for </w:t>
      </w:r>
      <w:r w:rsidR="004A77F6">
        <w:rPr>
          <w:bCs/>
        </w:rPr>
        <w:t>a year in relation to</w:t>
      </w:r>
      <w:r w:rsidR="008D0031">
        <w:rPr>
          <w:bCs/>
        </w:rPr>
        <w:t xml:space="preserve"> the RET-liable electricity used in</w:t>
      </w:r>
      <w:r w:rsidR="00801686">
        <w:rPr>
          <w:bCs/>
        </w:rPr>
        <w:t xml:space="preserve"> a prescribed</w:t>
      </w:r>
      <w:r w:rsidR="004A77F6">
        <w:rPr>
          <w:bCs/>
        </w:rPr>
        <w:t xml:space="preserve"> </w:t>
      </w:r>
      <w:r w:rsidR="00056417" w:rsidRPr="006D7897">
        <w:rPr>
          <w:bCs/>
        </w:rPr>
        <w:t>EITE activity which is, or is to be, carried out on at a site during the year.</w:t>
      </w:r>
    </w:p>
    <w:p w:rsidR="006772A4" w:rsidRPr="006772A4" w:rsidRDefault="00062F98" w:rsidP="006772A4">
      <w:pPr>
        <w:rPr>
          <w:bCs/>
        </w:rPr>
      </w:pPr>
      <w:r>
        <w:rPr>
          <w:bCs/>
        </w:rPr>
        <w:t xml:space="preserve">The </w:t>
      </w:r>
      <w:r w:rsidR="008A3BEA">
        <w:rPr>
          <w:bCs/>
        </w:rPr>
        <w:t>RET</w:t>
      </w:r>
      <w:r w:rsidR="008A3BEA" w:rsidRPr="006D7897">
        <w:rPr>
          <w:bCs/>
        </w:rPr>
        <w:t xml:space="preserve"> </w:t>
      </w:r>
      <w:r w:rsidRPr="006D7897">
        <w:rPr>
          <w:bCs/>
        </w:rPr>
        <w:t xml:space="preserve">Regulations set out the circumstances under which prescribed persons may apply for a PEC for a particular year, </w:t>
      </w:r>
      <w:r>
        <w:rPr>
          <w:bCs/>
        </w:rPr>
        <w:t>in respect of</w:t>
      </w:r>
      <w:r w:rsidRPr="006D7897">
        <w:rPr>
          <w:bCs/>
        </w:rPr>
        <w:t xml:space="preserve"> </w:t>
      </w:r>
      <w:r w:rsidR="006772A4">
        <w:rPr>
          <w:bCs/>
        </w:rPr>
        <w:t>a particular</w:t>
      </w:r>
      <w:r w:rsidRPr="006D7897">
        <w:rPr>
          <w:bCs/>
        </w:rPr>
        <w:t xml:space="preserve"> EITE activity</w:t>
      </w:r>
      <w:r>
        <w:rPr>
          <w:bCs/>
        </w:rPr>
        <w:t xml:space="preserve"> and a particular RET-liable </w:t>
      </w:r>
      <w:r w:rsidR="0078443C">
        <w:rPr>
          <w:bCs/>
        </w:rPr>
        <w:t>entity (</w:t>
      </w:r>
      <w:r>
        <w:rPr>
          <w:bCs/>
        </w:rPr>
        <w:t>electricity supplier</w:t>
      </w:r>
      <w:r w:rsidR="0078443C">
        <w:rPr>
          <w:bCs/>
        </w:rPr>
        <w:t>)</w:t>
      </w:r>
      <w:r>
        <w:rPr>
          <w:bCs/>
        </w:rPr>
        <w:t xml:space="preserve"> and</w:t>
      </w:r>
      <w:r w:rsidRPr="006D7897">
        <w:rPr>
          <w:bCs/>
        </w:rPr>
        <w:t xml:space="preserve"> </w:t>
      </w:r>
      <w:r w:rsidR="006772A4">
        <w:rPr>
          <w:bCs/>
        </w:rPr>
        <w:t>carried out at a specific site.</w:t>
      </w:r>
    </w:p>
    <w:p w:rsidR="00F13F0F" w:rsidRDefault="00912D2F" w:rsidP="0087272F">
      <w:pPr>
        <w:rPr>
          <w:b/>
        </w:rPr>
      </w:pPr>
      <w:r w:rsidRPr="00752B08">
        <w:rPr>
          <w:b/>
        </w:rPr>
        <w:t xml:space="preserve">Item 10 – Paragraph 22M(b) </w:t>
      </w:r>
      <w:r w:rsidR="00B225F6">
        <w:rPr>
          <w:b/>
        </w:rPr>
        <w:t>&amp;</w:t>
      </w:r>
    </w:p>
    <w:p w:rsidR="00912D2F" w:rsidRPr="00752B08" w:rsidRDefault="00912D2F" w:rsidP="0087272F">
      <w:pPr>
        <w:rPr>
          <w:b/>
        </w:rPr>
      </w:pPr>
      <w:r w:rsidRPr="00752B08">
        <w:rPr>
          <w:b/>
        </w:rPr>
        <w:t>Item 11 – Subparagraph 22M(d)(iv)</w:t>
      </w:r>
    </w:p>
    <w:p w:rsidR="00F573A6" w:rsidRDefault="00F573A6" w:rsidP="00F573A6">
      <w:r>
        <w:t>Previously, regulation 22M only allowed an EITE entity t</w:t>
      </w:r>
      <w:r w:rsidR="00050BA7">
        <w:t xml:space="preserve">o apply for a second PEC where </w:t>
      </w:r>
      <w:r>
        <w:t>two or more liable entities were simultaneously supplying electricity to the site</w:t>
      </w:r>
      <w:r w:rsidRPr="00817FCE">
        <w:t xml:space="preserve"> </w:t>
      </w:r>
      <w:r>
        <w:t xml:space="preserve">at the start of the year. However, the </w:t>
      </w:r>
      <w:r w:rsidRPr="003D735A">
        <w:rPr>
          <w:bCs/>
        </w:rPr>
        <w:t>situation where a second liable entity start</w:t>
      </w:r>
      <w:r>
        <w:rPr>
          <w:bCs/>
        </w:rPr>
        <w:t>ed</w:t>
      </w:r>
      <w:r w:rsidRPr="003D735A">
        <w:rPr>
          <w:bCs/>
        </w:rPr>
        <w:t xml:space="preserve"> supplying electricity during the year, but at the start of a compliance year was not a liable entity in relation to electricity consumed at the site</w:t>
      </w:r>
      <w:r>
        <w:t xml:space="preserve"> was not accommodated.</w:t>
      </w:r>
    </w:p>
    <w:p w:rsidR="00B225F6" w:rsidRDefault="00F573A6" w:rsidP="00F573A6">
      <w:r>
        <w:lastRenderedPageBreak/>
        <w:t xml:space="preserve">Item 10 amends paragraph 22M(b) to allow the EITE entity to apply for a second PEC if any time during the year an additional (RET-liable) retailer starts supplying electricity. </w:t>
      </w:r>
    </w:p>
    <w:p w:rsidR="00F573A6" w:rsidRDefault="00F573A6" w:rsidP="00F573A6">
      <w:r>
        <w:t>Item 11 amends subparagraph 22M(d)(iv) to accommodate the additional flexibility made available through item 10.  Items 10 and 11 operate in conjunction with item 13 and 16 to address this inflexibility.</w:t>
      </w:r>
    </w:p>
    <w:p w:rsidR="00F573A6" w:rsidRPr="0087272F" w:rsidRDefault="00F573A6" w:rsidP="00F573A6">
      <w:pPr>
        <w:pStyle w:val="Bullet"/>
        <w:widowControl/>
        <w:numPr>
          <w:ilvl w:val="0"/>
          <w:numId w:val="0"/>
        </w:numPr>
        <w:tabs>
          <w:tab w:val="left" w:pos="720"/>
        </w:tabs>
        <w:autoSpaceDE/>
        <w:adjustRightInd/>
        <w:spacing w:before="0"/>
      </w:pPr>
      <w:r>
        <w:t>As an example, assume Company A operates a zinc smelter at a particular site with only one (RET-liable) electricity retailer supplying electricity at the start of the year. These amendments would allow for Company A to apply under amended regulation 22 M for a second PEC,</w:t>
      </w:r>
      <w:r w:rsidRPr="00451363">
        <w:t xml:space="preserve"> </w:t>
      </w:r>
      <w:r>
        <w:t>i</w:t>
      </w:r>
      <w:r w:rsidRPr="00451363">
        <w:t>f during the year the company decides to source part of its electricity from an additional liable entity</w:t>
      </w:r>
      <w:r>
        <w:t>. The original PEC would be reduced in accordance with the methodology in existing regulation 22ZQ and the amount of the additional PEC would be calculated under regulation 22ZG.</w:t>
      </w:r>
    </w:p>
    <w:p w:rsidR="00220389" w:rsidRPr="00552D77" w:rsidRDefault="00220389" w:rsidP="00220389">
      <w:pPr>
        <w:keepNext/>
        <w:keepLines/>
        <w:widowControl/>
        <w:autoSpaceDE/>
        <w:autoSpaceDN/>
        <w:adjustRightInd/>
        <w:spacing w:before="220"/>
        <w:ind w:left="709" w:hanging="709"/>
        <w:rPr>
          <w:b/>
          <w:kern w:val="28"/>
        </w:rPr>
      </w:pPr>
      <w:r>
        <w:rPr>
          <w:b/>
          <w:kern w:val="28"/>
        </w:rPr>
        <w:t>Item 12</w:t>
      </w:r>
      <w:r w:rsidRPr="00552D77">
        <w:rPr>
          <w:b/>
          <w:kern w:val="28"/>
        </w:rPr>
        <w:t xml:space="preserve"> </w:t>
      </w:r>
      <w:r w:rsidR="00F13F0F">
        <w:rPr>
          <w:b/>
          <w:kern w:val="28"/>
        </w:rPr>
        <w:t xml:space="preserve">- </w:t>
      </w:r>
      <w:r w:rsidRPr="00552D77">
        <w:rPr>
          <w:b/>
          <w:kern w:val="28"/>
        </w:rPr>
        <w:t>After subregulation 22X(1C)</w:t>
      </w:r>
    </w:p>
    <w:p w:rsidR="00460328" w:rsidRPr="00E065A4" w:rsidRDefault="00220389" w:rsidP="00E065A4">
      <w:pPr>
        <w:ind w:right="91"/>
        <w:rPr>
          <w:lang w:val="en-GB"/>
        </w:rPr>
      </w:pPr>
      <w:r w:rsidRPr="00552D77">
        <w:t xml:space="preserve">This item </w:t>
      </w:r>
      <w:r w:rsidRPr="00552D77">
        <w:rPr>
          <w:lang w:val="en-GB"/>
        </w:rPr>
        <w:t xml:space="preserve">allows for applications for </w:t>
      </w:r>
      <w:r>
        <w:rPr>
          <w:lang w:val="en-GB"/>
        </w:rPr>
        <w:t>PECs</w:t>
      </w:r>
      <w:r w:rsidRPr="00552D77">
        <w:rPr>
          <w:lang w:val="en-GB"/>
        </w:rPr>
        <w:t xml:space="preserve"> for the production</w:t>
      </w:r>
      <w:r>
        <w:rPr>
          <w:lang w:val="en-GB"/>
        </w:rPr>
        <w:t xml:space="preserve"> of</w:t>
      </w:r>
      <w:r w:rsidRPr="00552D77">
        <w:rPr>
          <w:lang w:val="en-GB"/>
        </w:rPr>
        <w:t xml:space="preserve"> </w:t>
      </w:r>
      <w:r w:rsidRPr="00552D77">
        <w:t xml:space="preserve">dried distillers grains with solubles </w:t>
      </w:r>
      <w:r w:rsidRPr="00552D77">
        <w:rPr>
          <w:lang w:val="en-GB"/>
        </w:rPr>
        <w:t xml:space="preserve">to be given to the </w:t>
      </w:r>
      <w:r>
        <w:rPr>
          <w:lang w:val="en-GB"/>
        </w:rPr>
        <w:t>CER</w:t>
      </w:r>
      <w:r w:rsidRPr="00552D77">
        <w:rPr>
          <w:lang w:val="en-GB"/>
        </w:rPr>
        <w:t xml:space="preserve"> before 1 September 2013.</w:t>
      </w:r>
      <w:r w:rsidRPr="00552D77">
        <w:t xml:space="preserve">  </w:t>
      </w:r>
    </w:p>
    <w:p w:rsidR="00460328" w:rsidRPr="00460328" w:rsidRDefault="00460328" w:rsidP="00460328">
      <w:pPr>
        <w:widowControl/>
        <w:autoSpaceDE/>
        <w:autoSpaceDN/>
        <w:adjustRightInd/>
        <w:spacing w:before="100" w:beforeAutospacing="1" w:after="0"/>
        <w:rPr>
          <w:b/>
          <w:bCs/>
        </w:rPr>
      </w:pPr>
      <w:r w:rsidRPr="00460328">
        <w:rPr>
          <w:b/>
          <w:bCs/>
        </w:rPr>
        <w:t>Item 13</w:t>
      </w:r>
      <w:r w:rsidR="00F13F0F">
        <w:rPr>
          <w:b/>
          <w:bCs/>
        </w:rPr>
        <w:t xml:space="preserve"> – Subregulation 22X(3)</w:t>
      </w:r>
    </w:p>
    <w:p w:rsidR="00F573A6" w:rsidRPr="00E065A4" w:rsidRDefault="00F573A6" w:rsidP="00F573A6">
      <w:pPr>
        <w:widowControl/>
        <w:autoSpaceDE/>
        <w:autoSpaceDN/>
        <w:adjustRightInd/>
        <w:spacing w:before="100" w:beforeAutospacing="1" w:after="0"/>
        <w:rPr>
          <w:bCs/>
        </w:rPr>
      </w:pPr>
      <w:r>
        <w:rPr>
          <w:bCs/>
        </w:rPr>
        <w:t>Item 13</w:t>
      </w:r>
      <w:r w:rsidRPr="00015DEB">
        <w:rPr>
          <w:bCs/>
        </w:rPr>
        <w:t xml:space="preserve"> amends subregulation 22X(3) to provide the flexibility for an entity undertaking an EITE activity at a particular site and year to apply any time during that year for a</w:t>
      </w:r>
      <w:r>
        <w:rPr>
          <w:bCs/>
        </w:rPr>
        <w:t xml:space="preserve"> second </w:t>
      </w:r>
      <w:r w:rsidRPr="00015DEB">
        <w:rPr>
          <w:bCs/>
        </w:rPr>
        <w:t xml:space="preserve"> PEC in respect of a further electricity retailer which becomes a liable entity in respect of that activity and site during the year, but after the beginning of that year.</w:t>
      </w:r>
      <w:r>
        <w:rPr>
          <w:bCs/>
        </w:rPr>
        <w:t xml:space="preserve"> This amendment is made in conjunction with items 10 to 11 above. </w:t>
      </w:r>
    </w:p>
    <w:p w:rsidR="002D53A1" w:rsidRDefault="00CA6412">
      <w:pPr>
        <w:rPr>
          <w:u w:val="single"/>
        </w:rPr>
      </w:pPr>
      <w:r>
        <w:rPr>
          <w:b/>
        </w:rPr>
        <w:t>Item</w:t>
      </w:r>
      <w:r w:rsidR="00514988">
        <w:rPr>
          <w:b/>
        </w:rPr>
        <w:t xml:space="preserve">s </w:t>
      </w:r>
      <w:r w:rsidR="003B7749">
        <w:rPr>
          <w:b/>
        </w:rPr>
        <w:t>14</w:t>
      </w:r>
      <w:r w:rsidR="008D7521">
        <w:rPr>
          <w:b/>
        </w:rPr>
        <w:t xml:space="preserve"> and</w:t>
      </w:r>
      <w:r w:rsidR="003B7749">
        <w:rPr>
          <w:b/>
        </w:rPr>
        <w:t xml:space="preserve"> 1</w:t>
      </w:r>
      <w:r w:rsidR="008D7521">
        <w:rPr>
          <w:b/>
        </w:rPr>
        <w:t>5</w:t>
      </w:r>
      <w:r>
        <w:rPr>
          <w:b/>
        </w:rPr>
        <w:t xml:space="preserve"> </w:t>
      </w:r>
      <w:r w:rsidR="00F13F0F">
        <w:rPr>
          <w:b/>
        </w:rPr>
        <w:t xml:space="preserve">– Partial Exemption Certificates </w:t>
      </w:r>
    </w:p>
    <w:p w:rsidR="003B7749" w:rsidRPr="00475B25" w:rsidRDefault="00BF028D" w:rsidP="003B7749">
      <w:pPr>
        <w:widowControl/>
        <w:autoSpaceDE/>
        <w:autoSpaceDN/>
        <w:adjustRightInd/>
        <w:spacing w:before="100" w:beforeAutospacing="1" w:after="0"/>
        <w:rPr>
          <w:bCs/>
        </w:rPr>
      </w:pPr>
      <w:r>
        <w:rPr>
          <w:bCs/>
        </w:rPr>
        <w:t>Existing r</w:t>
      </w:r>
      <w:r w:rsidR="003B7749" w:rsidRPr="00475B25">
        <w:rPr>
          <w:bCs/>
        </w:rPr>
        <w:t>egulation 22I allows a prescribed person to apply for a PEC for an EITE activity that is not yet carried on at the site but will be carried on at the site during the a</w:t>
      </w:r>
      <w:r w:rsidR="00050BA7">
        <w:rPr>
          <w:bCs/>
        </w:rPr>
        <w:t>pplication year. An </w:t>
      </w:r>
      <w:r w:rsidR="003B7749" w:rsidRPr="00475B25">
        <w:rPr>
          <w:bCs/>
        </w:rPr>
        <w:t>applic</w:t>
      </w:r>
      <w:r w:rsidR="003B7749">
        <w:rPr>
          <w:bCs/>
        </w:rPr>
        <w:t>ation must be made by 31 March</w:t>
      </w:r>
      <w:r w:rsidR="003B7749" w:rsidRPr="00475B25">
        <w:rPr>
          <w:bCs/>
        </w:rPr>
        <w:t xml:space="preserve"> of the year to which the application relates.</w:t>
      </w:r>
    </w:p>
    <w:p w:rsidR="003B7749" w:rsidRPr="00475B25" w:rsidRDefault="00BF028D" w:rsidP="003B7749">
      <w:pPr>
        <w:widowControl/>
        <w:autoSpaceDE/>
        <w:autoSpaceDN/>
        <w:adjustRightInd/>
        <w:spacing w:before="100" w:beforeAutospacing="1" w:after="0"/>
        <w:rPr>
          <w:bCs/>
        </w:rPr>
      </w:pPr>
      <w:r>
        <w:rPr>
          <w:bCs/>
        </w:rPr>
        <w:t>Exisitng r</w:t>
      </w:r>
      <w:r w:rsidR="003B7749" w:rsidRPr="00475B25">
        <w:rPr>
          <w:bCs/>
        </w:rPr>
        <w:t>egulation 22ZA sets out the method for calculating the amount of the liable entity’s partial exemption represented by the PEC. The partial exemption is calculated according to a formula which inclu</w:t>
      </w:r>
      <w:r w:rsidR="003B7749">
        <w:rPr>
          <w:bCs/>
        </w:rPr>
        <w:t>des various factors defined in r</w:t>
      </w:r>
      <w:r w:rsidR="003B7749" w:rsidRPr="00475B25">
        <w:rPr>
          <w:bCs/>
        </w:rPr>
        <w:t>egulations 22ZA to 22ZE.</w:t>
      </w:r>
    </w:p>
    <w:p w:rsidR="003B7749" w:rsidRDefault="003B7749" w:rsidP="003B7749">
      <w:pPr>
        <w:widowControl/>
        <w:autoSpaceDE/>
        <w:autoSpaceDN/>
        <w:adjustRightInd/>
        <w:spacing w:before="100" w:beforeAutospacing="1" w:after="0"/>
        <w:rPr>
          <w:bCs/>
        </w:rPr>
      </w:pPr>
      <w:r w:rsidRPr="00475B25">
        <w:rPr>
          <w:bCs/>
        </w:rPr>
        <w:t xml:space="preserve">Regulation 22ZE prescribes the formula for calculating one of </w:t>
      </w:r>
      <w:r w:rsidR="00050BA7">
        <w:rPr>
          <w:bCs/>
        </w:rPr>
        <w:t>these factors (factor ‘G’). The </w:t>
      </w:r>
      <w:r w:rsidRPr="00475B25">
        <w:rPr>
          <w:bCs/>
        </w:rPr>
        <w:t xml:space="preserve">formula for G calculates a ratio of electricity used in the activity that is liable under the RET to total electricity used. However, the formula requires data on electricity consumed on the site in the financial year that ended 6 months before the year to which the application relates. </w:t>
      </w:r>
      <w:r>
        <w:rPr>
          <w:bCs/>
        </w:rPr>
        <w:t>As n</w:t>
      </w:r>
      <w:r w:rsidRPr="00475B25">
        <w:rPr>
          <w:bCs/>
        </w:rPr>
        <w:t xml:space="preserve">ew entrant applicants will not have this data, </w:t>
      </w:r>
      <w:r>
        <w:rPr>
          <w:bCs/>
        </w:rPr>
        <w:t>a PEC cannot be calculated or issued in such cases.</w:t>
      </w:r>
      <w:r w:rsidRPr="00475B25">
        <w:rPr>
          <w:bCs/>
        </w:rPr>
        <w:t xml:space="preserve"> </w:t>
      </w:r>
    </w:p>
    <w:p w:rsidR="00F13F0F" w:rsidRDefault="00F13F0F" w:rsidP="00015DEB">
      <w:pPr>
        <w:widowControl/>
        <w:autoSpaceDE/>
        <w:autoSpaceDN/>
        <w:adjustRightInd/>
        <w:spacing w:before="100" w:beforeAutospacing="1" w:after="0"/>
        <w:rPr>
          <w:bCs/>
        </w:rPr>
      </w:pPr>
      <w:r>
        <w:rPr>
          <w:b/>
        </w:rPr>
        <w:t xml:space="preserve">Item 14 and 15 – Subregulation 22ZE(1) </w:t>
      </w:r>
    </w:p>
    <w:p w:rsidR="00CA6412" w:rsidRPr="00015DEB" w:rsidRDefault="00F13F0F" w:rsidP="00015DEB">
      <w:pPr>
        <w:widowControl/>
        <w:autoSpaceDE/>
        <w:autoSpaceDN/>
        <w:adjustRightInd/>
        <w:spacing w:before="100" w:beforeAutospacing="1" w:after="0"/>
        <w:rPr>
          <w:bCs/>
        </w:rPr>
      </w:pPr>
      <w:r>
        <w:rPr>
          <w:bCs/>
        </w:rPr>
        <w:t>I</w:t>
      </w:r>
      <w:r w:rsidR="003B7749">
        <w:rPr>
          <w:bCs/>
        </w:rPr>
        <w:t>tems</w:t>
      </w:r>
      <w:r w:rsidR="00BC5559">
        <w:rPr>
          <w:bCs/>
        </w:rPr>
        <w:t xml:space="preserve"> 14 </w:t>
      </w:r>
      <w:r w:rsidR="003B65D2">
        <w:rPr>
          <w:bCs/>
        </w:rPr>
        <w:t>and 15</w:t>
      </w:r>
      <w:r w:rsidR="003B7749">
        <w:rPr>
          <w:bCs/>
        </w:rPr>
        <w:t xml:space="preserve"> make technical amendments to subr</w:t>
      </w:r>
      <w:r w:rsidR="003B7749" w:rsidRPr="002A256C">
        <w:rPr>
          <w:bCs/>
        </w:rPr>
        <w:t>egulation</w:t>
      </w:r>
      <w:r w:rsidR="00C73831">
        <w:rPr>
          <w:bCs/>
        </w:rPr>
        <w:t xml:space="preserve"> </w:t>
      </w:r>
      <w:r w:rsidR="003B7749" w:rsidRPr="002A256C">
        <w:rPr>
          <w:bCs/>
        </w:rPr>
        <w:t>22ZE</w:t>
      </w:r>
      <w:r w:rsidR="003B7749">
        <w:rPr>
          <w:bCs/>
        </w:rPr>
        <w:t>(1)</w:t>
      </w:r>
      <w:r w:rsidR="003B7749" w:rsidRPr="002A256C">
        <w:rPr>
          <w:bCs/>
        </w:rPr>
        <w:t xml:space="preserve"> to </w:t>
      </w:r>
      <w:r w:rsidR="003B7749">
        <w:rPr>
          <w:bCs/>
        </w:rPr>
        <w:t xml:space="preserve">provide more flexibility in the terms used in the equation to calculate the G factor. The revised definition of the terms allows </w:t>
      </w:r>
      <w:r w:rsidR="003B7749" w:rsidRPr="00475B25">
        <w:rPr>
          <w:bCs/>
        </w:rPr>
        <w:t>the calculation of the G fac</w:t>
      </w:r>
      <w:r w:rsidR="003B7749">
        <w:rPr>
          <w:bCs/>
        </w:rPr>
        <w:t xml:space="preserve">tor for new entrant applicants to be </w:t>
      </w:r>
      <w:r w:rsidR="003B7749" w:rsidRPr="00475B25">
        <w:rPr>
          <w:bCs/>
        </w:rPr>
        <w:t xml:space="preserve">based on </w:t>
      </w:r>
      <w:r w:rsidR="003B7749">
        <w:rPr>
          <w:bCs/>
        </w:rPr>
        <w:t>reasonable estimates of the electricity</w:t>
      </w:r>
      <w:r w:rsidR="003B7749" w:rsidRPr="00475B25">
        <w:rPr>
          <w:bCs/>
        </w:rPr>
        <w:t xml:space="preserve"> to be consumed in the financial year that began six months before the year to which the application relates. </w:t>
      </w:r>
    </w:p>
    <w:p w:rsidR="008D2B60" w:rsidRPr="003D735A" w:rsidRDefault="003D735A" w:rsidP="00015DEB">
      <w:pPr>
        <w:widowControl/>
        <w:autoSpaceDE/>
        <w:autoSpaceDN/>
        <w:adjustRightInd/>
        <w:spacing w:before="100" w:beforeAutospacing="1" w:after="0"/>
        <w:rPr>
          <w:b/>
          <w:bCs/>
        </w:rPr>
      </w:pPr>
      <w:r w:rsidRPr="003D735A">
        <w:rPr>
          <w:b/>
          <w:bCs/>
        </w:rPr>
        <w:lastRenderedPageBreak/>
        <w:t>Item 16</w:t>
      </w:r>
      <w:r w:rsidR="001A3F62" w:rsidRPr="003D735A">
        <w:rPr>
          <w:b/>
          <w:bCs/>
        </w:rPr>
        <w:t xml:space="preserve"> </w:t>
      </w:r>
      <w:r w:rsidR="005E2C32">
        <w:rPr>
          <w:b/>
          <w:bCs/>
        </w:rPr>
        <w:t>– Paragraph 22ZQ(1)(d)</w:t>
      </w:r>
    </w:p>
    <w:p w:rsidR="008D2B60" w:rsidRPr="003D5065" w:rsidRDefault="000602F5" w:rsidP="003D735A">
      <w:pPr>
        <w:widowControl/>
        <w:autoSpaceDE/>
        <w:autoSpaceDN/>
        <w:adjustRightInd/>
        <w:spacing w:before="100" w:beforeAutospacing="1" w:after="0"/>
        <w:rPr>
          <w:bCs/>
        </w:rPr>
      </w:pPr>
      <w:r>
        <w:rPr>
          <w:bCs/>
        </w:rPr>
        <w:t>This item operates in conjunction with items 10 and 11 to address a technical anomaly in the process for providing a PEC.</w:t>
      </w:r>
      <w:r w:rsidR="005E2C32">
        <w:rPr>
          <w:bCs/>
        </w:rPr>
        <w:t xml:space="preserve"> I</w:t>
      </w:r>
      <w:r w:rsidR="000E5A0C">
        <w:rPr>
          <w:bCs/>
        </w:rPr>
        <w:t>te</w:t>
      </w:r>
      <w:r>
        <w:rPr>
          <w:bCs/>
        </w:rPr>
        <w:t>m 16</w:t>
      </w:r>
      <w:r w:rsidR="000E5A0C">
        <w:rPr>
          <w:bCs/>
        </w:rPr>
        <w:t xml:space="preserve"> </w:t>
      </w:r>
      <w:r w:rsidR="001F2000">
        <w:rPr>
          <w:bCs/>
        </w:rPr>
        <w:t>amends paragraph 22ZQ(1)(d)</w:t>
      </w:r>
      <w:r w:rsidR="00746685">
        <w:rPr>
          <w:bCs/>
        </w:rPr>
        <w:t xml:space="preserve"> </w:t>
      </w:r>
      <w:r w:rsidR="00746685" w:rsidRPr="003D735A">
        <w:rPr>
          <w:bCs/>
        </w:rPr>
        <w:t>to allow for a situation where a second liable entity may start supplying electricity during the year, but at the start of a compliance year was not a liable entity in relation to electricity consumed at the site.</w:t>
      </w:r>
    </w:p>
    <w:p w:rsidR="00552D77" w:rsidRPr="00552D77" w:rsidRDefault="00D54B9D" w:rsidP="00552D77">
      <w:pPr>
        <w:keepNext/>
        <w:keepLines/>
        <w:widowControl/>
        <w:autoSpaceDE/>
        <w:autoSpaceDN/>
        <w:adjustRightInd/>
        <w:spacing w:before="220"/>
        <w:ind w:left="709" w:hanging="709"/>
        <w:rPr>
          <w:b/>
          <w:kern w:val="28"/>
        </w:rPr>
      </w:pPr>
      <w:r>
        <w:rPr>
          <w:b/>
          <w:kern w:val="28"/>
        </w:rPr>
        <w:t>Item 17-</w:t>
      </w:r>
      <w:r w:rsidR="00552D77" w:rsidRPr="00552D77">
        <w:rPr>
          <w:b/>
          <w:kern w:val="28"/>
        </w:rPr>
        <w:t xml:space="preserve"> At the end of Schedule 6</w:t>
      </w:r>
    </w:p>
    <w:p w:rsidR="00552D77" w:rsidRPr="00552D77" w:rsidRDefault="00552D77" w:rsidP="00552D77">
      <w:pPr>
        <w:ind w:right="91"/>
        <w:rPr>
          <w:b/>
        </w:rPr>
      </w:pPr>
      <w:r w:rsidRPr="00552D77">
        <w:t xml:space="preserve">Item </w:t>
      </w:r>
      <w:r w:rsidR="008A3BEA">
        <w:t>17</w:t>
      </w:r>
      <w:r w:rsidR="008A3BEA" w:rsidRPr="00552D77">
        <w:t xml:space="preserve"> </w:t>
      </w:r>
      <w:r w:rsidRPr="00552D77">
        <w:t xml:space="preserve">inserts in Schedule 6 to the </w:t>
      </w:r>
      <w:r w:rsidR="005D192A">
        <w:t>RET</w:t>
      </w:r>
      <w:r w:rsidR="008A3BEA" w:rsidRPr="00552D77">
        <w:t xml:space="preserve"> </w:t>
      </w:r>
      <w:r w:rsidRPr="00552D77">
        <w:t xml:space="preserve">Regulations a new Part 50, comprising 3 divisions which together define the activity ‘production of dried distillers grains with solubles’ as an EITE activity, including the scope of the activity, its emissions-intensity classification and electricity baseline. The inclusion of the production of dried distillers grains with solubles in the </w:t>
      </w:r>
      <w:r w:rsidR="005D192A">
        <w:t>RET</w:t>
      </w:r>
      <w:r w:rsidR="005D192A" w:rsidRPr="00552D77">
        <w:t xml:space="preserve"> </w:t>
      </w:r>
      <w:r w:rsidRPr="00552D77">
        <w:t>Regulations as an emissions-intensive trade-exposed (EITE) activity will enable partial exemptions from liability under the Renewable Energy Target (RET) scheme to be provided in respect of electricity used in undertaking this activity.</w:t>
      </w:r>
    </w:p>
    <w:p w:rsidR="00552D77" w:rsidRPr="00552D77" w:rsidRDefault="00552D77" w:rsidP="00552D77">
      <w:pPr>
        <w:ind w:right="91"/>
        <w:rPr>
          <w:iCs/>
          <w:u w:val="single"/>
        </w:rPr>
      </w:pPr>
      <w:r w:rsidRPr="00552D77">
        <w:rPr>
          <w:iCs/>
          <w:u w:val="single"/>
        </w:rPr>
        <w:t>Clause 746 – Production of dried distillers grains with solubles</w:t>
      </w:r>
    </w:p>
    <w:p w:rsidR="00552D77" w:rsidRPr="00552D77" w:rsidRDefault="00552D77" w:rsidP="00552D77">
      <w:pPr>
        <w:ind w:right="91"/>
      </w:pPr>
      <w:r w:rsidRPr="00552D77">
        <w:t>Clause 746 provides that the production of dried distillers grains with solubles is the physical and/or chemical transformation of condensed distillers solubles, with a moisture content equal to or greater than 55 per cent, and/or wet distillers grains, with a moisture content equal to or greater than 60 per cent, into saleable dried distillers grains with solubles, with a moisture content of equal to or less than 12 per cent and a protein content</w:t>
      </w:r>
      <w:r w:rsidR="00050BA7">
        <w:t xml:space="preserve"> of equal to or greater than 20 </w:t>
      </w:r>
      <w:r w:rsidRPr="00552D77">
        <w:t>per cent on a dry solids basis.</w:t>
      </w:r>
      <w:r w:rsidRPr="00552D77" w:rsidDel="003B0085">
        <w:t xml:space="preserve"> </w:t>
      </w:r>
    </w:p>
    <w:p w:rsidR="00552D77" w:rsidRPr="00552D77" w:rsidRDefault="00552D77" w:rsidP="00552D77">
      <w:pPr>
        <w:ind w:right="91"/>
      </w:pPr>
      <w:r w:rsidRPr="00552D77">
        <w:t xml:space="preserve">The activity as conducted during the period used to assess the eligibility of the activity involved the onsite decantation, mixing, drying and cooling of condensed distillers solubles and mill feed to produce </w:t>
      </w:r>
      <w:r w:rsidRPr="00552D77">
        <w:rPr>
          <w:lang w:val="en-GB"/>
        </w:rPr>
        <w:t>dried distillers grains with solubles</w:t>
      </w:r>
      <w:r w:rsidRPr="00552D77">
        <w:t>.</w:t>
      </w:r>
    </w:p>
    <w:p w:rsidR="00552D77" w:rsidRPr="00552D77" w:rsidRDefault="00552D77" w:rsidP="00552D77">
      <w:pPr>
        <w:ind w:right="91"/>
      </w:pPr>
      <w:r w:rsidRPr="00552D77">
        <w:t xml:space="preserve">The inputs of the activity have been defined to include condensed distillers solubles, with a moisture content equal to or greater than 55 per cent, and/or wet distillers grains, with a moisture content equal to or greater than 60 per cent. The output of this activity is saleable dried distillers grains with solubles, with a moisture content </w:t>
      </w:r>
      <w:r w:rsidR="00050BA7">
        <w:t>of equal to or less than 12 per </w:t>
      </w:r>
      <w:r w:rsidRPr="00552D77">
        <w:t>cent and a protein content of equal to or greater than 20 per cent on a dry solids basis.</w:t>
      </w:r>
    </w:p>
    <w:p w:rsidR="00552D77" w:rsidRPr="00552D77" w:rsidRDefault="00552D77" w:rsidP="00552D77">
      <w:pPr>
        <w:ind w:right="91"/>
      </w:pPr>
      <w:r w:rsidRPr="00552D77">
        <w:t>The activity does not include the upstream production of condensed distillers solub</w:t>
      </w:r>
      <w:r w:rsidR="00B70215">
        <w:t>l</w:t>
      </w:r>
      <w:r w:rsidRPr="00552D77">
        <w:t>es and wet distillers grains. The activity also does not include the production of high purity ethanol.</w:t>
      </w:r>
    </w:p>
    <w:p w:rsidR="00552D77" w:rsidRPr="00552D77" w:rsidRDefault="00552D77" w:rsidP="00552D77">
      <w:pPr>
        <w:rPr>
          <w:b/>
        </w:rPr>
      </w:pPr>
      <w:r w:rsidRPr="00552D77">
        <w:rPr>
          <w:b/>
        </w:rPr>
        <w:t>Division 2 Classification of activity</w:t>
      </w:r>
    </w:p>
    <w:p w:rsidR="00552D77" w:rsidRPr="00552D77" w:rsidRDefault="00552D77" w:rsidP="00552D77">
      <w:pPr>
        <w:ind w:right="91"/>
        <w:rPr>
          <w:iCs/>
          <w:u w:val="single"/>
        </w:rPr>
      </w:pPr>
      <w:r w:rsidRPr="00552D77">
        <w:rPr>
          <w:iCs/>
          <w:u w:val="single"/>
        </w:rPr>
        <w:t>Clause 747 – Classification of activity</w:t>
      </w:r>
    </w:p>
    <w:p w:rsidR="00552D77" w:rsidRPr="00552D77" w:rsidRDefault="00552D77" w:rsidP="00552D77">
      <w:pPr>
        <w:widowControl/>
        <w:autoSpaceDE/>
        <w:autoSpaceDN/>
        <w:adjustRightInd/>
        <w:spacing w:before="140" w:line="280" w:lineRule="atLeast"/>
        <w:rPr>
          <w:lang w:val="en-GB"/>
        </w:rPr>
      </w:pPr>
      <w:r w:rsidRPr="00552D77">
        <w:rPr>
          <w:lang w:val="en-GB"/>
        </w:rPr>
        <w:t>Clause 747 prescribes that the production of dried distillers grains with solubles is classified as a highly emissions</w:t>
      </w:r>
      <w:r w:rsidRPr="00552D77">
        <w:rPr>
          <w:lang w:val="en-GB"/>
        </w:rPr>
        <w:noBreakHyphen/>
        <w:t>intensive activity. This has the effect that electricity used in the activity as defined is eligible for a partial exemption from RET liability at the highly emissions</w:t>
      </w:r>
      <w:r w:rsidRPr="00552D77">
        <w:rPr>
          <w:lang w:val="en-GB"/>
        </w:rPr>
        <w:noBreakHyphen/>
        <w:t>intensive rate.</w:t>
      </w:r>
    </w:p>
    <w:p w:rsidR="00050BA7" w:rsidRDefault="00050BA7" w:rsidP="00552D77">
      <w:pPr>
        <w:rPr>
          <w:b/>
        </w:rPr>
      </w:pPr>
    </w:p>
    <w:p w:rsidR="00050BA7" w:rsidRDefault="00050BA7" w:rsidP="00552D77">
      <w:pPr>
        <w:rPr>
          <w:b/>
        </w:rPr>
      </w:pPr>
    </w:p>
    <w:p w:rsidR="00050BA7" w:rsidRDefault="00050BA7" w:rsidP="00552D77">
      <w:pPr>
        <w:rPr>
          <w:b/>
        </w:rPr>
      </w:pPr>
    </w:p>
    <w:p w:rsidR="00552D77" w:rsidRPr="00552D77" w:rsidRDefault="00552D77" w:rsidP="00552D77">
      <w:pPr>
        <w:rPr>
          <w:b/>
        </w:rPr>
      </w:pPr>
      <w:r w:rsidRPr="00552D77">
        <w:rPr>
          <w:b/>
        </w:rPr>
        <w:lastRenderedPageBreak/>
        <w:t>Division 3 Electricity baseline for calculating partial exemption</w:t>
      </w:r>
    </w:p>
    <w:p w:rsidR="00552D77" w:rsidRPr="00552D77" w:rsidRDefault="00552D77" w:rsidP="00552D77">
      <w:pPr>
        <w:ind w:right="91"/>
        <w:rPr>
          <w:iCs/>
          <w:u w:val="single"/>
        </w:rPr>
      </w:pPr>
      <w:r w:rsidRPr="00552D77">
        <w:rPr>
          <w:iCs/>
          <w:u w:val="single"/>
        </w:rPr>
        <w:t>Clause 748 – Electricity baseline for product</w:t>
      </w:r>
    </w:p>
    <w:p w:rsidR="00552D77" w:rsidRPr="00552D77" w:rsidRDefault="00552D77" w:rsidP="00552D77">
      <w:r w:rsidRPr="00552D77">
        <w:t>Clause 748 provides that the electricity baseline for calculating the amount of a liable entity’s partial exemption for the production of dried distillers grains with sol</w:t>
      </w:r>
      <w:r w:rsidR="002E420F">
        <w:t>ubles is 0.0785 megawatt</w:t>
      </w:r>
      <w:r w:rsidR="002E420F">
        <w:noBreakHyphen/>
        <w:t xml:space="preserve">hours </w:t>
      </w:r>
      <w:r w:rsidRPr="00552D77">
        <w:t xml:space="preserve">per tonne of saleable </w:t>
      </w:r>
      <w:r w:rsidRPr="00552D77">
        <w:rPr>
          <w:iCs/>
        </w:rPr>
        <w:t>dried distillers grains with solubles</w:t>
      </w:r>
      <w:r w:rsidRPr="00552D77">
        <w:t xml:space="preserve">. </w:t>
      </w:r>
    </w:p>
    <w:p w:rsidR="00552D77" w:rsidRPr="00552D77" w:rsidRDefault="00552D77" w:rsidP="00552D77">
      <w:r w:rsidRPr="00552D77">
        <w:t xml:space="preserve">To be eligible for assistance, the </w:t>
      </w:r>
      <w:r w:rsidRPr="00552D77">
        <w:rPr>
          <w:iCs/>
        </w:rPr>
        <w:t>dried distillers grains with solubles</w:t>
      </w:r>
      <w:r w:rsidRPr="00552D77">
        <w:t xml:space="preserve"> output must have been produced by carrying on the activity (as defined by clause 746) to be eligible as a relevant product. For example, if imported </w:t>
      </w:r>
      <w:r w:rsidRPr="00552D77">
        <w:rPr>
          <w:iCs/>
        </w:rPr>
        <w:t>dried distillers grains with solubles</w:t>
      </w:r>
      <w:r w:rsidRPr="00552D77">
        <w:t xml:space="preserve"> is mixed with output produced from the activity, only the proportion of </w:t>
      </w:r>
      <w:r w:rsidRPr="00552D77">
        <w:rPr>
          <w:iCs/>
        </w:rPr>
        <w:t>dried distillers grains with solubles</w:t>
      </w:r>
      <w:r w:rsidRPr="00552D77">
        <w:t xml:space="preserve"> that is an output from the activity would be included in the tonnes of the relevant product.</w:t>
      </w:r>
    </w:p>
    <w:p w:rsidR="00552D77" w:rsidRPr="00552D77" w:rsidRDefault="00552D77" w:rsidP="00552D77">
      <w:r w:rsidRPr="00552D77">
        <w:t xml:space="preserve">The </w:t>
      </w:r>
      <w:r w:rsidRPr="00552D77">
        <w:rPr>
          <w:iCs/>
        </w:rPr>
        <w:t>dried distillers grains with solubles</w:t>
      </w:r>
      <w:r w:rsidRPr="00552D77">
        <w:t xml:space="preserve"> must be of saleable qu</w:t>
      </w:r>
      <w:r w:rsidR="00050BA7">
        <w:t>ality (as defined in Regulation </w:t>
      </w:r>
      <w:r w:rsidRPr="00552D77">
        <w:t xml:space="preserve">22C of the Principal Regulations). In particular, the tonnes of </w:t>
      </w:r>
      <w:r w:rsidRPr="00552D77">
        <w:rPr>
          <w:iCs/>
        </w:rPr>
        <w:t>dried distillers grains with solubles</w:t>
      </w:r>
      <w:r w:rsidRPr="00552D77">
        <w:t xml:space="preserve"> which are lost or discarded are not to be included in the tonnes of relevant product.</w:t>
      </w:r>
    </w:p>
    <w:p w:rsidR="003E66B5" w:rsidRPr="003E66B5" w:rsidRDefault="003E66B5" w:rsidP="003E66B5">
      <w:pPr>
        <w:pStyle w:val="Bullet"/>
        <w:numPr>
          <w:ilvl w:val="0"/>
          <w:numId w:val="0"/>
        </w:numPr>
        <w:tabs>
          <w:tab w:val="left" w:pos="720"/>
        </w:tabs>
        <w:spacing w:before="0"/>
        <w:ind w:left="567" w:hanging="567"/>
        <w:rPr>
          <w:b/>
          <w:bCs/>
        </w:rPr>
      </w:pPr>
      <w:r>
        <w:rPr>
          <w:b/>
          <w:bCs/>
        </w:rPr>
        <w:t>Schedule 2</w:t>
      </w:r>
      <w:r w:rsidRPr="003E66B5">
        <w:rPr>
          <w:b/>
          <w:bCs/>
        </w:rPr>
        <w:t xml:space="preserve"> - Amendments commencing </w:t>
      </w:r>
      <w:r>
        <w:rPr>
          <w:b/>
          <w:bCs/>
        </w:rPr>
        <w:t>29 July 2013</w:t>
      </w:r>
    </w:p>
    <w:p w:rsidR="003E66B5" w:rsidRPr="002B6DBA" w:rsidRDefault="00FF4720" w:rsidP="007C6E54">
      <w:pPr>
        <w:pStyle w:val="Bullet"/>
        <w:widowControl/>
        <w:numPr>
          <w:ilvl w:val="0"/>
          <w:numId w:val="0"/>
        </w:numPr>
        <w:tabs>
          <w:tab w:val="left" w:pos="720"/>
        </w:tabs>
        <w:autoSpaceDE/>
        <w:adjustRightInd/>
        <w:spacing w:before="0"/>
      </w:pPr>
      <w:r>
        <w:t xml:space="preserve">Item 1 of this Schedule repeals regulation </w:t>
      </w:r>
      <w:r w:rsidR="00314847">
        <w:t xml:space="preserve">19G from 29 July 2013 to </w:t>
      </w:r>
      <w:r w:rsidR="008200BB">
        <w:t>remove the requirement for the CER to publish details of out-of-pocket expenses</w:t>
      </w:r>
      <w:r w:rsidR="005D192A">
        <w:t>, which will not be required once</w:t>
      </w:r>
      <w:r w:rsidR="007C6E54">
        <w:t xml:space="preserve"> the CER has published</w:t>
      </w:r>
      <w:r w:rsidR="00B000EE">
        <w:t xml:space="preserve"> the details of the data already collected for the quarter ending 30 June 2013. </w:t>
      </w:r>
      <w:r w:rsidR="00314847">
        <w:t xml:space="preserve"> </w:t>
      </w:r>
      <w:r>
        <w:t xml:space="preserve"> </w:t>
      </w:r>
    </w:p>
    <w:p w:rsidR="008C6730" w:rsidRDefault="008C6730" w:rsidP="007232B0">
      <w:pPr>
        <w:pStyle w:val="Style1"/>
        <w:spacing w:before="120"/>
        <w:ind w:right="-143"/>
        <w:rPr>
          <w:u w:val="single"/>
        </w:rPr>
      </w:pPr>
    </w:p>
    <w:p w:rsidR="00D42227" w:rsidRDefault="00D42227" w:rsidP="007B4484">
      <w:pPr>
        <w:spacing w:before="0" w:after="0"/>
        <w:jc w:val="right"/>
        <w:rPr>
          <w:u w:val="single"/>
        </w:rPr>
      </w:pPr>
    </w:p>
    <w:p w:rsidR="00D42227" w:rsidRDefault="00D42227" w:rsidP="007B4484">
      <w:pPr>
        <w:spacing w:before="0" w:after="0"/>
        <w:jc w:val="right"/>
        <w:rPr>
          <w:u w:val="single"/>
        </w:rPr>
      </w:pPr>
    </w:p>
    <w:p w:rsidR="003D14B7" w:rsidRDefault="003D14B7">
      <w:pPr>
        <w:widowControl/>
        <w:autoSpaceDE/>
        <w:autoSpaceDN/>
        <w:adjustRightInd/>
        <w:spacing w:before="0" w:after="0"/>
        <w:rPr>
          <w:b/>
          <w:bCs/>
          <w:u w:val="single"/>
        </w:rPr>
      </w:pPr>
      <w:r>
        <w:rPr>
          <w:u w:val="single"/>
        </w:rPr>
        <w:br w:type="page"/>
      </w:r>
    </w:p>
    <w:p w:rsidR="007B4484" w:rsidRPr="00E73F09" w:rsidRDefault="00D42227" w:rsidP="00E73F09">
      <w:pPr>
        <w:pStyle w:val="Style1"/>
        <w:spacing w:before="120"/>
        <w:ind w:left="7200" w:right="-143"/>
        <w:rPr>
          <w:u w:val="single"/>
        </w:rPr>
      </w:pPr>
      <w:r w:rsidRPr="00F845E4">
        <w:rPr>
          <w:u w:val="single"/>
        </w:rPr>
        <w:lastRenderedPageBreak/>
        <w:t xml:space="preserve">ATTACHMENT </w:t>
      </w:r>
      <w:r>
        <w:rPr>
          <w:u w:val="single"/>
        </w:rPr>
        <w:t>C</w:t>
      </w:r>
    </w:p>
    <w:p w:rsidR="007B4484" w:rsidRPr="00E4135E" w:rsidRDefault="007B4484" w:rsidP="007B4484">
      <w:pPr>
        <w:spacing w:before="360" w:after="120"/>
        <w:jc w:val="center"/>
        <w:rPr>
          <w:b/>
          <w:sz w:val="28"/>
          <w:szCs w:val="28"/>
        </w:rPr>
      </w:pPr>
      <w:r w:rsidRPr="00E4135E">
        <w:rPr>
          <w:b/>
          <w:sz w:val="28"/>
          <w:szCs w:val="28"/>
        </w:rPr>
        <w:t>Statement of Compatibility with Human Rights</w:t>
      </w:r>
    </w:p>
    <w:p w:rsidR="00BB7AE7" w:rsidRDefault="00BB7AE7" w:rsidP="007B4484">
      <w:pPr>
        <w:spacing w:before="120" w:after="120"/>
        <w:jc w:val="center"/>
        <w:rPr>
          <w:i/>
        </w:rPr>
      </w:pPr>
    </w:p>
    <w:p w:rsidR="004E5868" w:rsidRDefault="004E5868" w:rsidP="007B4484">
      <w:pPr>
        <w:spacing w:before="120" w:after="120"/>
        <w:jc w:val="center"/>
        <w:rPr>
          <w:i/>
        </w:rPr>
      </w:pPr>
    </w:p>
    <w:p w:rsidR="007B4484" w:rsidRPr="00E4135E" w:rsidRDefault="007B4484" w:rsidP="007B4484">
      <w:pPr>
        <w:spacing w:before="120" w:after="120"/>
        <w:jc w:val="center"/>
      </w:pPr>
      <w:r w:rsidRPr="00E4135E">
        <w:rPr>
          <w:i/>
        </w:rPr>
        <w:t>Prepared in accordance with Part 3 of the Human Rights (Parliamentary Scrutiny) Act 2011</w:t>
      </w:r>
    </w:p>
    <w:p w:rsidR="00911690" w:rsidRPr="0097745F" w:rsidRDefault="00911690" w:rsidP="00911690">
      <w:pPr>
        <w:spacing w:before="120"/>
        <w:ind w:right="91"/>
        <w:jc w:val="center"/>
        <w:rPr>
          <w:b/>
          <w:i/>
          <w:iCs/>
        </w:rPr>
      </w:pPr>
      <w:r w:rsidRPr="0097745F">
        <w:rPr>
          <w:b/>
          <w:i/>
          <w:iCs/>
        </w:rPr>
        <w:t>Clean and Renewable Energy Legislation Amendment (Va</w:t>
      </w:r>
      <w:r w:rsidR="00AE162F">
        <w:rPr>
          <w:b/>
          <w:i/>
          <w:iCs/>
        </w:rPr>
        <w:t>rious Measures) Regulation 2013</w:t>
      </w:r>
    </w:p>
    <w:p w:rsidR="007B4484" w:rsidRPr="00850E59" w:rsidRDefault="00E73F09" w:rsidP="00752B08">
      <w:pPr>
        <w:widowControl/>
        <w:autoSpaceDE/>
        <w:autoSpaceDN/>
        <w:adjustRightInd/>
        <w:spacing w:before="120" w:after="120" w:line="276" w:lineRule="auto"/>
        <w:jc w:val="center"/>
        <w:rPr>
          <w:rFonts w:eastAsia="Calibri"/>
          <w:lang w:eastAsia="en-US"/>
        </w:rPr>
      </w:pPr>
      <w:r w:rsidRPr="00E73F09">
        <w:rPr>
          <w:rFonts w:eastAsia="Calibri"/>
          <w:lang w:eastAsia="en-US"/>
        </w:rPr>
        <w:t xml:space="preserve">This </w:t>
      </w:r>
      <w:r w:rsidR="00827A7E">
        <w:rPr>
          <w:rFonts w:eastAsia="Calibri"/>
          <w:lang w:eastAsia="en-US"/>
        </w:rPr>
        <w:t xml:space="preserve">Regulation </w:t>
      </w:r>
      <w:r w:rsidRPr="00E73F09">
        <w:rPr>
          <w:rFonts w:eastAsia="Calibri"/>
          <w:lang w:eastAsia="en-US"/>
        </w:rPr>
        <w:t xml:space="preserve">is compatible with the human rights and freedoms recognised or declared in the international instruments listed in section 3 of the </w:t>
      </w:r>
      <w:r w:rsidRPr="00E73F09">
        <w:rPr>
          <w:rFonts w:eastAsia="Calibri"/>
          <w:i/>
          <w:lang w:eastAsia="en-US"/>
        </w:rPr>
        <w:t>Human Rights (Parliamentary Scrutiny) Act 2011</w:t>
      </w:r>
      <w:r w:rsidRPr="00E73F09">
        <w:rPr>
          <w:rFonts w:eastAsia="Calibri"/>
          <w:lang w:eastAsia="en-US"/>
        </w:rPr>
        <w:t>.</w:t>
      </w:r>
    </w:p>
    <w:p w:rsidR="007B4484" w:rsidRDefault="007B4484" w:rsidP="007B4484">
      <w:pPr>
        <w:spacing w:before="120" w:after="120"/>
        <w:jc w:val="center"/>
      </w:pPr>
    </w:p>
    <w:p w:rsidR="004E5868" w:rsidRDefault="004E5868" w:rsidP="007B4484">
      <w:pPr>
        <w:spacing w:before="120" w:after="120"/>
        <w:jc w:val="center"/>
      </w:pPr>
    </w:p>
    <w:p w:rsidR="00911690" w:rsidRPr="0097745F" w:rsidRDefault="002277DE" w:rsidP="00911690">
      <w:pPr>
        <w:spacing w:before="120"/>
        <w:ind w:right="91"/>
        <w:jc w:val="center"/>
        <w:rPr>
          <w:b/>
          <w:i/>
          <w:iCs/>
        </w:rPr>
      </w:pPr>
      <w:r w:rsidRPr="00222093">
        <w:rPr>
          <w:b/>
        </w:rPr>
        <w:t>Overview of the</w:t>
      </w:r>
      <w:r>
        <w:rPr>
          <w:i/>
          <w:iCs/>
        </w:rPr>
        <w:t xml:space="preserve"> </w:t>
      </w:r>
      <w:r w:rsidR="00911690" w:rsidRPr="0097745F">
        <w:rPr>
          <w:b/>
          <w:i/>
          <w:iCs/>
        </w:rPr>
        <w:t>Clean and Renewable Energy Legislation Amendment (Various Measures) Regulation 2013</w:t>
      </w:r>
    </w:p>
    <w:p w:rsidR="004E5868" w:rsidRDefault="004E5868" w:rsidP="00F75E4E">
      <w:pPr>
        <w:widowControl/>
        <w:autoSpaceDE/>
        <w:autoSpaceDN/>
        <w:adjustRightInd/>
        <w:spacing w:before="100" w:beforeAutospacing="1" w:after="100" w:afterAutospacing="1"/>
      </w:pPr>
    </w:p>
    <w:p w:rsidR="00F75E4E" w:rsidRDefault="00F75E4E" w:rsidP="00F75E4E">
      <w:pPr>
        <w:widowControl/>
        <w:autoSpaceDE/>
        <w:autoSpaceDN/>
        <w:adjustRightInd/>
        <w:spacing w:before="100" w:beforeAutospacing="1" w:after="100" w:afterAutospacing="1"/>
      </w:pPr>
      <w:r w:rsidRPr="002148FD">
        <w:t>The Regulation</w:t>
      </w:r>
      <w:r>
        <w:t>:</w:t>
      </w:r>
    </w:p>
    <w:p w:rsidR="00F75E4E" w:rsidRDefault="00F75E4E" w:rsidP="00752B08">
      <w:pPr>
        <w:numPr>
          <w:ilvl w:val="0"/>
          <w:numId w:val="33"/>
        </w:numPr>
        <w:spacing w:before="0" w:after="0"/>
        <w:ind w:left="714" w:hanging="357"/>
      </w:pPr>
      <w:r w:rsidRPr="005B1E61">
        <w:t xml:space="preserve">implement the </w:t>
      </w:r>
      <w:r w:rsidR="000142E6">
        <w:t xml:space="preserve">Australian </w:t>
      </w:r>
      <w:r w:rsidRPr="005B1E61">
        <w:t>Government’s decision</w:t>
      </w:r>
      <w:r>
        <w:t>s</w:t>
      </w:r>
      <w:r w:rsidRPr="005B1E61">
        <w:t xml:space="preserve">, announced on </w:t>
      </w:r>
      <w:r>
        <w:t xml:space="preserve">21 March 2013 as part of its </w:t>
      </w:r>
      <w:r w:rsidRPr="00752B08">
        <w:rPr>
          <w:i/>
        </w:rPr>
        <w:t>response</w:t>
      </w:r>
      <w:r>
        <w:t xml:space="preserve"> to the 2012 statutory review of the R</w:t>
      </w:r>
      <w:r w:rsidR="00095810">
        <w:t xml:space="preserve">enewable Energy Target (RET) </w:t>
      </w:r>
      <w:r>
        <w:t>scheme undertaken by the Climate Change Authority, to</w:t>
      </w:r>
      <w:r w:rsidRPr="002148FD">
        <w:t>:</w:t>
      </w:r>
    </w:p>
    <w:p w:rsidR="00F75E4E" w:rsidRDefault="00F75E4E" w:rsidP="004E5868">
      <w:pPr>
        <w:numPr>
          <w:ilvl w:val="1"/>
          <w:numId w:val="34"/>
        </w:numPr>
        <w:spacing w:before="0" w:after="0"/>
        <w:ind w:left="1134"/>
      </w:pPr>
      <w:r>
        <w:t>progressively reduce the lengths of the prescribed periods of renewable energy production which form the basis for upfront certificate allocations for eligible small-scale renewable energy systems; and</w:t>
      </w:r>
    </w:p>
    <w:p w:rsidR="00F75E4E" w:rsidRDefault="00F75E4E" w:rsidP="004E5868">
      <w:pPr>
        <w:numPr>
          <w:ilvl w:val="1"/>
          <w:numId w:val="34"/>
        </w:numPr>
        <w:spacing w:before="0" w:after="0"/>
        <w:ind w:left="1134"/>
      </w:pPr>
      <w:r>
        <w:t>remove the pre-requisite that a person creating cer</w:t>
      </w:r>
      <w:r w:rsidR="00050BA7">
        <w:t>tificates for an eligible small</w:t>
      </w:r>
      <w:r w:rsidR="00050BA7">
        <w:noBreakHyphen/>
      </w:r>
      <w:r>
        <w:t>scale generation system installation must pr</w:t>
      </w:r>
      <w:r w:rsidR="00050BA7">
        <w:t xml:space="preserve">ovide data on the out-of-pocket </w:t>
      </w:r>
      <w:r>
        <w:t>cost of the installation to the Clean Energy Regulator (the CER) and also remove the requirement for the CER to publish aggregate information</w:t>
      </w:r>
      <w:r w:rsidRPr="008926A3">
        <w:t xml:space="preserve"> </w:t>
      </w:r>
      <w:r>
        <w:t>on the out-of-pocket</w:t>
      </w:r>
      <w:r w:rsidR="00050BA7">
        <w:t xml:space="preserve"> </w:t>
      </w:r>
      <w:r>
        <w:t>expenses; and</w:t>
      </w:r>
    </w:p>
    <w:p w:rsidR="00F75E4E" w:rsidRDefault="00F75E4E" w:rsidP="004E5868">
      <w:pPr>
        <w:widowControl/>
        <w:numPr>
          <w:ilvl w:val="1"/>
          <w:numId w:val="34"/>
        </w:numPr>
        <w:autoSpaceDE/>
        <w:autoSpaceDN/>
        <w:adjustRightInd/>
        <w:spacing w:before="100" w:beforeAutospacing="1" w:after="120" w:line="240" w:lineRule="atLeast"/>
        <w:ind w:left="1134"/>
      </w:pPr>
      <w:r>
        <w:t>remove the requirement that persons creating certificates in relation to installations of  small-scale renewable energy systems to provide specified information relating to annual generation returns;</w:t>
      </w:r>
    </w:p>
    <w:p w:rsidR="00F75E4E" w:rsidRDefault="00F75E4E" w:rsidP="00752B08">
      <w:pPr>
        <w:numPr>
          <w:ilvl w:val="0"/>
          <w:numId w:val="33"/>
        </w:numPr>
        <w:spacing w:before="0" w:after="0"/>
        <w:ind w:left="714" w:hanging="357"/>
      </w:pPr>
      <w:r>
        <w:t>prescribe</w:t>
      </w:r>
      <w:r w:rsidR="00BB7AE7">
        <w:t>s</w:t>
      </w:r>
      <w:r w:rsidR="006D57A2">
        <w:t xml:space="preserve"> a new e</w:t>
      </w:r>
      <w:r w:rsidR="00095810">
        <w:t>missions-</w:t>
      </w:r>
      <w:r w:rsidR="006D57A2">
        <w:t>i</w:t>
      </w:r>
      <w:r w:rsidR="00095810">
        <w:t>ntensive</w:t>
      </w:r>
      <w:r w:rsidR="0089575D">
        <w:t xml:space="preserve"> </w:t>
      </w:r>
      <w:r w:rsidR="006D57A2">
        <w:t>t</w:t>
      </w:r>
      <w:r w:rsidR="00095810">
        <w:t>rade</w:t>
      </w:r>
      <w:r w:rsidR="0089575D">
        <w:t>-</w:t>
      </w:r>
      <w:r w:rsidR="006D57A2">
        <w:t>e</w:t>
      </w:r>
      <w:r w:rsidR="00095810">
        <w:t>xposed (EITE)</w:t>
      </w:r>
      <w:r>
        <w:t xml:space="preserve"> activity,</w:t>
      </w:r>
      <w:r w:rsidRPr="00F44181">
        <w:t xml:space="preserve"> </w:t>
      </w:r>
      <w:r w:rsidRPr="00552D77">
        <w:t>dried distillers grains with solubles</w:t>
      </w:r>
      <w:r w:rsidR="0089575D">
        <w:t>;</w:t>
      </w:r>
      <w:r>
        <w:t xml:space="preserve"> and</w:t>
      </w:r>
    </w:p>
    <w:p w:rsidR="00F75E4E" w:rsidRDefault="00F75E4E" w:rsidP="00752B08">
      <w:pPr>
        <w:numPr>
          <w:ilvl w:val="0"/>
          <w:numId w:val="33"/>
        </w:numPr>
        <w:spacing w:before="0" w:after="0"/>
        <w:ind w:left="714" w:hanging="357"/>
      </w:pPr>
      <w:r>
        <w:t>make</w:t>
      </w:r>
      <w:r w:rsidR="00BB7AE7">
        <w:t>s</w:t>
      </w:r>
      <w:r>
        <w:t xml:space="preserve"> minor technical amendments to address </w:t>
      </w:r>
      <w:r w:rsidR="00854076">
        <w:t xml:space="preserve">an inflexibility in the Partial Exemption Certificate application process and </w:t>
      </w:r>
      <w:r>
        <w:t>anomalies in the calculation of the amounts of partial exemptions from RET liability for EITE activities under certain circumstances.</w:t>
      </w:r>
    </w:p>
    <w:p w:rsidR="00095810" w:rsidRDefault="00095810" w:rsidP="007B4484">
      <w:pPr>
        <w:spacing w:before="120" w:after="120"/>
        <w:rPr>
          <w:b/>
        </w:rPr>
      </w:pPr>
    </w:p>
    <w:p w:rsidR="007B4484" w:rsidRPr="00E4135E" w:rsidRDefault="007B4484" w:rsidP="007B4484">
      <w:pPr>
        <w:spacing w:before="120" w:after="120"/>
        <w:rPr>
          <w:b/>
        </w:rPr>
      </w:pPr>
      <w:r w:rsidRPr="00E4135E">
        <w:rPr>
          <w:b/>
        </w:rPr>
        <w:t>Human rights implications</w:t>
      </w:r>
    </w:p>
    <w:p w:rsidR="007B4484" w:rsidRPr="00E4135E" w:rsidRDefault="007B4484" w:rsidP="007B4484">
      <w:pPr>
        <w:spacing w:before="120" w:after="120"/>
      </w:pPr>
      <w:r>
        <w:t xml:space="preserve">This </w:t>
      </w:r>
      <w:r w:rsidRPr="00E4135E">
        <w:t>Legislative Instrument does not engage any of the applicable rights or freedoms.</w:t>
      </w:r>
    </w:p>
    <w:p w:rsidR="007B4484" w:rsidRPr="00E4135E" w:rsidRDefault="007B4484" w:rsidP="007B4484">
      <w:pPr>
        <w:spacing w:before="120" w:after="120"/>
      </w:pPr>
    </w:p>
    <w:p w:rsidR="004E5868" w:rsidRDefault="004E5868" w:rsidP="007B4484">
      <w:pPr>
        <w:spacing w:before="120" w:after="120"/>
        <w:rPr>
          <w:b/>
        </w:rPr>
      </w:pPr>
    </w:p>
    <w:p w:rsidR="007B4484" w:rsidRPr="00E4135E" w:rsidRDefault="007B4484" w:rsidP="007B4484">
      <w:pPr>
        <w:spacing w:before="120" w:after="120"/>
        <w:rPr>
          <w:b/>
        </w:rPr>
      </w:pPr>
      <w:r w:rsidRPr="00E4135E">
        <w:rPr>
          <w:b/>
        </w:rPr>
        <w:lastRenderedPageBreak/>
        <w:t>Conclusion</w:t>
      </w:r>
    </w:p>
    <w:p w:rsidR="00EE443D" w:rsidRDefault="007B4484" w:rsidP="008E328C">
      <w:pPr>
        <w:spacing w:before="120" w:after="120"/>
      </w:pPr>
      <w:r>
        <w:t xml:space="preserve">This </w:t>
      </w:r>
      <w:r w:rsidRPr="00E4135E">
        <w:t>Legislative Instrument is compatible with human rights as it does not raise any human rights issues.</w:t>
      </w:r>
    </w:p>
    <w:p w:rsidR="008E328C" w:rsidRDefault="00396867" w:rsidP="008E328C">
      <w:pPr>
        <w:spacing w:before="120" w:after="120"/>
        <w:jc w:val="center"/>
        <w:rPr>
          <w:b/>
        </w:rPr>
      </w:pPr>
      <w:r>
        <w:rPr>
          <w:b/>
        </w:rPr>
        <w:t>Yvette D’Ath</w:t>
      </w:r>
    </w:p>
    <w:p w:rsidR="008E328C" w:rsidRDefault="00396867" w:rsidP="008E328C">
      <w:pPr>
        <w:spacing w:before="120" w:after="120"/>
        <w:jc w:val="center"/>
      </w:pPr>
      <w:r>
        <w:rPr>
          <w:b/>
        </w:rPr>
        <w:t>Parliamentary Secretary</w:t>
      </w:r>
      <w:r w:rsidR="008E328C">
        <w:rPr>
          <w:b/>
        </w:rPr>
        <w:t xml:space="preserve"> for Climate Change, </w:t>
      </w:r>
      <w:r w:rsidR="00EA0D0A">
        <w:rPr>
          <w:b/>
        </w:rPr>
        <w:t>Industry and Innovation</w:t>
      </w:r>
    </w:p>
    <w:p w:rsidR="008E328C" w:rsidRDefault="008E328C" w:rsidP="008E328C">
      <w:pPr>
        <w:spacing w:before="120" w:after="120"/>
      </w:pPr>
    </w:p>
    <w:p w:rsidR="008F0FD1" w:rsidRPr="00EE443D" w:rsidRDefault="008F0FD1" w:rsidP="0068102B">
      <w:pPr>
        <w:spacing w:before="0" w:after="0"/>
      </w:pPr>
    </w:p>
    <w:sectPr w:rsidR="008F0FD1" w:rsidRPr="00EE443D" w:rsidSect="00316593">
      <w:headerReference w:type="even" r:id="rId9"/>
      <w:headerReference w:type="default" r:id="rId10"/>
      <w:footerReference w:type="even" r:id="rId11"/>
      <w:footerReference w:type="default" r:id="rId12"/>
      <w:pgSz w:w="11906" w:h="16838" w:code="9"/>
      <w:pgMar w:top="1440" w:right="1274" w:bottom="1134" w:left="1440"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76" w:rsidRDefault="00205176">
      <w:r>
        <w:separator/>
      </w:r>
    </w:p>
  </w:endnote>
  <w:endnote w:type="continuationSeparator" w:id="0">
    <w:p w:rsidR="00205176" w:rsidRDefault="0020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76" w:rsidRDefault="00205176" w:rsidP="001D0B1A">
    <w:pPr>
      <w:pStyle w:val="SecurityClassificationFooter"/>
    </w:pPr>
    <w:r>
      <w:fldChar w:fldCharType="begin"/>
    </w:r>
    <w:r>
      <w:instrText xml:space="preserve"> DOCPROPERTY SecurityClassification \* MERGEFORMAT </w:instrText>
    </w:r>
    <w:r>
      <w:fldChar w:fldCharType="separate"/>
    </w:r>
    <w:r w:rsidR="002347A0">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76" w:rsidRDefault="00205176">
    <w:pPr>
      <w:pStyle w:val="Footer"/>
    </w:pPr>
    <w:r>
      <w:rPr>
        <w:rStyle w:val="PageNumber"/>
      </w:rPr>
      <w:fldChar w:fldCharType="begin"/>
    </w:r>
    <w:r>
      <w:rPr>
        <w:rStyle w:val="PageNumber"/>
      </w:rPr>
      <w:instrText xml:space="preserve"> PAGE </w:instrText>
    </w:r>
    <w:r>
      <w:rPr>
        <w:rStyle w:val="PageNumber"/>
      </w:rPr>
      <w:fldChar w:fldCharType="separate"/>
    </w:r>
    <w:r w:rsidR="004076D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76" w:rsidRDefault="00205176">
      <w:r>
        <w:separator/>
      </w:r>
    </w:p>
  </w:footnote>
  <w:footnote w:type="continuationSeparator" w:id="0">
    <w:p w:rsidR="00205176" w:rsidRDefault="00205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76" w:rsidRDefault="00205176" w:rsidP="001D0B1A">
    <w:pPr>
      <w:pStyle w:val="SecurityClassificationHeader"/>
    </w:pPr>
    <w:r>
      <w:fldChar w:fldCharType="begin"/>
    </w:r>
    <w:r>
      <w:instrText xml:space="preserve"> DOCPROPERTY SecurityClassification \* MERGEFORMAT </w:instrText>
    </w:r>
    <w:r>
      <w:fldChar w:fldCharType="separate"/>
    </w:r>
    <w:r w:rsidR="002347A0">
      <w:rPr>
        <w:b w:val="0"/>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76" w:rsidRDefault="00205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2890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ABC64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82E3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249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7693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3609C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2C38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71C1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4805F8E"/>
    <w:lvl w:ilvl="0">
      <w:start w:val="1"/>
      <w:numFmt w:val="decimal"/>
      <w:pStyle w:val="ListNumber"/>
      <w:lvlText w:val="%1."/>
      <w:lvlJc w:val="left"/>
      <w:pPr>
        <w:tabs>
          <w:tab w:val="num" w:pos="360"/>
        </w:tabs>
        <w:ind w:left="360" w:hanging="360"/>
      </w:pPr>
    </w:lvl>
  </w:abstractNum>
  <w:abstractNum w:abstractNumId="9">
    <w:nsid w:val="FFFFFF89"/>
    <w:multiLevelType w:val="singleLevel"/>
    <w:tmpl w:val="51C42F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E4F49"/>
    <w:multiLevelType w:val="multilevel"/>
    <w:tmpl w:val="48D8E93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497EC6"/>
    <w:multiLevelType w:val="hybridMultilevel"/>
    <w:tmpl w:val="3516F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D18790E"/>
    <w:multiLevelType w:val="hybridMultilevel"/>
    <w:tmpl w:val="A35CA836"/>
    <w:lvl w:ilvl="0" w:tplc="E9C4CC68">
      <w:numFmt w:val="bullet"/>
      <w:lvlText w:val="-"/>
      <w:lvlJc w:val="left"/>
      <w:pPr>
        <w:ind w:left="720" w:hanging="360"/>
      </w:pPr>
      <w:rPr>
        <w:rFonts w:ascii="Times New Roman" w:eastAsia="Times New Roman" w:hAnsi="Times New Roman" w:cs="Times New Roman" w:hint="default"/>
      </w:rPr>
    </w:lvl>
    <w:lvl w:ilvl="1" w:tplc="50DA40FA">
      <w:start w:val="1"/>
      <w:numFmt w:val="bullet"/>
      <w:lvlText w:val="o"/>
      <w:lvlJc w:val="left"/>
      <w:pPr>
        <w:ind w:left="1440" w:hanging="360"/>
      </w:pPr>
      <w:rPr>
        <w:rFonts w:ascii="Courier New" w:hAnsi="Courier New" w:cs="Courier New" w:hint="default"/>
      </w:rPr>
    </w:lvl>
    <w:lvl w:ilvl="2" w:tplc="2DEC2DFE" w:tentative="1">
      <w:start w:val="1"/>
      <w:numFmt w:val="bullet"/>
      <w:lvlText w:val=""/>
      <w:lvlJc w:val="left"/>
      <w:pPr>
        <w:ind w:left="2160" w:hanging="360"/>
      </w:pPr>
      <w:rPr>
        <w:rFonts w:ascii="Wingdings" w:hAnsi="Wingdings" w:hint="default"/>
      </w:rPr>
    </w:lvl>
    <w:lvl w:ilvl="3" w:tplc="F4FC24BE" w:tentative="1">
      <w:start w:val="1"/>
      <w:numFmt w:val="bullet"/>
      <w:lvlText w:val=""/>
      <w:lvlJc w:val="left"/>
      <w:pPr>
        <w:ind w:left="2880" w:hanging="360"/>
      </w:pPr>
      <w:rPr>
        <w:rFonts w:ascii="Symbol" w:hAnsi="Symbol" w:hint="default"/>
      </w:rPr>
    </w:lvl>
    <w:lvl w:ilvl="4" w:tplc="18D4D1C2" w:tentative="1">
      <w:start w:val="1"/>
      <w:numFmt w:val="bullet"/>
      <w:lvlText w:val="o"/>
      <w:lvlJc w:val="left"/>
      <w:pPr>
        <w:ind w:left="3600" w:hanging="360"/>
      </w:pPr>
      <w:rPr>
        <w:rFonts w:ascii="Courier New" w:hAnsi="Courier New" w:cs="Courier New" w:hint="default"/>
      </w:rPr>
    </w:lvl>
    <w:lvl w:ilvl="5" w:tplc="95D8130E" w:tentative="1">
      <w:start w:val="1"/>
      <w:numFmt w:val="bullet"/>
      <w:lvlText w:val=""/>
      <w:lvlJc w:val="left"/>
      <w:pPr>
        <w:ind w:left="4320" w:hanging="360"/>
      </w:pPr>
      <w:rPr>
        <w:rFonts w:ascii="Wingdings" w:hAnsi="Wingdings" w:hint="default"/>
      </w:rPr>
    </w:lvl>
    <w:lvl w:ilvl="6" w:tplc="86644DA4" w:tentative="1">
      <w:start w:val="1"/>
      <w:numFmt w:val="bullet"/>
      <w:lvlText w:val=""/>
      <w:lvlJc w:val="left"/>
      <w:pPr>
        <w:ind w:left="5040" w:hanging="360"/>
      </w:pPr>
      <w:rPr>
        <w:rFonts w:ascii="Symbol" w:hAnsi="Symbol" w:hint="default"/>
      </w:rPr>
    </w:lvl>
    <w:lvl w:ilvl="7" w:tplc="16286624" w:tentative="1">
      <w:start w:val="1"/>
      <w:numFmt w:val="bullet"/>
      <w:lvlText w:val="o"/>
      <w:lvlJc w:val="left"/>
      <w:pPr>
        <w:ind w:left="5760" w:hanging="360"/>
      </w:pPr>
      <w:rPr>
        <w:rFonts w:ascii="Courier New" w:hAnsi="Courier New" w:cs="Courier New" w:hint="default"/>
      </w:rPr>
    </w:lvl>
    <w:lvl w:ilvl="8" w:tplc="F19A669E" w:tentative="1">
      <w:start w:val="1"/>
      <w:numFmt w:val="bullet"/>
      <w:lvlText w:val=""/>
      <w:lvlJc w:val="left"/>
      <w:pPr>
        <w:ind w:left="6480" w:hanging="360"/>
      </w:pPr>
      <w:rPr>
        <w:rFonts w:ascii="Wingdings" w:hAnsi="Wingdings" w:hint="default"/>
      </w:rPr>
    </w:lvl>
  </w:abstractNum>
  <w:abstractNum w:abstractNumId="13">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4">
    <w:nsid w:val="183904C8"/>
    <w:multiLevelType w:val="singleLevel"/>
    <w:tmpl w:val="33A005EE"/>
    <w:name w:val="StandardNumberedParagraphList"/>
    <w:lvl w:ilvl="0">
      <w:start w:val="3"/>
      <w:numFmt w:val="decimal"/>
      <w:pStyle w:val="NumberedParagraph"/>
      <w:lvlText w:val="%1."/>
      <w:lvlJc w:val="left"/>
      <w:pPr>
        <w:tabs>
          <w:tab w:val="num" w:pos="567"/>
        </w:tabs>
        <w:ind w:left="0" w:firstLine="0"/>
      </w:pPr>
    </w:lvl>
  </w:abstractNum>
  <w:abstractNum w:abstractNumId="15">
    <w:nsid w:val="191F609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A245330"/>
    <w:multiLevelType w:val="multilevel"/>
    <w:tmpl w:val="611CEEC2"/>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D857E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437A5B"/>
    <w:multiLevelType w:val="hybridMultilevel"/>
    <w:tmpl w:val="B1EC2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28B3586"/>
    <w:multiLevelType w:val="hybridMultilevel"/>
    <w:tmpl w:val="BF3016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AC6B01"/>
    <w:multiLevelType w:val="hybridMultilevel"/>
    <w:tmpl w:val="82A68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B653BA"/>
    <w:multiLevelType w:val="multilevel"/>
    <w:tmpl w:val="2E562912"/>
    <w:lvl w:ilvl="0">
      <w:start w:val="1"/>
      <w:numFmt w:val="bullet"/>
      <w:lvlText w:val="•"/>
      <w:lvlJc w:val="left"/>
      <w:pPr>
        <w:tabs>
          <w:tab w:val="num" w:pos="993"/>
        </w:tabs>
        <w:ind w:left="993"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D068CB"/>
    <w:multiLevelType w:val="hybridMultilevel"/>
    <w:tmpl w:val="1938C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2653F2"/>
    <w:multiLevelType w:val="hybridMultilevel"/>
    <w:tmpl w:val="4F96B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F702A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5BD6E8E"/>
    <w:multiLevelType w:val="hybridMultilevel"/>
    <w:tmpl w:val="E2509D5A"/>
    <w:lvl w:ilvl="0" w:tplc="0B54EB64">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nsid w:val="5C35339F"/>
    <w:multiLevelType w:val="hybridMultilevel"/>
    <w:tmpl w:val="1C960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6E067F9"/>
    <w:multiLevelType w:val="hybridMultilevel"/>
    <w:tmpl w:val="07267AF2"/>
    <w:lvl w:ilvl="0" w:tplc="FFFFFFFF">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3F6AB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0314FC9"/>
    <w:multiLevelType w:val="hybridMultilevel"/>
    <w:tmpl w:val="393860B2"/>
    <w:lvl w:ilvl="0" w:tplc="FFFFFFFF">
      <w:numFmt w:val="bullet"/>
      <w:lvlText w:val="-"/>
      <w:lvlJc w:val="left"/>
      <w:pPr>
        <w:ind w:left="720" w:hanging="360"/>
      </w:pPr>
      <w:rPr>
        <w:rFonts w:ascii="Times New Roman" w:eastAsia="Times New Roman" w:hAnsi="Times New Roman" w:cs="Times New Roman" w:hint="default"/>
      </w:rPr>
    </w:lvl>
    <w:lvl w:ilvl="1" w:tplc="E9C4CC6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782570"/>
    <w:multiLevelType w:val="hybridMultilevel"/>
    <w:tmpl w:val="CC9C32FE"/>
    <w:lvl w:ilvl="0" w:tplc="83781E9C">
      <w:numFmt w:val="bullet"/>
      <w:lvlText w:val="—"/>
      <w:lvlJc w:val="left"/>
      <w:pPr>
        <w:ind w:left="-70" w:hanging="360"/>
      </w:pPr>
      <w:rPr>
        <w:rFonts w:ascii="Times New Roman" w:eastAsia="Times New Roman" w:hAnsi="Times New Roman" w:cs="Times New Roman"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abstractNumId w:val="15"/>
  </w:num>
  <w:num w:numId="2">
    <w:abstractNumId w:val="28"/>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0"/>
  </w:num>
  <w:num w:numId="17">
    <w:abstractNumId w:val="10"/>
  </w:num>
  <w:num w:numId="18">
    <w:abstractNumId w:val="26"/>
  </w:num>
  <w:num w:numId="19">
    <w:abstractNumId w:val="16"/>
  </w:num>
  <w:num w:numId="20">
    <w:abstractNumId w:val="20"/>
  </w:num>
  <w:num w:numId="21">
    <w:abstractNumId w:val="22"/>
  </w:num>
  <w:num w:numId="22">
    <w:abstractNumId w:val="23"/>
  </w:num>
  <w:num w:numId="23">
    <w:abstractNumId w:val="30"/>
  </w:num>
  <w:num w:numId="24">
    <w:abstractNumId w:val="17"/>
  </w:num>
  <w:num w:numId="2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8"/>
  </w:num>
  <w:num w:numId="30">
    <w:abstractNumId w:val="11"/>
  </w:num>
  <w:num w:numId="31">
    <w:abstractNumId w:val="13"/>
  </w:num>
  <w:num w:numId="32">
    <w:abstractNumId w:val="12"/>
  </w:num>
  <w:num w:numId="33">
    <w:abstractNumId w:val="2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7205DA"/>
    <w:rsid w:val="0000142C"/>
    <w:rsid w:val="00001B2B"/>
    <w:rsid w:val="000020B5"/>
    <w:rsid w:val="000028E2"/>
    <w:rsid w:val="000142E6"/>
    <w:rsid w:val="00015121"/>
    <w:rsid w:val="00015DEB"/>
    <w:rsid w:val="00016658"/>
    <w:rsid w:val="00016704"/>
    <w:rsid w:val="000175BF"/>
    <w:rsid w:val="000205F4"/>
    <w:rsid w:val="0002177E"/>
    <w:rsid w:val="00023557"/>
    <w:rsid w:val="00024D6B"/>
    <w:rsid w:val="000253E1"/>
    <w:rsid w:val="00025CB5"/>
    <w:rsid w:val="00026B69"/>
    <w:rsid w:val="000300E1"/>
    <w:rsid w:val="00034692"/>
    <w:rsid w:val="000354B2"/>
    <w:rsid w:val="00035CD5"/>
    <w:rsid w:val="00035F05"/>
    <w:rsid w:val="00036DCA"/>
    <w:rsid w:val="00040463"/>
    <w:rsid w:val="000405D8"/>
    <w:rsid w:val="00041515"/>
    <w:rsid w:val="000433D8"/>
    <w:rsid w:val="0004693A"/>
    <w:rsid w:val="00046B80"/>
    <w:rsid w:val="00047022"/>
    <w:rsid w:val="0004746E"/>
    <w:rsid w:val="00050BA7"/>
    <w:rsid w:val="00055093"/>
    <w:rsid w:val="00055B3B"/>
    <w:rsid w:val="00056417"/>
    <w:rsid w:val="000570C5"/>
    <w:rsid w:val="00057B41"/>
    <w:rsid w:val="000602F5"/>
    <w:rsid w:val="00062F98"/>
    <w:rsid w:val="00066436"/>
    <w:rsid w:val="000675BC"/>
    <w:rsid w:val="00067611"/>
    <w:rsid w:val="00067F8C"/>
    <w:rsid w:val="00071661"/>
    <w:rsid w:val="00071E08"/>
    <w:rsid w:val="00073A17"/>
    <w:rsid w:val="00073BB3"/>
    <w:rsid w:val="00076A1F"/>
    <w:rsid w:val="00077D91"/>
    <w:rsid w:val="00080027"/>
    <w:rsid w:val="00082683"/>
    <w:rsid w:val="000834C8"/>
    <w:rsid w:val="0008412A"/>
    <w:rsid w:val="00086A82"/>
    <w:rsid w:val="000876AE"/>
    <w:rsid w:val="00087EC3"/>
    <w:rsid w:val="000947A1"/>
    <w:rsid w:val="00095810"/>
    <w:rsid w:val="00095949"/>
    <w:rsid w:val="00097515"/>
    <w:rsid w:val="000A039E"/>
    <w:rsid w:val="000A0EB4"/>
    <w:rsid w:val="000A17B8"/>
    <w:rsid w:val="000A22D5"/>
    <w:rsid w:val="000A3C2B"/>
    <w:rsid w:val="000A66C6"/>
    <w:rsid w:val="000B18A4"/>
    <w:rsid w:val="000B2788"/>
    <w:rsid w:val="000B3F80"/>
    <w:rsid w:val="000C10BF"/>
    <w:rsid w:val="000C1909"/>
    <w:rsid w:val="000C322B"/>
    <w:rsid w:val="000C437C"/>
    <w:rsid w:val="000C7A06"/>
    <w:rsid w:val="000C7C70"/>
    <w:rsid w:val="000D0F02"/>
    <w:rsid w:val="000D2E41"/>
    <w:rsid w:val="000D4C4F"/>
    <w:rsid w:val="000D630D"/>
    <w:rsid w:val="000E199E"/>
    <w:rsid w:val="000E1F50"/>
    <w:rsid w:val="000E556D"/>
    <w:rsid w:val="000E5A0C"/>
    <w:rsid w:val="000E62AA"/>
    <w:rsid w:val="000E62E3"/>
    <w:rsid w:val="000F0ED4"/>
    <w:rsid w:val="000F1587"/>
    <w:rsid w:val="000F337E"/>
    <w:rsid w:val="0010003F"/>
    <w:rsid w:val="00100510"/>
    <w:rsid w:val="00100842"/>
    <w:rsid w:val="00101367"/>
    <w:rsid w:val="00101CC2"/>
    <w:rsid w:val="00104877"/>
    <w:rsid w:val="00105ACD"/>
    <w:rsid w:val="00105C7F"/>
    <w:rsid w:val="00106DD1"/>
    <w:rsid w:val="00107003"/>
    <w:rsid w:val="00114D0E"/>
    <w:rsid w:val="001159A1"/>
    <w:rsid w:val="001212D4"/>
    <w:rsid w:val="00121F3C"/>
    <w:rsid w:val="00122D61"/>
    <w:rsid w:val="00122F01"/>
    <w:rsid w:val="00123184"/>
    <w:rsid w:val="00124300"/>
    <w:rsid w:val="001243EC"/>
    <w:rsid w:val="0013100E"/>
    <w:rsid w:val="001342EB"/>
    <w:rsid w:val="00135072"/>
    <w:rsid w:val="0013557E"/>
    <w:rsid w:val="0013749B"/>
    <w:rsid w:val="0014092E"/>
    <w:rsid w:val="00141011"/>
    <w:rsid w:val="00143619"/>
    <w:rsid w:val="00143E48"/>
    <w:rsid w:val="001453DD"/>
    <w:rsid w:val="00145508"/>
    <w:rsid w:val="001470F1"/>
    <w:rsid w:val="00147BA6"/>
    <w:rsid w:val="001503FD"/>
    <w:rsid w:val="00150A20"/>
    <w:rsid w:val="00152845"/>
    <w:rsid w:val="00152CF6"/>
    <w:rsid w:val="00153B9A"/>
    <w:rsid w:val="001559EB"/>
    <w:rsid w:val="00157D50"/>
    <w:rsid w:val="001613BE"/>
    <w:rsid w:val="00161B09"/>
    <w:rsid w:val="00163D34"/>
    <w:rsid w:val="001653E6"/>
    <w:rsid w:val="00165A39"/>
    <w:rsid w:val="0017012D"/>
    <w:rsid w:val="00170E53"/>
    <w:rsid w:val="00171736"/>
    <w:rsid w:val="00180726"/>
    <w:rsid w:val="00180962"/>
    <w:rsid w:val="00185157"/>
    <w:rsid w:val="00187E18"/>
    <w:rsid w:val="001914CD"/>
    <w:rsid w:val="0019372A"/>
    <w:rsid w:val="001941E8"/>
    <w:rsid w:val="00194BAF"/>
    <w:rsid w:val="00196197"/>
    <w:rsid w:val="001A13EC"/>
    <w:rsid w:val="001A3F62"/>
    <w:rsid w:val="001A40DB"/>
    <w:rsid w:val="001A4614"/>
    <w:rsid w:val="001A4B65"/>
    <w:rsid w:val="001A4D98"/>
    <w:rsid w:val="001A62D1"/>
    <w:rsid w:val="001A6B9C"/>
    <w:rsid w:val="001A7532"/>
    <w:rsid w:val="001A792C"/>
    <w:rsid w:val="001A7EA3"/>
    <w:rsid w:val="001B27BD"/>
    <w:rsid w:val="001B2839"/>
    <w:rsid w:val="001B37E8"/>
    <w:rsid w:val="001B3BD9"/>
    <w:rsid w:val="001B604C"/>
    <w:rsid w:val="001C2AA5"/>
    <w:rsid w:val="001C4A8C"/>
    <w:rsid w:val="001C5180"/>
    <w:rsid w:val="001D0B1A"/>
    <w:rsid w:val="001D0F7B"/>
    <w:rsid w:val="001D2269"/>
    <w:rsid w:val="001D474E"/>
    <w:rsid w:val="001D4B8C"/>
    <w:rsid w:val="001D4D37"/>
    <w:rsid w:val="001D50FE"/>
    <w:rsid w:val="001D55CC"/>
    <w:rsid w:val="001D7EF4"/>
    <w:rsid w:val="001E01B1"/>
    <w:rsid w:val="001E5628"/>
    <w:rsid w:val="001F05E8"/>
    <w:rsid w:val="001F092F"/>
    <w:rsid w:val="001F11A4"/>
    <w:rsid w:val="001F1F1B"/>
    <w:rsid w:val="001F2000"/>
    <w:rsid w:val="001F26B5"/>
    <w:rsid w:val="001F5029"/>
    <w:rsid w:val="001F5904"/>
    <w:rsid w:val="001F6003"/>
    <w:rsid w:val="001F63BE"/>
    <w:rsid w:val="001F6D53"/>
    <w:rsid w:val="001F7675"/>
    <w:rsid w:val="00200855"/>
    <w:rsid w:val="0020262E"/>
    <w:rsid w:val="00202A45"/>
    <w:rsid w:val="002049FC"/>
    <w:rsid w:val="00204B63"/>
    <w:rsid w:val="00205176"/>
    <w:rsid w:val="00205C2F"/>
    <w:rsid w:val="0021092F"/>
    <w:rsid w:val="00213ABB"/>
    <w:rsid w:val="002148FD"/>
    <w:rsid w:val="00215449"/>
    <w:rsid w:val="00215DCC"/>
    <w:rsid w:val="00216FA7"/>
    <w:rsid w:val="00220389"/>
    <w:rsid w:val="00221EFC"/>
    <w:rsid w:val="00223DF8"/>
    <w:rsid w:val="002247D0"/>
    <w:rsid w:val="0022537D"/>
    <w:rsid w:val="00225FDE"/>
    <w:rsid w:val="002277DE"/>
    <w:rsid w:val="00230098"/>
    <w:rsid w:val="00232944"/>
    <w:rsid w:val="00232B91"/>
    <w:rsid w:val="002342D6"/>
    <w:rsid w:val="002347A0"/>
    <w:rsid w:val="00234BF1"/>
    <w:rsid w:val="00235520"/>
    <w:rsid w:val="0023775D"/>
    <w:rsid w:val="002408F9"/>
    <w:rsid w:val="002453F2"/>
    <w:rsid w:val="002468B0"/>
    <w:rsid w:val="00246F01"/>
    <w:rsid w:val="00254433"/>
    <w:rsid w:val="0025570C"/>
    <w:rsid w:val="0025683B"/>
    <w:rsid w:val="00260F0F"/>
    <w:rsid w:val="0026191C"/>
    <w:rsid w:val="00261BF6"/>
    <w:rsid w:val="00262FCA"/>
    <w:rsid w:val="00265909"/>
    <w:rsid w:val="0026665F"/>
    <w:rsid w:val="0027078F"/>
    <w:rsid w:val="0027378E"/>
    <w:rsid w:val="00273881"/>
    <w:rsid w:val="00274CF6"/>
    <w:rsid w:val="00274D2A"/>
    <w:rsid w:val="00277C9A"/>
    <w:rsid w:val="00282858"/>
    <w:rsid w:val="002832E9"/>
    <w:rsid w:val="00284901"/>
    <w:rsid w:val="00286842"/>
    <w:rsid w:val="002878DE"/>
    <w:rsid w:val="0029108F"/>
    <w:rsid w:val="00294997"/>
    <w:rsid w:val="002963AB"/>
    <w:rsid w:val="00296CCF"/>
    <w:rsid w:val="002979E3"/>
    <w:rsid w:val="002A10A4"/>
    <w:rsid w:val="002A1D84"/>
    <w:rsid w:val="002A256C"/>
    <w:rsid w:val="002A2891"/>
    <w:rsid w:val="002A4B4B"/>
    <w:rsid w:val="002A6862"/>
    <w:rsid w:val="002A7020"/>
    <w:rsid w:val="002B0D8A"/>
    <w:rsid w:val="002B1FE2"/>
    <w:rsid w:val="002B24BE"/>
    <w:rsid w:val="002B6DBA"/>
    <w:rsid w:val="002B7230"/>
    <w:rsid w:val="002C0451"/>
    <w:rsid w:val="002C07E0"/>
    <w:rsid w:val="002C35EC"/>
    <w:rsid w:val="002C4E25"/>
    <w:rsid w:val="002C5FA8"/>
    <w:rsid w:val="002D3171"/>
    <w:rsid w:val="002D334B"/>
    <w:rsid w:val="002D51A8"/>
    <w:rsid w:val="002D53A1"/>
    <w:rsid w:val="002D5E5A"/>
    <w:rsid w:val="002D7B47"/>
    <w:rsid w:val="002D7EFA"/>
    <w:rsid w:val="002E0396"/>
    <w:rsid w:val="002E0D5B"/>
    <w:rsid w:val="002E2826"/>
    <w:rsid w:val="002E420F"/>
    <w:rsid w:val="002E6256"/>
    <w:rsid w:val="002F3072"/>
    <w:rsid w:val="002F3117"/>
    <w:rsid w:val="0030114C"/>
    <w:rsid w:val="00301CDF"/>
    <w:rsid w:val="0030555B"/>
    <w:rsid w:val="00305BE8"/>
    <w:rsid w:val="00314847"/>
    <w:rsid w:val="00314CD9"/>
    <w:rsid w:val="00315C9D"/>
    <w:rsid w:val="00316593"/>
    <w:rsid w:val="00316923"/>
    <w:rsid w:val="00316B28"/>
    <w:rsid w:val="0032396A"/>
    <w:rsid w:val="00324F01"/>
    <w:rsid w:val="00325659"/>
    <w:rsid w:val="00325BA2"/>
    <w:rsid w:val="0032746C"/>
    <w:rsid w:val="003305EE"/>
    <w:rsid w:val="0033249B"/>
    <w:rsid w:val="003328E2"/>
    <w:rsid w:val="00337711"/>
    <w:rsid w:val="00340001"/>
    <w:rsid w:val="003403FA"/>
    <w:rsid w:val="00341616"/>
    <w:rsid w:val="003421C8"/>
    <w:rsid w:val="0034422C"/>
    <w:rsid w:val="0034528D"/>
    <w:rsid w:val="00345311"/>
    <w:rsid w:val="003457D0"/>
    <w:rsid w:val="0034615F"/>
    <w:rsid w:val="00346429"/>
    <w:rsid w:val="00350B98"/>
    <w:rsid w:val="0035214B"/>
    <w:rsid w:val="00355537"/>
    <w:rsid w:val="0035564B"/>
    <w:rsid w:val="0035771F"/>
    <w:rsid w:val="00360B95"/>
    <w:rsid w:val="00361A6D"/>
    <w:rsid w:val="0036282B"/>
    <w:rsid w:val="00370911"/>
    <w:rsid w:val="00370DBD"/>
    <w:rsid w:val="00372BB2"/>
    <w:rsid w:val="00374964"/>
    <w:rsid w:val="0037643A"/>
    <w:rsid w:val="003772CB"/>
    <w:rsid w:val="00383B39"/>
    <w:rsid w:val="00386209"/>
    <w:rsid w:val="00392CA3"/>
    <w:rsid w:val="00393956"/>
    <w:rsid w:val="00394B10"/>
    <w:rsid w:val="00396862"/>
    <w:rsid w:val="00396867"/>
    <w:rsid w:val="00396E04"/>
    <w:rsid w:val="00397403"/>
    <w:rsid w:val="00397B50"/>
    <w:rsid w:val="003A1466"/>
    <w:rsid w:val="003A42DA"/>
    <w:rsid w:val="003A4F13"/>
    <w:rsid w:val="003A51D5"/>
    <w:rsid w:val="003A52E7"/>
    <w:rsid w:val="003A552E"/>
    <w:rsid w:val="003A7BB7"/>
    <w:rsid w:val="003B1E40"/>
    <w:rsid w:val="003B2326"/>
    <w:rsid w:val="003B42E0"/>
    <w:rsid w:val="003B65D2"/>
    <w:rsid w:val="003B722A"/>
    <w:rsid w:val="003B7749"/>
    <w:rsid w:val="003B7EBD"/>
    <w:rsid w:val="003C2D22"/>
    <w:rsid w:val="003C4AB3"/>
    <w:rsid w:val="003C50D3"/>
    <w:rsid w:val="003C50E0"/>
    <w:rsid w:val="003C5476"/>
    <w:rsid w:val="003C5C82"/>
    <w:rsid w:val="003C6421"/>
    <w:rsid w:val="003C6A26"/>
    <w:rsid w:val="003C771A"/>
    <w:rsid w:val="003D14B7"/>
    <w:rsid w:val="003D47CE"/>
    <w:rsid w:val="003D5065"/>
    <w:rsid w:val="003D5501"/>
    <w:rsid w:val="003D5800"/>
    <w:rsid w:val="003D735A"/>
    <w:rsid w:val="003E0A30"/>
    <w:rsid w:val="003E3541"/>
    <w:rsid w:val="003E43A3"/>
    <w:rsid w:val="003E4B74"/>
    <w:rsid w:val="003E66B5"/>
    <w:rsid w:val="003E7965"/>
    <w:rsid w:val="003E7EF1"/>
    <w:rsid w:val="003F03CA"/>
    <w:rsid w:val="003F0553"/>
    <w:rsid w:val="003F07FF"/>
    <w:rsid w:val="003F183B"/>
    <w:rsid w:val="003F1E17"/>
    <w:rsid w:val="003F1F12"/>
    <w:rsid w:val="003F39C0"/>
    <w:rsid w:val="003F610D"/>
    <w:rsid w:val="003F691D"/>
    <w:rsid w:val="003F6DD0"/>
    <w:rsid w:val="004004AF"/>
    <w:rsid w:val="00401999"/>
    <w:rsid w:val="00402556"/>
    <w:rsid w:val="00402F59"/>
    <w:rsid w:val="00403AF8"/>
    <w:rsid w:val="004076DB"/>
    <w:rsid w:val="00407EC1"/>
    <w:rsid w:val="00410AD2"/>
    <w:rsid w:val="00410E57"/>
    <w:rsid w:val="00416230"/>
    <w:rsid w:val="00421A44"/>
    <w:rsid w:val="00427B00"/>
    <w:rsid w:val="004326AD"/>
    <w:rsid w:val="00435E45"/>
    <w:rsid w:val="00436C9D"/>
    <w:rsid w:val="00437961"/>
    <w:rsid w:val="0044116A"/>
    <w:rsid w:val="00445396"/>
    <w:rsid w:val="004460A3"/>
    <w:rsid w:val="0044778A"/>
    <w:rsid w:val="00451E57"/>
    <w:rsid w:val="004521A2"/>
    <w:rsid w:val="004535A6"/>
    <w:rsid w:val="00454523"/>
    <w:rsid w:val="00454EC4"/>
    <w:rsid w:val="00460328"/>
    <w:rsid w:val="00464B49"/>
    <w:rsid w:val="00467633"/>
    <w:rsid w:val="0047182E"/>
    <w:rsid w:val="00473A7D"/>
    <w:rsid w:val="00473E42"/>
    <w:rsid w:val="0047549A"/>
    <w:rsid w:val="00480CFA"/>
    <w:rsid w:val="00480EC4"/>
    <w:rsid w:val="00482982"/>
    <w:rsid w:val="004851B4"/>
    <w:rsid w:val="00486F6E"/>
    <w:rsid w:val="00487C21"/>
    <w:rsid w:val="00487DBA"/>
    <w:rsid w:val="0049242A"/>
    <w:rsid w:val="00494502"/>
    <w:rsid w:val="004A0E37"/>
    <w:rsid w:val="004A130C"/>
    <w:rsid w:val="004A4006"/>
    <w:rsid w:val="004A5FCD"/>
    <w:rsid w:val="004A774F"/>
    <w:rsid w:val="004A77F6"/>
    <w:rsid w:val="004B0ED9"/>
    <w:rsid w:val="004B1360"/>
    <w:rsid w:val="004B2F6D"/>
    <w:rsid w:val="004B3F6B"/>
    <w:rsid w:val="004B4224"/>
    <w:rsid w:val="004B5BF9"/>
    <w:rsid w:val="004B5D64"/>
    <w:rsid w:val="004B6B82"/>
    <w:rsid w:val="004B6FE1"/>
    <w:rsid w:val="004B70A7"/>
    <w:rsid w:val="004B7166"/>
    <w:rsid w:val="004C2DBC"/>
    <w:rsid w:val="004C47DA"/>
    <w:rsid w:val="004C5F1E"/>
    <w:rsid w:val="004C715D"/>
    <w:rsid w:val="004D49E4"/>
    <w:rsid w:val="004E2F01"/>
    <w:rsid w:val="004E41F9"/>
    <w:rsid w:val="004E4221"/>
    <w:rsid w:val="004E5868"/>
    <w:rsid w:val="004E58A4"/>
    <w:rsid w:val="004E6E31"/>
    <w:rsid w:val="004E7DCC"/>
    <w:rsid w:val="004F0A0E"/>
    <w:rsid w:val="004F19E3"/>
    <w:rsid w:val="004F22A1"/>
    <w:rsid w:val="004F485B"/>
    <w:rsid w:val="004F4CA1"/>
    <w:rsid w:val="00501C95"/>
    <w:rsid w:val="005023A9"/>
    <w:rsid w:val="005054CE"/>
    <w:rsid w:val="00510234"/>
    <w:rsid w:val="00514988"/>
    <w:rsid w:val="00516F9F"/>
    <w:rsid w:val="005214CA"/>
    <w:rsid w:val="00523B10"/>
    <w:rsid w:val="00525EF7"/>
    <w:rsid w:val="00530B64"/>
    <w:rsid w:val="00531910"/>
    <w:rsid w:val="00533736"/>
    <w:rsid w:val="00534195"/>
    <w:rsid w:val="00537A7E"/>
    <w:rsid w:val="00540980"/>
    <w:rsid w:val="00545F91"/>
    <w:rsid w:val="00546FC0"/>
    <w:rsid w:val="005500AB"/>
    <w:rsid w:val="00550E83"/>
    <w:rsid w:val="005512F7"/>
    <w:rsid w:val="005521B8"/>
    <w:rsid w:val="00552D77"/>
    <w:rsid w:val="005535C2"/>
    <w:rsid w:val="00555FB7"/>
    <w:rsid w:val="00556602"/>
    <w:rsid w:val="00556D54"/>
    <w:rsid w:val="0056161C"/>
    <w:rsid w:val="005623F5"/>
    <w:rsid w:val="005629AC"/>
    <w:rsid w:val="00562FFC"/>
    <w:rsid w:val="00563962"/>
    <w:rsid w:val="005667A5"/>
    <w:rsid w:val="0056704E"/>
    <w:rsid w:val="00567BE1"/>
    <w:rsid w:val="005711AF"/>
    <w:rsid w:val="0057173B"/>
    <w:rsid w:val="005777F5"/>
    <w:rsid w:val="00580F5C"/>
    <w:rsid w:val="0058183D"/>
    <w:rsid w:val="0058398E"/>
    <w:rsid w:val="00586B83"/>
    <w:rsid w:val="00587DF1"/>
    <w:rsid w:val="005941B5"/>
    <w:rsid w:val="005A6412"/>
    <w:rsid w:val="005B3E83"/>
    <w:rsid w:val="005B43EE"/>
    <w:rsid w:val="005B7D36"/>
    <w:rsid w:val="005C0560"/>
    <w:rsid w:val="005C12A6"/>
    <w:rsid w:val="005C1697"/>
    <w:rsid w:val="005C6643"/>
    <w:rsid w:val="005D192A"/>
    <w:rsid w:val="005D1B49"/>
    <w:rsid w:val="005D1C94"/>
    <w:rsid w:val="005D1F07"/>
    <w:rsid w:val="005D375C"/>
    <w:rsid w:val="005D4FC2"/>
    <w:rsid w:val="005D674D"/>
    <w:rsid w:val="005E1BA5"/>
    <w:rsid w:val="005E1FE4"/>
    <w:rsid w:val="005E2C32"/>
    <w:rsid w:val="005E4D72"/>
    <w:rsid w:val="005F0503"/>
    <w:rsid w:val="005F1597"/>
    <w:rsid w:val="005F159A"/>
    <w:rsid w:val="005F3499"/>
    <w:rsid w:val="005F49E9"/>
    <w:rsid w:val="005F57A5"/>
    <w:rsid w:val="005F685E"/>
    <w:rsid w:val="005F7D16"/>
    <w:rsid w:val="006003C2"/>
    <w:rsid w:val="0060110D"/>
    <w:rsid w:val="00601243"/>
    <w:rsid w:val="00603669"/>
    <w:rsid w:val="00604257"/>
    <w:rsid w:val="00604915"/>
    <w:rsid w:val="00605668"/>
    <w:rsid w:val="00605C4E"/>
    <w:rsid w:val="00607488"/>
    <w:rsid w:val="00610F50"/>
    <w:rsid w:val="00613654"/>
    <w:rsid w:val="006146A6"/>
    <w:rsid w:val="00614E73"/>
    <w:rsid w:val="00614F07"/>
    <w:rsid w:val="006161DB"/>
    <w:rsid w:val="00616EC0"/>
    <w:rsid w:val="00620A35"/>
    <w:rsid w:val="00622033"/>
    <w:rsid w:val="00622FD6"/>
    <w:rsid w:val="006249EA"/>
    <w:rsid w:val="00625951"/>
    <w:rsid w:val="006259A6"/>
    <w:rsid w:val="006272E9"/>
    <w:rsid w:val="006309CA"/>
    <w:rsid w:val="00632788"/>
    <w:rsid w:val="00632889"/>
    <w:rsid w:val="00632D76"/>
    <w:rsid w:val="00633ABB"/>
    <w:rsid w:val="0063792F"/>
    <w:rsid w:val="00641BF2"/>
    <w:rsid w:val="00641FC7"/>
    <w:rsid w:val="00642D92"/>
    <w:rsid w:val="00643776"/>
    <w:rsid w:val="00644268"/>
    <w:rsid w:val="006458FD"/>
    <w:rsid w:val="006476C8"/>
    <w:rsid w:val="00651817"/>
    <w:rsid w:val="00651AC7"/>
    <w:rsid w:val="00651B90"/>
    <w:rsid w:val="00655759"/>
    <w:rsid w:val="00657311"/>
    <w:rsid w:val="00657BDB"/>
    <w:rsid w:val="00662B62"/>
    <w:rsid w:val="00666EE8"/>
    <w:rsid w:val="00670373"/>
    <w:rsid w:val="00670F0F"/>
    <w:rsid w:val="0067280E"/>
    <w:rsid w:val="006772A4"/>
    <w:rsid w:val="006802FB"/>
    <w:rsid w:val="0068102B"/>
    <w:rsid w:val="006813AC"/>
    <w:rsid w:val="0068166F"/>
    <w:rsid w:val="00681943"/>
    <w:rsid w:val="00684F73"/>
    <w:rsid w:val="00685650"/>
    <w:rsid w:val="00686BB6"/>
    <w:rsid w:val="006919A6"/>
    <w:rsid w:val="006921A5"/>
    <w:rsid w:val="00692E08"/>
    <w:rsid w:val="00694577"/>
    <w:rsid w:val="006956EB"/>
    <w:rsid w:val="00695FC2"/>
    <w:rsid w:val="006A1E7B"/>
    <w:rsid w:val="006A3484"/>
    <w:rsid w:val="006A3919"/>
    <w:rsid w:val="006A45DF"/>
    <w:rsid w:val="006A55FC"/>
    <w:rsid w:val="006A6629"/>
    <w:rsid w:val="006A7BBD"/>
    <w:rsid w:val="006B35A2"/>
    <w:rsid w:val="006B6AA1"/>
    <w:rsid w:val="006C0938"/>
    <w:rsid w:val="006C5455"/>
    <w:rsid w:val="006C693B"/>
    <w:rsid w:val="006C71CB"/>
    <w:rsid w:val="006D57A2"/>
    <w:rsid w:val="006D699F"/>
    <w:rsid w:val="006D7897"/>
    <w:rsid w:val="006E142C"/>
    <w:rsid w:val="006E189C"/>
    <w:rsid w:val="006E3DD7"/>
    <w:rsid w:val="006E6659"/>
    <w:rsid w:val="006F0DC3"/>
    <w:rsid w:val="006F1087"/>
    <w:rsid w:val="006F20BE"/>
    <w:rsid w:val="006F213E"/>
    <w:rsid w:val="006F2346"/>
    <w:rsid w:val="006F33E0"/>
    <w:rsid w:val="006F5F6B"/>
    <w:rsid w:val="006F763C"/>
    <w:rsid w:val="0070047B"/>
    <w:rsid w:val="00701360"/>
    <w:rsid w:val="00701680"/>
    <w:rsid w:val="00701F0E"/>
    <w:rsid w:val="00703126"/>
    <w:rsid w:val="00705438"/>
    <w:rsid w:val="0070568B"/>
    <w:rsid w:val="00706763"/>
    <w:rsid w:val="00707547"/>
    <w:rsid w:val="007146F0"/>
    <w:rsid w:val="00716406"/>
    <w:rsid w:val="00717AC2"/>
    <w:rsid w:val="007205DA"/>
    <w:rsid w:val="0072238E"/>
    <w:rsid w:val="007232B0"/>
    <w:rsid w:val="00725898"/>
    <w:rsid w:val="00726500"/>
    <w:rsid w:val="00731956"/>
    <w:rsid w:val="0073595B"/>
    <w:rsid w:val="00735EAB"/>
    <w:rsid w:val="00740B47"/>
    <w:rsid w:val="007444F5"/>
    <w:rsid w:val="00746685"/>
    <w:rsid w:val="00746D4E"/>
    <w:rsid w:val="007500D1"/>
    <w:rsid w:val="00752B08"/>
    <w:rsid w:val="007557B8"/>
    <w:rsid w:val="00755C1B"/>
    <w:rsid w:val="0075745F"/>
    <w:rsid w:val="00757B08"/>
    <w:rsid w:val="00760D83"/>
    <w:rsid w:val="00760EBE"/>
    <w:rsid w:val="007643D4"/>
    <w:rsid w:val="00764FDB"/>
    <w:rsid w:val="007656F2"/>
    <w:rsid w:val="00766A37"/>
    <w:rsid w:val="0076797D"/>
    <w:rsid w:val="00775B3D"/>
    <w:rsid w:val="00777FD6"/>
    <w:rsid w:val="00781F0D"/>
    <w:rsid w:val="0078443C"/>
    <w:rsid w:val="007851AF"/>
    <w:rsid w:val="007915BD"/>
    <w:rsid w:val="007950B0"/>
    <w:rsid w:val="00795385"/>
    <w:rsid w:val="007A0363"/>
    <w:rsid w:val="007A221B"/>
    <w:rsid w:val="007A3711"/>
    <w:rsid w:val="007A3DA0"/>
    <w:rsid w:val="007A7160"/>
    <w:rsid w:val="007A76EF"/>
    <w:rsid w:val="007B0327"/>
    <w:rsid w:val="007B2902"/>
    <w:rsid w:val="007B349D"/>
    <w:rsid w:val="007B3936"/>
    <w:rsid w:val="007B3958"/>
    <w:rsid w:val="007B3FFB"/>
    <w:rsid w:val="007B4484"/>
    <w:rsid w:val="007B6FA6"/>
    <w:rsid w:val="007C04FB"/>
    <w:rsid w:val="007C050B"/>
    <w:rsid w:val="007C1728"/>
    <w:rsid w:val="007C20FD"/>
    <w:rsid w:val="007C36B3"/>
    <w:rsid w:val="007C6E54"/>
    <w:rsid w:val="007D5160"/>
    <w:rsid w:val="007D5F4E"/>
    <w:rsid w:val="007D630A"/>
    <w:rsid w:val="007D6F9A"/>
    <w:rsid w:val="007E11D6"/>
    <w:rsid w:val="007E5FE6"/>
    <w:rsid w:val="007E6572"/>
    <w:rsid w:val="007F16B5"/>
    <w:rsid w:val="007F2D0B"/>
    <w:rsid w:val="007F674D"/>
    <w:rsid w:val="007F6D0D"/>
    <w:rsid w:val="00800762"/>
    <w:rsid w:val="008015A1"/>
    <w:rsid w:val="00801686"/>
    <w:rsid w:val="00802C46"/>
    <w:rsid w:val="0080704F"/>
    <w:rsid w:val="0080797D"/>
    <w:rsid w:val="00810D6B"/>
    <w:rsid w:val="00812F3B"/>
    <w:rsid w:val="008133F9"/>
    <w:rsid w:val="0081350A"/>
    <w:rsid w:val="00813F61"/>
    <w:rsid w:val="0081574F"/>
    <w:rsid w:val="0081654C"/>
    <w:rsid w:val="008172FA"/>
    <w:rsid w:val="008200BB"/>
    <w:rsid w:val="00823BCE"/>
    <w:rsid w:val="00825536"/>
    <w:rsid w:val="00826B75"/>
    <w:rsid w:val="0082738D"/>
    <w:rsid w:val="00827A7E"/>
    <w:rsid w:val="00827B2D"/>
    <w:rsid w:val="00831ABF"/>
    <w:rsid w:val="00831B33"/>
    <w:rsid w:val="00831DBD"/>
    <w:rsid w:val="008343A7"/>
    <w:rsid w:val="00842048"/>
    <w:rsid w:val="00844F78"/>
    <w:rsid w:val="00847255"/>
    <w:rsid w:val="00847D70"/>
    <w:rsid w:val="008508D4"/>
    <w:rsid w:val="00850E59"/>
    <w:rsid w:val="00851C7E"/>
    <w:rsid w:val="00854076"/>
    <w:rsid w:val="0085768B"/>
    <w:rsid w:val="00857F4D"/>
    <w:rsid w:val="00861383"/>
    <w:rsid w:val="00865043"/>
    <w:rsid w:val="00870399"/>
    <w:rsid w:val="008710AA"/>
    <w:rsid w:val="0087272F"/>
    <w:rsid w:val="00873E66"/>
    <w:rsid w:val="00874841"/>
    <w:rsid w:val="00881F28"/>
    <w:rsid w:val="00884ABA"/>
    <w:rsid w:val="008859E3"/>
    <w:rsid w:val="00886D6A"/>
    <w:rsid w:val="00887CCE"/>
    <w:rsid w:val="008916A9"/>
    <w:rsid w:val="00891AD1"/>
    <w:rsid w:val="00891F1F"/>
    <w:rsid w:val="008926A3"/>
    <w:rsid w:val="0089350F"/>
    <w:rsid w:val="008935AA"/>
    <w:rsid w:val="00893E0E"/>
    <w:rsid w:val="00893FCE"/>
    <w:rsid w:val="00894926"/>
    <w:rsid w:val="0089575D"/>
    <w:rsid w:val="008A3BEA"/>
    <w:rsid w:val="008A598A"/>
    <w:rsid w:val="008A62B0"/>
    <w:rsid w:val="008A7F80"/>
    <w:rsid w:val="008B2D98"/>
    <w:rsid w:val="008B347D"/>
    <w:rsid w:val="008B4660"/>
    <w:rsid w:val="008B6A95"/>
    <w:rsid w:val="008B77E9"/>
    <w:rsid w:val="008C0EE5"/>
    <w:rsid w:val="008C55B7"/>
    <w:rsid w:val="008C6170"/>
    <w:rsid w:val="008C6730"/>
    <w:rsid w:val="008D0031"/>
    <w:rsid w:val="008D1A83"/>
    <w:rsid w:val="008D2B60"/>
    <w:rsid w:val="008D48C6"/>
    <w:rsid w:val="008D68BD"/>
    <w:rsid w:val="008D7521"/>
    <w:rsid w:val="008E065B"/>
    <w:rsid w:val="008E2E4C"/>
    <w:rsid w:val="008E328C"/>
    <w:rsid w:val="008E3BBB"/>
    <w:rsid w:val="008F0FD1"/>
    <w:rsid w:val="008F1ABC"/>
    <w:rsid w:val="008F537C"/>
    <w:rsid w:val="008F5413"/>
    <w:rsid w:val="00902178"/>
    <w:rsid w:val="00911690"/>
    <w:rsid w:val="0091211B"/>
    <w:rsid w:val="00912D2F"/>
    <w:rsid w:val="00913231"/>
    <w:rsid w:val="009134B3"/>
    <w:rsid w:val="0091481F"/>
    <w:rsid w:val="00915679"/>
    <w:rsid w:val="00915B33"/>
    <w:rsid w:val="00915EB2"/>
    <w:rsid w:val="009173E6"/>
    <w:rsid w:val="009178B4"/>
    <w:rsid w:val="00925BBD"/>
    <w:rsid w:val="0092754F"/>
    <w:rsid w:val="009363FA"/>
    <w:rsid w:val="0093658D"/>
    <w:rsid w:val="0093747F"/>
    <w:rsid w:val="0094071A"/>
    <w:rsid w:val="00940CA3"/>
    <w:rsid w:val="00945F68"/>
    <w:rsid w:val="009463A6"/>
    <w:rsid w:val="00946A67"/>
    <w:rsid w:val="00947263"/>
    <w:rsid w:val="00947CFF"/>
    <w:rsid w:val="00947EBE"/>
    <w:rsid w:val="00951944"/>
    <w:rsid w:val="009521DA"/>
    <w:rsid w:val="0095294B"/>
    <w:rsid w:val="00953FFB"/>
    <w:rsid w:val="00961260"/>
    <w:rsid w:val="009616D3"/>
    <w:rsid w:val="00962EC2"/>
    <w:rsid w:val="00963300"/>
    <w:rsid w:val="009658B3"/>
    <w:rsid w:val="00965EC8"/>
    <w:rsid w:val="00970680"/>
    <w:rsid w:val="009712EC"/>
    <w:rsid w:val="00971C42"/>
    <w:rsid w:val="009728F8"/>
    <w:rsid w:val="0097487E"/>
    <w:rsid w:val="00974F80"/>
    <w:rsid w:val="00975E79"/>
    <w:rsid w:val="0097639E"/>
    <w:rsid w:val="0097745F"/>
    <w:rsid w:val="00977C59"/>
    <w:rsid w:val="00980164"/>
    <w:rsid w:val="00980837"/>
    <w:rsid w:val="00980D8D"/>
    <w:rsid w:val="00984ABE"/>
    <w:rsid w:val="00986A15"/>
    <w:rsid w:val="009872CA"/>
    <w:rsid w:val="009936FE"/>
    <w:rsid w:val="00994B57"/>
    <w:rsid w:val="00995DFF"/>
    <w:rsid w:val="009A0475"/>
    <w:rsid w:val="009A0AED"/>
    <w:rsid w:val="009A1731"/>
    <w:rsid w:val="009A254B"/>
    <w:rsid w:val="009A2836"/>
    <w:rsid w:val="009A32FD"/>
    <w:rsid w:val="009A3DE9"/>
    <w:rsid w:val="009A445B"/>
    <w:rsid w:val="009A499A"/>
    <w:rsid w:val="009A71E2"/>
    <w:rsid w:val="009A7621"/>
    <w:rsid w:val="009B00BB"/>
    <w:rsid w:val="009B0BC3"/>
    <w:rsid w:val="009B104A"/>
    <w:rsid w:val="009B197D"/>
    <w:rsid w:val="009B359E"/>
    <w:rsid w:val="009C121F"/>
    <w:rsid w:val="009C1565"/>
    <w:rsid w:val="009C4AF8"/>
    <w:rsid w:val="009C76CA"/>
    <w:rsid w:val="009C7C44"/>
    <w:rsid w:val="009C7ECB"/>
    <w:rsid w:val="009D156B"/>
    <w:rsid w:val="009D2FBE"/>
    <w:rsid w:val="009E0246"/>
    <w:rsid w:val="009E03BF"/>
    <w:rsid w:val="009E1265"/>
    <w:rsid w:val="009E6924"/>
    <w:rsid w:val="009E7B1B"/>
    <w:rsid w:val="009E7FE7"/>
    <w:rsid w:val="009F0210"/>
    <w:rsid w:val="009F1308"/>
    <w:rsid w:val="009F1D91"/>
    <w:rsid w:val="009F79B8"/>
    <w:rsid w:val="009F7CA1"/>
    <w:rsid w:val="00A00E12"/>
    <w:rsid w:val="00A022B2"/>
    <w:rsid w:val="00A022BE"/>
    <w:rsid w:val="00A0247B"/>
    <w:rsid w:val="00A025D0"/>
    <w:rsid w:val="00A0295C"/>
    <w:rsid w:val="00A03D35"/>
    <w:rsid w:val="00A05261"/>
    <w:rsid w:val="00A0561B"/>
    <w:rsid w:val="00A06B66"/>
    <w:rsid w:val="00A076B0"/>
    <w:rsid w:val="00A147A5"/>
    <w:rsid w:val="00A15339"/>
    <w:rsid w:val="00A15C21"/>
    <w:rsid w:val="00A175DD"/>
    <w:rsid w:val="00A178C9"/>
    <w:rsid w:val="00A21439"/>
    <w:rsid w:val="00A23956"/>
    <w:rsid w:val="00A23EDB"/>
    <w:rsid w:val="00A308AB"/>
    <w:rsid w:val="00A30E44"/>
    <w:rsid w:val="00A320A3"/>
    <w:rsid w:val="00A37001"/>
    <w:rsid w:val="00A37B85"/>
    <w:rsid w:val="00A45A0B"/>
    <w:rsid w:val="00A4609A"/>
    <w:rsid w:val="00A46C28"/>
    <w:rsid w:val="00A5453B"/>
    <w:rsid w:val="00A647CF"/>
    <w:rsid w:val="00A6552D"/>
    <w:rsid w:val="00A706B9"/>
    <w:rsid w:val="00A72AA7"/>
    <w:rsid w:val="00A7419A"/>
    <w:rsid w:val="00A755E5"/>
    <w:rsid w:val="00A760E5"/>
    <w:rsid w:val="00A7687F"/>
    <w:rsid w:val="00A77F62"/>
    <w:rsid w:val="00A81809"/>
    <w:rsid w:val="00A820D9"/>
    <w:rsid w:val="00A83B5B"/>
    <w:rsid w:val="00A85C8F"/>
    <w:rsid w:val="00A90833"/>
    <w:rsid w:val="00A921B6"/>
    <w:rsid w:val="00A94DF6"/>
    <w:rsid w:val="00AA39CD"/>
    <w:rsid w:val="00AA4AB7"/>
    <w:rsid w:val="00AA7A4B"/>
    <w:rsid w:val="00AA7DF7"/>
    <w:rsid w:val="00AB04AC"/>
    <w:rsid w:val="00AB4868"/>
    <w:rsid w:val="00AB5AAF"/>
    <w:rsid w:val="00AB74CD"/>
    <w:rsid w:val="00AB7AAE"/>
    <w:rsid w:val="00AB7AC8"/>
    <w:rsid w:val="00AC1419"/>
    <w:rsid w:val="00AC2E15"/>
    <w:rsid w:val="00AC4302"/>
    <w:rsid w:val="00AC5F13"/>
    <w:rsid w:val="00AD40E7"/>
    <w:rsid w:val="00AE0997"/>
    <w:rsid w:val="00AE162F"/>
    <w:rsid w:val="00AE196E"/>
    <w:rsid w:val="00AE40AC"/>
    <w:rsid w:val="00AF001E"/>
    <w:rsid w:val="00AF04CB"/>
    <w:rsid w:val="00AF2F15"/>
    <w:rsid w:val="00AF4762"/>
    <w:rsid w:val="00B000EE"/>
    <w:rsid w:val="00B00465"/>
    <w:rsid w:val="00B01A9B"/>
    <w:rsid w:val="00B0657E"/>
    <w:rsid w:val="00B0676E"/>
    <w:rsid w:val="00B06DA3"/>
    <w:rsid w:val="00B074F7"/>
    <w:rsid w:val="00B16606"/>
    <w:rsid w:val="00B1705E"/>
    <w:rsid w:val="00B225F6"/>
    <w:rsid w:val="00B231EC"/>
    <w:rsid w:val="00B2568E"/>
    <w:rsid w:val="00B25E19"/>
    <w:rsid w:val="00B276A5"/>
    <w:rsid w:val="00B328E5"/>
    <w:rsid w:val="00B32AE6"/>
    <w:rsid w:val="00B33770"/>
    <w:rsid w:val="00B35845"/>
    <w:rsid w:val="00B36F00"/>
    <w:rsid w:val="00B37434"/>
    <w:rsid w:val="00B37921"/>
    <w:rsid w:val="00B37CE1"/>
    <w:rsid w:val="00B37E76"/>
    <w:rsid w:val="00B4037A"/>
    <w:rsid w:val="00B40F44"/>
    <w:rsid w:val="00B42893"/>
    <w:rsid w:val="00B43F3C"/>
    <w:rsid w:val="00B43F50"/>
    <w:rsid w:val="00B44E9A"/>
    <w:rsid w:val="00B52088"/>
    <w:rsid w:val="00B52263"/>
    <w:rsid w:val="00B568C9"/>
    <w:rsid w:val="00B62621"/>
    <w:rsid w:val="00B65B57"/>
    <w:rsid w:val="00B66781"/>
    <w:rsid w:val="00B6719E"/>
    <w:rsid w:val="00B70215"/>
    <w:rsid w:val="00B72322"/>
    <w:rsid w:val="00B73183"/>
    <w:rsid w:val="00B73410"/>
    <w:rsid w:val="00B76D9E"/>
    <w:rsid w:val="00B77EE7"/>
    <w:rsid w:val="00B818FF"/>
    <w:rsid w:val="00B81ABD"/>
    <w:rsid w:val="00B81EA1"/>
    <w:rsid w:val="00B849C6"/>
    <w:rsid w:val="00B85FBC"/>
    <w:rsid w:val="00B86540"/>
    <w:rsid w:val="00B869B1"/>
    <w:rsid w:val="00B90A88"/>
    <w:rsid w:val="00B91467"/>
    <w:rsid w:val="00B93ACB"/>
    <w:rsid w:val="00B964AA"/>
    <w:rsid w:val="00B974CF"/>
    <w:rsid w:val="00B978ED"/>
    <w:rsid w:val="00B97C06"/>
    <w:rsid w:val="00BA0808"/>
    <w:rsid w:val="00BA09C4"/>
    <w:rsid w:val="00BA4134"/>
    <w:rsid w:val="00BA49BA"/>
    <w:rsid w:val="00BA7179"/>
    <w:rsid w:val="00BA759A"/>
    <w:rsid w:val="00BB1557"/>
    <w:rsid w:val="00BB46C1"/>
    <w:rsid w:val="00BB4898"/>
    <w:rsid w:val="00BB669B"/>
    <w:rsid w:val="00BB7AE7"/>
    <w:rsid w:val="00BC26C1"/>
    <w:rsid w:val="00BC2E8B"/>
    <w:rsid w:val="00BC3A23"/>
    <w:rsid w:val="00BC3EB8"/>
    <w:rsid w:val="00BC5559"/>
    <w:rsid w:val="00BC5C96"/>
    <w:rsid w:val="00BC6861"/>
    <w:rsid w:val="00BD0343"/>
    <w:rsid w:val="00BD126D"/>
    <w:rsid w:val="00BD3325"/>
    <w:rsid w:val="00BD596F"/>
    <w:rsid w:val="00BE1609"/>
    <w:rsid w:val="00BE18CC"/>
    <w:rsid w:val="00BE27F6"/>
    <w:rsid w:val="00BE347C"/>
    <w:rsid w:val="00BE3AEF"/>
    <w:rsid w:val="00BE3B63"/>
    <w:rsid w:val="00BE495B"/>
    <w:rsid w:val="00BE55D4"/>
    <w:rsid w:val="00BE5EE5"/>
    <w:rsid w:val="00BE7F4E"/>
    <w:rsid w:val="00BF028D"/>
    <w:rsid w:val="00BF0A2B"/>
    <w:rsid w:val="00BF424E"/>
    <w:rsid w:val="00BF526F"/>
    <w:rsid w:val="00BF6F2F"/>
    <w:rsid w:val="00C00D88"/>
    <w:rsid w:val="00C00F96"/>
    <w:rsid w:val="00C01E76"/>
    <w:rsid w:val="00C02B94"/>
    <w:rsid w:val="00C0330E"/>
    <w:rsid w:val="00C03AE0"/>
    <w:rsid w:val="00C03D5C"/>
    <w:rsid w:val="00C0443D"/>
    <w:rsid w:val="00C0797D"/>
    <w:rsid w:val="00C1250E"/>
    <w:rsid w:val="00C12F43"/>
    <w:rsid w:val="00C13158"/>
    <w:rsid w:val="00C14D1E"/>
    <w:rsid w:val="00C14D90"/>
    <w:rsid w:val="00C1764C"/>
    <w:rsid w:val="00C20621"/>
    <w:rsid w:val="00C213E7"/>
    <w:rsid w:val="00C2223A"/>
    <w:rsid w:val="00C24AFE"/>
    <w:rsid w:val="00C24F3E"/>
    <w:rsid w:val="00C27C18"/>
    <w:rsid w:val="00C301B3"/>
    <w:rsid w:val="00C3168F"/>
    <w:rsid w:val="00C358D8"/>
    <w:rsid w:val="00C377F5"/>
    <w:rsid w:val="00C37AB9"/>
    <w:rsid w:val="00C37C07"/>
    <w:rsid w:val="00C406AB"/>
    <w:rsid w:val="00C40F02"/>
    <w:rsid w:val="00C41AFC"/>
    <w:rsid w:val="00C42899"/>
    <w:rsid w:val="00C4365F"/>
    <w:rsid w:val="00C45D62"/>
    <w:rsid w:val="00C507FD"/>
    <w:rsid w:val="00C5210F"/>
    <w:rsid w:val="00C522A4"/>
    <w:rsid w:val="00C52D26"/>
    <w:rsid w:val="00C52ED8"/>
    <w:rsid w:val="00C55A29"/>
    <w:rsid w:val="00C576E5"/>
    <w:rsid w:val="00C579B5"/>
    <w:rsid w:val="00C57AE1"/>
    <w:rsid w:val="00C623C5"/>
    <w:rsid w:val="00C63FDA"/>
    <w:rsid w:val="00C6431F"/>
    <w:rsid w:val="00C668F4"/>
    <w:rsid w:val="00C7017C"/>
    <w:rsid w:val="00C70277"/>
    <w:rsid w:val="00C73831"/>
    <w:rsid w:val="00C750A8"/>
    <w:rsid w:val="00C770FB"/>
    <w:rsid w:val="00C82BB8"/>
    <w:rsid w:val="00C8452F"/>
    <w:rsid w:val="00C86973"/>
    <w:rsid w:val="00C87987"/>
    <w:rsid w:val="00C87DD4"/>
    <w:rsid w:val="00C9353B"/>
    <w:rsid w:val="00C94701"/>
    <w:rsid w:val="00C94BD9"/>
    <w:rsid w:val="00C95DDB"/>
    <w:rsid w:val="00CA6157"/>
    <w:rsid w:val="00CA6412"/>
    <w:rsid w:val="00CB20D0"/>
    <w:rsid w:val="00CB3DAF"/>
    <w:rsid w:val="00CB514D"/>
    <w:rsid w:val="00CB54B4"/>
    <w:rsid w:val="00CB6C6B"/>
    <w:rsid w:val="00CC1780"/>
    <w:rsid w:val="00CC2F33"/>
    <w:rsid w:val="00CC5F97"/>
    <w:rsid w:val="00CC6980"/>
    <w:rsid w:val="00CD19EB"/>
    <w:rsid w:val="00CD2C70"/>
    <w:rsid w:val="00CD2ED1"/>
    <w:rsid w:val="00CD3167"/>
    <w:rsid w:val="00CD36B7"/>
    <w:rsid w:val="00CD52F6"/>
    <w:rsid w:val="00CD535B"/>
    <w:rsid w:val="00CD54AD"/>
    <w:rsid w:val="00CD67E0"/>
    <w:rsid w:val="00CD742E"/>
    <w:rsid w:val="00CD74DF"/>
    <w:rsid w:val="00CD7FD4"/>
    <w:rsid w:val="00CE0A5C"/>
    <w:rsid w:val="00CE225D"/>
    <w:rsid w:val="00CE37B8"/>
    <w:rsid w:val="00CE6A82"/>
    <w:rsid w:val="00CF17F2"/>
    <w:rsid w:val="00CF1B4D"/>
    <w:rsid w:val="00CF45B2"/>
    <w:rsid w:val="00CF4D02"/>
    <w:rsid w:val="00CF7E85"/>
    <w:rsid w:val="00D00F8C"/>
    <w:rsid w:val="00D03061"/>
    <w:rsid w:val="00D035AA"/>
    <w:rsid w:val="00D071D8"/>
    <w:rsid w:val="00D101D0"/>
    <w:rsid w:val="00D16144"/>
    <w:rsid w:val="00D16F62"/>
    <w:rsid w:val="00D1746C"/>
    <w:rsid w:val="00D212E5"/>
    <w:rsid w:val="00D21373"/>
    <w:rsid w:val="00D21465"/>
    <w:rsid w:val="00D2302B"/>
    <w:rsid w:val="00D30882"/>
    <w:rsid w:val="00D331F8"/>
    <w:rsid w:val="00D3391F"/>
    <w:rsid w:val="00D33C33"/>
    <w:rsid w:val="00D33D94"/>
    <w:rsid w:val="00D35EB1"/>
    <w:rsid w:val="00D373F1"/>
    <w:rsid w:val="00D40FE9"/>
    <w:rsid w:val="00D42227"/>
    <w:rsid w:val="00D42BE5"/>
    <w:rsid w:val="00D436FD"/>
    <w:rsid w:val="00D46A56"/>
    <w:rsid w:val="00D506A7"/>
    <w:rsid w:val="00D539A1"/>
    <w:rsid w:val="00D53AC9"/>
    <w:rsid w:val="00D54411"/>
    <w:rsid w:val="00D54B9D"/>
    <w:rsid w:val="00D552C4"/>
    <w:rsid w:val="00D56035"/>
    <w:rsid w:val="00D609ED"/>
    <w:rsid w:val="00D625D9"/>
    <w:rsid w:val="00D6304A"/>
    <w:rsid w:val="00D648DF"/>
    <w:rsid w:val="00D66B81"/>
    <w:rsid w:val="00D70CF3"/>
    <w:rsid w:val="00D73360"/>
    <w:rsid w:val="00D73B2C"/>
    <w:rsid w:val="00D757D2"/>
    <w:rsid w:val="00D764EC"/>
    <w:rsid w:val="00D77232"/>
    <w:rsid w:val="00D813CD"/>
    <w:rsid w:val="00D83344"/>
    <w:rsid w:val="00D83462"/>
    <w:rsid w:val="00D846C4"/>
    <w:rsid w:val="00D84797"/>
    <w:rsid w:val="00D85235"/>
    <w:rsid w:val="00D90F73"/>
    <w:rsid w:val="00D91B3F"/>
    <w:rsid w:val="00D975B3"/>
    <w:rsid w:val="00D97C07"/>
    <w:rsid w:val="00DA05E0"/>
    <w:rsid w:val="00DA0842"/>
    <w:rsid w:val="00DA155F"/>
    <w:rsid w:val="00DA1E8C"/>
    <w:rsid w:val="00DA5170"/>
    <w:rsid w:val="00DA550F"/>
    <w:rsid w:val="00DA575C"/>
    <w:rsid w:val="00DA5835"/>
    <w:rsid w:val="00DB08D9"/>
    <w:rsid w:val="00DB33BB"/>
    <w:rsid w:val="00DB37C9"/>
    <w:rsid w:val="00DB6BB9"/>
    <w:rsid w:val="00DB7FD7"/>
    <w:rsid w:val="00DC0827"/>
    <w:rsid w:val="00DC1D86"/>
    <w:rsid w:val="00DC2E5B"/>
    <w:rsid w:val="00DC3E34"/>
    <w:rsid w:val="00DD1229"/>
    <w:rsid w:val="00DD24F6"/>
    <w:rsid w:val="00DD266D"/>
    <w:rsid w:val="00DD28FA"/>
    <w:rsid w:val="00DD2B8F"/>
    <w:rsid w:val="00DD36E7"/>
    <w:rsid w:val="00DD3A90"/>
    <w:rsid w:val="00DD510F"/>
    <w:rsid w:val="00DD5E0A"/>
    <w:rsid w:val="00DE41EC"/>
    <w:rsid w:val="00DE549B"/>
    <w:rsid w:val="00DF0BD3"/>
    <w:rsid w:val="00DF1F64"/>
    <w:rsid w:val="00DF5AF0"/>
    <w:rsid w:val="00DF67C8"/>
    <w:rsid w:val="00DF75B8"/>
    <w:rsid w:val="00E023BD"/>
    <w:rsid w:val="00E065A4"/>
    <w:rsid w:val="00E06D7F"/>
    <w:rsid w:val="00E07034"/>
    <w:rsid w:val="00E106E6"/>
    <w:rsid w:val="00E108EB"/>
    <w:rsid w:val="00E1284D"/>
    <w:rsid w:val="00E1518C"/>
    <w:rsid w:val="00E2036B"/>
    <w:rsid w:val="00E21976"/>
    <w:rsid w:val="00E2345C"/>
    <w:rsid w:val="00E255F5"/>
    <w:rsid w:val="00E31B73"/>
    <w:rsid w:val="00E33E6D"/>
    <w:rsid w:val="00E37FF6"/>
    <w:rsid w:val="00E40651"/>
    <w:rsid w:val="00E44DAC"/>
    <w:rsid w:val="00E46096"/>
    <w:rsid w:val="00E54227"/>
    <w:rsid w:val="00E56CDF"/>
    <w:rsid w:val="00E632B5"/>
    <w:rsid w:val="00E63798"/>
    <w:rsid w:val="00E677F0"/>
    <w:rsid w:val="00E733C0"/>
    <w:rsid w:val="00E73F09"/>
    <w:rsid w:val="00E815FA"/>
    <w:rsid w:val="00E81B8E"/>
    <w:rsid w:val="00E820DA"/>
    <w:rsid w:val="00E82CAB"/>
    <w:rsid w:val="00E841AC"/>
    <w:rsid w:val="00E86F54"/>
    <w:rsid w:val="00E90DF1"/>
    <w:rsid w:val="00E918E7"/>
    <w:rsid w:val="00E92786"/>
    <w:rsid w:val="00E978AB"/>
    <w:rsid w:val="00EA03B0"/>
    <w:rsid w:val="00EA0D0A"/>
    <w:rsid w:val="00EA0EAC"/>
    <w:rsid w:val="00EA1EED"/>
    <w:rsid w:val="00EA33A4"/>
    <w:rsid w:val="00EA4B07"/>
    <w:rsid w:val="00EA6EAC"/>
    <w:rsid w:val="00EB006B"/>
    <w:rsid w:val="00EB06C7"/>
    <w:rsid w:val="00EB3A16"/>
    <w:rsid w:val="00EB4226"/>
    <w:rsid w:val="00EB569B"/>
    <w:rsid w:val="00EC66A7"/>
    <w:rsid w:val="00EC6F05"/>
    <w:rsid w:val="00EC777C"/>
    <w:rsid w:val="00EC7C0F"/>
    <w:rsid w:val="00ED1E58"/>
    <w:rsid w:val="00ED4BED"/>
    <w:rsid w:val="00ED4D4F"/>
    <w:rsid w:val="00ED6F1B"/>
    <w:rsid w:val="00EE017F"/>
    <w:rsid w:val="00EE11C1"/>
    <w:rsid w:val="00EE3D8F"/>
    <w:rsid w:val="00EE443D"/>
    <w:rsid w:val="00EE519E"/>
    <w:rsid w:val="00EE5B59"/>
    <w:rsid w:val="00EE6EFA"/>
    <w:rsid w:val="00EF3249"/>
    <w:rsid w:val="00EF33D3"/>
    <w:rsid w:val="00EF3EF3"/>
    <w:rsid w:val="00EF44AF"/>
    <w:rsid w:val="00F0281E"/>
    <w:rsid w:val="00F04805"/>
    <w:rsid w:val="00F04D13"/>
    <w:rsid w:val="00F050EE"/>
    <w:rsid w:val="00F102D2"/>
    <w:rsid w:val="00F11160"/>
    <w:rsid w:val="00F11829"/>
    <w:rsid w:val="00F128D5"/>
    <w:rsid w:val="00F13F0F"/>
    <w:rsid w:val="00F15DF8"/>
    <w:rsid w:val="00F177E4"/>
    <w:rsid w:val="00F2337F"/>
    <w:rsid w:val="00F23C32"/>
    <w:rsid w:val="00F23C7E"/>
    <w:rsid w:val="00F23C92"/>
    <w:rsid w:val="00F241ED"/>
    <w:rsid w:val="00F25C73"/>
    <w:rsid w:val="00F25E65"/>
    <w:rsid w:val="00F3194E"/>
    <w:rsid w:val="00F32689"/>
    <w:rsid w:val="00F32DD9"/>
    <w:rsid w:val="00F332BD"/>
    <w:rsid w:val="00F34C83"/>
    <w:rsid w:val="00F351CF"/>
    <w:rsid w:val="00F3725E"/>
    <w:rsid w:val="00F40D71"/>
    <w:rsid w:val="00F426F5"/>
    <w:rsid w:val="00F42C72"/>
    <w:rsid w:val="00F44181"/>
    <w:rsid w:val="00F456AA"/>
    <w:rsid w:val="00F458D7"/>
    <w:rsid w:val="00F5185F"/>
    <w:rsid w:val="00F537A9"/>
    <w:rsid w:val="00F53D15"/>
    <w:rsid w:val="00F55144"/>
    <w:rsid w:val="00F55859"/>
    <w:rsid w:val="00F56849"/>
    <w:rsid w:val="00F573A6"/>
    <w:rsid w:val="00F60878"/>
    <w:rsid w:val="00F62397"/>
    <w:rsid w:val="00F638DE"/>
    <w:rsid w:val="00F701A4"/>
    <w:rsid w:val="00F70CD3"/>
    <w:rsid w:val="00F71713"/>
    <w:rsid w:val="00F71FA5"/>
    <w:rsid w:val="00F75E4E"/>
    <w:rsid w:val="00F76564"/>
    <w:rsid w:val="00F811CE"/>
    <w:rsid w:val="00F825E3"/>
    <w:rsid w:val="00F827F9"/>
    <w:rsid w:val="00F845E4"/>
    <w:rsid w:val="00F86110"/>
    <w:rsid w:val="00F907C3"/>
    <w:rsid w:val="00F9201C"/>
    <w:rsid w:val="00F93586"/>
    <w:rsid w:val="00F951C8"/>
    <w:rsid w:val="00FA12D7"/>
    <w:rsid w:val="00FA20B4"/>
    <w:rsid w:val="00FA32CF"/>
    <w:rsid w:val="00FA34B4"/>
    <w:rsid w:val="00FA3CC8"/>
    <w:rsid w:val="00FA706A"/>
    <w:rsid w:val="00FB39AD"/>
    <w:rsid w:val="00FC09E5"/>
    <w:rsid w:val="00FC37F3"/>
    <w:rsid w:val="00FC564E"/>
    <w:rsid w:val="00FC598C"/>
    <w:rsid w:val="00FC5EB2"/>
    <w:rsid w:val="00FC6CE2"/>
    <w:rsid w:val="00FC79F3"/>
    <w:rsid w:val="00FD0958"/>
    <w:rsid w:val="00FD3D65"/>
    <w:rsid w:val="00FD412C"/>
    <w:rsid w:val="00FD4940"/>
    <w:rsid w:val="00FD5E35"/>
    <w:rsid w:val="00FD7708"/>
    <w:rsid w:val="00FD7F0E"/>
    <w:rsid w:val="00FE0541"/>
    <w:rsid w:val="00FE3DE1"/>
    <w:rsid w:val="00FE41FA"/>
    <w:rsid w:val="00FE4675"/>
    <w:rsid w:val="00FE4EB6"/>
    <w:rsid w:val="00FE4FA0"/>
    <w:rsid w:val="00FF10F9"/>
    <w:rsid w:val="00FF12F4"/>
    <w:rsid w:val="00FF4720"/>
    <w:rsid w:val="00FF4805"/>
    <w:rsid w:val="00FF5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C73"/>
    <w:pPr>
      <w:widowControl w:val="0"/>
      <w:autoSpaceDE w:val="0"/>
      <w:autoSpaceDN w:val="0"/>
      <w:adjustRightInd w:val="0"/>
      <w:spacing w:before="240" w:after="240"/>
    </w:pPr>
    <w:rPr>
      <w:sz w:val="24"/>
      <w:szCs w:val="24"/>
    </w:rPr>
  </w:style>
  <w:style w:type="paragraph" w:styleId="Heading1">
    <w:name w:val="heading 1"/>
    <w:basedOn w:val="Normal"/>
    <w:next w:val="Normal"/>
    <w:qFormat/>
    <w:rsid w:val="00A820D9"/>
    <w:pPr>
      <w:keepNext/>
      <w:outlineLvl w:val="0"/>
    </w:pPr>
    <w:rPr>
      <w:rFonts w:ascii="Times New Roman Bold" w:hAnsi="Times New Roman Bold" w:cs="Arial"/>
      <w:b/>
      <w:bCs/>
      <w:caps/>
      <w:kern w:val="32"/>
      <w:sz w:val="28"/>
      <w:szCs w:val="32"/>
    </w:rPr>
  </w:style>
  <w:style w:type="paragraph" w:styleId="Heading2">
    <w:name w:val="heading 2"/>
    <w:basedOn w:val="Normal"/>
    <w:next w:val="Normal"/>
    <w:qFormat/>
    <w:rsid w:val="00397B50"/>
    <w:pPr>
      <w:keepNext/>
      <w:outlineLvl w:val="1"/>
    </w:pPr>
    <w:rPr>
      <w:rFonts w:cs="Arial"/>
      <w:b/>
      <w:bCs/>
      <w:iCs/>
      <w:caps/>
      <w:szCs w:val="28"/>
    </w:rPr>
  </w:style>
  <w:style w:type="paragraph" w:styleId="Heading3">
    <w:name w:val="heading 3"/>
    <w:basedOn w:val="Normal"/>
    <w:next w:val="Normal"/>
    <w:qFormat/>
    <w:rsid w:val="00397B50"/>
    <w:pPr>
      <w:keepNext/>
      <w:outlineLvl w:val="2"/>
    </w:pPr>
    <w:rPr>
      <w:rFonts w:cs="Arial"/>
      <w:b/>
      <w:bCs/>
      <w:szCs w:val="26"/>
    </w:rPr>
  </w:style>
  <w:style w:type="paragraph" w:styleId="Heading4">
    <w:name w:val="heading 4"/>
    <w:basedOn w:val="Normal"/>
    <w:next w:val="Normal"/>
    <w:qFormat/>
    <w:rsid w:val="00397B50"/>
    <w:pPr>
      <w:keepNext/>
      <w:spacing w:after="120"/>
      <w:outlineLvl w:val="3"/>
    </w:pPr>
    <w:rPr>
      <w:bCs/>
      <w:i/>
      <w:szCs w:val="28"/>
    </w:rPr>
  </w:style>
  <w:style w:type="paragraph" w:styleId="Heading5">
    <w:name w:val="heading 5"/>
    <w:basedOn w:val="Normal"/>
    <w:next w:val="Normal"/>
    <w:qFormat/>
    <w:rsid w:val="00B568C9"/>
    <w:pPr>
      <w:spacing w:after="60"/>
      <w:outlineLvl w:val="4"/>
    </w:pPr>
    <w:rPr>
      <w:b/>
      <w:bCs/>
      <w:i/>
      <w:iCs/>
      <w:sz w:val="26"/>
      <w:szCs w:val="26"/>
    </w:rPr>
  </w:style>
  <w:style w:type="paragraph" w:styleId="Heading6">
    <w:name w:val="heading 6"/>
    <w:basedOn w:val="Normal"/>
    <w:next w:val="Normal"/>
    <w:qFormat/>
    <w:rsid w:val="00B568C9"/>
    <w:pPr>
      <w:spacing w:after="60"/>
      <w:outlineLvl w:val="5"/>
    </w:pPr>
    <w:rPr>
      <w:b/>
      <w:bCs/>
      <w:sz w:val="22"/>
      <w:szCs w:val="22"/>
    </w:rPr>
  </w:style>
  <w:style w:type="paragraph" w:styleId="Heading7">
    <w:name w:val="heading 7"/>
    <w:basedOn w:val="Normal"/>
    <w:next w:val="Normal"/>
    <w:qFormat/>
    <w:rsid w:val="00B568C9"/>
    <w:pPr>
      <w:spacing w:after="60"/>
      <w:outlineLvl w:val="6"/>
    </w:pPr>
  </w:style>
  <w:style w:type="paragraph" w:styleId="Heading8">
    <w:name w:val="heading 8"/>
    <w:basedOn w:val="Normal"/>
    <w:next w:val="Normal"/>
    <w:qFormat/>
    <w:rsid w:val="00B568C9"/>
    <w:pPr>
      <w:spacing w:after="60"/>
      <w:outlineLvl w:val="7"/>
    </w:pPr>
    <w:rPr>
      <w:i/>
      <w:iCs/>
    </w:rPr>
  </w:style>
  <w:style w:type="paragraph" w:styleId="Heading9">
    <w:name w:val="heading 9"/>
    <w:basedOn w:val="Normal"/>
    <w:next w:val="Normal"/>
    <w:qFormat/>
    <w:rsid w:val="00B568C9"/>
    <w:p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568C9"/>
    <w:pPr>
      <w:numPr>
        <w:numId w:val="1"/>
      </w:numPr>
    </w:pPr>
  </w:style>
  <w:style w:type="numbering" w:styleId="1ai">
    <w:name w:val="Outline List 1"/>
    <w:basedOn w:val="NoList"/>
    <w:semiHidden/>
    <w:rsid w:val="00B568C9"/>
    <w:pPr>
      <w:numPr>
        <w:numId w:val="2"/>
      </w:numPr>
    </w:pPr>
  </w:style>
  <w:style w:type="numbering" w:styleId="ArticleSection">
    <w:name w:val="Outline List 3"/>
    <w:basedOn w:val="NoList"/>
    <w:semiHidden/>
    <w:rsid w:val="00B568C9"/>
    <w:pPr>
      <w:numPr>
        <w:numId w:val="3"/>
      </w:numPr>
    </w:pPr>
  </w:style>
  <w:style w:type="paragraph" w:styleId="BlockText">
    <w:name w:val="Block Text"/>
    <w:basedOn w:val="Normal"/>
    <w:semiHidden/>
    <w:rsid w:val="00B568C9"/>
    <w:pPr>
      <w:spacing w:after="120"/>
      <w:ind w:left="1440" w:right="1440"/>
    </w:pPr>
  </w:style>
  <w:style w:type="paragraph" w:styleId="BodyText">
    <w:name w:val="Body Text"/>
    <w:basedOn w:val="Normal"/>
    <w:semiHidden/>
    <w:rsid w:val="00B568C9"/>
    <w:pPr>
      <w:spacing w:after="120"/>
    </w:pPr>
  </w:style>
  <w:style w:type="paragraph" w:styleId="BodyText2">
    <w:name w:val="Body Text 2"/>
    <w:basedOn w:val="Normal"/>
    <w:semiHidden/>
    <w:rsid w:val="00B568C9"/>
    <w:pPr>
      <w:spacing w:after="120" w:line="480" w:lineRule="auto"/>
    </w:pPr>
  </w:style>
  <w:style w:type="paragraph" w:styleId="BodyText3">
    <w:name w:val="Body Text 3"/>
    <w:basedOn w:val="Normal"/>
    <w:link w:val="BodyText3Char"/>
    <w:rsid w:val="00B568C9"/>
    <w:pPr>
      <w:spacing w:after="120"/>
    </w:pPr>
    <w:rPr>
      <w:sz w:val="16"/>
      <w:szCs w:val="16"/>
    </w:rPr>
  </w:style>
  <w:style w:type="paragraph" w:styleId="BodyTextFirstIndent">
    <w:name w:val="Body Text First Indent"/>
    <w:basedOn w:val="BodyText"/>
    <w:semiHidden/>
    <w:rsid w:val="00B568C9"/>
    <w:pPr>
      <w:ind w:firstLine="210"/>
    </w:pPr>
  </w:style>
  <w:style w:type="paragraph" w:styleId="BodyTextIndent">
    <w:name w:val="Body Text Indent"/>
    <w:basedOn w:val="Normal"/>
    <w:semiHidden/>
    <w:rsid w:val="00B568C9"/>
    <w:pPr>
      <w:spacing w:after="120"/>
      <w:ind w:left="283"/>
    </w:pPr>
  </w:style>
  <w:style w:type="paragraph" w:styleId="BodyTextFirstIndent2">
    <w:name w:val="Body Text First Indent 2"/>
    <w:basedOn w:val="BodyTextIndent"/>
    <w:semiHidden/>
    <w:rsid w:val="00B568C9"/>
    <w:pPr>
      <w:ind w:firstLine="210"/>
    </w:pPr>
  </w:style>
  <w:style w:type="paragraph" w:styleId="BodyTextIndent2">
    <w:name w:val="Body Text Indent 2"/>
    <w:basedOn w:val="Normal"/>
    <w:semiHidden/>
    <w:rsid w:val="00B568C9"/>
    <w:pPr>
      <w:spacing w:after="120" w:line="480" w:lineRule="auto"/>
      <w:ind w:left="283"/>
    </w:pPr>
  </w:style>
  <w:style w:type="paragraph" w:styleId="BodyTextIndent3">
    <w:name w:val="Body Text Indent 3"/>
    <w:basedOn w:val="Normal"/>
    <w:semiHidden/>
    <w:rsid w:val="00B568C9"/>
    <w:pPr>
      <w:spacing w:after="120"/>
      <w:ind w:left="283"/>
    </w:pPr>
    <w:rPr>
      <w:sz w:val="16"/>
      <w:szCs w:val="16"/>
    </w:rPr>
  </w:style>
  <w:style w:type="paragraph" w:styleId="Closing">
    <w:name w:val="Closing"/>
    <w:basedOn w:val="Normal"/>
    <w:semiHidden/>
    <w:rsid w:val="00B568C9"/>
    <w:pPr>
      <w:ind w:left="4252"/>
    </w:pPr>
  </w:style>
  <w:style w:type="paragraph" w:styleId="Date">
    <w:name w:val="Date"/>
    <w:basedOn w:val="Normal"/>
    <w:next w:val="Normal"/>
    <w:semiHidden/>
    <w:rsid w:val="00B568C9"/>
  </w:style>
  <w:style w:type="paragraph" w:styleId="E-mailSignature">
    <w:name w:val="E-mail Signature"/>
    <w:basedOn w:val="Normal"/>
    <w:semiHidden/>
    <w:rsid w:val="00B568C9"/>
  </w:style>
  <w:style w:type="character" w:styleId="Emphasis">
    <w:name w:val="Emphasis"/>
    <w:basedOn w:val="DefaultParagraphFont"/>
    <w:qFormat/>
    <w:rsid w:val="00B568C9"/>
    <w:rPr>
      <w:i/>
      <w:iCs/>
    </w:rPr>
  </w:style>
  <w:style w:type="paragraph" w:styleId="EnvelopeAddress">
    <w:name w:val="envelope address"/>
    <w:basedOn w:val="Normal"/>
    <w:semiHidden/>
    <w:rsid w:val="00B568C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568C9"/>
    <w:rPr>
      <w:rFonts w:ascii="Arial" w:hAnsi="Arial" w:cs="Arial"/>
      <w:sz w:val="20"/>
      <w:szCs w:val="20"/>
    </w:rPr>
  </w:style>
  <w:style w:type="character" w:styleId="FollowedHyperlink">
    <w:name w:val="FollowedHyperlink"/>
    <w:basedOn w:val="DefaultParagraphFont"/>
    <w:semiHidden/>
    <w:rsid w:val="00B568C9"/>
    <w:rPr>
      <w:color w:val="800080"/>
      <w:u w:val="single"/>
    </w:rPr>
  </w:style>
  <w:style w:type="paragraph" w:styleId="Footer">
    <w:name w:val="footer"/>
    <w:rsid w:val="00764FDB"/>
    <w:pPr>
      <w:spacing w:after="240"/>
      <w:jc w:val="right"/>
    </w:pPr>
    <w:rPr>
      <w:sz w:val="24"/>
      <w:szCs w:val="24"/>
      <w:lang w:eastAsia="en-US"/>
    </w:rPr>
  </w:style>
  <w:style w:type="paragraph" w:styleId="Header">
    <w:name w:val="header"/>
    <w:link w:val="HeaderChar"/>
    <w:uiPriority w:val="99"/>
    <w:rsid w:val="00764FDB"/>
    <w:pPr>
      <w:tabs>
        <w:tab w:val="center" w:pos="4153"/>
        <w:tab w:val="right" w:pos="8306"/>
      </w:tabs>
      <w:spacing w:after="240"/>
      <w:jc w:val="both"/>
    </w:pPr>
    <w:rPr>
      <w:sz w:val="24"/>
      <w:szCs w:val="24"/>
      <w:lang w:eastAsia="en-US"/>
    </w:rPr>
  </w:style>
  <w:style w:type="character" w:styleId="HTMLAcronym">
    <w:name w:val="HTML Acronym"/>
    <w:basedOn w:val="DefaultParagraphFont"/>
    <w:uiPriority w:val="99"/>
    <w:semiHidden/>
    <w:rsid w:val="00B568C9"/>
  </w:style>
  <w:style w:type="paragraph" w:styleId="HTMLAddress">
    <w:name w:val="HTML Address"/>
    <w:basedOn w:val="Normal"/>
    <w:semiHidden/>
    <w:rsid w:val="00B568C9"/>
    <w:rPr>
      <w:i/>
      <w:iCs/>
    </w:rPr>
  </w:style>
  <w:style w:type="character" w:styleId="HTMLCite">
    <w:name w:val="HTML Cite"/>
    <w:basedOn w:val="DefaultParagraphFont"/>
    <w:semiHidden/>
    <w:rsid w:val="00B568C9"/>
    <w:rPr>
      <w:i/>
      <w:iCs/>
    </w:rPr>
  </w:style>
  <w:style w:type="character" w:styleId="HTMLCode">
    <w:name w:val="HTML Code"/>
    <w:basedOn w:val="DefaultParagraphFont"/>
    <w:semiHidden/>
    <w:rsid w:val="00B568C9"/>
    <w:rPr>
      <w:rFonts w:ascii="Courier New" w:hAnsi="Courier New" w:cs="Courier New"/>
      <w:sz w:val="20"/>
      <w:szCs w:val="20"/>
    </w:rPr>
  </w:style>
  <w:style w:type="character" w:styleId="HTMLDefinition">
    <w:name w:val="HTML Definition"/>
    <w:basedOn w:val="DefaultParagraphFont"/>
    <w:semiHidden/>
    <w:rsid w:val="00B568C9"/>
    <w:rPr>
      <w:i/>
      <w:iCs/>
    </w:rPr>
  </w:style>
  <w:style w:type="character" w:styleId="HTMLKeyboard">
    <w:name w:val="HTML Keyboard"/>
    <w:basedOn w:val="DefaultParagraphFont"/>
    <w:semiHidden/>
    <w:rsid w:val="00B568C9"/>
    <w:rPr>
      <w:rFonts w:ascii="Courier New" w:hAnsi="Courier New" w:cs="Courier New"/>
      <w:sz w:val="20"/>
      <w:szCs w:val="20"/>
    </w:rPr>
  </w:style>
  <w:style w:type="paragraph" w:styleId="HTMLPreformatted">
    <w:name w:val="HTML Preformatted"/>
    <w:basedOn w:val="Normal"/>
    <w:semiHidden/>
    <w:rsid w:val="00B568C9"/>
    <w:rPr>
      <w:rFonts w:ascii="Courier New" w:hAnsi="Courier New" w:cs="Courier New"/>
      <w:sz w:val="20"/>
      <w:szCs w:val="20"/>
    </w:rPr>
  </w:style>
  <w:style w:type="character" w:styleId="HTMLSample">
    <w:name w:val="HTML Sample"/>
    <w:basedOn w:val="DefaultParagraphFont"/>
    <w:semiHidden/>
    <w:rsid w:val="00B568C9"/>
    <w:rPr>
      <w:rFonts w:ascii="Courier New" w:hAnsi="Courier New" w:cs="Courier New"/>
    </w:rPr>
  </w:style>
  <w:style w:type="character" w:styleId="HTMLTypewriter">
    <w:name w:val="HTML Typewriter"/>
    <w:basedOn w:val="DefaultParagraphFont"/>
    <w:semiHidden/>
    <w:rsid w:val="00B568C9"/>
    <w:rPr>
      <w:rFonts w:ascii="Courier New" w:hAnsi="Courier New" w:cs="Courier New"/>
      <w:sz w:val="20"/>
      <w:szCs w:val="20"/>
    </w:rPr>
  </w:style>
  <w:style w:type="character" w:styleId="HTMLVariable">
    <w:name w:val="HTML Variable"/>
    <w:basedOn w:val="DefaultParagraphFont"/>
    <w:semiHidden/>
    <w:rsid w:val="00B568C9"/>
    <w:rPr>
      <w:i/>
      <w:iCs/>
    </w:rPr>
  </w:style>
  <w:style w:type="character" w:styleId="Hyperlink">
    <w:name w:val="Hyperlink"/>
    <w:basedOn w:val="DefaultParagraphFont"/>
    <w:semiHidden/>
    <w:rsid w:val="00B568C9"/>
    <w:rPr>
      <w:color w:val="0000FF"/>
      <w:u w:val="single"/>
    </w:rPr>
  </w:style>
  <w:style w:type="character" w:styleId="LineNumber">
    <w:name w:val="line number"/>
    <w:basedOn w:val="DefaultParagraphFont"/>
    <w:semiHidden/>
    <w:rsid w:val="00B568C9"/>
  </w:style>
  <w:style w:type="paragraph" w:styleId="List">
    <w:name w:val="List"/>
    <w:basedOn w:val="Normal"/>
    <w:semiHidden/>
    <w:rsid w:val="00B568C9"/>
    <w:pPr>
      <w:ind w:left="283" w:hanging="283"/>
    </w:pPr>
  </w:style>
  <w:style w:type="paragraph" w:styleId="List2">
    <w:name w:val="List 2"/>
    <w:basedOn w:val="Normal"/>
    <w:semiHidden/>
    <w:rsid w:val="00B568C9"/>
    <w:pPr>
      <w:ind w:left="566" w:hanging="283"/>
    </w:pPr>
  </w:style>
  <w:style w:type="paragraph" w:styleId="List3">
    <w:name w:val="List 3"/>
    <w:basedOn w:val="Normal"/>
    <w:semiHidden/>
    <w:rsid w:val="00B568C9"/>
    <w:pPr>
      <w:ind w:left="849" w:hanging="283"/>
    </w:pPr>
  </w:style>
  <w:style w:type="paragraph" w:styleId="List4">
    <w:name w:val="List 4"/>
    <w:basedOn w:val="Normal"/>
    <w:semiHidden/>
    <w:rsid w:val="00B568C9"/>
    <w:pPr>
      <w:ind w:left="1132" w:hanging="283"/>
    </w:pPr>
  </w:style>
  <w:style w:type="paragraph" w:styleId="List5">
    <w:name w:val="List 5"/>
    <w:basedOn w:val="Normal"/>
    <w:semiHidden/>
    <w:rsid w:val="00B568C9"/>
    <w:pPr>
      <w:ind w:left="1415" w:hanging="283"/>
    </w:pPr>
  </w:style>
  <w:style w:type="paragraph" w:styleId="ListBullet">
    <w:name w:val="List Bullet"/>
    <w:basedOn w:val="Normal"/>
    <w:semiHidden/>
    <w:rsid w:val="00B568C9"/>
    <w:pPr>
      <w:numPr>
        <w:numId w:val="4"/>
      </w:numPr>
    </w:pPr>
  </w:style>
  <w:style w:type="paragraph" w:styleId="ListBullet2">
    <w:name w:val="List Bullet 2"/>
    <w:basedOn w:val="Normal"/>
    <w:semiHidden/>
    <w:rsid w:val="00B568C9"/>
    <w:pPr>
      <w:numPr>
        <w:numId w:val="5"/>
      </w:numPr>
    </w:pPr>
  </w:style>
  <w:style w:type="paragraph" w:styleId="ListBullet3">
    <w:name w:val="List Bullet 3"/>
    <w:basedOn w:val="Normal"/>
    <w:semiHidden/>
    <w:rsid w:val="00B568C9"/>
    <w:pPr>
      <w:numPr>
        <w:numId w:val="6"/>
      </w:numPr>
    </w:pPr>
  </w:style>
  <w:style w:type="paragraph" w:styleId="ListBullet4">
    <w:name w:val="List Bullet 4"/>
    <w:basedOn w:val="Normal"/>
    <w:semiHidden/>
    <w:rsid w:val="00B568C9"/>
    <w:pPr>
      <w:numPr>
        <w:numId w:val="7"/>
      </w:numPr>
    </w:pPr>
  </w:style>
  <w:style w:type="paragraph" w:styleId="ListBullet5">
    <w:name w:val="List Bullet 5"/>
    <w:basedOn w:val="Normal"/>
    <w:semiHidden/>
    <w:rsid w:val="00B568C9"/>
    <w:pPr>
      <w:numPr>
        <w:numId w:val="8"/>
      </w:numPr>
    </w:pPr>
  </w:style>
  <w:style w:type="paragraph" w:styleId="ListContinue">
    <w:name w:val="List Continue"/>
    <w:basedOn w:val="Normal"/>
    <w:semiHidden/>
    <w:rsid w:val="00B568C9"/>
    <w:pPr>
      <w:spacing w:after="120"/>
      <w:ind w:left="283"/>
    </w:pPr>
  </w:style>
  <w:style w:type="paragraph" w:styleId="ListContinue2">
    <w:name w:val="List Continue 2"/>
    <w:basedOn w:val="Normal"/>
    <w:semiHidden/>
    <w:rsid w:val="00B568C9"/>
    <w:pPr>
      <w:spacing w:after="120"/>
      <w:ind w:left="566"/>
    </w:pPr>
  </w:style>
  <w:style w:type="paragraph" w:styleId="ListContinue3">
    <w:name w:val="List Continue 3"/>
    <w:basedOn w:val="Normal"/>
    <w:semiHidden/>
    <w:rsid w:val="00B568C9"/>
    <w:pPr>
      <w:spacing w:after="120"/>
      <w:ind w:left="849"/>
    </w:pPr>
  </w:style>
  <w:style w:type="paragraph" w:styleId="ListContinue4">
    <w:name w:val="List Continue 4"/>
    <w:basedOn w:val="Normal"/>
    <w:semiHidden/>
    <w:rsid w:val="00B568C9"/>
    <w:pPr>
      <w:spacing w:after="120"/>
      <w:ind w:left="1132"/>
    </w:pPr>
  </w:style>
  <w:style w:type="paragraph" w:styleId="ListContinue5">
    <w:name w:val="List Continue 5"/>
    <w:basedOn w:val="Normal"/>
    <w:semiHidden/>
    <w:rsid w:val="00B568C9"/>
    <w:pPr>
      <w:spacing w:after="120"/>
      <w:ind w:left="1415"/>
    </w:pPr>
  </w:style>
  <w:style w:type="paragraph" w:styleId="ListNumber">
    <w:name w:val="List Number"/>
    <w:basedOn w:val="Normal"/>
    <w:semiHidden/>
    <w:rsid w:val="00B568C9"/>
    <w:pPr>
      <w:numPr>
        <w:numId w:val="9"/>
      </w:numPr>
    </w:pPr>
  </w:style>
  <w:style w:type="paragraph" w:styleId="ListNumber2">
    <w:name w:val="List Number 2"/>
    <w:basedOn w:val="Normal"/>
    <w:semiHidden/>
    <w:rsid w:val="00B568C9"/>
    <w:pPr>
      <w:numPr>
        <w:numId w:val="10"/>
      </w:numPr>
    </w:pPr>
  </w:style>
  <w:style w:type="paragraph" w:styleId="ListNumber3">
    <w:name w:val="List Number 3"/>
    <w:basedOn w:val="Normal"/>
    <w:semiHidden/>
    <w:rsid w:val="00B568C9"/>
    <w:pPr>
      <w:numPr>
        <w:numId w:val="11"/>
      </w:numPr>
    </w:pPr>
  </w:style>
  <w:style w:type="paragraph" w:styleId="ListNumber4">
    <w:name w:val="List Number 4"/>
    <w:basedOn w:val="Normal"/>
    <w:semiHidden/>
    <w:rsid w:val="00B568C9"/>
    <w:pPr>
      <w:numPr>
        <w:numId w:val="12"/>
      </w:numPr>
    </w:pPr>
  </w:style>
  <w:style w:type="paragraph" w:styleId="ListNumber5">
    <w:name w:val="List Number 5"/>
    <w:basedOn w:val="Normal"/>
    <w:semiHidden/>
    <w:rsid w:val="00B568C9"/>
    <w:pPr>
      <w:numPr>
        <w:numId w:val="13"/>
      </w:numPr>
    </w:pPr>
  </w:style>
  <w:style w:type="paragraph" w:styleId="MessageHeader">
    <w:name w:val="Message Header"/>
    <w:basedOn w:val="Normal"/>
    <w:semiHidden/>
    <w:rsid w:val="00B568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568C9"/>
  </w:style>
  <w:style w:type="paragraph" w:styleId="NormalIndent">
    <w:name w:val="Normal Indent"/>
    <w:basedOn w:val="Normal"/>
    <w:semiHidden/>
    <w:rsid w:val="00B568C9"/>
    <w:pPr>
      <w:ind w:left="720"/>
    </w:pPr>
  </w:style>
  <w:style w:type="paragraph" w:styleId="NoteHeading">
    <w:name w:val="Note Heading"/>
    <w:basedOn w:val="Normal"/>
    <w:next w:val="Normal"/>
    <w:semiHidden/>
    <w:rsid w:val="00B568C9"/>
  </w:style>
  <w:style w:type="character" w:styleId="PageNumber">
    <w:name w:val="page number"/>
    <w:basedOn w:val="DefaultParagraphFont"/>
    <w:semiHidden/>
    <w:rsid w:val="00B568C9"/>
  </w:style>
  <w:style w:type="paragraph" w:styleId="PlainText">
    <w:name w:val="Plain Text"/>
    <w:basedOn w:val="Normal"/>
    <w:semiHidden/>
    <w:rsid w:val="00B568C9"/>
    <w:rPr>
      <w:rFonts w:ascii="Courier New" w:hAnsi="Courier New" w:cs="Courier New"/>
      <w:sz w:val="20"/>
      <w:szCs w:val="20"/>
    </w:rPr>
  </w:style>
  <w:style w:type="paragraph" w:styleId="Salutation">
    <w:name w:val="Salutation"/>
    <w:basedOn w:val="Normal"/>
    <w:next w:val="Normal"/>
    <w:semiHidden/>
    <w:rsid w:val="00B568C9"/>
  </w:style>
  <w:style w:type="paragraph" w:styleId="Signature">
    <w:name w:val="Signature"/>
    <w:basedOn w:val="Normal"/>
    <w:semiHidden/>
    <w:rsid w:val="00B568C9"/>
    <w:pPr>
      <w:ind w:left="4252"/>
    </w:pPr>
  </w:style>
  <w:style w:type="character" w:styleId="Strong">
    <w:name w:val="Strong"/>
    <w:basedOn w:val="DefaultParagraphFont"/>
    <w:qFormat/>
    <w:rsid w:val="00B568C9"/>
    <w:rPr>
      <w:b/>
      <w:bCs/>
    </w:rPr>
  </w:style>
  <w:style w:type="paragraph" w:styleId="Subtitle">
    <w:name w:val="Subtitle"/>
    <w:basedOn w:val="Normal"/>
    <w:qFormat/>
    <w:rsid w:val="00B568C9"/>
    <w:pPr>
      <w:spacing w:after="60"/>
      <w:jc w:val="center"/>
      <w:outlineLvl w:val="1"/>
    </w:pPr>
    <w:rPr>
      <w:rFonts w:ascii="Arial" w:hAnsi="Arial" w:cs="Arial"/>
    </w:rPr>
  </w:style>
  <w:style w:type="table" w:styleId="Table3Deffects1">
    <w:name w:val="Table 3D effects 1"/>
    <w:basedOn w:val="TableNormal"/>
    <w:semiHidden/>
    <w:rsid w:val="00B568C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568C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568C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568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568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568C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568C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568C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568C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568C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568C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568C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568C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568C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568C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568C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568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56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568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568C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568C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568C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568C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568C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568C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568C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568C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568C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568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568C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568C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568C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568C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568C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568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568C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568C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568C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568C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568C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56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568C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568C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568C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568C9"/>
    <w:pPr>
      <w:spacing w:after="60"/>
      <w:jc w:val="center"/>
      <w:outlineLvl w:val="0"/>
    </w:pPr>
    <w:rPr>
      <w:rFonts w:ascii="Arial" w:hAnsi="Arial" w:cs="Arial"/>
      <w:b/>
      <w:bCs/>
      <w:kern w:val="28"/>
      <w:sz w:val="32"/>
      <w:szCs w:val="32"/>
    </w:rPr>
  </w:style>
  <w:style w:type="paragraph" w:customStyle="1" w:styleId="SinglePara">
    <w:name w:val="Single Para"/>
    <w:basedOn w:val="Normal"/>
    <w:next w:val="Normal"/>
    <w:rsid w:val="00B568C9"/>
    <w:pPr>
      <w:spacing w:after="0"/>
    </w:pPr>
  </w:style>
  <w:style w:type="paragraph" w:customStyle="1" w:styleId="Bullet">
    <w:name w:val="Bullet"/>
    <w:aliases w:val="b"/>
    <w:basedOn w:val="Normal"/>
    <w:link w:val="BulletChar"/>
    <w:qFormat/>
    <w:rsid w:val="00397B50"/>
    <w:pPr>
      <w:numPr>
        <w:numId w:val="14"/>
      </w:numPr>
    </w:pPr>
  </w:style>
  <w:style w:type="paragraph" w:customStyle="1" w:styleId="Dash">
    <w:name w:val="Dash"/>
    <w:basedOn w:val="Normal"/>
    <w:rsid w:val="00397B50"/>
    <w:pPr>
      <w:numPr>
        <w:ilvl w:val="1"/>
        <w:numId w:val="14"/>
      </w:numPr>
    </w:pPr>
  </w:style>
  <w:style w:type="paragraph" w:customStyle="1" w:styleId="DoubleDot">
    <w:name w:val="Double Dot"/>
    <w:basedOn w:val="Normal"/>
    <w:rsid w:val="00397B50"/>
    <w:pPr>
      <w:numPr>
        <w:ilvl w:val="2"/>
        <w:numId w:val="14"/>
      </w:numPr>
    </w:pPr>
  </w:style>
  <w:style w:type="paragraph" w:customStyle="1" w:styleId="BoxHeading">
    <w:name w:val="Box Heading"/>
    <w:basedOn w:val="Normal"/>
    <w:next w:val="BoxText"/>
    <w:rsid w:val="000C7A06"/>
    <w:pPr>
      <w:keepNext/>
      <w:tabs>
        <w:tab w:val="left" w:pos="851"/>
      </w:tabs>
      <w:spacing w:after="120"/>
      <w:ind w:left="851" w:hanging="851"/>
    </w:pPr>
    <w:rPr>
      <w:b/>
      <w:color w:val="000000"/>
      <w:szCs w:val="20"/>
    </w:rPr>
  </w:style>
  <w:style w:type="paragraph" w:customStyle="1" w:styleId="BoxText">
    <w:name w:val="Box Text"/>
    <w:basedOn w:val="Normal"/>
    <w:rsid w:val="000C7A06"/>
    <w:pPr>
      <w:spacing w:line="260" w:lineRule="exact"/>
    </w:pPr>
    <w:rPr>
      <w:color w:val="000000"/>
      <w:szCs w:val="20"/>
    </w:rPr>
  </w:style>
  <w:style w:type="paragraph" w:customStyle="1" w:styleId="TableTextLeft">
    <w:name w:val="Table Text Left"/>
    <w:basedOn w:val="TableTextBase"/>
    <w:rsid w:val="000C7A06"/>
  </w:style>
  <w:style w:type="paragraph" w:customStyle="1" w:styleId="TableTextBase">
    <w:name w:val="Table Text Base"/>
    <w:rsid w:val="000C7A06"/>
    <w:pPr>
      <w:spacing w:before="40" w:after="40"/>
      <w:jc w:val="both"/>
    </w:pPr>
    <w:rPr>
      <w:rFonts w:ascii="Arial" w:hAnsi="Arial"/>
      <w:color w:val="000000"/>
      <w:sz w:val="18"/>
    </w:rPr>
  </w:style>
  <w:style w:type="paragraph" w:customStyle="1" w:styleId="TableTextIndented">
    <w:name w:val="Table Text Indented"/>
    <w:basedOn w:val="TableTextBase"/>
    <w:rsid w:val="000C7A06"/>
    <w:pPr>
      <w:ind w:left="284"/>
    </w:pPr>
  </w:style>
  <w:style w:type="paragraph" w:customStyle="1" w:styleId="TableTextCentered">
    <w:name w:val="Table Text Centered"/>
    <w:basedOn w:val="TableTextBase"/>
    <w:rsid w:val="000C7A06"/>
    <w:pPr>
      <w:jc w:val="center"/>
    </w:pPr>
  </w:style>
  <w:style w:type="paragraph" w:customStyle="1" w:styleId="TableTextRight">
    <w:name w:val="Table Text Right"/>
    <w:basedOn w:val="TableTextBase"/>
    <w:rsid w:val="000C7A06"/>
    <w:pPr>
      <w:jc w:val="right"/>
    </w:pPr>
  </w:style>
  <w:style w:type="paragraph" w:customStyle="1" w:styleId="TableSecondHeading">
    <w:name w:val="Table Second Heading"/>
    <w:basedOn w:val="TableTextBase"/>
    <w:next w:val="Normal"/>
    <w:rsid w:val="00C86973"/>
    <w:pPr>
      <w:keepNext/>
      <w:spacing w:after="20"/>
    </w:pPr>
    <w:rPr>
      <w:b/>
    </w:rPr>
  </w:style>
  <w:style w:type="paragraph" w:customStyle="1" w:styleId="TableMainHeading">
    <w:name w:val="Table Main Heading"/>
    <w:basedOn w:val="TableTextBase"/>
    <w:rsid w:val="00C86973"/>
    <w:rPr>
      <w:b/>
      <w:sz w:val="20"/>
    </w:rPr>
  </w:style>
  <w:style w:type="paragraph" w:customStyle="1" w:styleId="ChartFigureHeading">
    <w:name w:val="Chart Figure Heading"/>
    <w:basedOn w:val="TableTextBase"/>
    <w:next w:val="Normal"/>
    <w:rsid w:val="00A45A0B"/>
    <w:pPr>
      <w:jc w:val="center"/>
    </w:pPr>
    <w:rPr>
      <w:b/>
      <w:sz w:val="20"/>
    </w:rPr>
  </w:style>
  <w:style w:type="paragraph" w:customStyle="1" w:styleId="NumberedParagraph">
    <w:name w:val="Numbered Paragraph"/>
    <w:basedOn w:val="Normal"/>
    <w:rsid w:val="001D0B1A"/>
    <w:pPr>
      <w:numPr>
        <w:numId w:val="15"/>
      </w:numPr>
    </w:pPr>
  </w:style>
  <w:style w:type="paragraph" w:customStyle="1" w:styleId="SecurityClassificationHeader">
    <w:name w:val="Security Classification Header"/>
    <w:rsid w:val="001D0B1A"/>
    <w:pPr>
      <w:spacing w:after="240"/>
      <w:jc w:val="center"/>
    </w:pPr>
    <w:rPr>
      <w:b/>
      <w:caps/>
      <w:sz w:val="24"/>
      <w:szCs w:val="24"/>
      <w:lang w:eastAsia="en-US"/>
    </w:rPr>
  </w:style>
  <w:style w:type="paragraph" w:customStyle="1" w:styleId="SecurityClassificationFooter">
    <w:name w:val="Security Classification Footer"/>
    <w:rsid w:val="001D0B1A"/>
    <w:pPr>
      <w:spacing w:after="240"/>
      <w:jc w:val="center"/>
    </w:pPr>
    <w:rPr>
      <w:b/>
      <w:caps/>
      <w:sz w:val="24"/>
      <w:szCs w:val="24"/>
      <w:lang w:eastAsia="en-US"/>
    </w:rPr>
  </w:style>
  <w:style w:type="paragraph" w:customStyle="1" w:styleId="Style1">
    <w:name w:val="Style1"/>
    <w:basedOn w:val="Normal"/>
    <w:link w:val="Style1Char"/>
    <w:qFormat/>
    <w:rsid w:val="00F25C73"/>
    <w:pPr>
      <w:keepNext/>
      <w:keepLines/>
    </w:pPr>
    <w:rPr>
      <w:b/>
      <w:bCs/>
    </w:rPr>
  </w:style>
  <w:style w:type="character" w:customStyle="1" w:styleId="Style1Char">
    <w:name w:val="Style1 Char"/>
    <w:basedOn w:val="DefaultParagraphFont"/>
    <w:link w:val="Style1"/>
    <w:rsid w:val="00F25C73"/>
    <w:rPr>
      <w:b/>
      <w:bCs/>
      <w:sz w:val="24"/>
      <w:szCs w:val="24"/>
    </w:rPr>
  </w:style>
  <w:style w:type="character" w:customStyle="1" w:styleId="BodyText3Char">
    <w:name w:val="Body Text 3 Char"/>
    <w:basedOn w:val="DefaultParagraphFont"/>
    <w:link w:val="BodyText3"/>
    <w:rsid w:val="00F25C73"/>
    <w:rPr>
      <w:sz w:val="16"/>
      <w:szCs w:val="16"/>
      <w:lang w:eastAsia="en-US"/>
    </w:rPr>
  </w:style>
  <w:style w:type="paragraph" w:customStyle="1" w:styleId="StyleHeading2TimesNewRoman">
    <w:name w:val="Style Heading 2 + Times New Roman"/>
    <w:basedOn w:val="Heading2"/>
    <w:rsid w:val="00F25C73"/>
    <w:pPr>
      <w:spacing w:after="60"/>
    </w:pPr>
    <w:rPr>
      <w:caps w:val="0"/>
    </w:rPr>
  </w:style>
  <w:style w:type="paragraph" w:customStyle="1" w:styleId="definition">
    <w:name w:val="definition"/>
    <w:basedOn w:val="Normal"/>
    <w:rsid w:val="00C0443D"/>
    <w:pPr>
      <w:widowControl/>
      <w:autoSpaceDE/>
      <w:autoSpaceDN/>
      <w:adjustRightInd/>
      <w:spacing w:before="80" w:after="0" w:line="260" w:lineRule="exact"/>
      <w:ind w:left="964"/>
      <w:jc w:val="both"/>
    </w:pPr>
    <w:rPr>
      <w:lang w:eastAsia="en-US"/>
    </w:rPr>
  </w:style>
  <w:style w:type="paragraph" w:customStyle="1" w:styleId="Formula">
    <w:name w:val="Formula"/>
    <w:basedOn w:val="Normal"/>
    <w:next w:val="Normal"/>
    <w:rsid w:val="00C0443D"/>
    <w:pPr>
      <w:widowControl/>
      <w:autoSpaceDE/>
      <w:autoSpaceDN/>
      <w:adjustRightInd/>
      <w:spacing w:before="180" w:after="180"/>
      <w:jc w:val="center"/>
    </w:pPr>
    <w:rPr>
      <w:lang w:eastAsia="en-US"/>
    </w:rPr>
  </w:style>
  <w:style w:type="paragraph" w:customStyle="1" w:styleId="Note">
    <w:name w:val="Note"/>
    <w:basedOn w:val="Normal"/>
    <w:rsid w:val="00C0443D"/>
    <w:pPr>
      <w:widowControl/>
      <w:autoSpaceDE/>
      <w:autoSpaceDN/>
      <w:adjustRightInd/>
      <w:spacing w:before="120" w:after="0" w:line="221" w:lineRule="auto"/>
      <w:ind w:left="964"/>
      <w:jc w:val="both"/>
    </w:pPr>
    <w:rPr>
      <w:sz w:val="20"/>
    </w:rPr>
  </w:style>
  <w:style w:type="paragraph" w:customStyle="1" w:styleId="P1">
    <w:name w:val="P1"/>
    <w:aliases w:val="(a)"/>
    <w:basedOn w:val="Normal"/>
    <w:link w:val="P1Char"/>
    <w:rsid w:val="00C0443D"/>
    <w:pPr>
      <w:widowControl/>
      <w:tabs>
        <w:tab w:val="right" w:pos="1191"/>
      </w:tabs>
      <w:autoSpaceDE/>
      <w:autoSpaceDN/>
      <w:adjustRightInd/>
      <w:spacing w:before="60" w:after="0" w:line="260" w:lineRule="exact"/>
      <w:ind w:left="1418" w:hanging="1418"/>
      <w:jc w:val="both"/>
    </w:pPr>
    <w:rPr>
      <w:lang w:eastAsia="en-US"/>
    </w:rPr>
  </w:style>
  <w:style w:type="paragraph" w:customStyle="1" w:styleId="Zdefinition">
    <w:name w:val="Zdefinition"/>
    <w:basedOn w:val="definition"/>
    <w:rsid w:val="00C0443D"/>
    <w:pPr>
      <w:keepNext/>
    </w:pPr>
  </w:style>
  <w:style w:type="paragraph" w:customStyle="1" w:styleId="ZR1">
    <w:name w:val="ZR1"/>
    <w:basedOn w:val="Normal"/>
    <w:rsid w:val="00C0443D"/>
    <w:pPr>
      <w:keepNext/>
      <w:keepLines/>
      <w:widowControl/>
      <w:tabs>
        <w:tab w:val="right" w:pos="794"/>
      </w:tabs>
      <w:autoSpaceDE/>
      <w:autoSpaceDN/>
      <w:adjustRightInd/>
      <w:spacing w:before="120" w:after="0" w:line="260" w:lineRule="exact"/>
      <w:ind w:left="964" w:hanging="964"/>
      <w:jc w:val="both"/>
    </w:pPr>
    <w:rPr>
      <w:lang w:eastAsia="en-US"/>
    </w:rPr>
  </w:style>
  <w:style w:type="paragraph" w:customStyle="1" w:styleId="ZRcN">
    <w:name w:val="ZRcN"/>
    <w:basedOn w:val="Normal"/>
    <w:rsid w:val="00C0443D"/>
    <w:pPr>
      <w:keepNext/>
      <w:widowControl/>
      <w:autoSpaceDE/>
      <w:autoSpaceDN/>
      <w:adjustRightInd/>
      <w:spacing w:before="60" w:after="0" w:line="260" w:lineRule="exact"/>
      <w:ind w:left="964"/>
      <w:jc w:val="both"/>
    </w:pPr>
    <w:rPr>
      <w:lang w:eastAsia="en-US"/>
    </w:rPr>
  </w:style>
  <w:style w:type="character" w:customStyle="1" w:styleId="P1Char">
    <w:name w:val="P1 Char"/>
    <w:aliases w:val="(a) Char"/>
    <w:basedOn w:val="DefaultParagraphFont"/>
    <w:link w:val="P1"/>
    <w:rsid w:val="00C0443D"/>
    <w:rPr>
      <w:sz w:val="24"/>
      <w:szCs w:val="24"/>
      <w:lang w:eastAsia="en-US"/>
    </w:rPr>
  </w:style>
  <w:style w:type="paragraph" w:customStyle="1" w:styleId="Style3">
    <w:name w:val="Style3"/>
    <w:basedOn w:val="Normal"/>
    <w:link w:val="Style3Char"/>
    <w:qFormat/>
    <w:rsid w:val="00684F73"/>
    <w:pPr>
      <w:spacing w:before="0"/>
      <w:ind w:right="91"/>
      <w:jc w:val="center"/>
    </w:pPr>
    <w:rPr>
      <w:b/>
      <w:bCs/>
      <w:sz w:val="28"/>
      <w:u w:val="single"/>
    </w:rPr>
  </w:style>
  <w:style w:type="character" w:customStyle="1" w:styleId="Style3Char">
    <w:name w:val="Style3 Char"/>
    <w:basedOn w:val="DefaultParagraphFont"/>
    <w:link w:val="Style3"/>
    <w:rsid w:val="00684F73"/>
    <w:rPr>
      <w:b/>
      <w:bCs/>
      <w:sz w:val="28"/>
      <w:szCs w:val="24"/>
      <w:u w:val="single"/>
    </w:rPr>
  </w:style>
  <w:style w:type="paragraph" w:styleId="BalloonText">
    <w:name w:val="Balloon Text"/>
    <w:basedOn w:val="Normal"/>
    <w:link w:val="BalloonTextChar"/>
    <w:rsid w:val="0068102B"/>
    <w:pPr>
      <w:spacing w:before="0" w:after="0"/>
    </w:pPr>
    <w:rPr>
      <w:rFonts w:ascii="Tahoma" w:hAnsi="Tahoma" w:cs="Tahoma"/>
      <w:sz w:val="16"/>
      <w:szCs w:val="16"/>
    </w:rPr>
  </w:style>
  <w:style w:type="character" w:customStyle="1" w:styleId="BalloonTextChar">
    <w:name w:val="Balloon Text Char"/>
    <w:basedOn w:val="DefaultParagraphFont"/>
    <w:link w:val="BalloonText"/>
    <w:rsid w:val="0068102B"/>
    <w:rPr>
      <w:rFonts w:ascii="Tahoma" w:hAnsi="Tahoma" w:cs="Tahoma"/>
      <w:sz w:val="16"/>
      <w:szCs w:val="16"/>
    </w:rPr>
  </w:style>
  <w:style w:type="character" w:customStyle="1" w:styleId="BulletChar">
    <w:name w:val="Bullet Char"/>
    <w:aliases w:val="b Char"/>
    <w:basedOn w:val="DefaultParagraphFont"/>
    <w:link w:val="Bullet"/>
    <w:rsid w:val="003F0553"/>
    <w:rPr>
      <w:sz w:val="24"/>
      <w:szCs w:val="24"/>
    </w:rPr>
  </w:style>
  <w:style w:type="character" w:styleId="CommentReference">
    <w:name w:val="annotation reference"/>
    <w:basedOn w:val="DefaultParagraphFont"/>
    <w:rsid w:val="001C4A8C"/>
    <w:rPr>
      <w:sz w:val="16"/>
      <w:szCs w:val="16"/>
    </w:rPr>
  </w:style>
  <w:style w:type="paragraph" w:styleId="CommentText">
    <w:name w:val="annotation text"/>
    <w:basedOn w:val="Normal"/>
    <w:link w:val="CommentTextChar"/>
    <w:rsid w:val="001C4A8C"/>
    <w:rPr>
      <w:sz w:val="20"/>
      <w:szCs w:val="20"/>
    </w:rPr>
  </w:style>
  <w:style w:type="character" w:customStyle="1" w:styleId="CommentTextChar">
    <w:name w:val="Comment Text Char"/>
    <w:basedOn w:val="DefaultParagraphFont"/>
    <w:link w:val="CommentText"/>
    <w:rsid w:val="001C4A8C"/>
  </w:style>
  <w:style w:type="paragraph" w:styleId="CommentSubject">
    <w:name w:val="annotation subject"/>
    <w:basedOn w:val="CommentText"/>
    <w:next w:val="CommentText"/>
    <w:link w:val="CommentSubjectChar"/>
    <w:rsid w:val="001C4A8C"/>
    <w:rPr>
      <w:b/>
      <w:bCs/>
    </w:rPr>
  </w:style>
  <w:style w:type="character" w:customStyle="1" w:styleId="CommentSubjectChar">
    <w:name w:val="Comment Subject Char"/>
    <w:basedOn w:val="CommentTextChar"/>
    <w:link w:val="CommentSubject"/>
    <w:rsid w:val="001C4A8C"/>
    <w:rPr>
      <w:b/>
      <w:bCs/>
    </w:rPr>
  </w:style>
  <w:style w:type="paragraph" w:customStyle="1" w:styleId="MinisterNormal">
    <w:name w:val="Minister Normal"/>
    <w:basedOn w:val="Normal"/>
    <w:link w:val="MinisterNormalChar"/>
    <w:uiPriority w:val="99"/>
    <w:rsid w:val="00A175DD"/>
    <w:pPr>
      <w:widowControl/>
      <w:autoSpaceDE/>
      <w:autoSpaceDN/>
      <w:adjustRightInd/>
      <w:spacing w:before="0"/>
    </w:pPr>
    <w:rPr>
      <w:rFonts w:cs="Arial"/>
      <w:szCs w:val="20"/>
    </w:rPr>
  </w:style>
  <w:style w:type="character" w:customStyle="1" w:styleId="MinisterNormalChar">
    <w:name w:val="Minister Normal Char"/>
    <w:basedOn w:val="DefaultParagraphFont"/>
    <w:link w:val="MinisterNormal"/>
    <w:uiPriority w:val="99"/>
    <w:rsid w:val="00A175DD"/>
    <w:rPr>
      <w:rFonts w:cs="Arial"/>
      <w:sz w:val="24"/>
    </w:rPr>
  </w:style>
  <w:style w:type="paragraph" w:customStyle="1" w:styleId="OutlineNumbered1">
    <w:name w:val="Outline Numbered 1"/>
    <w:basedOn w:val="Normal"/>
    <w:link w:val="OutlineNumbered1Char"/>
    <w:rsid w:val="008F0FD1"/>
    <w:pPr>
      <w:widowControl/>
      <w:numPr>
        <w:numId w:val="19"/>
      </w:numPr>
      <w:autoSpaceDE/>
      <w:autoSpaceDN/>
      <w:adjustRightInd/>
      <w:spacing w:before="0" w:after="200" w:line="276" w:lineRule="auto"/>
    </w:pPr>
    <w:rPr>
      <w:rFonts w:eastAsia="Calibri"/>
      <w:b/>
      <w:u w:val="single"/>
      <w:lang w:eastAsia="en-US"/>
    </w:rPr>
  </w:style>
  <w:style w:type="character" w:customStyle="1" w:styleId="OutlineNumbered1Char">
    <w:name w:val="Outline Numbered 1 Char"/>
    <w:basedOn w:val="DefaultParagraphFont"/>
    <w:link w:val="OutlineNumbered1"/>
    <w:rsid w:val="008F0FD1"/>
    <w:rPr>
      <w:rFonts w:eastAsia="Calibri"/>
      <w:b/>
      <w:sz w:val="24"/>
      <w:szCs w:val="24"/>
      <w:u w:val="single"/>
      <w:lang w:eastAsia="en-US"/>
    </w:rPr>
  </w:style>
  <w:style w:type="paragraph" w:customStyle="1" w:styleId="OutlineNumbered2">
    <w:name w:val="Outline Numbered 2"/>
    <w:basedOn w:val="Normal"/>
    <w:rsid w:val="008F0FD1"/>
    <w:pPr>
      <w:widowControl/>
      <w:numPr>
        <w:ilvl w:val="1"/>
        <w:numId w:val="19"/>
      </w:numPr>
      <w:autoSpaceDE/>
      <w:autoSpaceDN/>
      <w:adjustRightInd/>
      <w:spacing w:before="0" w:after="200" w:line="276" w:lineRule="auto"/>
    </w:pPr>
    <w:rPr>
      <w:rFonts w:eastAsia="Calibri"/>
      <w:b/>
      <w:u w:val="single"/>
      <w:lang w:eastAsia="en-US"/>
    </w:rPr>
  </w:style>
  <w:style w:type="paragraph" w:customStyle="1" w:styleId="OutlineNumbered3">
    <w:name w:val="Outline Numbered 3"/>
    <w:basedOn w:val="Normal"/>
    <w:rsid w:val="008F0FD1"/>
    <w:pPr>
      <w:widowControl/>
      <w:numPr>
        <w:ilvl w:val="2"/>
        <w:numId w:val="19"/>
      </w:numPr>
      <w:autoSpaceDE/>
      <w:autoSpaceDN/>
      <w:adjustRightInd/>
      <w:spacing w:before="0" w:after="200" w:line="276" w:lineRule="auto"/>
    </w:pPr>
    <w:rPr>
      <w:rFonts w:eastAsia="Calibri"/>
      <w:b/>
      <w:u w:val="single"/>
      <w:lang w:eastAsia="en-US"/>
    </w:rPr>
  </w:style>
  <w:style w:type="paragraph" w:customStyle="1" w:styleId="Style10">
    <w:name w:val="Style 1"/>
    <w:basedOn w:val="Bullet"/>
    <w:link w:val="Style1Char0"/>
    <w:qFormat/>
    <w:rsid w:val="00F70CD3"/>
    <w:pPr>
      <w:widowControl/>
      <w:numPr>
        <w:numId w:val="0"/>
      </w:numPr>
      <w:autoSpaceDE/>
      <w:autoSpaceDN/>
      <w:adjustRightInd/>
      <w:spacing w:before="120" w:after="120" w:line="276" w:lineRule="auto"/>
    </w:pPr>
    <w:rPr>
      <w:rFonts w:ascii="Calibri" w:hAnsi="Calibri"/>
      <w:lang w:eastAsia="en-US"/>
    </w:rPr>
  </w:style>
  <w:style w:type="character" w:customStyle="1" w:styleId="Style1Char0">
    <w:name w:val="Style 1 Char"/>
    <w:basedOn w:val="BulletChar"/>
    <w:link w:val="Style10"/>
    <w:locked/>
    <w:rsid w:val="00F70CD3"/>
    <w:rPr>
      <w:rFonts w:ascii="Calibri" w:hAnsi="Calibri"/>
      <w:sz w:val="24"/>
      <w:szCs w:val="24"/>
      <w:lang w:eastAsia="en-US"/>
    </w:rPr>
  </w:style>
  <w:style w:type="paragraph" w:customStyle="1" w:styleId="Headingbold">
    <w:name w:val="Heading bold"/>
    <w:basedOn w:val="Bullet"/>
    <w:link w:val="HeadingboldChar"/>
    <w:qFormat/>
    <w:rsid w:val="007232B0"/>
    <w:pPr>
      <w:keepNext/>
      <w:widowControl/>
      <w:numPr>
        <w:numId w:val="0"/>
      </w:numPr>
      <w:autoSpaceDE/>
      <w:autoSpaceDN/>
      <w:adjustRightInd/>
      <w:spacing w:after="120" w:line="276" w:lineRule="auto"/>
    </w:pPr>
    <w:rPr>
      <w:rFonts w:ascii="Calibri" w:hAnsi="Calibri"/>
      <w:b/>
      <w:lang w:eastAsia="en-US"/>
    </w:rPr>
  </w:style>
  <w:style w:type="character" w:customStyle="1" w:styleId="HeadingboldChar">
    <w:name w:val="Heading bold Char"/>
    <w:link w:val="Headingbold"/>
    <w:locked/>
    <w:rsid w:val="007232B0"/>
    <w:rPr>
      <w:rFonts w:ascii="Calibri" w:hAnsi="Calibri"/>
      <w:b/>
      <w:sz w:val="24"/>
      <w:szCs w:val="24"/>
      <w:lang w:eastAsia="en-US"/>
    </w:rPr>
  </w:style>
  <w:style w:type="character" w:customStyle="1" w:styleId="HeaderChar">
    <w:name w:val="Header Char"/>
    <w:basedOn w:val="DefaultParagraphFont"/>
    <w:link w:val="Header"/>
    <w:uiPriority w:val="99"/>
    <w:rsid w:val="000A17B8"/>
    <w:rPr>
      <w:sz w:val="24"/>
      <w:szCs w:val="24"/>
      <w:lang w:eastAsia="en-US"/>
    </w:rPr>
  </w:style>
  <w:style w:type="paragraph" w:styleId="ListParagraph">
    <w:name w:val="List Paragraph"/>
    <w:basedOn w:val="Normal"/>
    <w:uiPriority w:val="34"/>
    <w:qFormat/>
    <w:rsid w:val="001D7EF4"/>
    <w:pPr>
      <w:ind w:left="720"/>
      <w:contextualSpacing/>
    </w:pPr>
  </w:style>
  <w:style w:type="paragraph" w:customStyle="1" w:styleId="Default">
    <w:name w:val="Default"/>
    <w:rsid w:val="008F537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586B83"/>
    <w:rPr>
      <w:sz w:val="24"/>
      <w:szCs w:val="24"/>
    </w:rPr>
  </w:style>
  <w:style w:type="paragraph" w:customStyle="1" w:styleId="NumberLevel1">
    <w:name w:val="Number Level 1"/>
    <w:basedOn w:val="Normal"/>
    <w:link w:val="NumberLevel1Char"/>
    <w:rsid w:val="00D436FD"/>
    <w:pPr>
      <w:widowControl/>
      <w:numPr>
        <w:numId w:val="31"/>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D436FD"/>
    <w:pPr>
      <w:widowControl/>
      <w:numPr>
        <w:ilvl w:val="1"/>
        <w:numId w:val="31"/>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D436FD"/>
    <w:pPr>
      <w:widowControl/>
      <w:numPr>
        <w:ilvl w:val="2"/>
        <w:numId w:val="31"/>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D436FD"/>
    <w:pPr>
      <w:widowControl/>
      <w:numPr>
        <w:ilvl w:val="3"/>
        <w:numId w:val="31"/>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D436FD"/>
    <w:pPr>
      <w:widowControl/>
      <w:numPr>
        <w:ilvl w:val="4"/>
        <w:numId w:val="31"/>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D436FD"/>
    <w:pPr>
      <w:numPr>
        <w:ilvl w:val="5"/>
      </w:numPr>
    </w:pPr>
  </w:style>
  <w:style w:type="paragraph" w:customStyle="1" w:styleId="NumberLevel7">
    <w:name w:val="Number Level 7"/>
    <w:basedOn w:val="NumberLevel6"/>
    <w:rsid w:val="00D436FD"/>
    <w:pPr>
      <w:numPr>
        <w:ilvl w:val="6"/>
      </w:numPr>
    </w:pPr>
  </w:style>
  <w:style w:type="paragraph" w:customStyle="1" w:styleId="NumberLevel8">
    <w:name w:val="Number Level 8"/>
    <w:basedOn w:val="NumberLevel7"/>
    <w:rsid w:val="00D436FD"/>
    <w:pPr>
      <w:numPr>
        <w:ilvl w:val="7"/>
      </w:numPr>
    </w:pPr>
  </w:style>
  <w:style w:type="paragraph" w:customStyle="1" w:styleId="NumberLevel9">
    <w:name w:val="Number Level 9"/>
    <w:basedOn w:val="NumberLevel8"/>
    <w:rsid w:val="00D436FD"/>
    <w:pPr>
      <w:numPr>
        <w:ilvl w:val="8"/>
      </w:numPr>
    </w:pPr>
  </w:style>
  <w:style w:type="character" w:customStyle="1" w:styleId="NumberLevel1Char">
    <w:name w:val="Number Level 1 Char"/>
    <w:basedOn w:val="DefaultParagraphFont"/>
    <w:link w:val="NumberLevel1"/>
    <w:rsid w:val="00D436FD"/>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C73"/>
    <w:pPr>
      <w:widowControl w:val="0"/>
      <w:autoSpaceDE w:val="0"/>
      <w:autoSpaceDN w:val="0"/>
      <w:adjustRightInd w:val="0"/>
      <w:spacing w:before="240" w:after="240"/>
    </w:pPr>
    <w:rPr>
      <w:sz w:val="24"/>
      <w:szCs w:val="24"/>
    </w:rPr>
  </w:style>
  <w:style w:type="paragraph" w:styleId="Heading1">
    <w:name w:val="heading 1"/>
    <w:basedOn w:val="Normal"/>
    <w:next w:val="Normal"/>
    <w:qFormat/>
    <w:rsid w:val="00A820D9"/>
    <w:pPr>
      <w:keepNext/>
      <w:outlineLvl w:val="0"/>
    </w:pPr>
    <w:rPr>
      <w:rFonts w:ascii="Times New Roman Bold" w:hAnsi="Times New Roman Bold" w:cs="Arial"/>
      <w:b/>
      <w:bCs/>
      <w:caps/>
      <w:kern w:val="32"/>
      <w:sz w:val="28"/>
      <w:szCs w:val="32"/>
    </w:rPr>
  </w:style>
  <w:style w:type="paragraph" w:styleId="Heading2">
    <w:name w:val="heading 2"/>
    <w:basedOn w:val="Normal"/>
    <w:next w:val="Normal"/>
    <w:qFormat/>
    <w:rsid w:val="00397B50"/>
    <w:pPr>
      <w:keepNext/>
      <w:outlineLvl w:val="1"/>
    </w:pPr>
    <w:rPr>
      <w:rFonts w:cs="Arial"/>
      <w:b/>
      <w:bCs/>
      <w:iCs/>
      <w:caps/>
      <w:szCs w:val="28"/>
    </w:rPr>
  </w:style>
  <w:style w:type="paragraph" w:styleId="Heading3">
    <w:name w:val="heading 3"/>
    <w:basedOn w:val="Normal"/>
    <w:next w:val="Normal"/>
    <w:qFormat/>
    <w:rsid w:val="00397B50"/>
    <w:pPr>
      <w:keepNext/>
      <w:outlineLvl w:val="2"/>
    </w:pPr>
    <w:rPr>
      <w:rFonts w:cs="Arial"/>
      <w:b/>
      <w:bCs/>
      <w:szCs w:val="26"/>
    </w:rPr>
  </w:style>
  <w:style w:type="paragraph" w:styleId="Heading4">
    <w:name w:val="heading 4"/>
    <w:basedOn w:val="Normal"/>
    <w:next w:val="Normal"/>
    <w:qFormat/>
    <w:rsid w:val="00397B50"/>
    <w:pPr>
      <w:keepNext/>
      <w:spacing w:after="120"/>
      <w:outlineLvl w:val="3"/>
    </w:pPr>
    <w:rPr>
      <w:bCs/>
      <w:i/>
      <w:szCs w:val="28"/>
    </w:rPr>
  </w:style>
  <w:style w:type="paragraph" w:styleId="Heading5">
    <w:name w:val="heading 5"/>
    <w:basedOn w:val="Normal"/>
    <w:next w:val="Normal"/>
    <w:qFormat/>
    <w:rsid w:val="00B568C9"/>
    <w:pPr>
      <w:spacing w:after="60"/>
      <w:outlineLvl w:val="4"/>
    </w:pPr>
    <w:rPr>
      <w:b/>
      <w:bCs/>
      <w:i/>
      <w:iCs/>
      <w:sz w:val="26"/>
      <w:szCs w:val="26"/>
    </w:rPr>
  </w:style>
  <w:style w:type="paragraph" w:styleId="Heading6">
    <w:name w:val="heading 6"/>
    <w:basedOn w:val="Normal"/>
    <w:next w:val="Normal"/>
    <w:qFormat/>
    <w:rsid w:val="00B568C9"/>
    <w:pPr>
      <w:spacing w:after="60"/>
      <w:outlineLvl w:val="5"/>
    </w:pPr>
    <w:rPr>
      <w:b/>
      <w:bCs/>
      <w:sz w:val="22"/>
      <w:szCs w:val="22"/>
    </w:rPr>
  </w:style>
  <w:style w:type="paragraph" w:styleId="Heading7">
    <w:name w:val="heading 7"/>
    <w:basedOn w:val="Normal"/>
    <w:next w:val="Normal"/>
    <w:qFormat/>
    <w:rsid w:val="00B568C9"/>
    <w:pPr>
      <w:spacing w:after="60"/>
      <w:outlineLvl w:val="6"/>
    </w:pPr>
  </w:style>
  <w:style w:type="paragraph" w:styleId="Heading8">
    <w:name w:val="heading 8"/>
    <w:basedOn w:val="Normal"/>
    <w:next w:val="Normal"/>
    <w:qFormat/>
    <w:rsid w:val="00B568C9"/>
    <w:pPr>
      <w:spacing w:after="60"/>
      <w:outlineLvl w:val="7"/>
    </w:pPr>
    <w:rPr>
      <w:i/>
      <w:iCs/>
    </w:rPr>
  </w:style>
  <w:style w:type="paragraph" w:styleId="Heading9">
    <w:name w:val="heading 9"/>
    <w:basedOn w:val="Normal"/>
    <w:next w:val="Normal"/>
    <w:qFormat/>
    <w:rsid w:val="00B568C9"/>
    <w:p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568C9"/>
    <w:pPr>
      <w:numPr>
        <w:numId w:val="1"/>
      </w:numPr>
    </w:pPr>
  </w:style>
  <w:style w:type="numbering" w:styleId="1ai">
    <w:name w:val="Outline List 1"/>
    <w:basedOn w:val="NoList"/>
    <w:semiHidden/>
    <w:rsid w:val="00B568C9"/>
    <w:pPr>
      <w:numPr>
        <w:numId w:val="2"/>
      </w:numPr>
    </w:pPr>
  </w:style>
  <w:style w:type="numbering" w:styleId="ArticleSection">
    <w:name w:val="Outline List 3"/>
    <w:basedOn w:val="NoList"/>
    <w:semiHidden/>
    <w:rsid w:val="00B568C9"/>
    <w:pPr>
      <w:numPr>
        <w:numId w:val="3"/>
      </w:numPr>
    </w:pPr>
  </w:style>
  <w:style w:type="paragraph" w:styleId="BlockText">
    <w:name w:val="Block Text"/>
    <w:basedOn w:val="Normal"/>
    <w:semiHidden/>
    <w:rsid w:val="00B568C9"/>
    <w:pPr>
      <w:spacing w:after="120"/>
      <w:ind w:left="1440" w:right="1440"/>
    </w:pPr>
  </w:style>
  <w:style w:type="paragraph" w:styleId="BodyText">
    <w:name w:val="Body Text"/>
    <w:basedOn w:val="Normal"/>
    <w:semiHidden/>
    <w:rsid w:val="00B568C9"/>
    <w:pPr>
      <w:spacing w:after="120"/>
    </w:pPr>
  </w:style>
  <w:style w:type="paragraph" w:styleId="BodyText2">
    <w:name w:val="Body Text 2"/>
    <w:basedOn w:val="Normal"/>
    <w:semiHidden/>
    <w:rsid w:val="00B568C9"/>
    <w:pPr>
      <w:spacing w:after="120" w:line="480" w:lineRule="auto"/>
    </w:pPr>
  </w:style>
  <w:style w:type="paragraph" w:styleId="BodyText3">
    <w:name w:val="Body Text 3"/>
    <w:basedOn w:val="Normal"/>
    <w:link w:val="BodyText3Char"/>
    <w:rsid w:val="00B568C9"/>
    <w:pPr>
      <w:spacing w:after="120"/>
    </w:pPr>
    <w:rPr>
      <w:sz w:val="16"/>
      <w:szCs w:val="16"/>
    </w:rPr>
  </w:style>
  <w:style w:type="paragraph" w:styleId="BodyTextFirstIndent">
    <w:name w:val="Body Text First Indent"/>
    <w:basedOn w:val="BodyText"/>
    <w:semiHidden/>
    <w:rsid w:val="00B568C9"/>
    <w:pPr>
      <w:ind w:firstLine="210"/>
    </w:pPr>
  </w:style>
  <w:style w:type="paragraph" w:styleId="BodyTextIndent">
    <w:name w:val="Body Text Indent"/>
    <w:basedOn w:val="Normal"/>
    <w:semiHidden/>
    <w:rsid w:val="00B568C9"/>
    <w:pPr>
      <w:spacing w:after="120"/>
      <w:ind w:left="283"/>
    </w:pPr>
  </w:style>
  <w:style w:type="paragraph" w:styleId="BodyTextFirstIndent2">
    <w:name w:val="Body Text First Indent 2"/>
    <w:basedOn w:val="BodyTextIndent"/>
    <w:semiHidden/>
    <w:rsid w:val="00B568C9"/>
    <w:pPr>
      <w:ind w:firstLine="210"/>
    </w:pPr>
  </w:style>
  <w:style w:type="paragraph" w:styleId="BodyTextIndent2">
    <w:name w:val="Body Text Indent 2"/>
    <w:basedOn w:val="Normal"/>
    <w:semiHidden/>
    <w:rsid w:val="00B568C9"/>
    <w:pPr>
      <w:spacing w:after="120" w:line="480" w:lineRule="auto"/>
      <w:ind w:left="283"/>
    </w:pPr>
  </w:style>
  <w:style w:type="paragraph" w:styleId="BodyTextIndent3">
    <w:name w:val="Body Text Indent 3"/>
    <w:basedOn w:val="Normal"/>
    <w:semiHidden/>
    <w:rsid w:val="00B568C9"/>
    <w:pPr>
      <w:spacing w:after="120"/>
      <w:ind w:left="283"/>
    </w:pPr>
    <w:rPr>
      <w:sz w:val="16"/>
      <w:szCs w:val="16"/>
    </w:rPr>
  </w:style>
  <w:style w:type="paragraph" w:styleId="Closing">
    <w:name w:val="Closing"/>
    <w:basedOn w:val="Normal"/>
    <w:semiHidden/>
    <w:rsid w:val="00B568C9"/>
    <w:pPr>
      <w:ind w:left="4252"/>
    </w:pPr>
  </w:style>
  <w:style w:type="paragraph" w:styleId="Date">
    <w:name w:val="Date"/>
    <w:basedOn w:val="Normal"/>
    <w:next w:val="Normal"/>
    <w:semiHidden/>
    <w:rsid w:val="00B568C9"/>
  </w:style>
  <w:style w:type="paragraph" w:styleId="E-mailSignature">
    <w:name w:val="E-mail Signature"/>
    <w:basedOn w:val="Normal"/>
    <w:semiHidden/>
    <w:rsid w:val="00B568C9"/>
  </w:style>
  <w:style w:type="character" w:styleId="Emphasis">
    <w:name w:val="Emphasis"/>
    <w:basedOn w:val="DefaultParagraphFont"/>
    <w:qFormat/>
    <w:rsid w:val="00B568C9"/>
    <w:rPr>
      <w:i/>
      <w:iCs/>
    </w:rPr>
  </w:style>
  <w:style w:type="paragraph" w:styleId="EnvelopeAddress">
    <w:name w:val="envelope address"/>
    <w:basedOn w:val="Normal"/>
    <w:semiHidden/>
    <w:rsid w:val="00B568C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568C9"/>
    <w:rPr>
      <w:rFonts w:ascii="Arial" w:hAnsi="Arial" w:cs="Arial"/>
      <w:sz w:val="20"/>
      <w:szCs w:val="20"/>
    </w:rPr>
  </w:style>
  <w:style w:type="character" w:styleId="FollowedHyperlink">
    <w:name w:val="FollowedHyperlink"/>
    <w:basedOn w:val="DefaultParagraphFont"/>
    <w:semiHidden/>
    <w:rsid w:val="00B568C9"/>
    <w:rPr>
      <w:color w:val="800080"/>
      <w:u w:val="single"/>
    </w:rPr>
  </w:style>
  <w:style w:type="paragraph" w:styleId="Footer">
    <w:name w:val="footer"/>
    <w:rsid w:val="00764FDB"/>
    <w:pPr>
      <w:spacing w:after="240"/>
      <w:jc w:val="right"/>
    </w:pPr>
    <w:rPr>
      <w:sz w:val="24"/>
      <w:szCs w:val="24"/>
      <w:lang w:eastAsia="en-US"/>
    </w:rPr>
  </w:style>
  <w:style w:type="paragraph" w:styleId="Header">
    <w:name w:val="header"/>
    <w:link w:val="HeaderChar"/>
    <w:uiPriority w:val="99"/>
    <w:rsid w:val="00764FDB"/>
    <w:pPr>
      <w:tabs>
        <w:tab w:val="center" w:pos="4153"/>
        <w:tab w:val="right" w:pos="8306"/>
      </w:tabs>
      <w:spacing w:after="240"/>
      <w:jc w:val="both"/>
    </w:pPr>
    <w:rPr>
      <w:sz w:val="24"/>
      <w:szCs w:val="24"/>
      <w:lang w:eastAsia="en-US"/>
    </w:rPr>
  </w:style>
  <w:style w:type="character" w:styleId="HTMLAcronym">
    <w:name w:val="HTML Acronym"/>
    <w:basedOn w:val="DefaultParagraphFont"/>
    <w:uiPriority w:val="99"/>
    <w:semiHidden/>
    <w:rsid w:val="00B568C9"/>
  </w:style>
  <w:style w:type="paragraph" w:styleId="HTMLAddress">
    <w:name w:val="HTML Address"/>
    <w:basedOn w:val="Normal"/>
    <w:semiHidden/>
    <w:rsid w:val="00B568C9"/>
    <w:rPr>
      <w:i/>
      <w:iCs/>
    </w:rPr>
  </w:style>
  <w:style w:type="character" w:styleId="HTMLCite">
    <w:name w:val="HTML Cite"/>
    <w:basedOn w:val="DefaultParagraphFont"/>
    <w:semiHidden/>
    <w:rsid w:val="00B568C9"/>
    <w:rPr>
      <w:i/>
      <w:iCs/>
    </w:rPr>
  </w:style>
  <w:style w:type="character" w:styleId="HTMLCode">
    <w:name w:val="HTML Code"/>
    <w:basedOn w:val="DefaultParagraphFont"/>
    <w:semiHidden/>
    <w:rsid w:val="00B568C9"/>
    <w:rPr>
      <w:rFonts w:ascii="Courier New" w:hAnsi="Courier New" w:cs="Courier New"/>
      <w:sz w:val="20"/>
      <w:szCs w:val="20"/>
    </w:rPr>
  </w:style>
  <w:style w:type="character" w:styleId="HTMLDefinition">
    <w:name w:val="HTML Definition"/>
    <w:basedOn w:val="DefaultParagraphFont"/>
    <w:semiHidden/>
    <w:rsid w:val="00B568C9"/>
    <w:rPr>
      <w:i/>
      <w:iCs/>
    </w:rPr>
  </w:style>
  <w:style w:type="character" w:styleId="HTMLKeyboard">
    <w:name w:val="HTML Keyboard"/>
    <w:basedOn w:val="DefaultParagraphFont"/>
    <w:semiHidden/>
    <w:rsid w:val="00B568C9"/>
    <w:rPr>
      <w:rFonts w:ascii="Courier New" w:hAnsi="Courier New" w:cs="Courier New"/>
      <w:sz w:val="20"/>
      <w:szCs w:val="20"/>
    </w:rPr>
  </w:style>
  <w:style w:type="paragraph" w:styleId="HTMLPreformatted">
    <w:name w:val="HTML Preformatted"/>
    <w:basedOn w:val="Normal"/>
    <w:semiHidden/>
    <w:rsid w:val="00B568C9"/>
    <w:rPr>
      <w:rFonts w:ascii="Courier New" w:hAnsi="Courier New" w:cs="Courier New"/>
      <w:sz w:val="20"/>
      <w:szCs w:val="20"/>
    </w:rPr>
  </w:style>
  <w:style w:type="character" w:styleId="HTMLSample">
    <w:name w:val="HTML Sample"/>
    <w:basedOn w:val="DefaultParagraphFont"/>
    <w:semiHidden/>
    <w:rsid w:val="00B568C9"/>
    <w:rPr>
      <w:rFonts w:ascii="Courier New" w:hAnsi="Courier New" w:cs="Courier New"/>
    </w:rPr>
  </w:style>
  <w:style w:type="character" w:styleId="HTMLTypewriter">
    <w:name w:val="HTML Typewriter"/>
    <w:basedOn w:val="DefaultParagraphFont"/>
    <w:semiHidden/>
    <w:rsid w:val="00B568C9"/>
    <w:rPr>
      <w:rFonts w:ascii="Courier New" w:hAnsi="Courier New" w:cs="Courier New"/>
      <w:sz w:val="20"/>
      <w:szCs w:val="20"/>
    </w:rPr>
  </w:style>
  <w:style w:type="character" w:styleId="HTMLVariable">
    <w:name w:val="HTML Variable"/>
    <w:basedOn w:val="DefaultParagraphFont"/>
    <w:semiHidden/>
    <w:rsid w:val="00B568C9"/>
    <w:rPr>
      <w:i/>
      <w:iCs/>
    </w:rPr>
  </w:style>
  <w:style w:type="character" w:styleId="Hyperlink">
    <w:name w:val="Hyperlink"/>
    <w:basedOn w:val="DefaultParagraphFont"/>
    <w:semiHidden/>
    <w:rsid w:val="00B568C9"/>
    <w:rPr>
      <w:color w:val="0000FF"/>
      <w:u w:val="single"/>
    </w:rPr>
  </w:style>
  <w:style w:type="character" w:styleId="LineNumber">
    <w:name w:val="line number"/>
    <w:basedOn w:val="DefaultParagraphFont"/>
    <w:semiHidden/>
    <w:rsid w:val="00B568C9"/>
  </w:style>
  <w:style w:type="paragraph" w:styleId="List">
    <w:name w:val="List"/>
    <w:basedOn w:val="Normal"/>
    <w:semiHidden/>
    <w:rsid w:val="00B568C9"/>
    <w:pPr>
      <w:ind w:left="283" w:hanging="283"/>
    </w:pPr>
  </w:style>
  <w:style w:type="paragraph" w:styleId="List2">
    <w:name w:val="List 2"/>
    <w:basedOn w:val="Normal"/>
    <w:semiHidden/>
    <w:rsid w:val="00B568C9"/>
    <w:pPr>
      <w:ind w:left="566" w:hanging="283"/>
    </w:pPr>
  </w:style>
  <w:style w:type="paragraph" w:styleId="List3">
    <w:name w:val="List 3"/>
    <w:basedOn w:val="Normal"/>
    <w:semiHidden/>
    <w:rsid w:val="00B568C9"/>
    <w:pPr>
      <w:ind w:left="849" w:hanging="283"/>
    </w:pPr>
  </w:style>
  <w:style w:type="paragraph" w:styleId="List4">
    <w:name w:val="List 4"/>
    <w:basedOn w:val="Normal"/>
    <w:semiHidden/>
    <w:rsid w:val="00B568C9"/>
    <w:pPr>
      <w:ind w:left="1132" w:hanging="283"/>
    </w:pPr>
  </w:style>
  <w:style w:type="paragraph" w:styleId="List5">
    <w:name w:val="List 5"/>
    <w:basedOn w:val="Normal"/>
    <w:semiHidden/>
    <w:rsid w:val="00B568C9"/>
    <w:pPr>
      <w:ind w:left="1415" w:hanging="283"/>
    </w:pPr>
  </w:style>
  <w:style w:type="paragraph" w:styleId="ListBullet">
    <w:name w:val="List Bullet"/>
    <w:basedOn w:val="Normal"/>
    <w:semiHidden/>
    <w:rsid w:val="00B568C9"/>
    <w:pPr>
      <w:numPr>
        <w:numId w:val="4"/>
      </w:numPr>
    </w:pPr>
  </w:style>
  <w:style w:type="paragraph" w:styleId="ListBullet2">
    <w:name w:val="List Bullet 2"/>
    <w:basedOn w:val="Normal"/>
    <w:semiHidden/>
    <w:rsid w:val="00B568C9"/>
    <w:pPr>
      <w:numPr>
        <w:numId w:val="5"/>
      </w:numPr>
    </w:pPr>
  </w:style>
  <w:style w:type="paragraph" w:styleId="ListBullet3">
    <w:name w:val="List Bullet 3"/>
    <w:basedOn w:val="Normal"/>
    <w:semiHidden/>
    <w:rsid w:val="00B568C9"/>
    <w:pPr>
      <w:numPr>
        <w:numId w:val="6"/>
      </w:numPr>
    </w:pPr>
  </w:style>
  <w:style w:type="paragraph" w:styleId="ListBullet4">
    <w:name w:val="List Bullet 4"/>
    <w:basedOn w:val="Normal"/>
    <w:semiHidden/>
    <w:rsid w:val="00B568C9"/>
    <w:pPr>
      <w:numPr>
        <w:numId w:val="7"/>
      </w:numPr>
    </w:pPr>
  </w:style>
  <w:style w:type="paragraph" w:styleId="ListBullet5">
    <w:name w:val="List Bullet 5"/>
    <w:basedOn w:val="Normal"/>
    <w:semiHidden/>
    <w:rsid w:val="00B568C9"/>
    <w:pPr>
      <w:numPr>
        <w:numId w:val="8"/>
      </w:numPr>
    </w:pPr>
  </w:style>
  <w:style w:type="paragraph" w:styleId="ListContinue">
    <w:name w:val="List Continue"/>
    <w:basedOn w:val="Normal"/>
    <w:semiHidden/>
    <w:rsid w:val="00B568C9"/>
    <w:pPr>
      <w:spacing w:after="120"/>
      <w:ind w:left="283"/>
    </w:pPr>
  </w:style>
  <w:style w:type="paragraph" w:styleId="ListContinue2">
    <w:name w:val="List Continue 2"/>
    <w:basedOn w:val="Normal"/>
    <w:semiHidden/>
    <w:rsid w:val="00B568C9"/>
    <w:pPr>
      <w:spacing w:after="120"/>
      <w:ind w:left="566"/>
    </w:pPr>
  </w:style>
  <w:style w:type="paragraph" w:styleId="ListContinue3">
    <w:name w:val="List Continue 3"/>
    <w:basedOn w:val="Normal"/>
    <w:semiHidden/>
    <w:rsid w:val="00B568C9"/>
    <w:pPr>
      <w:spacing w:after="120"/>
      <w:ind w:left="849"/>
    </w:pPr>
  </w:style>
  <w:style w:type="paragraph" w:styleId="ListContinue4">
    <w:name w:val="List Continue 4"/>
    <w:basedOn w:val="Normal"/>
    <w:semiHidden/>
    <w:rsid w:val="00B568C9"/>
    <w:pPr>
      <w:spacing w:after="120"/>
      <w:ind w:left="1132"/>
    </w:pPr>
  </w:style>
  <w:style w:type="paragraph" w:styleId="ListContinue5">
    <w:name w:val="List Continue 5"/>
    <w:basedOn w:val="Normal"/>
    <w:semiHidden/>
    <w:rsid w:val="00B568C9"/>
    <w:pPr>
      <w:spacing w:after="120"/>
      <w:ind w:left="1415"/>
    </w:pPr>
  </w:style>
  <w:style w:type="paragraph" w:styleId="ListNumber">
    <w:name w:val="List Number"/>
    <w:basedOn w:val="Normal"/>
    <w:semiHidden/>
    <w:rsid w:val="00B568C9"/>
    <w:pPr>
      <w:numPr>
        <w:numId w:val="9"/>
      </w:numPr>
    </w:pPr>
  </w:style>
  <w:style w:type="paragraph" w:styleId="ListNumber2">
    <w:name w:val="List Number 2"/>
    <w:basedOn w:val="Normal"/>
    <w:semiHidden/>
    <w:rsid w:val="00B568C9"/>
    <w:pPr>
      <w:numPr>
        <w:numId w:val="10"/>
      </w:numPr>
    </w:pPr>
  </w:style>
  <w:style w:type="paragraph" w:styleId="ListNumber3">
    <w:name w:val="List Number 3"/>
    <w:basedOn w:val="Normal"/>
    <w:semiHidden/>
    <w:rsid w:val="00B568C9"/>
    <w:pPr>
      <w:numPr>
        <w:numId w:val="11"/>
      </w:numPr>
    </w:pPr>
  </w:style>
  <w:style w:type="paragraph" w:styleId="ListNumber4">
    <w:name w:val="List Number 4"/>
    <w:basedOn w:val="Normal"/>
    <w:semiHidden/>
    <w:rsid w:val="00B568C9"/>
    <w:pPr>
      <w:numPr>
        <w:numId w:val="12"/>
      </w:numPr>
    </w:pPr>
  </w:style>
  <w:style w:type="paragraph" w:styleId="ListNumber5">
    <w:name w:val="List Number 5"/>
    <w:basedOn w:val="Normal"/>
    <w:semiHidden/>
    <w:rsid w:val="00B568C9"/>
    <w:pPr>
      <w:numPr>
        <w:numId w:val="13"/>
      </w:numPr>
    </w:pPr>
  </w:style>
  <w:style w:type="paragraph" w:styleId="MessageHeader">
    <w:name w:val="Message Header"/>
    <w:basedOn w:val="Normal"/>
    <w:semiHidden/>
    <w:rsid w:val="00B568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568C9"/>
  </w:style>
  <w:style w:type="paragraph" w:styleId="NormalIndent">
    <w:name w:val="Normal Indent"/>
    <w:basedOn w:val="Normal"/>
    <w:semiHidden/>
    <w:rsid w:val="00B568C9"/>
    <w:pPr>
      <w:ind w:left="720"/>
    </w:pPr>
  </w:style>
  <w:style w:type="paragraph" w:styleId="NoteHeading">
    <w:name w:val="Note Heading"/>
    <w:basedOn w:val="Normal"/>
    <w:next w:val="Normal"/>
    <w:semiHidden/>
    <w:rsid w:val="00B568C9"/>
  </w:style>
  <w:style w:type="character" w:styleId="PageNumber">
    <w:name w:val="page number"/>
    <w:basedOn w:val="DefaultParagraphFont"/>
    <w:semiHidden/>
    <w:rsid w:val="00B568C9"/>
  </w:style>
  <w:style w:type="paragraph" w:styleId="PlainText">
    <w:name w:val="Plain Text"/>
    <w:basedOn w:val="Normal"/>
    <w:semiHidden/>
    <w:rsid w:val="00B568C9"/>
    <w:rPr>
      <w:rFonts w:ascii="Courier New" w:hAnsi="Courier New" w:cs="Courier New"/>
      <w:sz w:val="20"/>
      <w:szCs w:val="20"/>
    </w:rPr>
  </w:style>
  <w:style w:type="paragraph" w:styleId="Salutation">
    <w:name w:val="Salutation"/>
    <w:basedOn w:val="Normal"/>
    <w:next w:val="Normal"/>
    <w:semiHidden/>
    <w:rsid w:val="00B568C9"/>
  </w:style>
  <w:style w:type="paragraph" w:styleId="Signature">
    <w:name w:val="Signature"/>
    <w:basedOn w:val="Normal"/>
    <w:semiHidden/>
    <w:rsid w:val="00B568C9"/>
    <w:pPr>
      <w:ind w:left="4252"/>
    </w:pPr>
  </w:style>
  <w:style w:type="character" w:styleId="Strong">
    <w:name w:val="Strong"/>
    <w:basedOn w:val="DefaultParagraphFont"/>
    <w:qFormat/>
    <w:rsid w:val="00B568C9"/>
    <w:rPr>
      <w:b/>
      <w:bCs/>
    </w:rPr>
  </w:style>
  <w:style w:type="paragraph" w:styleId="Subtitle">
    <w:name w:val="Subtitle"/>
    <w:basedOn w:val="Normal"/>
    <w:qFormat/>
    <w:rsid w:val="00B568C9"/>
    <w:pPr>
      <w:spacing w:after="60"/>
      <w:jc w:val="center"/>
      <w:outlineLvl w:val="1"/>
    </w:pPr>
    <w:rPr>
      <w:rFonts w:ascii="Arial" w:hAnsi="Arial" w:cs="Arial"/>
    </w:rPr>
  </w:style>
  <w:style w:type="table" w:styleId="Table3Deffects1">
    <w:name w:val="Table 3D effects 1"/>
    <w:basedOn w:val="TableNormal"/>
    <w:semiHidden/>
    <w:rsid w:val="00B568C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568C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568C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568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568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568C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568C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568C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568C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568C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568C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568C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568C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568C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568C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568C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568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56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568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568C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568C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568C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568C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568C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568C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568C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568C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568C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568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568C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568C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568C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568C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568C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568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568C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568C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568C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568C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568C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56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568C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568C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568C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568C9"/>
    <w:pPr>
      <w:spacing w:after="60"/>
      <w:jc w:val="center"/>
      <w:outlineLvl w:val="0"/>
    </w:pPr>
    <w:rPr>
      <w:rFonts w:ascii="Arial" w:hAnsi="Arial" w:cs="Arial"/>
      <w:b/>
      <w:bCs/>
      <w:kern w:val="28"/>
      <w:sz w:val="32"/>
      <w:szCs w:val="32"/>
    </w:rPr>
  </w:style>
  <w:style w:type="paragraph" w:customStyle="1" w:styleId="SinglePara">
    <w:name w:val="Single Para"/>
    <w:basedOn w:val="Normal"/>
    <w:next w:val="Normal"/>
    <w:rsid w:val="00B568C9"/>
    <w:pPr>
      <w:spacing w:after="0"/>
    </w:pPr>
  </w:style>
  <w:style w:type="paragraph" w:customStyle="1" w:styleId="Bullet">
    <w:name w:val="Bullet"/>
    <w:aliases w:val="b"/>
    <w:basedOn w:val="Normal"/>
    <w:link w:val="BulletChar"/>
    <w:qFormat/>
    <w:rsid w:val="00397B50"/>
    <w:pPr>
      <w:numPr>
        <w:numId w:val="14"/>
      </w:numPr>
    </w:pPr>
  </w:style>
  <w:style w:type="paragraph" w:customStyle="1" w:styleId="Dash">
    <w:name w:val="Dash"/>
    <w:basedOn w:val="Normal"/>
    <w:rsid w:val="00397B50"/>
    <w:pPr>
      <w:numPr>
        <w:ilvl w:val="1"/>
        <w:numId w:val="14"/>
      </w:numPr>
    </w:pPr>
  </w:style>
  <w:style w:type="paragraph" w:customStyle="1" w:styleId="DoubleDot">
    <w:name w:val="Double Dot"/>
    <w:basedOn w:val="Normal"/>
    <w:rsid w:val="00397B50"/>
    <w:pPr>
      <w:numPr>
        <w:ilvl w:val="2"/>
        <w:numId w:val="14"/>
      </w:numPr>
    </w:pPr>
  </w:style>
  <w:style w:type="paragraph" w:customStyle="1" w:styleId="BoxHeading">
    <w:name w:val="Box Heading"/>
    <w:basedOn w:val="Normal"/>
    <w:next w:val="BoxText"/>
    <w:rsid w:val="000C7A06"/>
    <w:pPr>
      <w:keepNext/>
      <w:tabs>
        <w:tab w:val="left" w:pos="851"/>
      </w:tabs>
      <w:spacing w:after="120"/>
      <w:ind w:left="851" w:hanging="851"/>
    </w:pPr>
    <w:rPr>
      <w:b/>
      <w:color w:val="000000"/>
      <w:szCs w:val="20"/>
    </w:rPr>
  </w:style>
  <w:style w:type="paragraph" w:customStyle="1" w:styleId="BoxText">
    <w:name w:val="Box Text"/>
    <w:basedOn w:val="Normal"/>
    <w:rsid w:val="000C7A06"/>
    <w:pPr>
      <w:spacing w:line="260" w:lineRule="exact"/>
    </w:pPr>
    <w:rPr>
      <w:color w:val="000000"/>
      <w:szCs w:val="20"/>
    </w:rPr>
  </w:style>
  <w:style w:type="paragraph" w:customStyle="1" w:styleId="TableTextLeft">
    <w:name w:val="Table Text Left"/>
    <w:basedOn w:val="TableTextBase"/>
    <w:rsid w:val="000C7A06"/>
  </w:style>
  <w:style w:type="paragraph" w:customStyle="1" w:styleId="TableTextBase">
    <w:name w:val="Table Text Base"/>
    <w:rsid w:val="000C7A06"/>
    <w:pPr>
      <w:spacing w:before="40" w:after="40"/>
      <w:jc w:val="both"/>
    </w:pPr>
    <w:rPr>
      <w:rFonts w:ascii="Arial" w:hAnsi="Arial"/>
      <w:color w:val="000000"/>
      <w:sz w:val="18"/>
    </w:rPr>
  </w:style>
  <w:style w:type="paragraph" w:customStyle="1" w:styleId="TableTextIndented">
    <w:name w:val="Table Text Indented"/>
    <w:basedOn w:val="TableTextBase"/>
    <w:rsid w:val="000C7A06"/>
    <w:pPr>
      <w:ind w:left="284"/>
    </w:pPr>
  </w:style>
  <w:style w:type="paragraph" w:customStyle="1" w:styleId="TableTextCentered">
    <w:name w:val="Table Text Centered"/>
    <w:basedOn w:val="TableTextBase"/>
    <w:rsid w:val="000C7A06"/>
    <w:pPr>
      <w:jc w:val="center"/>
    </w:pPr>
  </w:style>
  <w:style w:type="paragraph" w:customStyle="1" w:styleId="TableTextRight">
    <w:name w:val="Table Text Right"/>
    <w:basedOn w:val="TableTextBase"/>
    <w:rsid w:val="000C7A06"/>
    <w:pPr>
      <w:jc w:val="right"/>
    </w:pPr>
  </w:style>
  <w:style w:type="paragraph" w:customStyle="1" w:styleId="TableSecondHeading">
    <w:name w:val="Table Second Heading"/>
    <w:basedOn w:val="TableTextBase"/>
    <w:next w:val="Normal"/>
    <w:rsid w:val="00C86973"/>
    <w:pPr>
      <w:keepNext/>
      <w:spacing w:after="20"/>
    </w:pPr>
    <w:rPr>
      <w:b/>
    </w:rPr>
  </w:style>
  <w:style w:type="paragraph" w:customStyle="1" w:styleId="TableMainHeading">
    <w:name w:val="Table Main Heading"/>
    <w:basedOn w:val="TableTextBase"/>
    <w:rsid w:val="00C86973"/>
    <w:rPr>
      <w:b/>
      <w:sz w:val="20"/>
    </w:rPr>
  </w:style>
  <w:style w:type="paragraph" w:customStyle="1" w:styleId="ChartFigureHeading">
    <w:name w:val="Chart Figure Heading"/>
    <w:basedOn w:val="TableTextBase"/>
    <w:next w:val="Normal"/>
    <w:rsid w:val="00A45A0B"/>
    <w:pPr>
      <w:jc w:val="center"/>
    </w:pPr>
    <w:rPr>
      <w:b/>
      <w:sz w:val="20"/>
    </w:rPr>
  </w:style>
  <w:style w:type="paragraph" w:customStyle="1" w:styleId="NumberedParagraph">
    <w:name w:val="Numbered Paragraph"/>
    <w:basedOn w:val="Normal"/>
    <w:rsid w:val="001D0B1A"/>
    <w:pPr>
      <w:numPr>
        <w:numId w:val="15"/>
      </w:numPr>
    </w:pPr>
  </w:style>
  <w:style w:type="paragraph" w:customStyle="1" w:styleId="SecurityClassificationHeader">
    <w:name w:val="Security Classification Header"/>
    <w:rsid w:val="001D0B1A"/>
    <w:pPr>
      <w:spacing w:after="240"/>
      <w:jc w:val="center"/>
    </w:pPr>
    <w:rPr>
      <w:b/>
      <w:caps/>
      <w:sz w:val="24"/>
      <w:szCs w:val="24"/>
      <w:lang w:eastAsia="en-US"/>
    </w:rPr>
  </w:style>
  <w:style w:type="paragraph" w:customStyle="1" w:styleId="SecurityClassificationFooter">
    <w:name w:val="Security Classification Footer"/>
    <w:rsid w:val="001D0B1A"/>
    <w:pPr>
      <w:spacing w:after="240"/>
      <w:jc w:val="center"/>
    </w:pPr>
    <w:rPr>
      <w:b/>
      <w:caps/>
      <w:sz w:val="24"/>
      <w:szCs w:val="24"/>
      <w:lang w:eastAsia="en-US"/>
    </w:rPr>
  </w:style>
  <w:style w:type="paragraph" w:customStyle="1" w:styleId="Style1">
    <w:name w:val="Style1"/>
    <w:basedOn w:val="Normal"/>
    <w:link w:val="Style1Char"/>
    <w:qFormat/>
    <w:rsid w:val="00F25C73"/>
    <w:pPr>
      <w:keepNext/>
      <w:keepLines/>
    </w:pPr>
    <w:rPr>
      <w:b/>
      <w:bCs/>
    </w:rPr>
  </w:style>
  <w:style w:type="character" w:customStyle="1" w:styleId="Style1Char">
    <w:name w:val="Style1 Char"/>
    <w:basedOn w:val="DefaultParagraphFont"/>
    <w:link w:val="Style1"/>
    <w:rsid w:val="00F25C73"/>
    <w:rPr>
      <w:b/>
      <w:bCs/>
      <w:sz w:val="24"/>
      <w:szCs w:val="24"/>
    </w:rPr>
  </w:style>
  <w:style w:type="character" w:customStyle="1" w:styleId="BodyText3Char">
    <w:name w:val="Body Text 3 Char"/>
    <w:basedOn w:val="DefaultParagraphFont"/>
    <w:link w:val="BodyText3"/>
    <w:rsid w:val="00F25C73"/>
    <w:rPr>
      <w:sz w:val="16"/>
      <w:szCs w:val="16"/>
      <w:lang w:eastAsia="en-US"/>
    </w:rPr>
  </w:style>
  <w:style w:type="paragraph" w:customStyle="1" w:styleId="StyleHeading2TimesNewRoman">
    <w:name w:val="Style Heading 2 + Times New Roman"/>
    <w:basedOn w:val="Heading2"/>
    <w:rsid w:val="00F25C73"/>
    <w:pPr>
      <w:spacing w:after="60"/>
    </w:pPr>
    <w:rPr>
      <w:caps w:val="0"/>
    </w:rPr>
  </w:style>
  <w:style w:type="paragraph" w:customStyle="1" w:styleId="definition">
    <w:name w:val="definition"/>
    <w:basedOn w:val="Normal"/>
    <w:rsid w:val="00C0443D"/>
    <w:pPr>
      <w:widowControl/>
      <w:autoSpaceDE/>
      <w:autoSpaceDN/>
      <w:adjustRightInd/>
      <w:spacing w:before="80" w:after="0" w:line="260" w:lineRule="exact"/>
      <w:ind w:left="964"/>
      <w:jc w:val="both"/>
    </w:pPr>
    <w:rPr>
      <w:lang w:eastAsia="en-US"/>
    </w:rPr>
  </w:style>
  <w:style w:type="paragraph" w:customStyle="1" w:styleId="Formula">
    <w:name w:val="Formula"/>
    <w:basedOn w:val="Normal"/>
    <w:next w:val="Normal"/>
    <w:rsid w:val="00C0443D"/>
    <w:pPr>
      <w:widowControl/>
      <w:autoSpaceDE/>
      <w:autoSpaceDN/>
      <w:adjustRightInd/>
      <w:spacing w:before="180" w:after="180"/>
      <w:jc w:val="center"/>
    </w:pPr>
    <w:rPr>
      <w:lang w:eastAsia="en-US"/>
    </w:rPr>
  </w:style>
  <w:style w:type="paragraph" w:customStyle="1" w:styleId="Note">
    <w:name w:val="Note"/>
    <w:basedOn w:val="Normal"/>
    <w:rsid w:val="00C0443D"/>
    <w:pPr>
      <w:widowControl/>
      <w:autoSpaceDE/>
      <w:autoSpaceDN/>
      <w:adjustRightInd/>
      <w:spacing w:before="120" w:after="0" w:line="221" w:lineRule="auto"/>
      <w:ind w:left="964"/>
      <w:jc w:val="both"/>
    </w:pPr>
    <w:rPr>
      <w:sz w:val="20"/>
    </w:rPr>
  </w:style>
  <w:style w:type="paragraph" w:customStyle="1" w:styleId="P1">
    <w:name w:val="P1"/>
    <w:aliases w:val="(a)"/>
    <w:basedOn w:val="Normal"/>
    <w:link w:val="P1Char"/>
    <w:rsid w:val="00C0443D"/>
    <w:pPr>
      <w:widowControl/>
      <w:tabs>
        <w:tab w:val="right" w:pos="1191"/>
      </w:tabs>
      <w:autoSpaceDE/>
      <w:autoSpaceDN/>
      <w:adjustRightInd/>
      <w:spacing w:before="60" w:after="0" w:line="260" w:lineRule="exact"/>
      <w:ind w:left="1418" w:hanging="1418"/>
      <w:jc w:val="both"/>
    </w:pPr>
    <w:rPr>
      <w:lang w:eastAsia="en-US"/>
    </w:rPr>
  </w:style>
  <w:style w:type="paragraph" w:customStyle="1" w:styleId="Zdefinition">
    <w:name w:val="Zdefinition"/>
    <w:basedOn w:val="definition"/>
    <w:rsid w:val="00C0443D"/>
    <w:pPr>
      <w:keepNext/>
    </w:pPr>
  </w:style>
  <w:style w:type="paragraph" w:customStyle="1" w:styleId="ZR1">
    <w:name w:val="ZR1"/>
    <w:basedOn w:val="Normal"/>
    <w:rsid w:val="00C0443D"/>
    <w:pPr>
      <w:keepNext/>
      <w:keepLines/>
      <w:widowControl/>
      <w:tabs>
        <w:tab w:val="right" w:pos="794"/>
      </w:tabs>
      <w:autoSpaceDE/>
      <w:autoSpaceDN/>
      <w:adjustRightInd/>
      <w:spacing w:before="120" w:after="0" w:line="260" w:lineRule="exact"/>
      <w:ind w:left="964" w:hanging="964"/>
      <w:jc w:val="both"/>
    </w:pPr>
    <w:rPr>
      <w:lang w:eastAsia="en-US"/>
    </w:rPr>
  </w:style>
  <w:style w:type="paragraph" w:customStyle="1" w:styleId="ZRcN">
    <w:name w:val="ZRcN"/>
    <w:basedOn w:val="Normal"/>
    <w:rsid w:val="00C0443D"/>
    <w:pPr>
      <w:keepNext/>
      <w:widowControl/>
      <w:autoSpaceDE/>
      <w:autoSpaceDN/>
      <w:adjustRightInd/>
      <w:spacing w:before="60" w:after="0" w:line="260" w:lineRule="exact"/>
      <w:ind w:left="964"/>
      <w:jc w:val="both"/>
    </w:pPr>
    <w:rPr>
      <w:lang w:eastAsia="en-US"/>
    </w:rPr>
  </w:style>
  <w:style w:type="character" w:customStyle="1" w:styleId="P1Char">
    <w:name w:val="P1 Char"/>
    <w:aliases w:val="(a) Char"/>
    <w:basedOn w:val="DefaultParagraphFont"/>
    <w:link w:val="P1"/>
    <w:rsid w:val="00C0443D"/>
    <w:rPr>
      <w:sz w:val="24"/>
      <w:szCs w:val="24"/>
      <w:lang w:eastAsia="en-US"/>
    </w:rPr>
  </w:style>
  <w:style w:type="paragraph" w:customStyle="1" w:styleId="Style3">
    <w:name w:val="Style3"/>
    <w:basedOn w:val="Normal"/>
    <w:link w:val="Style3Char"/>
    <w:qFormat/>
    <w:rsid w:val="00684F73"/>
    <w:pPr>
      <w:spacing w:before="0"/>
      <w:ind w:right="91"/>
      <w:jc w:val="center"/>
    </w:pPr>
    <w:rPr>
      <w:b/>
      <w:bCs/>
      <w:sz w:val="28"/>
      <w:u w:val="single"/>
    </w:rPr>
  </w:style>
  <w:style w:type="character" w:customStyle="1" w:styleId="Style3Char">
    <w:name w:val="Style3 Char"/>
    <w:basedOn w:val="DefaultParagraphFont"/>
    <w:link w:val="Style3"/>
    <w:rsid w:val="00684F73"/>
    <w:rPr>
      <w:b/>
      <w:bCs/>
      <w:sz w:val="28"/>
      <w:szCs w:val="24"/>
      <w:u w:val="single"/>
    </w:rPr>
  </w:style>
  <w:style w:type="paragraph" w:styleId="BalloonText">
    <w:name w:val="Balloon Text"/>
    <w:basedOn w:val="Normal"/>
    <w:link w:val="BalloonTextChar"/>
    <w:rsid w:val="0068102B"/>
    <w:pPr>
      <w:spacing w:before="0" w:after="0"/>
    </w:pPr>
    <w:rPr>
      <w:rFonts w:ascii="Tahoma" w:hAnsi="Tahoma" w:cs="Tahoma"/>
      <w:sz w:val="16"/>
      <w:szCs w:val="16"/>
    </w:rPr>
  </w:style>
  <w:style w:type="character" w:customStyle="1" w:styleId="BalloonTextChar">
    <w:name w:val="Balloon Text Char"/>
    <w:basedOn w:val="DefaultParagraphFont"/>
    <w:link w:val="BalloonText"/>
    <w:rsid w:val="0068102B"/>
    <w:rPr>
      <w:rFonts w:ascii="Tahoma" w:hAnsi="Tahoma" w:cs="Tahoma"/>
      <w:sz w:val="16"/>
      <w:szCs w:val="16"/>
    </w:rPr>
  </w:style>
  <w:style w:type="character" w:customStyle="1" w:styleId="BulletChar">
    <w:name w:val="Bullet Char"/>
    <w:aliases w:val="b Char"/>
    <w:basedOn w:val="DefaultParagraphFont"/>
    <w:link w:val="Bullet"/>
    <w:rsid w:val="003F0553"/>
    <w:rPr>
      <w:sz w:val="24"/>
      <w:szCs w:val="24"/>
    </w:rPr>
  </w:style>
  <w:style w:type="character" w:styleId="CommentReference">
    <w:name w:val="annotation reference"/>
    <w:basedOn w:val="DefaultParagraphFont"/>
    <w:rsid w:val="001C4A8C"/>
    <w:rPr>
      <w:sz w:val="16"/>
      <w:szCs w:val="16"/>
    </w:rPr>
  </w:style>
  <w:style w:type="paragraph" w:styleId="CommentText">
    <w:name w:val="annotation text"/>
    <w:basedOn w:val="Normal"/>
    <w:link w:val="CommentTextChar"/>
    <w:rsid w:val="001C4A8C"/>
    <w:rPr>
      <w:sz w:val="20"/>
      <w:szCs w:val="20"/>
    </w:rPr>
  </w:style>
  <w:style w:type="character" w:customStyle="1" w:styleId="CommentTextChar">
    <w:name w:val="Comment Text Char"/>
    <w:basedOn w:val="DefaultParagraphFont"/>
    <w:link w:val="CommentText"/>
    <w:rsid w:val="001C4A8C"/>
  </w:style>
  <w:style w:type="paragraph" w:styleId="CommentSubject">
    <w:name w:val="annotation subject"/>
    <w:basedOn w:val="CommentText"/>
    <w:next w:val="CommentText"/>
    <w:link w:val="CommentSubjectChar"/>
    <w:rsid w:val="001C4A8C"/>
    <w:rPr>
      <w:b/>
      <w:bCs/>
    </w:rPr>
  </w:style>
  <w:style w:type="character" w:customStyle="1" w:styleId="CommentSubjectChar">
    <w:name w:val="Comment Subject Char"/>
    <w:basedOn w:val="CommentTextChar"/>
    <w:link w:val="CommentSubject"/>
    <w:rsid w:val="001C4A8C"/>
    <w:rPr>
      <w:b/>
      <w:bCs/>
    </w:rPr>
  </w:style>
  <w:style w:type="paragraph" w:customStyle="1" w:styleId="MinisterNormal">
    <w:name w:val="Minister Normal"/>
    <w:basedOn w:val="Normal"/>
    <w:link w:val="MinisterNormalChar"/>
    <w:uiPriority w:val="99"/>
    <w:rsid w:val="00A175DD"/>
    <w:pPr>
      <w:widowControl/>
      <w:autoSpaceDE/>
      <w:autoSpaceDN/>
      <w:adjustRightInd/>
      <w:spacing w:before="0"/>
    </w:pPr>
    <w:rPr>
      <w:rFonts w:cs="Arial"/>
      <w:szCs w:val="20"/>
    </w:rPr>
  </w:style>
  <w:style w:type="character" w:customStyle="1" w:styleId="MinisterNormalChar">
    <w:name w:val="Minister Normal Char"/>
    <w:basedOn w:val="DefaultParagraphFont"/>
    <w:link w:val="MinisterNormal"/>
    <w:uiPriority w:val="99"/>
    <w:rsid w:val="00A175DD"/>
    <w:rPr>
      <w:rFonts w:cs="Arial"/>
      <w:sz w:val="24"/>
    </w:rPr>
  </w:style>
  <w:style w:type="paragraph" w:customStyle="1" w:styleId="OutlineNumbered1">
    <w:name w:val="Outline Numbered 1"/>
    <w:basedOn w:val="Normal"/>
    <w:link w:val="OutlineNumbered1Char"/>
    <w:rsid w:val="008F0FD1"/>
    <w:pPr>
      <w:widowControl/>
      <w:numPr>
        <w:numId w:val="19"/>
      </w:numPr>
      <w:autoSpaceDE/>
      <w:autoSpaceDN/>
      <w:adjustRightInd/>
      <w:spacing w:before="0" w:after="200" w:line="276" w:lineRule="auto"/>
    </w:pPr>
    <w:rPr>
      <w:rFonts w:eastAsia="Calibri"/>
      <w:b/>
      <w:u w:val="single"/>
      <w:lang w:eastAsia="en-US"/>
    </w:rPr>
  </w:style>
  <w:style w:type="character" w:customStyle="1" w:styleId="OutlineNumbered1Char">
    <w:name w:val="Outline Numbered 1 Char"/>
    <w:basedOn w:val="DefaultParagraphFont"/>
    <w:link w:val="OutlineNumbered1"/>
    <w:rsid w:val="008F0FD1"/>
    <w:rPr>
      <w:rFonts w:eastAsia="Calibri"/>
      <w:b/>
      <w:sz w:val="24"/>
      <w:szCs w:val="24"/>
      <w:u w:val="single"/>
      <w:lang w:eastAsia="en-US"/>
    </w:rPr>
  </w:style>
  <w:style w:type="paragraph" w:customStyle="1" w:styleId="OutlineNumbered2">
    <w:name w:val="Outline Numbered 2"/>
    <w:basedOn w:val="Normal"/>
    <w:rsid w:val="008F0FD1"/>
    <w:pPr>
      <w:widowControl/>
      <w:numPr>
        <w:ilvl w:val="1"/>
        <w:numId w:val="19"/>
      </w:numPr>
      <w:autoSpaceDE/>
      <w:autoSpaceDN/>
      <w:adjustRightInd/>
      <w:spacing w:before="0" w:after="200" w:line="276" w:lineRule="auto"/>
    </w:pPr>
    <w:rPr>
      <w:rFonts w:eastAsia="Calibri"/>
      <w:b/>
      <w:u w:val="single"/>
      <w:lang w:eastAsia="en-US"/>
    </w:rPr>
  </w:style>
  <w:style w:type="paragraph" w:customStyle="1" w:styleId="OutlineNumbered3">
    <w:name w:val="Outline Numbered 3"/>
    <w:basedOn w:val="Normal"/>
    <w:rsid w:val="008F0FD1"/>
    <w:pPr>
      <w:widowControl/>
      <w:numPr>
        <w:ilvl w:val="2"/>
        <w:numId w:val="19"/>
      </w:numPr>
      <w:autoSpaceDE/>
      <w:autoSpaceDN/>
      <w:adjustRightInd/>
      <w:spacing w:before="0" w:after="200" w:line="276" w:lineRule="auto"/>
    </w:pPr>
    <w:rPr>
      <w:rFonts w:eastAsia="Calibri"/>
      <w:b/>
      <w:u w:val="single"/>
      <w:lang w:eastAsia="en-US"/>
    </w:rPr>
  </w:style>
  <w:style w:type="paragraph" w:customStyle="1" w:styleId="Style10">
    <w:name w:val="Style 1"/>
    <w:basedOn w:val="Bullet"/>
    <w:link w:val="Style1Char0"/>
    <w:qFormat/>
    <w:rsid w:val="00F70CD3"/>
    <w:pPr>
      <w:widowControl/>
      <w:numPr>
        <w:numId w:val="0"/>
      </w:numPr>
      <w:autoSpaceDE/>
      <w:autoSpaceDN/>
      <w:adjustRightInd/>
      <w:spacing w:before="120" w:after="120" w:line="276" w:lineRule="auto"/>
    </w:pPr>
    <w:rPr>
      <w:rFonts w:ascii="Calibri" w:hAnsi="Calibri"/>
      <w:lang w:eastAsia="en-US"/>
    </w:rPr>
  </w:style>
  <w:style w:type="character" w:customStyle="1" w:styleId="Style1Char0">
    <w:name w:val="Style 1 Char"/>
    <w:basedOn w:val="BulletChar"/>
    <w:link w:val="Style10"/>
    <w:locked/>
    <w:rsid w:val="00F70CD3"/>
    <w:rPr>
      <w:rFonts w:ascii="Calibri" w:hAnsi="Calibri"/>
      <w:sz w:val="24"/>
      <w:szCs w:val="24"/>
      <w:lang w:eastAsia="en-US"/>
    </w:rPr>
  </w:style>
  <w:style w:type="paragraph" w:customStyle="1" w:styleId="Headingbold">
    <w:name w:val="Heading bold"/>
    <w:basedOn w:val="Bullet"/>
    <w:link w:val="HeadingboldChar"/>
    <w:qFormat/>
    <w:rsid w:val="007232B0"/>
    <w:pPr>
      <w:keepNext/>
      <w:widowControl/>
      <w:numPr>
        <w:numId w:val="0"/>
      </w:numPr>
      <w:autoSpaceDE/>
      <w:autoSpaceDN/>
      <w:adjustRightInd/>
      <w:spacing w:after="120" w:line="276" w:lineRule="auto"/>
    </w:pPr>
    <w:rPr>
      <w:rFonts w:ascii="Calibri" w:hAnsi="Calibri"/>
      <w:b/>
      <w:lang w:eastAsia="en-US"/>
    </w:rPr>
  </w:style>
  <w:style w:type="character" w:customStyle="1" w:styleId="HeadingboldChar">
    <w:name w:val="Heading bold Char"/>
    <w:link w:val="Headingbold"/>
    <w:locked/>
    <w:rsid w:val="007232B0"/>
    <w:rPr>
      <w:rFonts w:ascii="Calibri" w:hAnsi="Calibri"/>
      <w:b/>
      <w:sz w:val="24"/>
      <w:szCs w:val="24"/>
      <w:lang w:eastAsia="en-US"/>
    </w:rPr>
  </w:style>
  <w:style w:type="character" w:customStyle="1" w:styleId="HeaderChar">
    <w:name w:val="Header Char"/>
    <w:basedOn w:val="DefaultParagraphFont"/>
    <w:link w:val="Header"/>
    <w:uiPriority w:val="99"/>
    <w:rsid w:val="000A17B8"/>
    <w:rPr>
      <w:sz w:val="24"/>
      <w:szCs w:val="24"/>
      <w:lang w:eastAsia="en-US"/>
    </w:rPr>
  </w:style>
  <w:style w:type="paragraph" w:styleId="ListParagraph">
    <w:name w:val="List Paragraph"/>
    <w:basedOn w:val="Normal"/>
    <w:uiPriority w:val="34"/>
    <w:qFormat/>
    <w:rsid w:val="001D7EF4"/>
    <w:pPr>
      <w:ind w:left="720"/>
      <w:contextualSpacing/>
    </w:pPr>
  </w:style>
  <w:style w:type="paragraph" w:customStyle="1" w:styleId="Default">
    <w:name w:val="Default"/>
    <w:rsid w:val="008F537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586B83"/>
    <w:rPr>
      <w:sz w:val="24"/>
      <w:szCs w:val="24"/>
    </w:rPr>
  </w:style>
  <w:style w:type="paragraph" w:customStyle="1" w:styleId="NumberLevel1">
    <w:name w:val="Number Level 1"/>
    <w:basedOn w:val="Normal"/>
    <w:link w:val="NumberLevel1Char"/>
    <w:rsid w:val="00D436FD"/>
    <w:pPr>
      <w:widowControl/>
      <w:numPr>
        <w:numId w:val="31"/>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D436FD"/>
    <w:pPr>
      <w:widowControl/>
      <w:numPr>
        <w:ilvl w:val="1"/>
        <w:numId w:val="31"/>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D436FD"/>
    <w:pPr>
      <w:widowControl/>
      <w:numPr>
        <w:ilvl w:val="2"/>
        <w:numId w:val="31"/>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D436FD"/>
    <w:pPr>
      <w:widowControl/>
      <w:numPr>
        <w:ilvl w:val="3"/>
        <w:numId w:val="31"/>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D436FD"/>
    <w:pPr>
      <w:widowControl/>
      <w:numPr>
        <w:ilvl w:val="4"/>
        <w:numId w:val="31"/>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D436FD"/>
    <w:pPr>
      <w:numPr>
        <w:ilvl w:val="5"/>
      </w:numPr>
    </w:pPr>
  </w:style>
  <w:style w:type="paragraph" w:customStyle="1" w:styleId="NumberLevel7">
    <w:name w:val="Number Level 7"/>
    <w:basedOn w:val="NumberLevel6"/>
    <w:rsid w:val="00D436FD"/>
    <w:pPr>
      <w:numPr>
        <w:ilvl w:val="6"/>
      </w:numPr>
    </w:pPr>
  </w:style>
  <w:style w:type="paragraph" w:customStyle="1" w:styleId="NumberLevel8">
    <w:name w:val="Number Level 8"/>
    <w:basedOn w:val="NumberLevel7"/>
    <w:rsid w:val="00D436FD"/>
    <w:pPr>
      <w:numPr>
        <w:ilvl w:val="7"/>
      </w:numPr>
    </w:pPr>
  </w:style>
  <w:style w:type="paragraph" w:customStyle="1" w:styleId="NumberLevel9">
    <w:name w:val="Number Level 9"/>
    <w:basedOn w:val="NumberLevel8"/>
    <w:rsid w:val="00D436FD"/>
    <w:pPr>
      <w:numPr>
        <w:ilvl w:val="8"/>
      </w:numPr>
    </w:pPr>
  </w:style>
  <w:style w:type="character" w:customStyle="1" w:styleId="NumberLevel1Char">
    <w:name w:val="Number Level 1 Char"/>
    <w:basedOn w:val="DefaultParagraphFont"/>
    <w:link w:val="NumberLevel1"/>
    <w:rsid w:val="00D436F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7815">
      <w:bodyDiv w:val="1"/>
      <w:marLeft w:val="0"/>
      <w:marRight w:val="0"/>
      <w:marTop w:val="0"/>
      <w:marBottom w:val="0"/>
      <w:divBdr>
        <w:top w:val="none" w:sz="0" w:space="0" w:color="auto"/>
        <w:left w:val="none" w:sz="0" w:space="0" w:color="auto"/>
        <w:bottom w:val="none" w:sz="0" w:space="0" w:color="auto"/>
        <w:right w:val="none" w:sz="0" w:space="0" w:color="auto"/>
      </w:divBdr>
    </w:div>
    <w:div w:id="482696441">
      <w:bodyDiv w:val="1"/>
      <w:marLeft w:val="0"/>
      <w:marRight w:val="0"/>
      <w:marTop w:val="0"/>
      <w:marBottom w:val="0"/>
      <w:divBdr>
        <w:top w:val="none" w:sz="0" w:space="0" w:color="auto"/>
        <w:left w:val="none" w:sz="0" w:space="0" w:color="auto"/>
        <w:bottom w:val="none" w:sz="0" w:space="0" w:color="auto"/>
        <w:right w:val="none" w:sz="0" w:space="0" w:color="auto"/>
      </w:divBdr>
    </w:div>
    <w:div w:id="1132090434">
      <w:bodyDiv w:val="1"/>
      <w:marLeft w:val="0"/>
      <w:marRight w:val="0"/>
      <w:marTop w:val="0"/>
      <w:marBottom w:val="0"/>
      <w:divBdr>
        <w:top w:val="none" w:sz="0" w:space="0" w:color="auto"/>
        <w:left w:val="none" w:sz="0" w:space="0" w:color="auto"/>
        <w:bottom w:val="none" w:sz="0" w:space="0" w:color="auto"/>
        <w:right w:val="none" w:sz="0" w:space="0" w:color="auto"/>
      </w:divBdr>
    </w:div>
    <w:div w:id="1163156215">
      <w:bodyDiv w:val="1"/>
      <w:marLeft w:val="0"/>
      <w:marRight w:val="0"/>
      <w:marTop w:val="0"/>
      <w:marBottom w:val="0"/>
      <w:divBdr>
        <w:top w:val="none" w:sz="0" w:space="0" w:color="auto"/>
        <w:left w:val="none" w:sz="0" w:space="0" w:color="auto"/>
        <w:bottom w:val="none" w:sz="0" w:space="0" w:color="auto"/>
        <w:right w:val="none" w:sz="0" w:space="0" w:color="auto"/>
      </w:divBdr>
    </w:div>
    <w:div w:id="1322736888">
      <w:bodyDiv w:val="1"/>
      <w:marLeft w:val="0"/>
      <w:marRight w:val="0"/>
      <w:marTop w:val="0"/>
      <w:marBottom w:val="0"/>
      <w:divBdr>
        <w:top w:val="none" w:sz="0" w:space="0" w:color="auto"/>
        <w:left w:val="none" w:sz="0" w:space="0" w:color="auto"/>
        <w:bottom w:val="none" w:sz="0" w:space="0" w:color="auto"/>
        <w:right w:val="none" w:sz="0" w:space="0" w:color="auto"/>
      </w:divBdr>
    </w:div>
    <w:div w:id="1418208369">
      <w:bodyDiv w:val="1"/>
      <w:marLeft w:val="0"/>
      <w:marRight w:val="0"/>
      <w:marTop w:val="0"/>
      <w:marBottom w:val="0"/>
      <w:divBdr>
        <w:top w:val="none" w:sz="0" w:space="0" w:color="auto"/>
        <w:left w:val="none" w:sz="0" w:space="0" w:color="auto"/>
        <w:bottom w:val="none" w:sz="0" w:space="0" w:color="auto"/>
        <w:right w:val="none" w:sz="0" w:space="0" w:color="auto"/>
      </w:divBdr>
    </w:div>
    <w:div w:id="17959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2E6A-81FB-4860-BA04-CFE4010D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dcc351</dc:creator>
  <cp:lastModifiedBy>Hilhorst, Matt</cp:lastModifiedBy>
  <cp:revision>3</cp:revision>
  <cp:lastPrinted>2013-06-27T02:30:00Z</cp:lastPrinted>
  <dcterms:created xsi:type="dcterms:W3CDTF">2013-06-27T07:18:00Z</dcterms:created>
  <dcterms:modified xsi:type="dcterms:W3CDTF">2013-06-28T03:03:00Z</dcterms:modified>
</cp:coreProperties>
</file>