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26" w:rsidRPr="002531DC" w:rsidRDefault="00383C26" w:rsidP="00383C26">
      <w:pPr>
        <w:rPr>
          <w:sz w:val="28"/>
        </w:rPr>
      </w:pPr>
      <w:r w:rsidRPr="002531DC">
        <w:rPr>
          <w:noProof/>
          <w:lang w:eastAsia="en-AU"/>
        </w:rPr>
        <w:drawing>
          <wp:inline distT="0" distB="0" distL="0" distR="0" wp14:anchorId="1681A68E" wp14:editId="06DF47B7">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83C26" w:rsidRPr="002531DC" w:rsidRDefault="00383C26" w:rsidP="00383C26">
      <w:pPr>
        <w:rPr>
          <w:sz w:val="19"/>
        </w:rPr>
      </w:pPr>
    </w:p>
    <w:p w:rsidR="00383C26" w:rsidRPr="002531DC" w:rsidRDefault="00383C26" w:rsidP="00383C26">
      <w:pPr>
        <w:rPr>
          <w:sz w:val="19"/>
        </w:rPr>
      </w:pPr>
      <w:bookmarkStart w:id="0" w:name="ConfidenceBlock"/>
      <w:bookmarkEnd w:id="0"/>
    </w:p>
    <w:p w:rsidR="00383C26" w:rsidRPr="002531DC" w:rsidRDefault="00383C26" w:rsidP="00383C26">
      <w:pPr>
        <w:pStyle w:val="ShortT"/>
      </w:pPr>
      <w:r w:rsidRPr="002531DC">
        <w:t>Authorised Deposit</w:t>
      </w:r>
      <w:r w:rsidR="002531DC">
        <w:noBreakHyphen/>
      </w:r>
      <w:r w:rsidRPr="002531DC">
        <w:t>taking Institutions Supervisor</w:t>
      </w:r>
      <w:r w:rsidR="003B52C0" w:rsidRPr="002531DC">
        <w:t>y Levy Imposition Determination</w:t>
      </w:r>
      <w:r w:rsidR="002531DC" w:rsidRPr="002531DC">
        <w:t> </w:t>
      </w:r>
      <w:r w:rsidRPr="002531DC">
        <w:t>201</w:t>
      </w:r>
      <w:r w:rsidR="003E5F8F" w:rsidRPr="002531DC">
        <w:t>3</w:t>
      </w:r>
    </w:p>
    <w:p w:rsidR="00A538A8" w:rsidRPr="002531DC" w:rsidRDefault="00A538A8" w:rsidP="009B62E9">
      <w:pPr>
        <w:pStyle w:val="SignCoverPageStart"/>
      </w:pPr>
      <w:r w:rsidRPr="002531DC">
        <w:t>I, William Richard Shorten, Minister for Financial Services and Superannuation, make the following determination under subsection</w:t>
      </w:r>
      <w:r w:rsidR="002531DC" w:rsidRPr="002531DC">
        <w:t> </w:t>
      </w:r>
      <w:r w:rsidRPr="002531DC">
        <w:t xml:space="preserve">7(3) of the </w:t>
      </w:r>
      <w:r w:rsidRPr="002531DC">
        <w:rPr>
          <w:i/>
        </w:rPr>
        <w:t>Authorised Deposit</w:t>
      </w:r>
      <w:r w:rsidR="002531DC">
        <w:rPr>
          <w:i/>
        </w:rPr>
        <w:noBreakHyphen/>
      </w:r>
      <w:r w:rsidRPr="002531DC">
        <w:rPr>
          <w:i/>
        </w:rPr>
        <w:t>taking Institutions Supervisory Levy Imposition Act 1998</w:t>
      </w:r>
      <w:r w:rsidRPr="002531DC">
        <w:t>.</w:t>
      </w:r>
    </w:p>
    <w:p w:rsidR="001A2FD9" w:rsidRPr="002531DC" w:rsidRDefault="00342AB4" w:rsidP="001A2FD9">
      <w:pPr>
        <w:keepNext/>
        <w:spacing w:before="300" w:line="240" w:lineRule="atLeast"/>
        <w:ind w:right="397"/>
        <w:jc w:val="both"/>
      </w:pPr>
      <w:r>
        <w:t>Dated:</w:t>
      </w:r>
      <w:r>
        <w:tab/>
        <w:t>24 June 2013</w:t>
      </w:r>
      <w:bookmarkStart w:id="1" w:name="_GoBack"/>
      <w:bookmarkEnd w:id="1"/>
    </w:p>
    <w:p w:rsidR="00A538A8" w:rsidRPr="002531DC" w:rsidRDefault="00A538A8" w:rsidP="009B62E9">
      <w:pPr>
        <w:keepNext/>
        <w:tabs>
          <w:tab w:val="left" w:pos="3402"/>
        </w:tabs>
        <w:spacing w:before="1440" w:line="300" w:lineRule="atLeast"/>
        <w:ind w:right="397"/>
      </w:pPr>
      <w:r w:rsidRPr="002531DC">
        <w:t>William Richard Shorten</w:t>
      </w:r>
    </w:p>
    <w:p w:rsidR="00A538A8" w:rsidRPr="002531DC" w:rsidRDefault="00A538A8" w:rsidP="009B62E9">
      <w:pPr>
        <w:pStyle w:val="SignCoverPageEnd"/>
      </w:pPr>
      <w:r w:rsidRPr="002531DC">
        <w:t>Minister for Financial Services and Superannuation</w:t>
      </w:r>
    </w:p>
    <w:p w:rsidR="00A538A8" w:rsidRPr="002531DC" w:rsidRDefault="00A538A8" w:rsidP="00A538A8"/>
    <w:p w:rsidR="00383C26" w:rsidRPr="002531DC" w:rsidRDefault="00383C26" w:rsidP="00383C26">
      <w:pPr>
        <w:pStyle w:val="Header"/>
        <w:tabs>
          <w:tab w:val="clear" w:pos="4150"/>
          <w:tab w:val="clear" w:pos="8307"/>
        </w:tabs>
      </w:pPr>
      <w:r w:rsidRPr="002531DC">
        <w:rPr>
          <w:rStyle w:val="CharChapNo"/>
        </w:rPr>
        <w:t xml:space="preserve"> </w:t>
      </w:r>
      <w:r w:rsidRPr="002531DC">
        <w:rPr>
          <w:rStyle w:val="CharChapText"/>
        </w:rPr>
        <w:t xml:space="preserve"> </w:t>
      </w:r>
    </w:p>
    <w:p w:rsidR="00383C26" w:rsidRPr="002531DC" w:rsidRDefault="00383C26" w:rsidP="00383C26">
      <w:pPr>
        <w:pStyle w:val="Header"/>
        <w:tabs>
          <w:tab w:val="clear" w:pos="4150"/>
          <w:tab w:val="clear" w:pos="8307"/>
        </w:tabs>
      </w:pPr>
      <w:r w:rsidRPr="002531DC">
        <w:rPr>
          <w:rStyle w:val="CharPartNo"/>
        </w:rPr>
        <w:t xml:space="preserve"> </w:t>
      </w:r>
      <w:r w:rsidRPr="002531DC">
        <w:rPr>
          <w:rStyle w:val="CharPartText"/>
        </w:rPr>
        <w:t xml:space="preserve"> </w:t>
      </w:r>
    </w:p>
    <w:p w:rsidR="00383C26" w:rsidRPr="002531DC" w:rsidRDefault="00383C26" w:rsidP="00383C26">
      <w:pPr>
        <w:pStyle w:val="Header"/>
        <w:tabs>
          <w:tab w:val="clear" w:pos="4150"/>
          <w:tab w:val="clear" w:pos="8307"/>
        </w:tabs>
      </w:pPr>
      <w:r w:rsidRPr="002531DC">
        <w:rPr>
          <w:rStyle w:val="CharDivNo"/>
        </w:rPr>
        <w:t xml:space="preserve"> </w:t>
      </w:r>
      <w:r w:rsidRPr="002531DC">
        <w:rPr>
          <w:rStyle w:val="CharDivText"/>
        </w:rPr>
        <w:t xml:space="preserve"> </w:t>
      </w:r>
    </w:p>
    <w:p w:rsidR="00383C26" w:rsidRPr="002531DC" w:rsidRDefault="00383C26" w:rsidP="00383C26">
      <w:pPr>
        <w:sectPr w:rsidR="00383C26" w:rsidRPr="002531DC" w:rsidSect="00CA472C">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rsidR="00383C26" w:rsidRPr="002531DC" w:rsidRDefault="00383C26" w:rsidP="00DE7DDB">
      <w:pPr>
        <w:rPr>
          <w:sz w:val="36"/>
        </w:rPr>
      </w:pPr>
      <w:r w:rsidRPr="002531DC">
        <w:rPr>
          <w:sz w:val="36"/>
        </w:rPr>
        <w:lastRenderedPageBreak/>
        <w:t>Contents</w:t>
      </w:r>
    </w:p>
    <w:bookmarkStart w:id="2" w:name="BKCheck15B_2"/>
    <w:bookmarkEnd w:id="2"/>
    <w:p w:rsidR="00847971" w:rsidRPr="002531DC" w:rsidRDefault="00847971">
      <w:pPr>
        <w:pStyle w:val="TOC5"/>
        <w:rPr>
          <w:rFonts w:asciiTheme="minorHAnsi" w:eastAsiaTheme="minorEastAsia" w:hAnsiTheme="minorHAnsi" w:cstheme="minorBidi"/>
          <w:noProof/>
          <w:kern w:val="0"/>
          <w:sz w:val="22"/>
          <w:szCs w:val="22"/>
        </w:rPr>
      </w:pPr>
      <w:r w:rsidRPr="002531DC">
        <w:rPr>
          <w:sz w:val="36"/>
        </w:rPr>
        <w:fldChar w:fldCharType="begin"/>
      </w:r>
      <w:r w:rsidRPr="002531DC">
        <w:rPr>
          <w:sz w:val="36"/>
        </w:rPr>
        <w:instrText xml:space="preserve"> TOC \o "1-9" </w:instrText>
      </w:r>
      <w:r w:rsidRPr="002531DC">
        <w:rPr>
          <w:sz w:val="36"/>
        </w:rPr>
        <w:fldChar w:fldCharType="separate"/>
      </w:r>
      <w:r w:rsidRPr="002531DC">
        <w:rPr>
          <w:noProof/>
        </w:rPr>
        <w:t>1</w:t>
      </w:r>
      <w:r w:rsidRPr="002531DC">
        <w:rPr>
          <w:noProof/>
        </w:rPr>
        <w:tab/>
        <w:t>Name of determination</w:t>
      </w:r>
      <w:r w:rsidRPr="002531DC">
        <w:rPr>
          <w:noProof/>
        </w:rPr>
        <w:tab/>
      </w:r>
      <w:r w:rsidRPr="002531DC">
        <w:rPr>
          <w:noProof/>
        </w:rPr>
        <w:fldChar w:fldCharType="begin"/>
      </w:r>
      <w:r w:rsidRPr="002531DC">
        <w:rPr>
          <w:noProof/>
        </w:rPr>
        <w:instrText xml:space="preserve"> PAGEREF _Toc359492592 \h </w:instrText>
      </w:r>
      <w:r w:rsidRPr="002531DC">
        <w:rPr>
          <w:noProof/>
        </w:rPr>
      </w:r>
      <w:r w:rsidRPr="002531DC">
        <w:rPr>
          <w:noProof/>
        </w:rPr>
        <w:fldChar w:fldCharType="separate"/>
      </w:r>
      <w:r w:rsidR="00342AB4">
        <w:rPr>
          <w:noProof/>
        </w:rPr>
        <w:t>1</w:t>
      </w:r>
      <w:r w:rsidRPr="002531DC">
        <w:rPr>
          <w:noProof/>
        </w:rPr>
        <w:fldChar w:fldCharType="end"/>
      </w:r>
    </w:p>
    <w:p w:rsidR="00847971" w:rsidRPr="002531DC" w:rsidRDefault="00847971">
      <w:pPr>
        <w:pStyle w:val="TOC5"/>
        <w:rPr>
          <w:rFonts w:asciiTheme="minorHAnsi" w:eastAsiaTheme="minorEastAsia" w:hAnsiTheme="minorHAnsi" w:cstheme="minorBidi"/>
          <w:noProof/>
          <w:kern w:val="0"/>
          <w:sz w:val="22"/>
          <w:szCs w:val="22"/>
        </w:rPr>
      </w:pPr>
      <w:r w:rsidRPr="002531DC">
        <w:rPr>
          <w:noProof/>
        </w:rPr>
        <w:t>2</w:t>
      </w:r>
      <w:r w:rsidRPr="002531DC">
        <w:rPr>
          <w:noProof/>
        </w:rPr>
        <w:tab/>
        <w:t>Commencement</w:t>
      </w:r>
      <w:r w:rsidRPr="002531DC">
        <w:rPr>
          <w:noProof/>
        </w:rPr>
        <w:tab/>
      </w:r>
      <w:r w:rsidRPr="002531DC">
        <w:rPr>
          <w:noProof/>
        </w:rPr>
        <w:fldChar w:fldCharType="begin"/>
      </w:r>
      <w:r w:rsidRPr="002531DC">
        <w:rPr>
          <w:noProof/>
        </w:rPr>
        <w:instrText xml:space="preserve"> PAGEREF _Toc359492593 \h </w:instrText>
      </w:r>
      <w:r w:rsidRPr="002531DC">
        <w:rPr>
          <w:noProof/>
        </w:rPr>
      </w:r>
      <w:r w:rsidRPr="002531DC">
        <w:rPr>
          <w:noProof/>
        </w:rPr>
        <w:fldChar w:fldCharType="separate"/>
      </w:r>
      <w:r w:rsidR="00342AB4">
        <w:rPr>
          <w:noProof/>
        </w:rPr>
        <w:t>1</w:t>
      </w:r>
      <w:r w:rsidRPr="002531DC">
        <w:rPr>
          <w:noProof/>
        </w:rPr>
        <w:fldChar w:fldCharType="end"/>
      </w:r>
    </w:p>
    <w:p w:rsidR="00847971" w:rsidRPr="002531DC" w:rsidRDefault="00847971">
      <w:pPr>
        <w:pStyle w:val="TOC5"/>
        <w:rPr>
          <w:rFonts w:asciiTheme="minorHAnsi" w:eastAsiaTheme="minorEastAsia" w:hAnsiTheme="minorHAnsi" w:cstheme="minorBidi"/>
          <w:noProof/>
          <w:kern w:val="0"/>
          <w:sz w:val="22"/>
          <w:szCs w:val="22"/>
        </w:rPr>
      </w:pPr>
      <w:r w:rsidRPr="002531DC">
        <w:rPr>
          <w:noProof/>
        </w:rPr>
        <w:t>3</w:t>
      </w:r>
      <w:r w:rsidRPr="002531DC">
        <w:rPr>
          <w:noProof/>
        </w:rPr>
        <w:tab/>
        <w:t>Authority</w:t>
      </w:r>
      <w:r w:rsidRPr="002531DC">
        <w:rPr>
          <w:noProof/>
        </w:rPr>
        <w:tab/>
      </w:r>
      <w:r w:rsidRPr="002531DC">
        <w:rPr>
          <w:noProof/>
        </w:rPr>
        <w:fldChar w:fldCharType="begin"/>
      </w:r>
      <w:r w:rsidRPr="002531DC">
        <w:rPr>
          <w:noProof/>
        </w:rPr>
        <w:instrText xml:space="preserve"> PAGEREF _Toc359492594 \h </w:instrText>
      </w:r>
      <w:r w:rsidRPr="002531DC">
        <w:rPr>
          <w:noProof/>
        </w:rPr>
      </w:r>
      <w:r w:rsidRPr="002531DC">
        <w:rPr>
          <w:noProof/>
        </w:rPr>
        <w:fldChar w:fldCharType="separate"/>
      </w:r>
      <w:r w:rsidR="00342AB4">
        <w:rPr>
          <w:noProof/>
        </w:rPr>
        <w:t>1</w:t>
      </w:r>
      <w:r w:rsidRPr="002531DC">
        <w:rPr>
          <w:noProof/>
        </w:rPr>
        <w:fldChar w:fldCharType="end"/>
      </w:r>
    </w:p>
    <w:p w:rsidR="00847971" w:rsidRPr="002531DC" w:rsidRDefault="00847971">
      <w:pPr>
        <w:pStyle w:val="TOC5"/>
        <w:rPr>
          <w:rFonts w:asciiTheme="minorHAnsi" w:eastAsiaTheme="minorEastAsia" w:hAnsiTheme="minorHAnsi" w:cstheme="minorBidi"/>
          <w:noProof/>
          <w:kern w:val="0"/>
          <w:sz w:val="22"/>
          <w:szCs w:val="22"/>
        </w:rPr>
      </w:pPr>
      <w:r w:rsidRPr="002531DC">
        <w:rPr>
          <w:noProof/>
        </w:rPr>
        <w:t>4</w:t>
      </w:r>
      <w:r w:rsidRPr="002531DC">
        <w:rPr>
          <w:noProof/>
        </w:rPr>
        <w:tab/>
        <w:t>Repeal</w:t>
      </w:r>
      <w:r w:rsidRPr="002531DC">
        <w:rPr>
          <w:noProof/>
        </w:rPr>
        <w:tab/>
      </w:r>
      <w:r w:rsidRPr="002531DC">
        <w:rPr>
          <w:noProof/>
        </w:rPr>
        <w:fldChar w:fldCharType="begin"/>
      </w:r>
      <w:r w:rsidRPr="002531DC">
        <w:rPr>
          <w:noProof/>
        </w:rPr>
        <w:instrText xml:space="preserve"> PAGEREF _Toc359492595 \h </w:instrText>
      </w:r>
      <w:r w:rsidRPr="002531DC">
        <w:rPr>
          <w:noProof/>
        </w:rPr>
      </w:r>
      <w:r w:rsidRPr="002531DC">
        <w:rPr>
          <w:noProof/>
        </w:rPr>
        <w:fldChar w:fldCharType="separate"/>
      </w:r>
      <w:r w:rsidR="00342AB4">
        <w:rPr>
          <w:noProof/>
        </w:rPr>
        <w:t>1</w:t>
      </w:r>
      <w:r w:rsidRPr="002531DC">
        <w:rPr>
          <w:noProof/>
        </w:rPr>
        <w:fldChar w:fldCharType="end"/>
      </w:r>
    </w:p>
    <w:p w:rsidR="00847971" w:rsidRPr="002531DC" w:rsidRDefault="00847971">
      <w:pPr>
        <w:pStyle w:val="TOC5"/>
        <w:rPr>
          <w:rFonts w:asciiTheme="minorHAnsi" w:eastAsiaTheme="minorEastAsia" w:hAnsiTheme="minorHAnsi" w:cstheme="minorBidi"/>
          <w:noProof/>
          <w:kern w:val="0"/>
          <w:sz w:val="22"/>
          <w:szCs w:val="22"/>
        </w:rPr>
      </w:pPr>
      <w:r w:rsidRPr="002531DC">
        <w:rPr>
          <w:noProof/>
        </w:rPr>
        <w:t>5</w:t>
      </w:r>
      <w:r w:rsidRPr="002531DC">
        <w:rPr>
          <w:noProof/>
        </w:rPr>
        <w:tab/>
        <w:t>Definitions</w:t>
      </w:r>
      <w:r w:rsidRPr="002531DC">
        <w:rPr>
          <w:noProof/>
        </w:rPr>
        <w:tab/>
      </w:r>
      <w:r w:rsidRPr="002531DC">
        <w:rPr>
          <w:noProof/>
        </w:rPr>
        <w:fldChar w:fldCharType="begin"/>
      </w:r>
      <w:r w:rsidRPr="002531DC">
        <w:rPr>
          <w:noProof/>
        </w:rPr>
        <w:instrText xml:space="preserve"> PAGEREF _Toc359492596 \h </w:instrText>
      </w:r>
      <w:r w:rsidRPr="002531DC">
        <w:rPr>
          <w:noProof/>
        </w:rPr>
      </w:r>
      <w:r w:rsidRPr="002531DC">
        <w:rPr>
          <w:noProof/>
        </w:rPr>
        <w:fldChar w:fldCharType="separate"/>
      </w:r>
      <w:r w:rsidR="00342AB4">
        <w:rPr>
          <w:noProof/>
        </w:rPr>
        <w:t>1</w:t>
      </w:r>
      <w:r w:rsidRPr="002531DC">
        <w:rPr>
          <w:noProof/>
        </w:rPr>
        <w:fldChar w:fldCharType="end"/>
      </w:r>
    </w:p>
    <w:p w:rsidR="00847971" w:rsidRPr="002531DC" w:rsidRDefault="00847971">
      <w:pPr>
        <w:pStyle w:val="TOC5"/>
        <w:rPr>
          <w:rFonts w:asciiTheme="minorHAnsi" w:eastAsiaTheme="minorEastAsia" w:hAnsiTheme="minorHAnsi" w:cstheme="minorBidi"/>
          <w:noProof/>
          <w:kern w:val="0"/>
          <w:sz w:val="22"/>
          <w:szCs w:val="22"/>
        </w:rPr>
      </w:pPr>
      <w:r w:rsidRPr="002531DC">
        <w:rPr>
          <w:noProof/>
        </w:rPr>
        <w:t>6</w:t>
      </w:r>
      <w:r w:rsidRPr="002531DC">
        <w:rPr>
          <w:noProof/>
        </w:rPr>
        <w:tab/>
        <w:t>Amount of levy</w:t>
      </w:r>
      <w:r w:rsidRPr="002531DC">
        <w:rPr>
          <w:noProof/>
        </w:rPr>
        <w:tab/>
      </w:r>
      <w:r w:rsidRPr="002531DC">
        <w:rPr>
          <w:noProof/>
        </w:rPr>
        <w:fldChar w:fldCharType="begin"/>
      </w:r>
      <w:r w:rsidRPr="002531DC">
        <w:rPr>
          <w:noProof/>
        </w:rPr>
        <w:instrText xml:space="preserve"> PAGEREF _Toc359492597 \h </w:instrText>
      </w:r>
      <w:r w:rsidRPr="002531DC">
        <w:rPr>
          <w:noProof/>
        </w:rPr>
      </w:r>
      <w:r w:rsidRPr="002531DC">
        <w:rPr>
          <w:noProof/>
        </w:rPr>
        <w:fldChar w:fldCharType="separate"/>
      </w:r>
      <w:r w:rsidR="00342AB4">
        <w:rPr>
          <w:noProof/>
        </w:rPr>
        <w:t>2</w:t>
      </w:r>
      <w:r w:rsidRPr="002531DC">
        <w:rPr>
          <w:noProof/>
        </w:rPr>
        <w:fldChar w:fldCharType="end"/>
      </w:r>
    </w:p>
    <w:p w:rsidR="00847971" w:rsidRPr="002531DC" w:rsidRDefault="00847971">
      <w:pPr>
        <w:pStyle w:val="TOC5"/>
        <w:rPr>
          <w:rFonts w:asciiTheme="minorHAnsi" w:eastAsiaTheme="minorEastAsia" w:hAnsiTheme="minorHAnsi" w:cstheme="minorBidi"/>
          <w:noProof/>
          <w:kern w:val="0"/>
          <w:sz w:val="22"/>
          <w:szCs w:val="22"/>
        </w:rPr>
      </w:pPr>
      <w:r w:rsidRPr="002531DC">
        <w:rPr>
          <w:noProof/>
        </w:rPr>
        <w:t>7</w:t>
      </w:r>
      <w:r w:rsidRPr="002531DC">
        <w:rPr>
          <w:noProof/>
        </w:rPr>
        <w:tab/>
        <w:t>ADI’s levy base—ADI other than a specialist credit card institution or provider of purchased payment facilities</w:t>
      </w:r>
      <w:r w:rsidRPr="002531DC">
        <w:rPr>
          <w:noProof/>
        </w:rPr>
        <w:tab/>
      </w:r>
      <w:r w:rsidRPr="002531DC">
        <w:rPr>
          <w:noProof/>
        </w:rPr>
        <w:fldChar w:fldCharType="begin"/>
      </w:r>
      <w:r w:rsidRPr="002531DC">
        <w:rPr>
          <w:noProof/>
        </w:rPr>
        <w:instrText xml:space="preserve"> PAGEREF _Toc359492598 \h </w:instrText>
      </w:r>
      <w:r w:rsidRPr="002531DC">
        <w:rPr>
          <w:noProof/>
        </w:rPr>
      </w:r>
      <w:r w:rsidRPr="002531DC">
        <w:rPr>
          <w:noProof/>
        </w:rPr>
        <w:fldChar w:fldCharType="separate"/>
      </w:r>
      <w:r w:rsidR="00342AB4">
        <w:rPr>
          <w:noProof/>
        </w:rPr>
        <w:t>3</w:t>
      </w:r>
      <w:r w:rsidRPr="002531DC">
        <w:rPr>
          <w:noProof/>
        </w:rPr>
        <w:fldChar w:fldCharType="end"/>
      </w:r>
    </w:p>
    <w:p w:rsidR="00847971" w:rsidRPr="002531DC" w:rsidRDefault="00847971">
      <w:pPr>
        <w:pStyle w:val="TOC5"/>
        <w:rPr>
          <w:rFonts w:asciiTheme="minorHAnsi" w:eastAsiaTheme="minorEastAsia" w:hAnsiTheme="minorHAnsi" w:cstheme="minorBidi"/>
          <w:noProof/>
          <w:kern w:val="0"/>
          <w:sz w:val="22"/>
          <w:szCs w:val="22"/>
        </w:rPr>
      </w:pPr>
      <w:r w:rsidRPr="002531DC">
        <w:rPr>
          <w:noProof/>
        </w:rPr>
        <w:t>8</w:t>
      </w:r>
      <w:r w:rsidRPr="002531DC">
        <w:rPr>
          <w:noProof/>
        </w:rPr>
        <w:tab/>
        <w:t>ADI’s levy base—specialist credit card institution</w:t>
      </w:r>
      <w:r w:rsidRPr="002531DC">
        <w:rPr>
          <w:noProof/>
        </w:rPr>
        <w:tab/>
      </w:r>
      <w:r w:rsidRPr="002531DC">
        <w:rPr>
          <w:noProof/>
        </w:rPr>
        <w:fldChar w:fldCharType="begin"/>
      </w:r>
      <w:r w:rsidRPr="002531DC">
        <w:rPr>
          <w:noProof/>
        </w:rPr>
        <w:instrText xml:space="preserve"> PAGEREF _Toc359492599 \h </w:instrText>
      </w:r>
      <w:r w:rsidRPr="002531DC">
        <w:rPr>
          <w:noProof/>
        </w:rPr>
      </w:r>
      <w:r w:rsidRPr="002531DC">
        <w:rPr>
          <w:noProof/>
        </w:rPr>
        <w:fldChar w:fldCharType="separate"/>
      </w:r>
      <w:r w:rsidR="00342AB4">
        <w:rPr>
          <w:noProof/>
        </w:rPr>
        <w:t>4</w:t>
      </w:r>
      <w:r w:rsidRPr="002531DC">
        <w:rPr>
          <w:noProof/>
        </w:rPr>
        <w:fldChar w:fldCharType="end"/>
      </w:r>
    </w:p>
    <w:p w:rsidR="00847971" w:rsidRPr="002531DC" w:rsidRDefault="00847971">
      <w:pPr>
        <w:pStyle w:val="TOC5"/>
        <w:rPr>
          <w:rFonts w:asciiTheme="minorHAnsi" w:eastAsiaTheme="minorEastAsia" w:hAnsiTheme="minorHAnsi" w:cstheme="minorBidi"/>
          <w:noProof/>
          <w:kern w:val="0"/>
          <w:sz w:val="22"/>
          <w:szCs w:val="22"/>
        </w:rPr>
      </w:pPr>
      <w:r w:rsidRPr="002531DC">
        <w:rPr>
          <w:noProof/>
        </w:rPr>
        <w:t>9</w:t>
      </w:r>
      <w:r w:rsidRPr="002531DC">
        <w:rPr>
          <w:noProof/>
        </w:rPr>
        <w:tab/>
        <w:t>ADI’s levy base—provider of purchased payment facilities</w:t>
      </w:r>
      <w:r w:rsidRPr="002531DC">
        <w:rPr>
          <w:noProof/>
        </w:rPr>
        <w:tab/>
      </w:r>
      <w:r w:rsidRPr="002531DC">
        <w:rPr>
          <w:noProof/>
        </w:rPr>
        <w:fldChar w:fldCharType="begin"/>
      </w:r>
      <w:r w:rsidRPr="002531DC">
        <w:rPr>
          <w:noProof/>
        </w:rPr>
        <w:instrText xml:space="preserve"> PAGEREF _Toc359492600 \h </w:instrText>
      </w:r>
      <w:r w:rsidRPr="002531DC">
        <w:rPr>
          <w:noProof/>
        </w:rPr>
      </w:r>
      <w:r w:rsidRPr="002531DC">
        <w:rPr>
          <w:noProof/>
        </w:rPr>
        <w:fldChar w:fldCharType="separate"/>
      </w:r>
      <w:r w:rsidR="00342AB4">
        <w:rPr>
          <w:noProof/>
        </w:rPr>
        <w:t>4</w:t>
      </w:r>
      <w:r w:rsidRPr="002531DC">
        <w:rPr>
          <w:noProof/>
        </w:rPr>
        <w:fldChar w:fldCharType="end"/>
      </w:r>
    </w:p>
    <w:p w:rsidR="00383C26" w:rsidRPr="002531DC" w:rsidRDefault="00847971" w:rsidP="00DE7DDB">
      <w:pPr>
        <w:rPr>
          <w:sz w:val="36"/>
        </w:rPr>
      </w:pPr>
      <w:r w:rsidRPr="002531DC">
        <w:rPr>
          <w:sz w:val="36"/>
        </w:rPr>
        <w:fldChar w:fldCharType="end"/>
      </w:r>
    </w:p>
    <w:p w:rsidR="00383C26" w:rsidRPr="002531DC" w:rsidRDefault="00383C26" w:rsidP="00383C26">
      <w:pPr>
        <w:sectPr w:rsidR="00383C26" w:rsidRPr="002531DC" w:rsidSect="00CA472C">
          <w:headerReference w:type="even" r:id="rId19"/>
          <w:headerReference w:type="default" r:id="rId20"/>
          <w:footerReference w:type="even" r:id="rId21"/>
          <w:footerReference w:type="default" r:id="rId22"/>
          <w:headerReference w:type="first" r:id="rId23"/>
          <w:pgSz w:w="11907" w:h="16839"/>
          <w:pgMar w:top="2385" w:right="1797" w:bottom="1440" w:left="1797" w:header="720" w:footer="709" w:gutter="0"/>
          <w:pgNumType w:fmt="lowerRoman" w:start="1"/>
          <w:cols w:space="708"/>
          <w:docGrid w:linePitch="360"/>
        </w:sectPr>
      </w:pPr>
    </w:p>
    <w:p w:rsidR="00E90609" w:rsidRPr="002531DC" w:rsidRDefault="00E90609" w:rsidP="00383C26">
      <w:pPr>
        <w:pStyle w:val="ActHead5"/>
      </w:pPr>
      <w:bookmarkStart w:id="3" w:name="_Toc359492592"/>
      <w:r w:rsidRPr="002531DC">
        <w:rPr>
          <w:rStyle w:val="CharSectno"/>
        </w:rPr>
        <w:lastRenderedPageBreak/>
        <w:t>1</w:t>
      </w:r>
      <w:r w:rsidR="00383C26" w:rsidRPr="002531DC">
        <w:t xml:space="preserve">  </w:t>
      </w:r>
      <w:r w:rsidR="00730109" w:rsidRPr="002531DC">
        <w:t>Name of d</w:t>
      </w:r>
      <w:r w:rsidRPr="002531DC">
        <w:t>etermination</w:t>
      </w:r>
      <w:bookmarkEnd w:id="3"/>
    </w:p>
    <w:p w:rsidR="00E90609" w:rsidRPr="002531DC" w:rsidRDefault="00E90609" w:rsidP="00383C26">
      <w:pPr>
        <w:pStyle w:val="subsection"/>
      </w:pPr>
      <w:r w:rsidRPr="002531DC">
        <w:tab/>
      </w:r>
      <w:r w:rsidRPr="002531DC">
        <w:tab/>
        <w:t>T</w:t>
      </w:r>
      <w:r w:rsidR="00730109" w:rsidRPr="002531DC">
        <w:t>his d</w:t>
      </w:r>
      <w:r w:rsidRPr="002531DC">
        <w:t xml:space="preserve">etermination is the </w:t>
      </w:r>
      <w:r w:rsidR="00890E1A" w:rsidRPr="002531DC">
        <w:rPr>
          <w:i/>
        </w:rPr>
        <w:t>Authorised Deposit</w:t>
      </w:r>
      <w:r w:rsidR="002531DC">
        <w:rPr>
          <w:i/>
        </w:rPr>
        <w:noBreakHyphen/>
      </w:r>
      <w:r w:rsidR="00890E1A" w:rsidRPr="002531DC">
        <w:rPr>
          <w:i/>
        </w:rPr>
        <w:t>taking Institutions Supervisor</w:t>
      </w:r>
      <w:r w:rsidR="003B52C0" w:rsidRPr="002531DC">
        <w:rPr>
          <w:i/>
        </w:rPr>
        <w:t>y Levy Imposition Determination</w:t>
      </w:r>
      <w:r w:rsidR="002531DC" w:rsidRPr="002531DC">
        <w:rPr>
          <w:i/>
        </w:rPr>
        <w:t> </w:t>
      </w:r>
      <w:r w:rsidR="00890E1A" w:rsidRPr="002531DC">
        <w:rPr>
          <w:i/>
        </w:rPr>
        <w:t>201</w:t>
      </w:r>
      <w:r w:rsidR="00CB0566" w:rsidRPr="002531DC">
        <w:rPr>
          <w:i/>
        </w:rPr>
        <w:t>3</w:t>
      </w:r>
      <w:r w:rsidR="00730109" w:rsidRPr="002531DC">
        <w:t>.</w:t>
      </w:r>
    </w:p>
    <w:p w:rsidR="00E90609" w:rsidRPr="002531DC" w:rsidRDefault="00E90609" w:rsidP="00383C26">
      <w:pPr>
        <w:pStyle w:val="ActHead5"/>
      </w:pPr>
      <w:bookmarkStart w:id="4" w:name="_Toc359492593"/>
      <w:r w:rsidRPr="002531DC">
        <w:rPr>
          <w:rStyle w:val="CharSectno"/>
        </w:rPr>
        <w:t>2</w:t>
      </w:r>
      <w:r w:rsidR="00383C26" w:rsidRPr="002531DC">
        <w:t xml:space="preserve">  </w:t>
      </w:r>
      <w:r w:rsidRPr="002531DC">
        <w:t>Commencement</w:t>
      </w:r>
      <w:bookmarkEnd w:id="4"/>
    </w:p>
    <w:p w:rsidR="00E90609" w:rsidRPr="002531DC" w:rsidRDefault="00730109" w:rsidP="00383C26">
      <w:pPr>
        <w:pStyle w:val="subsection"/>
      </w:pPr>
      <w:r w:rsidRPr="002531DC">
        <w:tab/>
      </w:r>
      <w:r w:rsidRPr="002531DC">
        <w:tab/>
        <w:t>This d</w:t>
      </w:r>
      <w:r w:rsidR="00E90609" w:rsidRPr="002531DC">
        <w:t>etermination co</w:t>
      </w:r>
      <w:r w:rsidR="00671DDB" w:rsidRPr="002531DC">
        <w:t xml:space="preserve">mmences </w:t>
      </w:r>
      <w:r w:rsidR="00C41215" w:rsidRPr="002531DC">
        <w:t xml:space="preserve">on </w:t>
      </w:r>
      <w:r w:rsidR="00222C9D" w:rsidRPr="002531DC">
        <w:t>1</w:t>
      </w:r>
      <w:r w:rsidR="002531DC" w:rsidRPr="002531DC">
        <w:t> </w:t>
      </w:r>
      <w:r w:rsidR="00222C9D" w:rsidRPr="002531DC">
        <w:t>July 201</w:t>
      </w:r>
      <w:r w:rsidR="00CB0566" w:rsidRPr="002531DC">
        <w:t>3</w:t>
      </w:r>
      <w:r w:rsidR="00E90609" w:rsidRPr="002531DC">
        <w:t>.</w:t>
      </w:r>
    </w:p>
    <w:p w:rsidR="00383C26" w:rsidRPr="002531DC" w:rsidRDefault="003B52C0" w:rsidP="00383C26">
      <w:pPr>
        <w:pStyle w:val="ActHead5"/>
      </w:pPr>
      <w:bookmarkStart w:id="5" w:name="_Toc359492594"/>
      <w:r w:rsidRPr="002531DC">
        <w:rPr>
          <w:rStyle w:val="CharSectno"/>
        </w:rPr>
        <w:t>3</w:t>
      </w:r>
      <w:r w:rsidR="00383C26" w:rsidRPr="002531DC">
        <w:t xml:space="preserve">  Authority</w:t>
      </w:r>
      <w:bookmarkEnd w:id="5"/>
    </w:p>
    <w:p w:rsidR="00383C26" w:rsidRPr="002531DC" w:rsidRDefault="003B52C0" w:rsidP="00383C26">
      <w:pPr>
        <w:pStyle w:val="subsection"/>
      </w:pPr>
      <w:r w:rsidRPr="002531DC">
        <w:tab/>
      </w:r>
      <w:r w:rsidRPr="002531DC">
        <w:tab/>
        <w:t>This determination is made under subsection</w:t>
      </w:r>
      <w:r w:rsidR="002531DC" w:rsidRPr="002531DC">
        <w:t> </w:t>
      </w:r>
      <w:r w:rsidRPr="002531DC">
        <w:t xml:space="preserve">7(3) of the </w:t>
      </w:r>
      <w:r w:rsidRPr="002531DC">
        <w:rPr>
          <w:i/>
        </w:rPr>
        <w:t>Authorised Deposit</w:t>
      </w:r>
      <w:r w:rsidR="002531DC">
        <w:rPr>
          <w:i/>
        </w:rPr>
        <w:noBreakHyphen/>
      </w:r>
      <w:r w:rsidRPr="002531DC">
        <w:rPr>
          <w:i/>
        </w:rPr>
        <w:t>taking Institutions Supervisory Levy Imposition Act 1998</w:t>
      </w:r>
      <w:r w:rsidR="00383C26" w:rsidRPr="002531DC">
        <w:t>.</w:t>
      </w:r>
    </w:p>
    <w:p w:rsidR="00E90609" w:rsidRPr="002531DC" w:rsidRDefault="003B52C0" w:rsidP="00383C26">
      <w:pPr>
        <w:pStyle w:val="ActHead5"/>
        <w:rPr>
          <w:i/>
        </w:rPr>
      </w:pPr>
      <w:bookmarkStart w:id="6" w:name="_Toc359492595"/>
      <w:r w:rsidRPr="002531DC">
        <w:rPr>
          <w:rStyle w:val="CharSectno"/>
        </w:rPr>
        <w:t>4</w:t>
      </w:r>
      <w:r w:rsidR="00383C26" w:rsidRPr="002531DC">
        <w:t xml:space="preserve">  </w:t>
      </w:r>
      <w:r w:rsidR="00FF4FE1" w:rsidRPr="002531DC">
        <w:t>Re</w:t>
      </w:r>
      <w:r w:rsidR="00EA3B8F" w:rsidRPr="002531DC">
        <w:t>peal</w:t>
      </w:r>
      <w:bookmarkEnd w:id="6"/>
    </w:p>
    <w:p w:rsidR="00FF4FE1" w:rsidRPr="002531DC" w:rsidRDefault="00FF4FE1" w:rsidP="00383C26">
      <w:pPr>
        <w:pStyle w:val="subsection"/>
      </w:pPr>
      <w:r w:rsidRPr="002531DC">
        <w:tab/>
      </w:r>
      <w:r w:rsidRPr="002531DC">
        <w:tab/>
        <w:t xml:space="preserve">The </w:t>
      </w:r>
      <w:r w:rsidRPr="002531DC">
        <w:rPr>
          <w:i/>
        </w:rPr>
        <w:t>Authorised Deposit</w:t>
      </w:r>
      <w:r w:rsidR="002531DC">
        <w:rPr>
          <w:i/>
        </w:rPr>
        <w:noBreakHyphen/>
      </w:r>
      <w:r w:rsidRPr="002531DC">
        <w:rPr>
          <w:i/>
        </w:rPr>
        <w:t>taking Institutions Supervisory Le</w:t>
      </w:r>
      <w:r w:rsidR="00671DDB" w:rsidRPr="002531DC">
        <w:rPr>
          <w:i/>
        </w:rPr>
        <w:t>vy Imposition Determination</w:t>
      </w:r>
      <w:r w:rsidR="002531DC" w:rsidRPr="002531DC">
        <w:rPr>
          <w:i/>
        </w:rPr>
        <w:t> </w:t>
      </w:r>
      <w:r w:rsidR="00D17E6C" w:rsidRPr="002531DC">
        <w:rPr>
          <w:i/>
        </w:rPr>
        <w:t>20</w:t>
      </w:r>
      <w:r w:rsidR="00C41215" w:rsidRPr="002531DC">
        <w:rPr>
          <w:i/>
        </w:rPr>
        <w:t>1</w:t>
      </w:r>
      <w:r w:rsidR="00CB0566" w:rsidRPr="002531DC">
        <w:rPr>
          <w:i/>
        </w:rPr>
        <w:t>2</w:t>
      </w:r>
      <w:r w:rsidR="00C41215" w:rsidRPr="002531DC">
        <w:t xml:space="preserve"> </w:t>
      </w:r>
      <w:r w:rsidR="00EA3B8F" w:rsidRPr="002531DC">
        <w:t>is repeal</w:t>
      </w:r>
      <w:r w:rsidRPr="002531DC">
        <w:t>ed.</w:t>
      </w:r>
    </w:p>
    <w:p w:rsidR="00FF4FE1" w:rsidRPr="002531DC" w:rsidRDefault="003B52C0" w:rsidP="00383C26">
      <w:pPr>
        <w:pStyle w:val="ActHead5"/>
      </w:pPr>
      <w:bookmarkStart w:id="7" w:name="_Toc359492596"/>
      <w:r w:rsidRPr="002531DC">
        <w:rPr>
          <w:rStyle w:val="CharSectno"/>
        </w:rPr>
        <w:t>5</w:t>
      </w:r>
      <w:r w:rsidR="00383C26" w:rsidRPr="002531DC">
        <w:t xml:space="preserve">  </w:t>
      </w:r>
      <w:r w:rsidR="007C6639" w:rsidRPr="002531DC">
        <w:t>Definitions</w:t>
      </w:r>
      <w:bookmarkEnd w:id="7"/>
    </w:p>
    <w:p w:rsidR="00FF4FE1" w:rsidRPr="002531DC" w:rsidRDefault="00FF4FE1" w:rsidP="00383C26">
      <w:pPr>
        <w:pStyle w:val="subsection"/>
      </w:pPr>
      <w:r w:rsidRPr="002531DC">
        <w:tab/>
        <w:t>(1)</w:t>
      </w:r>
      <w:r w:rsidRPr="002531DC">
        <w:tab/>
      </w:r>
      <w:r w:rsidR="00730109" w:rsidRPr="002531DC">
        <w:t>In this d</w:t>
      </w:r>
      <w:r w:rsidR="009F0E2F" w:rsidRPr="002531DC">
        <w:t>etermination:</w:t>
      </w:r>
    </w:p>
    <w:p w:rsidR="009F0E2F" w:rsidRPr="002531DC" w:rsidRDefault="00BC6288" w:rsidP="00383C26">
      <w:pPr>
        <w:pStyle w:val="Definition"/>
      </w:pPr>
      <w:r w:rsidRPr="002531DC">
        <w:rPr>
          <w:b/>
          <w:i/>
        </w:rPr>
        <w:t>20</w:t>
      </w:r>
      <w:r w:rsidR="00C01919" w:rsidRPr="002531DC">
        <w:rPr>
          <w:b/>
          <w:i/>
        </w:rPr>
        <w:t>1</w:t>
      </w:r>
      <w:r w:rsidR="00CB0566" w:rsidRPr="002531DC">
        <w:rPr>
          <w:b/>
          <w:i/>
        </w:rPr>
        <w:t>3</w:t>
      </w:r>
      <w:r w:rsidR="002531DC">
        <w:rPr>
          <w:b/>
          <w:i/>
        </w:rPr>
        <w:noBreakHyphen/>
      </w:r>
      <w:r w:rsidRPr="002531DC">
        <w:rPr>
          <w:b/>
          <w:i/>
        </w:rPr>
        <w:t>201</w:t>
      </w:r>
      <w:r w:rsidR="00CB0566" w:rsidRPr="002531DC">
        <w:rPr>
          <w:b/>
          <w:i/>
        </w:rPr>
        <w:t>4</w:t>
      </w:r>
      <w:r w:rsidR="009F0E2F" w:rsidRPr="002531DC">
        <w:rPr>
          <w:b/>
          <w:i/>
        </w:rPr>
        <w:t xml:space="preserve"> financial</w:t>
      </w:r>
      <w:r w:rsidR="00CB0566" w:rsidRPr="002531DC">
        <w:rPr>
          <w:b/>
          <w:i/>
        </w:rPr>
        <w:t xml:space="preserve"> </w:t>
      </w:r>
      <w:r w:rsidR="009F0E2F" w:rsidRPr="002531DC">
        <w:rPr>
          <w:b/>
          <w:i/>
        </w:rPr>
        <w:t>year</w:t>
      </w:r>
      <w:r w:rsidR="00CB0566" w:rsidRPr="002531DC">
        <w:rPr>
          <w:b/>
          <w:i/>
        </w:rPr>
        <w:t xml:space="preserve"> </w:t>
      </w:r>
      <w:r w:rsidR="009F0E2F" w:rsidRPr="002531DC">
        <w:t>means the financi</w:t>
      </w:r>
      <w:r w:rsidR="00E079B0" w:rsidRPr="002531DC">
        <w:t xml:space="preserve">al year </w:t>
      </w:r>
      <w:r w:rsidR="005537DD" w:rsidRPr="002531DC">
        <w:t>commencing</w:t>
      </w:r>
      <w:r w:rsidR="00E079B0" w:rsidRPr="002531DC">
        <w:t xml:space="preserve"> on 1</w:t>
      </w:r>
      <w:r w:rsidR="002531DC" w:rsidRPr="002531DC">
        <w:t> </w:t>
      </w:r>
      <w:r w:rsidR="00E079B0" w:rsidRPr="002531DC">
        <w:t>July</w:t>
      </w:r>
      <w:r w:rsidR="00DE7DDB" w:rsidRPr="002531DC">
        <w:t xml:space="preserve"> </w:t>
      </w:r>
      <w:r w:rsidRPr="002531DC">
        <w:t>20</w:t>
      </w:r>
      <w:r w:rsidR="00C01919" w:rsidRPr="002531DC">
        <w:t>1</w:t>
      </w:r>
      <w:r w:rsidR="00CB0566" w:rsidRPr="002531DC">
        <w:t>3</w:t>
      </w:r>
      <w:r w:rsidR="009F0E2F" w:rsidRPr="002531DC">
        <w:t>.</w:t>
      </w:r>
    </w:p>
    <w:p w:rsidR="00132573" w:rsidRPr="002531DC" w:rsidRDefault="009F0E2F" w:rsidP="00383C26">
      <w:pPr>
        <w:pStyle w:val="Definition"/>
      </w:pPr>
      <w:r w:rsidRPr="002531DC">
        <w:rPr>
          <w:b/>
          <w:i/>
        </w:rPr>
        <w:t>Act</w:t>
      </w:r>
      <w:r w:rsidRPr="002531DC">
        <w:t xml:space="preserve"> means the </w:t>
      </w:r>
      <w:r w:rsidRPr="002531DC">
        <w:rPr>
          <w:i/>
        </w:rPr>
        <w:t>Authorised Deposit</w:t>
      </w:r>
      <w:r w:rsidR="002531DC">
        <w:rPr>
          <w:i/>
        </w:rPr>
        <w:noBreakHyphen/>
      </w:r>
      <w:r w:rsidRPr="002531DC">
        <w:rPr>
          <w:i/>
        </w:rPr>
        <w:t>taking Institutions Supervisory Levy Imposition Act 1998</w:t>
      </w:r>
      <w:r w:rsidRPr="002531DC">
        <w:t>.</w:t>
      </w:r>
    </w:p>
    <w:p w:rsidR="00224E32" w:rsidRPr="002531DC" w:rsidRDefault="00224E32" w:rsidP="00383C26">
      <w:pPr>
        <w:pStyle w:val="Definition"/>
      </w:pPr>
      <w:r w:rsidRPr="002531DC">
        <w:rPr>
          <w:b/>
          <w:i/>
        </w:rPr>
        <w:t>ARS 320</w:t>
      </w:r>
      <w:r w:rsidRPr="002531DC">
        <w:rPr>
          <w:b/>
        </w:rPr>
        <w:t>.</w:t>
      </w:r>
      <w:r w:rsidRPr="002531DC">
        <w:rPr>
          <w:b/>
          <w:i/>
        </w:rPr>
        <w:t>0 entity</w:t>
      </w:r>
      <w:r w:rsidRPr="002531DC">
        <w:t xml:space="preserve"> means an entity mentioned in paragraph</w:t>
      </w:r>
      <w:r w:rsidR="002531DC" w:rsidRPr="002531DC">
        <w:t> </w:t>
      </w:r>
      <w:r w:rsidRPr="002531DC">
        <w:t>2 of Reporting Standard ARS 320.0</w:t>
      </w:r>
      <w:r w:rsidR="00695444" w:rsidRPr="002531DC">
        <w:t xml:space="preserve"> as an entity to which that Reporting Standard applies</w:t>
      </w:r>
      <w:r w:rsidRPr="002531DC">
        <w:t>.</w:t>
      </w:r>
    </w:p>
    <w:p w:rsidR="009F0E2F" w:rsidRPr="002531DC" w:rsidRDefault="009F0E2F" w:rsidP="00383C26">
      <w:pPr>
        <w:pStyle w:val="Definition"/>
      </w:pPr>
      <w:r w:rsidRPr="002531DC">
        <w:rPr>
          <w:b/>
          <w:i/>
        </w:rPr>
        <w:t>foreign ADI</w:t>
      </w:r>
      <w:r w:rsidR="00AF7A76" w:rsidRPr="002531DC">
        <w:t xml:space="preserve"> has the same meaning as in</w:t>
      </w:r>
      <w:r w:rsidR="004A36CA" w:rsidRPr="002531DC">
        <w:t xml:space="preserve"> </w:t>
      </w:r>
      <w:r w:rsidRPr="002531DC">
        <w:t xml:space="preserve">the </w:t>
      </w:r>
      <w:r w:rsidRPr="002531DC">
        <w:rPr>
          <w:i/>
        </w:rPr>
        <w:t>Banking Act 1959</w:t>
      </w:r>
      <w:r w:rsidRPr="002531DC">
        <w:t>.</w:t>
      </w:r>
    </w:p>
    <w:p w:rsidR="009F0E2F" w:rsidRPr="002531DC" w:rsidRDefault="009F0E2F" w:rsidP="00383C26">
      <w:pPr>
        <w:pStyle w:val="Definition"/>
      </w:pPr>
      <w:r w:rsidRPr="002531DC">
        <w:rPr>
          <w:b/>
          <w:i/>
        </w:rPr>
        <w:t>Form ARF 320</w:t>
      </w:r>
      <w:r w:rsidRPr="002531DC">
        <w:rPr>
          <w:b/>
        </w:rPr>
        <w:t>.</w:t>
      </w:r>
      <w:r w:rsidRPr="002531DC">
        <w:rPr>
          <w:b/>
          <w:i/>
        </w:rPr>
        <w:t xml:space="preserve">0 </w:t>
      </w:r>
      <w:r w:rsidR="00FB7B9C" w:rsidRPr="002531DC">
        <w:t xml:space="preserve">means the form titled </w:t>
      </w:r>
      <w:r w:rsidR="00824A87" w:rsidRPr="002531DC">
        <w:t>“</w:t>
      </w:r>
      <w:r w:rsidR="00FB7B9C" w:rsidRPr="002531DC">
        <w:t>ARF 320.0 Statement of Financial Position (Domestic Books)</w:t>
      </w:r>
      <w:r w:rsidR="00824A87" w:rsidRPr="002531DC">
        <w:t>”</w:t>
      </w:r>
      <w:r w:rsidR="00AF7A76" w:rsidRPr="002531DC">
        <w:t>,</w:t>
      </w:r>
      <w:r w:rsidR="00824A87" w:rsidRPr="002531DC">
        <w:t xml:space="preserve"> which is</w:t>
      </w:r>
      <w:r w:rsidR="00662AD0" w:rsidRPr="002531DC">
        <w:t xml:space="preserve"> part</w:t>
      </w:r>
      <w:r w:rsidRPr="002531DC">
        <w:t xml:space="preserve"> of Reporting Standard ARS 320.0.</w:t>
      </w:r>
    </w:p>
    <w:p w:rsidR="009F0E2F" w:rsidRPr="002531DC" w:rsidRDefault="009F0E2F" w:rsidP="00383C26">
      <w:pPr>
        <w:pStyle w:val="Definition"/>
      </w:pPr>
      <w:r w:rsidRPr="002531DC">
        <w:rPr>
          <w:b/>
          <w:i/>
        </w:rPr>
        <w:t>Form ARF 323</w:t>
      </w:r>
      <w:r w:rsidRPr="002531DC">
        <w:rPr>
          <w:b/>
        </w:rPr>
        <w:t>.</w:t>
      </w:r>
      <w:r w:rsidRPr="002531DC">
        <w:rPr>
          <w:b/>
          <w:i/>
        </w:rPr>
        <w:t xml:space="preserve">0 </w:t>
      </w:r>
      <w:r w:rsidRPr="002531DC">
        <w:t>mea</w:t>
      </w:r>
      <w:r w:rsidR="00AF7A76" w:rsidRPr="002531DC">
        <w:t xml:space="preserve">ns the form </w:t>
      </w:r>
      <w:r w:rsidR="00824A87" w:rsidRPr="002531DC">
        <w:t>titled “</w:t>
      </w:r>
      <w:r w:rsidR="00607B26" w:rsidRPr="002531DC">
        <w:t>ARF 323.0 Statement of Financial Position</w:t>
      </w:r>
      <w:r w:rsidR="000C3C97" w:rsidRPr="002531DC">
        <w:t xml:space="preserve"> (Licensed ADI)</w:t>
      </w:r>
      <w:r w:rsidR="00607B26" w:rsidRPr="002531DC">
        <w:t>”</w:t>
      </w:r>
      <w:r w:rsidR="00BE32B7" w:rsidRPr="002531DC">
        <w:t>,</w:t>
      </w:r>
      <w:r w:rsidR="00662AD0" w:rsidRPr="002531DC">
        <w:t xml:space="preserve"> which</w:t>
      </w:r>
      <w:r w:rsidR="00824A87" w:rsidRPr="002531DC">
        <w:t xml:space="preserve"> is</w:t>
      </w:r>
      <w:r w:rsidR="00662AD0" w:rsidRPr="002531DC">
        <w:t xml:space="preserve"> part</w:t>
      </w:r>
      <w:r w:rsidRPr="002531DC">
        <w:t xml:space="preserve"> of Reporting Standard ARS 323.0.</w:t>
      </w:r>
    </w:p>
    <w:p w:rsidR="00420BAC" w:rsidRPr="002531DC" w:rsidRDefault="00420BAC" w:rsidP="00383C26">
      <w:pPr>
        <w:pStyle w:val="Definition"/>
      </w:pPr>
      <w:r w:rsidRPr="002531DC">
        <w:rPr>
          <w:b/>
          <w:i/>
        </w:rPr>
        <w:t>provider of purchased payment facilities</w:t>
      </w:r>
      <w:r w:rsidRPr="002531DC">
        <w:t xml:space="preserve"> means an ADI that:</w:t>
      </w:r>
    </w:p>
    <w:p w:rsidR="00420BAC" w:rsidRPr="002531DC" w:rsidRDefault="00420BAC" w:rsidP="00383C26">
      <w:pPr>
        <w:pStyle w:val="paragraph"/>
      </w:pPr>
      <w:r w:rsidRPr="002531DC">
        <w:tab/>
        <w:t>(a)</w:t>
      </w:r>
      <w:r w:rsidRPr="002531DC">
        <w:tab/>
        <w:t xml:space="preserve">engages in the provision of </w:t>
      </w:r>
      <w:r w:rsidR="00C41215" w:rsidRPr="002531DC">
        <w:t>one</w:t>
      </w:r>
      <w:r w:rsidRPr="002531DC">
        <w:t xml:space="preserve"> or more purchased payment facilities in c</w:t>
      </w:r>
      <w:r w:rsidR="00C41215" w:rsidRPr="002531DC">
        <w:t>ircumstances in which at least one</w:t>
      </w:r>
      <w:r w:rsidRPr="002531DC">
        <w:t xml:space="preserve"> of the facilities is of the kind described in regulation</w:t>
      </w:r>
      <w:r w:rsidR="002531DC" w:rsidRPr="002531DC">
        <w:t> </w:t>
      </w:r>
      <w:r w:rsidRPr="002531DC">
        <w:t xml:space="preserve">3 of the </w:t>
      </w:r>
      <w:r w:rsidRPr="002531DC">
        <w:rPr>
          <w:i/>
        </w:rPr>
        <w:t>Banking Regulations</w:t>
      </w:r>
      <w:r w:rsidR="002531DC" w:rsidRPr="002531DC">
        <w:rPr>
          <w:i/>
        </w:rPr>
        <w:t> </w:t>
      </w:r>
      <w:r w:rsidRPr="002531DC">
        <w:rPr>
          <w:i/>
        </w:rPr>
        <w:t>1966</w:t>
      </w:r>
      <w:r w:rsidRPr="002531DC">
        <w:t>; and</w:t>
      </w:r>
    </w:p>
    <w:p w:rsidR="00420BAC" w:rsidRPr="002531DC" w:rsidRDefault="00420BAC" w:rsidP="00383C26">
      <w:pPr>
        <w:pStyle w:val="paragraph"/>
      </w:pPr>
      <w:r w:rsidRPr="002531DC">
        <w:tab/>
        <w:t>(b)</w:t>
      </w:r>
      <w:r w:rsidRPr="002531DC">
        <w:tab/>
        <w:t>does not otherwise carry on banking business within the meaning of section</w:t>
      </w:r>
      <w:r w:rsidR="002531DC" w:rsidRPr="002531DC">
        <w:t> </w:t>
      </w:r>
      <w:r w:rsidRPr="002531DC">
        <w:t xml:space="preserve">5 of the </w:t>
      </w:r>
      <w:r w:rsidRPr="002531DC">
        <w:rPr>
          <w:i/>
        </w:rPr>
        <w:t>Banking Act 1959</w:t>
      </w:r>
      <w:r w:rsidRPr="002531DC">
        <w:t>.</w:t>
      </w:r>
    </w:p>
    <w:p w:rsidR="00420BAC" w:rsidRPr="002531DC" w:rsidRDefault="00420BAC" w:rsidP="00383C26">
      <w:pPr>
        <w:pStyle w:val="Definition"/>
      </w:pPr>
      <w:r w:rsidRPr="002531DC">
        <w:rPr>
          <w:b/>
          <w:i/>
        </w:rPr>
        <w:t>purchased payment facility</w:t>
      </w:r>
      <w:r w:rsidRPr="002531DC">
        <w:t xml:space="preserve"> has the same meaning as in the </w:t>
      </w:r>
      <w:r w:rsidRPr="002531DC">
        <w:rPr>
          <w:i/>
        </w:rPr>
        <w:t>Payment Systems (Regulation) Act 1998</w:t>
      </w:r>
      <w:r w:rsidRPr="002531DC">
        <w:t>.</w:t>
      </w:r>
    </w:p>
    <w:p w:rsidR="009F0E2F" w:rsidRPr="002531DC" w:rsidRDefault="009F0E2F" w:rsidP="00383C26">
      <w:pPr>
        <w:pStyle w:val="Definition"/>
      </w:pPr>
      <w:r w:rsidRPr="002531DC">
        <w:rPr>
          <w:b/>
          <w:i/>
        </w:rPr>
        <w:t>reporting period</w:t>
      </w:r>
      <w:r w:rsidR="00FA65D1" w:rsidRPr="002531DC">
        <w:t>, in relation to an ADI, means the reporting period that applies to the ADI under:</w:t>
      </w:r>
    </w:p>
    <w:p w:rsidR="009F0E2F" w:rsidRPr="002531DC" w:rsidRDefault="009F0E2F" w:rsidP="00383C26">
      <w:pPr>
        <w:pStyle w:val="paragraph"/>
      </w:pPr>
      <w:r w:rsidRPr="002531DC">
        <w:lastRenderedPageBreak/>
        <w:tab/>
        <w:t>(a)</w:t>
      </w:r>
      <w:r w:rsidRPr="002531DC">
        <w:tab/>
      </w:r>
      <w:r w:rsidR="00D6456A" w:rsidRPr="002531DC">
        <w:t>paragraph</w:t>
      </w:r>
      <w:r w:rsidR="002531DC" w:rsidRPr="002531DC">
        <w:t> </w:t>
      </w:r>
      <w:r w:rsidR="00D6456A" w:rsidRPr="002531DC">
        <w:t>5</w:t>
      </w:r>
      <w:r w:rsidR="00C23910" w:rsidRPr="002531DC">
        <w:t xml:space="preserve"> or 6</w:t>
      </w:r>
      <w:r w:rsidRPr="002531DC">
        <w:t xml:space="preserve"> of R</w:t>
      </w:r>
      <w:r w:rsidR="00FA65D1" w:rsidRPr="002531DC">
        <w:t>eporting Standard ARS 320.0; or</w:t>
      </w:r>
    </w:p>
    <w:p w:rsidR="007C379A" w:rsidRPr="002531DC" w:rsidRDefault="009F0E2F" w:rsidP="00383C26">
      <w:pPr>
        <w:pStyle w:val="paragraph"/>
      </w:pPr>
      <w:r w:rsidRPr="002531DC">
        <w:tab/>
        <w:t>(b)</w:t>
      </w:r>
      <w:r w:rsidRPr="002531DC">
        <w:tab/>
      </w:r>
      <w:r w:rsidR="00C23910" w:rsidRPr="002531DC">
        <w:t>paragraph</w:t>
      </w:r>
      <w:r w:rsidR="002531DC" w:rsidRPr="002531DC">
        <w:t> </w:t>
      </w:r>
      <w:r w:rsidRPr="002531DC">
        <w:t xml:space="preserve">5 </w:t>
      </w:r>
      <w:r w:rsidR="00C23910" w:rsidRPr="002531DC">
        <w:t xml:space="preserve">or 6 </w:t>
      </w:r>
      <w:r w:rsidRPr="002531DC">
        <w:t>of Reporting Standard ARS 323.0.</w:t>
      </w:r>
    </w:p>
    <w:p w:rsidR="009B7B53" w:rsidRPr="002531DC" w:rsidRDefault="009B7B53" w:rsidP="009B7B53">
      <w:pPr>
        <w:pStyle w:val="Definition"/>
      </w:pPr>
      <w:r w:rsidRPr="002531DC">
        <w:rPr>
          <w:b/>
          <w:i/>
        </w:rPr>
        <w:t>Reporting Standard ARS 320.0</w:t>
      </w:r>
      <w:r w:rsidRPr="002531DC">
        <w:rPr>
          <w:b/>
        </w:rPr>
        <w:t xml:space="preserve"> </w:t>
      </w:r>
      <w:r w:rsidRPr="002531DC">
        <w:t>means the Reporting Standard ARS 320.0 Statement of Financial Position (Domestic Books), which is:</w:t>
      </w:r>
    </w:p>
    <w:p w:rsidR="009B7B53" w:rsidRPr="002531DC" w:rsidRDefault="009B7B53" w:rsidP="009B7B53">
      <w:pPr>
        <w:pStyle w:val="paragraph"/>
      </w:pPr>
      <w:r w:rsidRPr="002531DC">
        <w:tab/>
        <w:t>(a)</w:t>
      </w:r>
      <w:r w:rsidRPr="002531DC">
        <w:tab/>
        <w:t xml:space="preserve">in the Schedule to the </w:t>
      </w:r>
      <w:r w:rsidRPr="002531DC">
        <w:rPr>
          <w:i/>
        </w:rPr>
        <w:t>Financial Sector (Collection of Data) (reporting standard) determination No.</w:t>
      </w:r>
      <w:r w:rsidR="002531DC" w:rsidRPr="002531DC">
        <w:rPr>
          <w:i/>
        </w:rPr>
        <w:t> </w:t>
      </w:r>
      <w:r w:rsidR="007E0C03" w:rsidRPr="002531DC">
        <w:rPr>
          <w:i/>
        </w:rPr>
        <w:t>30 of 2008</w:t>
      </w:r>
      <w:r w:rsidR="00214D51" w:rsidRPr="002531DC">
        <w:rPr>
          <w:i/>
        </w:rPr>
        <w:t>—</w:t>
      </w:r>
      <w:r w:rsidRPr="002531DC">
        <w:rPr>
          <w:i/>
        </w:rPr>
        <w:t>Reporting standard ARS 320.0 Statement of Financial Position (Domestic Books)</w:t>
      </w:r>
      <w:r w:rsidRPr="002531DC">
        <w:t>; and</w:t>
      </w:r>
    </w:p>
    <w:p w:rsidR="009B7B53" w:rsidRPr="002531DC" w:rsidRDefault="009B7B53" w:rsidP="009B7B53">
      <w:pPr>
        <w:pStyle w:val="paragraph"/>
      </w:pPr>
      <w:r w:rsidRPr="002531DC">
        <w:tab/>
        <w:t>(b)</w:t>
      </w:r>
      <w:r w:rsidRPr="002531DC">
        <w:tab/>
        <w:t>made under section</w:t>
      </w:r>
      <w:r w:rsidR="002531DC" w:rsidRPr="002531DC">
        <w:t> </w:t>
      </w:r>
      <w:r w:rsidRPr="002531DC">
        <w:t xml:space="preserve">13 of the </w:t>
      </w:r>
      <w:r w:rsidRPr="002531DC">
        <w:rPr>
          <w:i/>
        </w:rPr>
        <w:t>Financial Sector (Collection of Data) Act 2001</w:t>
      </w:r>
      <w:r w:rsidRPr="002531DC">
        <w:t>.</w:t>
      </w:r>
    </w:p>
    <w:p w:rsidR="00FB7B9C" w:rsidRPr="002531DC" w:rsidRDefault="00FB7B9C" w:rsidP="00FB7B9C">
      <w:pPr>
        <w:pStyle w:val="Definition"/>
      </w:pPr>
      <w:r w:rsidRPr="002531DC">
        <w:rPr>
          <w:b/>
          <w:i/>
        </w:rPr>
        <w:t>Reporting Standard ARS 323.0</w:t>
      </w:r>
      <w:r w:rsidRPr="002531DC">
        <w:rPr>
          <w:b/>
        </w:rPr>
        <w:t xml:space="preserve"> </w:t>
      </w:r>
      <w:r w:rsidRPr="002531DC">
        <w:t>means the Reporting Standard ARS 323.0 Statement of Financial Position (Licensed ADI), which is:</w:t>
      </w:r>
    </w:p>
    <w:p w:rsidR="00FB7B9C" w:rsidRPr="002531DC" w:rsidRDefault="00FB7B9C" w:rsidP="00FB7B9C">
      <w:pPr>
        <w:pStyle w:val="paragraph"/>
      </w:pPr>
      <w:r w:rsidRPr="002531DC">
        <w:tab/>
        <w:t>(a)</w:t>
      </w:r>
      <w:r w:rsidRPr="002531DC">
        <w:tab/>
        <w:t xml:space="preserve">in the Schedule to the </w:t>
      </w:r>
      <w:r w:rsidRPr="002531DC">
        <w:rPr>
          <w:i/>
        </w:rPr>
        <w:t>Financial Sector (Collection of Data) (reporting standard) determination No.</w:t>
      </w:r>
      <w:r w:rsidR="002531DC" w:rsidRPr="002531DC">
        <w:rPr>
          <w:i/>
        </w:rPr>
        <w:t> </w:t>
      </w:r>
      <w:r w:rsidR="00C12169" w:rsidRPr="002531DC">
        <w:rPr>
          <w:i/>
        </w:rPr>
        <w:t>40 of 2008</w:t>
      </w:r>
      <w:r w:rsidR="00214D51" w:rsidRPr="002531DC">
        <w:rPr>
          <w:i/>
        </w:rPr>
        <w:t>—</w:t>
      </w:r>
      <w:r w:rsidR="00C12169" w:rsidRPr="002531DC">
        <w:rPr>
          <w:i/>
        </w:rPr>
        <w:t>Reporting standard ARS 323</w:t>
      </w:r>
      <w:r w:rsidRPr="002531DC">
        <w:rPr>
          <w:i/>
        </w:rPr>
        <w:t>.0 Statement of Fi</w:t>
      </w:r>
      <w:r w:rsidR="00C12169" w:rsidRPr="002531DC">
        <w:rPr>
          <w:i/>
        </w:rPr>
        <w:t>nancial Position (Licensed ADI</w:t>
      </w:r>
      <w:r w:rsidRPr="002531DC">
        <w:rPr>
          <w:i/>
        </w:rPr>
        <w:t>)</w:t>
      </w:r>
      <w:r w:rsidRPr="002531DC">
        <w:t>; and</w:t>
      </w:r>
    </w:p>
    <w:p w:rsidR="00FB7B9C" w:rsidRPr="002531DC" w:rsidRDefault="00FB7B9C" w:rsidP="00FB7B9C">
      <w:pPr>
        <w:pStyle w:val="paragraph"/>
      </w:pPr>
      <w:r w:rsidRPr="002531DC">
        <w:tab/>
        <w:t>(b)</w:t>
      </w:r>
      <w:r w:rsidRPr="002531DC">
        <w:tab/>
        <w:t>made under section</w:t>
      </w:r>
      <w:r w:rsidR="002531DC" w:rsidRPr="002531DC">
        <w:t> </w:t>
      </w:r>
      <w:r w:rsidRPr="002531DC">
        <w:t xml:space="preserve">13 of the </w:t>
      </w:r>
      <w:r w:rsidRPr="002531DC">
        <w:rPr>
          <w:i/>
        </w:rPr>
        <w:t>Financial Sector (Collection of Data) Act 2001</w:t>
      </w:r>
      <w:r w:rsidRPr="002531DC">
        <w:t>.</w:t>
      </w:r>
    </w:p>
    <w:p w:rsidR="00327D26" w:rsidRPr="002531DC" w:rsidRDefault="009F0E2F" w:rsidP="00383C26">
      <w:pPr>
        <w:pStyle w:val="Definition"/>
      </w:pPr>
      <w:r w:rsidRPr="002531DC">
        <w:rPr>
          <w:b/>
          <w:i/>
        </w:rPr>
        <w:t>specialist credit card institution</w:t>
      </w:r>
      <w:r w:rsidR="00327D26" w:rsidRPr="002531DC">
        <w:rPr>
          <w:b/>
          <w:i/>
        </w:rPr>
        <w:t xml:space="preserve"> </w:t>
      </w:r>
      <w:r w:rsidR="00327D26" w:rsidRPr="002531DC">
        <w:t>means an ADI that:</w:t>
      </w:r>
    </w:p>
    <w:p w:rsidR="00327D26" w:rsidRPr="002531DC" w:rsidRDefault="00327D26" w:rsidP="00383C26">
      <w:pPr>
        <w:pStyle w:val="paragraph"/>
      </w:pPr>
      <w:r w:rsidRPr="002531DC">
        <w:tab/>
        <w:t>(a)</w:t>
      </w:r>
      <w:r w:rsidRPr="002531DC">
        <w:tab/>
      </w:r>
      <w:r w:rsidR="009F0E2F" w:rsidRPr="002531DC">
        <w:t>engages in credit card issuing or credit card acquiring, or both</w:t>
      </w:r>
      <w:r w:rsidRPr="002531DC">
        <w:t>;</w:t>
      </w:r>
      <w:r w:rsidR="009F0E2F" w:rsidRPr="002531DC">
        <w:t xml:space="preserve"> and</w:t>
      </w:r>
    </w:p>
    <w:p w:rsidR="009F0E2F" w:rsidRPr="002531DC" w:rsidRDefault="00327D26" w:rsidP="00383C26">
      <w:pPr>
        <w:pStyle w:val="paragraph"/>
      </w:pPr>
      <w:r w:rsidRPr="002531DC">
        <w:tab/>
        <w:t>(b)</w:t>
      </w:r>
      <w:r w:rsidRPr="002531DC">
        <w:tab/>
      </w:r>
      <w:r w:rsidR="009F0E2F" w:rsidRPr="002531DC">
        <w:t>does not otherwise carry on banking business within the meaning of section</w:t>
      </w:r>
      <w:r w:rsidR="002531DC" w:rsidRPr="002531DC">
        <w:t> </w:t>
      </w:r>
      <w:r w:rsidR="009F0E2F" w:rsidRPr="002531DC">
        <w:t xml:space="preserve">5 of the </w:t>
      </w:r>
      <w:r w:rsidR="009F0E2F" w:rsidRPr="002531DC">
        <w:rPr>
          <w:i/>
        </w:rPr>
        <w:t>Banking Act 1959</w:t>
      </w:r>
      <w:r w:rsidR="009F0E2F" w:rsidRPr="002531DC">
        <w:t>.</w:t>
      </w:r>
    </w:p>
    <w:p w:rsidR="009F0E2F" w:rsidRPr="002531DC" w:rsidRDefault="009F0E2F" w:rsidP="00383C26">
      <w:pPr>
        <w:pStyle w:val="Definition"/>
      </w:pPr>
      <w:r w:rsidRPr="002531DC">
        <w:rPr>
          <w:b/>
          <w:i/>
        </w:rPr>
        <w:t>valuation day</w:t>
      </w:r>
      <w:r w:rsidRPr="002531DC">
        <w:t>, in relation to an ADI, means:</w:t>
      </w:r>
    </w:p>
    <w:p w:rsidR="009F0E2F" w:rsidRPr="002531DC" w:rsidRDefault="009F0E2F" w:rsidP="00383C26">
      <w:pPr>
        <w:pStyle w:val="paragraph"/>
      </w:pPr>
      <w:r w:rsidRPr="002531DC">
        <w:tab/>
        <w:t>(a)</w:t>
      </w:r>
      <w:r w:rsidRPr="002531DC">
        <w:tab/>
        <w:t>for an ADI that was an ADI at all times duri</w:t>
      </w:r>
      <w:r w:rsidR="00C0441B" w:rsidRPr="002531DC">
        <w:t>ng the period from 17</w:t>
      </w:r>
      <w:r w:rsidR="002531DC" w:rsidRPr="002531DC">
        <w:t> </w:t>
      </w:r>
      <w:r w:rsidR="00BC6288" w:rsidRPr="002531DC">
        <w:t>March 20</w:t>
      </w:r>
      <w:r w:rsidR="00E81E04" w:rsidRPr="002531DC">
        <w:t>1</w:t>
      </w:r>
      <w:r w:rsidR="003068FA" w:rsidRPr="002531DC">
        <w:t>3</w:t>
      </w:r>
      <w:r w:rsidR="00BC6288" w:rsidRPr="002531DC">
        <w:t xml:space="preserve"> to 30</w:t>
      </w:r>
      <w:r w:rsidR="002531DC" w:rsidRPr="002531DC">
        <w:t> </w:t>
      </w:r>
      <w:r w:rsidR="00BC6288" w:rsidRPr="002531DC">
        <w:t xml:space="preserve">June </w:t>
      </w:r>
      <w:r w:rsidR="003068FA" w:rsidRPr="002531DC">
        <w:t>2013</w:t>
      </w:r>
      <w:r w:rsidR="00743CDB" w:rsidRPr="002531DC">
        <w:t>—</w:t>
      </w:r>
      <w:r w:rsidR="00BC6288" w:rsidRPr="002531DC">
        <w:t>31</w:t>
      </w:r>
      <w:r w:rsidR="002531DC" w:rsidRPr="002531DC">
        <w:t> </w:t>
      </w:r>
      <w:r w:rsidR="00BC6288" w:rsidRPr="002531DC">
        <w:t xml:space="preserve">March </w:t>
      </w:r>
      <w:r w:rsidR="003068FA" w:rsidRPr="002531DC">
        <w:t>2013</w:t>
      </w:r>
      <w:r w:rsidRPr="002531DC">
        <w:t>; and</w:t>
      </w:r>
    </w:p>
    <w:p w:rsidR="009F0E2F" w:rsidRPr="002531DC" w:rsidRDefault="009F0E2F" w:rsidP="00383C26">
      <w:pPr>
        <w:pStyle w:val="paragraph"/>
      </w:pPr>
      <w:r w:rsidRPr="002531DC">
        <w:tab/>
        <w:t>(b)</w:t>
      </w:r>
      <w:r w:rsidRPr="002531DC">
        <w:tab/>
        <w:t>for an ADI that was an ADI for some, but not all, o</w:t>
      </w:r>
      <w:r w:rsidR="00C0441B" w:rsidRPr="002531DC">
        <w:t>f the period from 17</w:t>
      </w:r>
      <w:r w:rsidR="002531DC" w:rsidRPr="002531DC">
        <w:t> </w:t>
      </w:r>
      <w:r w:rsidR="00BC6288" w:rsidRPr="002531DC">
        <w:t xml:space="preserve">March </w:t>
      </w:r>
      <w:r w:rsidR="003068FA" w:rsidRPr="002531DC">
        <w:t>2013</w:t>
      </w:r>
      <w:r w:rsidR="00BC6288" w:rsidRPr="002531DC">
        <w:t xml:space="preserve"> to 30</w:t>
      </w:r>
      <w:r w:rsidR="002531DC" w:rsidRPr="002531DC">
        <w:t> </w:t>
      </w:r>
      <w:r w:rsidR="00BC6288" w:rsidRPr="002531DC">
        <w:t xml:space="preserve">June </w:t>
      </w:r>
      <w:r w:rsidR="003068FA" w:rsidRPr="002531DC">
        <w:t>2013</w:t>
      </w:r>
      <w:r w:rsidR="00743CDB" w:rsidRPr="002531DC">
        <w:t>—</w:t>
      </w:r>
      <w:r w:rsidR="00BC6288" w:rsidRPr="002531DC">
        <w:t>the day, after 17</w:t>
      </w:r>
      <w:r w:rsidR="002531DC" w:rsidRPr="002531DC">
        <w:t> </w:t>
      </w:r>
      <w:r w:rsidR="00BC6288" w:rsidRPr="002531DC">
        <w:t xml:space="preserve">March </w:t>
      </w:r>
      <w:r w:rsidR="003068FA" w:rsidRPr="002531DC">
        <w:t>2013</w:t>
      </w:r>
      <w:r w:rsidRPr="002531DC">
        <w:t>, on which it became an ADI; and</w:t>
      </w:r>
    </w:p>
    <w:p w:rsidR="009F0E2F" w:rsidRPr="002531DC" w:rsidRDefault="009F0E2F" w:rsidP="00383C26">
      <w:pPr>
        <w:pStyle w:val="paragraph"/>
      </w:pPr>
      <w:r w:rsidRPr="002531DC">
        <w:tab/>
        <w:t>(c)</w:t>
      </w:r>
      <w:r w:rsidRPr="002531DC">
        <w:tab/>
        <w:t xml:space="preserve">for an ADI that </w:t>
      </w:r>
      <w:r w:rsidR="00BC6288" w:rsidRPr="002531DC">
        <w:t>became an ADI after 30</w:t>
      </w:r>
      <w:r w:rsidR="002531DC" w:rsidRPr="002531DC">
        <w:t> </w:t>
      </w:r>
      <w:r w:rsidR="00BC6288" w:rsidRPr="002531DC">
        <w:t xml:space="preserve">June </w:t>
      </w:r>
      <w:r w:rsidR="008D388C" w:rsidRPr="002531DC">
        <w:t>201</w:t>
      </w:r>
      <w:r w:rsidR="003068FA" w:rsidRPr="002531DC">
        <w:t>3</w:t>
      </w:r>
      <w:r w:rsidR="00743CDB" w:rsidRPr="002531DC">
        <w:t>—</w:t>
      </w:r>
      <w:r w:rsidRPr="002531DC">
        <w:t>the day on which it became an ADI.</w:t>
      </w:r>
    </w:p>
    <w:p w:rsidR="00C07033" w:rsidRPr="002531DC" w:rsidRDefault="00C07033" w:rsidP="00E86735">
      <w:pPr>
        <w:pStyle w:val="notetext"/>
      </w:pPr>
      <w:r w:rsidRPr="002531DC">
        <w:t>Note:</w:t>
      </w:r>
      <w:r w:rsidRPr="002531DC">
        <w:tab/>
      </w:r>
      <w:r w:rsidRPr="002531DC">
        <w:rPr>
          <w:b/>
          <w:i/>
        </w:rPr>
        <w:t>ADI</w:t>
      </w:r>
      <w:r w:rsidRPr="002531DC">
        <w:t xml:space="preserve"> is defined in section</w:t>
      </w:r>
      <w:r w:rsidR="002531DC" w:rsidRPr="002531DC">
        <w:t> </w:t>
      </w:r>
      <w:r w:rsidRPr="002531DC">
        <w:t>5 of the Act.</w:t>
      </w:r>
    </w:p>
    <w:p w:rsidR="00224C7B" w:rsidRPr="002531DC" w:rsidRDefault="00730109" w:rsidP="00383C26">
      <w:pPr>
        <w:pStyle w:val="subsection"/>
      </w:pPr>
      <w:r w:rsidRPr="002531DC">
        <w:tab/>
        <w:t>(2)</w:t>
      </w:r>
      <w:r w:rsidRPr="002531DC">
        <w:tab/>
        <w:t>In this d</w:t>
      </w:r>
      <w:r w:rsidR="009F0E2F" w:rsidRPr="002531DC">
        <w:t>etermination, a reference to a period from a specified date to another specified date is a reference to a period that includes both of those dates.</w:t>
      </w:r>
    </w:p>
    <w:p w:rsidR="009F0E2F" w:rsidRPr="002531DC" w:rsidRDefault="003B52C0" w:rsidP="00383C26">
      <w:pPr>
        <w:pStyle w:val="ActHead5"/>
      </w:pPr>
      <w:bookmarkStart w:id="8" w:name="_Toc359492597"/>
      <w:r w:rsidRPr="002531DC">
        <w:rPr>
          <w:rStyle w:val="CharSectno"/>
        </w:rPr>
        <w:t>6</w:t>
      </w:r>
      <w:r w:rsidR="00383C26" w:rsidRPr="002531DC">
        <w:t xml:space="preserve">  </w:t>
      </w:r>
      <w:r w:rsidR="009F0E2F" w:rsidRPr="002531DC">
        <w:t>Amount of levy</w:t>
      </w:r>
      <w:bookmarkEnd w:id="8"/>
    </w:p>
    <w:p w:rsidR="00E42107" w:rsidRPr="002531DC" w:rsidRDefault="009F0E2F" w:rsidP="00383C26">
      <w:pPr>
        <w:pStyle w:val="subsection"/>
      </w:pPr>
      <w:r w:rsidRPr="002531DC">
        <w:tab/>
      </w:r>
      <w:r w:rsidRPr="002531DC">
        <w:tab/>
        <w:t xml:space="preserve">For paragraphs 7(3)(a), (b), (c) and (ca) of the Act, </w:t>
      </w:r>
      <w:r w:rsidR="008E6E12" w:rsidRPr="002531DC">
        <w:t>an item in the following table sets out, for the 2013</w:t>
      </w:r>
      <w:r w:rsidR="002531DC">
        <w:noBreakHyphen/>
      </w:r>
      <w:r w:rsidR="008E6E12" w:rsidRPr="002531DC">
        <w:t>2014 financial year, the following for the class of ADI mentioned in the item:</w:t>
      </w:r>
    </w:p>
    <w:p w:rsidR="008E6E12" w:rsidRPr="002531DC" w:rsidRDefault="008E6E12" w:rsidP="00E42107">
      <w:pPr>
        <w:pStyle w:val="paragraph"/>
      </w:pPr>
      <w:r w:rsidRPr="002531DC">
        <w:tab/>
      </w:r>
      <w:r w:rsidR="00E42107" w:rsidRPr="002531DC">
        <w:t>(a)</w:t>
      </w:r>
      <w:r w:rsidR="00E42107" w:rsidRPr="002531DC">
        <w:tab/>
      </w:r>
      <w:r w:rsidRPr="002531DC">
        <w:t>the maximum and minimum restricted levy amounts;</w:t>
      </w:r>
    </w:p>
    <w:p w:rsidR="008E6E12" w:rsidRPr="002531DC" w:rsidRDefault="00E42107" w:rsidP="008E6E12">
      <w:pPr>
        <w:pStyle w:val="paragraph"/>
      </w:pPr>
      <w:r w:rsidRPr="002531DC">
        <w:tab/>
        <w:t>(b)</w:t>
      </w:r>
      <w:r w:rsidRPr="002531DC">
        <w:tab/>
      </w:r>
      <w:r w:rsidR="008E6E12" w:rsidRPr="002531DC">
        <w:t>the restricted and unrestricted levy percentages.</w:t>
      </w:r>
    </w:p>
    <w:p w:rsidR="000F566D" w:rsidRPr="002531DC" w:rsidRDefault="000F566D" w:rsidP="000F566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0F566D" w:rsidRPr="002531DC" w:rsidTr="00021CAB">
        <w:trPr>
          <w:tblHeader/>
        </w:trPr>
        <w:tc>
          <w:tcPr>
            <w:tcW w:w="8314" w:type="dxa"/>
            <w:gridSpan w:val="6"/>
            <w:tcBorders>
              <w:top w:val="single" w:sz="12" w:space="0" w:color="auto"/>
              <w:bottom w:val="single" w:sz="6" w:space="0" w:color="auto"/>
            </w:tcBorders>
            <w:shd w:val="clear" w:color="auto" w:fill="auto"/>
          </w:tcPr>
          <w:p w:rsidR="000F566D" w:rsidRPr="002531DC" w:rsidRDefault="000F566D" w:rsidP="000F566D">
            <w:pPr>
              <w:pStyle w:val="TableHeading"/>
            </w:pPr>
            <w:r w:rsidRPr="002531DC">
              <w:lastRenderedPageBreak/>
              <w:t>Amount of levy</w:t>
            </w:r>
          </w:p>
        </w:tc>
      </w:tr>
      <w:tr w:rsidR="000F566D" w:rsidRPr="002531DC" w:rsidTr="00021CAB">
        <w:trPr>
          <w:tblHeader/>
        </w:trPr>
        <w:tc>
          <w:tcPr>
            <w:tcW w:w="714" w:type="dxa"/>
            <w:tcBorders>
              <w:top w:val="single" w:sz="6" w:space="0" w:color="auto"/>
              <w:bottom w:val="single" w:sz="12" w:space="0" w:color="auto"/>
            </w:tcBorders>
            <w:shd w:val="clear" w:color="auto" w:fill="auto"/>
          </w:tcPr>
          <w:p w:rsidR="000F566D" w:rsidRPr="002531DC" w:rsidRDefault="000F566D" w:rsidP="000F566D">
            <w:pPr>
              <w:pStyle w:val="TableHeading"/>
            </w:pPr>
            <w:r w:rsidRPr="002531DC">
              <w:t>Item</w:t>
            </w:r>
          </w:p>
        </w:tc>
        <w:tc>
          <w:tcPr>
            <w:tcW w:w="1520" w:type="dxa"/>
            <w:tcBorders>
              <w:top w:val="single" w:sz="6" w:space="0" w:color="auto"/>
              <w:bottom w:val="single" w:sz="12" w:space="0" w:color="auto"/>
            </w:tcBorders>
            <w:shd w:val="clear" w:color="auto" w:fill="auto"/>
          </w:tcPr>
          <w:p w:rsidR="000F566D" w:rsidRPr="002531DC" w:rsidRDefault="000F566D" w:rsidP="000F566D">
            <w:pPr>
              <w:pStyle w:val="TableHeading"/>
            </w:pPr>
            <w:r w:rsidRPr="002531DC">
              <w:t>ADI</w:t>
            </w:r>
          </w:p>
        </w:tc>
        <w:tc>
          <w:tcPr>
            <w:tcW w:w="1520" w:type="dxa"/>
            <w:tcBorders>
              <w:top w:val="single" w:sz="6" w:space="0" w:color="auto"/>
              <w:bottom w:val="single" w:sz="12" w:space="0" w:color="auto"/>
            </w:tcBorders>
            <w:shd w:val="clear" w:color="auto" w:fill="auto"/>
          </w:tcPr>
          <w:p w:rsidR="000F566D" w:rsidRPr="002531DC" w:rsidRDefault="000F566D" w:rsidP="00214D51">
            <w:pPr>
              <w:pStyle w:val="TableHeading"/>
              <w:jc w:val="right"/>
            </w:pPr>
            <w:r w:rsidRPr="002531DC">
              <w:t>Maximum restricted levy amount ($)</w:t>
            </w:r>
          </w:p>
        </w:tc>
        <w:tc>
          <w:tcPr>
            <w:tcW w:w="1520" w:type="dxa"/>
            <w:tcBorders>
              <w:top w:val="single" w:sz="6" w:space="0" w:color="auto"/>
              <w:bottom w:val="single" w:sz="12" w:space="0" w:color="auto"/>
            </w:tcBorders>
            <w:shd w:val="clear" w:color="auto" w:fill="auto"/>
          </w:tcPr>
          <w:p w:rsidR="000F566D" w:rsidRPr="002531DC" w:rsidRDefault="000F566D" w:rsidP="00214D51">
            <w:pPr>
              <w:pStyle w:val="TableHeading"/>
              <w:jc w:val="right"/>
            </w:pPr>
            <w:r w:rsidRPr="002531DC">
              <w:t>Minimum restricted levy amount ($)</w:t>
            </w:r>
          </w:p>
        </w:tc>
        <w:tc>
          <w:tcPr>
            <w:tcW w:w="1520" w:type="dxa"/>
            <w:tcBorders>
              <w:top w:val="single" w:sz="6" w:space="0" w:color="auto"/>
              <w:bottom w:val="single" w:sz="12" w:space="0" w:color="auto"/>
            </w:tcBorders>
            <w:shd w:val="clear" w:color="auto" w:fill="auto"/>
          </w:tcPr>
          <w:p w:rsidR="000F566D" w:rsidRPr="002531DC" w:rsidRDefault="000F566D" w:rsidP="00214D51">
            <w:pPr>
              <w:pStyle w:val="TableHeading"/>
              <w:jc w:val="right"/>
            </w:pPr>
            <w:r w:rsidRPr="002531DC">
              <w:t>Restricted levy percentage</w:t>
            </w:r>
          </w:p>
        </w:tc>
        <w:tc>
          <w:tcPr>
            <w:tcW w:w="1520" w:type="dxa"/>
            <w:tcBorders>
              <w:top w:val="single" w:sz="6" w:space="0" w:color="auto"/>
              <w:bottom w:val="single" w:sz="12" w:space="0" w:color="auto"/>
            </w:tcBorders>
            <w:shd w:val="clear" w:color="auto" w:fill="auto"/>
          </w:tcPr>
          <w:p w:rsidR="000F566D" w:rsidRPr="002531DC" w:rsidRDefault="000F566D" w:rsidP="00214D51">
            <w:pPr>
              <w:pStyle w:val="TableHeading"/>
              <w:jc w:val="right"/>
            </w:pPr>
            <w:r w:rsidRPr="002531DC">
              <w:t>Unrestricted levy percentage</w:t>
            </w:r>
          </w:p>
        </w:tc>
      </w:tr>
      <w:tr w:rsidR="000F566D" w:rsidRPr="002531DC" w:rsidTr="00021CAB">
        <w:tc>
          <w:tcPr>
            <w:tcW w:w="714" w:type="dxa"/>
            <w:tcBorders>
              <w:top w:val="single" w:sz="12" w:space="0" w:color="auto"/>
            </w:tcBorders>
            <w:shd w:val="clear" w:color="auto" w:fill="auto"/>
          </w:tcPr>
          <w:p w:rsidR="000F566D" w:rsidRPr="002531DC" w:rsidRDefault="000F566D" w:rsidP="000F566D">
            <w:pPr>
              <w:pStyle w:val="Tabletext"/>
            </w:pPr>
            <w:r w:rsidRPr="002531DC">
              <w:t>1</w:t>
            </w:r>
          </w:p>
        </w:tc>
        <w:tc>
          <w:tcPr>
            <w:tcW w:w="1520" w:type="dxa"/>
            <w:tcBorders>
              <w:top w:val="single" w:sz="12" w:space="0" w:color="auto"/>
            </w:tcBorders>
            <w:shd w:val="clear" w:color="auto" w:fill="auto"/>
          </w:tcPr>
          <w:p w:rsidR="000F566D" w:rsidRPr="002531DC" w:rsidRDefault="000F566D" w:rsidP="000F566D">
            <w:pPr>
              <w:pStyle w:val="Tabletext"/>
            </w:pPr>
            <w:r w:rsidRPr="002531DC">
              <w:t>Foreign ADI</w:t>
            </w:r>
          </w:p>
        </w:tc>
        <w:tc>
          <w:tcPr>
            <w:tcW w:w="1520" w:type="dxa"/>
            <w:tcBorders>
              <w:top w:val="single" w:sz="12" w:space="0" w:color="auto"/>
            </w:tcBorders>
            <w:shd w:val="clear" w:color="auto" w:fill="auto"/>
          </w:tcPr>
          <w:p w:rsidR="000F566D" w:rsidRPr="002531DC" w:rsidRDefault="000F566D" w:rsidP="00214D51">
            <w:pPr>
              <w:pStyle w:val="Tabletext"/>
              <w:jc w:val="right"/>
            </w:pPr>
            <w:r w:rsidRPr="002531DC">
              <w:t>1</w:t>
            </w:r>
            <w:r w:rsidR="002531DC" w:rsidRPr="002531DC">
              <w:t> </w:t>
            </w:r>
            <w:r w:rsidRPr="002531DC">
              <w:t>170 500</w:t>
            </w:r>
          </w:p>
        </w:tc>
        <w:tc>
          <w:tcPr>
            <w:tcW w:w="1520" w:type="dxa"/>
            <w:tcBorders>
              <w:top w:val="single" w:sz="12" w:space="0" w:color="auto"/>
            </w:tcBorders>
            <w:shd w:val="clear" w:color="auto" w:fill="auto"/>
          </w:tcPr>
          <w:p w:rsidR="000F566D" w:rsidRPr="002531DC" w:rsidRDefault="000F566D" w:rsidP="00214D51">
            <w:pPr>
              <w:pStyle w:val="Tabletext"/>
              <w:jc w:val="right"/>
            </w:pPr>
            <w:r w:rsidRPr="002531DC">
              <w:t>490</w:t>
            </w:r>
          </w:p>
        </w:tc>
        <w:tc>
          <w:tcPr>
            <w:tcW w:w="1520" w:type="dxa"/>
            <w:tcBorders>
              <w:top w:val="single" w:sz="12" w:space="0" w:color="auto"/>
            </w:tcBorders>
            <w:shd w:val="clear" w:color="auto" w:fill="auto"/>
          </w:tcPr>
          <w:p w:rsidR="000F566D" w:rsidRPr="002531DC" w:rsidRDefault="000F566D" w:rsidP="00214D51">
            <w:pPr>
              <w:pStyle w:val="Tabletext"/>
              <w:jc w:val="right"/>
            </w:pPr>
            <w:r w:rsidRPr="002531DC">
              <w:t>0.00250</w:t>
            </w:r>
          </w:p>
        </w:tc>
        <w:tc>
          <w:tcPr>
            <w:tcW w:w="1520" w:type="dxa"/>
            <w:tcBorders>
              <w:top w:val="single" w:sz="12" w:space="0" w:color="auto"/>
            </w:tcBorders>
            <w:shd w:val="clear" w:color="auto" w:fill="auto"/>
          </w:tcPr>
          <w:p w:rsidR="000F566D" w:rsidRPr="002531DC" w:rsidRDefault="00FF64A9" w:rsidP="00214D51">
            <w:pPr>
              <w:pStyle w:val="Tabletext"/>
              <w:jc w:val="right"/>
            </w:pPr>
            <w:r w:rsidRPr="002531DC">
              <w:t>0.000776</w:t>
            </w:r>
          </w:p>
        </w:tc>
      </w:tr>
      <w:tr w:rsidR="000F566D" w:rsidRPr="002531DC" w:rsidTr="00021CAB">
        <w:tc>
          <w:tcPr>
            <w:tcW w:w="714" w:type="dxa"/>
            <w:shd w:val="clear" w:color="auto" w:fill="auto"/>
          </w:tcPr>
          <w:p w:rsidR="000F566D" w:rsidRPr="002531DC" w:rsidRDefault="000F566D" w:rsidP="000F566D">
            <w:pPr>
              <w:pStyle w:val="Tabletext"/>
            </w:pPr>
            <w:r w:rsidRPr="002531DC">
              <w:t>2</w:t>
            </w:r>
          </w:p>
        </w:tc>
        <w:tc>
          <w:tcPr>
            <w:tcW w:w="1520" w:type="dxa"/>
            <w:shd w:val="clear" w:color="auto" w:fill="auto"/>
          </w:tcPr>
          <w:p w:rsidR="000F566D" w:rsidRPr="002531DC" w:rsidRDefault="000F566D" w:rsidP="000F566D">
            <w:pPr>
              <w:pStyle w:val="Tabletext"/>
            </w:pPr>
            <w:r w:rsidRPr="002531DC">
              <w:t>Specialist credit card institution</w:t>
            </w:r>
          </w:p>
        </w:tc>
        <w:tc>
          <w:tcPr>
            <w:tcW w:w="1520" w:type="dxa"/>
            <w:shd w:val="clear" w:color="auto" w:fill="auto"/>
          </w:tcPr>
          <w:p w:rsidR="000F566D" w:rsidRPr="002531DC" w:rsidRDefault="000F566D" w:rsidP="00214D51">
            <w:pPr>
              <w:pStyle w:val="Tabletext"/>
              <w:jc w:val="right"/>
            </w:pPr>
            <w:r w:rsidRPr="002531DC">
              <w:t>1</w:t>
            </w:r>
            <w:r w:rsidR="002531DC" w:rsidRPr="002531DC">
              <w:t> </w:t>
            </w:r>
            <w:r w:rsidRPr="002531DC">
              <w:t>170 500</w:t>
            </w:r>
          </w:p>
        </w:tc>
        <w:tc>
          <w:tcPr>
            <w:tcW w:w="1520" w:type="dxa"/>
            <w:shd w:val="clear" w:color="auto" w:fill="auto"/>
          </w:tcPr>
          <w:p w:rsidR="000F566D" w:rsidRPr="002531DC" w:rsidRDefault="000F566D" w:rsidP="00214D51">
            <w:pPr>
              <w:pStyle w:val="Tabletext"/>
              <w:jc w:val="right"/>
            </w:pPr>
            <w:r w:rsidRPr="002531DC">
              <w:t>10</w:t>
            </w:r>
            <w:r w:rsidR="002531DC" w:rsidRPr="002531DC">
              <w:t> </w:t>
            </w:r>
            <w:r w:rsidRPr="002531DC">
              <w:t>300</w:t>
            </w:r>
          </w:p>
        </w:tc>
        <w:tc>
          <w:tcPr>
            <w:tcW w:w="1520" w:type="dxa"/>
            <w:shd w:val="clear" w:color="auto" w:fill="auto"/>
          </w:tcPr>
          <w:p w:rsidR="000F566D" w:rsidRPr="002531DC" w:rsidRDefault="000F566D" w:rsidP="00214D51">
            <w:pPr>
              <w:pStyle w:val="Tabletext"/>
              <w:jc w:val="right"/>
            </w:pPr>
            <w:r w:rsidRPr="002531DC">
              <w:t>0.00250</w:t>
            </w:r>
          </w:p>
        </w:tc>
        <w:tc>
          <w:tcPr>
            <w:tcW w:w="1520" w:type="dxa"/>
            <w:shd w:val="clear" w:color="auto" w:fill="auto"/>
          </w:tcPr>
          <w:p w:rsidR="000F566D" w:rsidRPr="002531DC" w:rsidRDefault="00FF64A9" w:rsidP="00214D51">
            <w:pPr>
              <w:pStyle w:val="Tabletext"/>
              <w:jc w:val="right"/>
            </w:pPr>
            <w:r w:rsidRPr="002531DC">
              <w:t>0.000776</w:t>
            </w:r>
          </w:p>
        </w:tc>
      </w:tr>
      <w:tr w:rsidR="000F566D" w:rsidRPr="002531DC" w:rsidTr="00021CAB">
        <w:tc>
          <w:tcPr>
            <w:tcW w:w="714" w:type="dxa"/>
            <w:tcBorders>
              <w:bottom w:val="single" w:sz="4" w:space="0" w:color="auto"/>
            </w:tcBorders>
            <w:shd w:val="clear" w:color="auto" w:fill="auto"/>
          </w:tcPr>
          <w:p w:rsidR="000F566D" w:rsidRPr="002531DC" w:rsidRDefault="000F566D" w:rsidP="000F566D">
            <w:pPr>
              <w:pStyle w:val="Tabletext"/>
            </w:pPr>
            <w:r w:rsidRPr="002531DC">
              <w:t>3</w:t>
            </w:r>
          </w:p>
        </w:tc>
        <w:tc>
          <w:tcPr>
            <w:tcW w:w="1520" w:type="dxa"/>
            <w:tcBorders>
              <w:bottom w:val="single" w:sz="4" w:space="0" w:color="auto"/>
            </w:tcBorders>
            <w:shd w:val="clear" w:color="auto" w:fill="auto"/>
          </w:tcPr>
          <w:p w:rsidR="000F566D" w:rsidRPr="002531DC" w:rsidRDefault="000F566D" w:rsidP="000F566D">
            <w:pPr>
              <w:pStyle w:val="Tabletext"/>
            </w:pPr>
            <w:r w:rsidRPr="002531DC">
              <w:t>Provider of purchased payment facilities</w:t>
            </w:r>
          </w:p>
        </w:tc>
        <w:tc>
          <w:tcPr>
            <w:tcW w:w="1520" w:type="dxa"/>
            <w:tcBorders>
              <w:bottom w:val="single" w:sz="4" w:space="0" w:color="auto"/>
            </w:tcBorders>
            <w:shd w:val="clear" w:color="auto" w:fill="auto"/>
          </w:tcPr>
          <w:p w:rsidR="000F566D" w:rsidRPr="002531DC" w:rsidRDefault="000F566D" w:rsidP="00214D51">
            <w:pPr>
              <w:pStyle w:val="Tabletext"/>
              <w:jc w:val="right"/>
            </w:pPr>
            <w:r w:rsidRPr="002531DC">
              <w:t>1</w:t>
            </w:r>
            <w:r w:rsidR="002531DC" w:rsidRPr="002531DC">
              <w:t> </w:t>
            </w:r>
            <w:r w:rsidRPr="002531DC">
              <w:t>170 500</w:t>
            </w:r>
          </w:p>
        </w:tc>
        <w:tc>
          <w:tcPr>
            <w:tcW w:w="1520" w:type="dxa"/>
            <w:tcBorders>
              <w:bottom w:val="single" w:sz="4" w:space="0" w:color="auto"/>
            </w:tcBorders>
            <w:shd w:val="clear" w:color="auto" w:fill="auto"/>
          </w:tcPr>
          <w:p w:rsidR="000F566D" w:rsidRPr="002531DC" w:rsidRDefault="000F566D" w:rsidP="00214D51">
            <w:pPr>
              <w:pStyle w:val="Tabletext"/>
              <w:jc w:val="right"/>
            </w:pPr>
            <w:r w:rsidRPr="002531DC">
              <w:t>10</w:t>
            </w:r>
            <w:r w:rsidR="002531DC" w:rsidRPr="002531DC">
              <w:t> </w:t>
            </w:r>
            <w:r w:rsidRPr="002531DC">
              <w:t>300</w:t>
            </w:r>
          </w:p>
        </w:tc>
        <w:tc>
          <w:tcPr>
            <w:tcW w:w="1520" w:type="dxa"/>
            <w:tcBorders>
              <w:bottom w:val="single" w:sz="4" w:space="0" w:color="auto"/>
            </w:tcBorders>
            <w:shd w:val="clear" w:color="auto" w:fill="auto"/>
          </w:tcPr>
          <w:p w:rsidR="000F566D" w:rsidRPr="002531DC" w:rsidRDefault="000F566D" w:rsidP="00214D51">
            <w:pPr>
              <w:pStyle w:val="Tabletext"/>
              <w:jc w:val="right"/>
            </w:pPr>
            <w:r w:rsidRPr="002531DC">
              <w:t>0.00250</w:t>
            </w:r>
          </w:p>
        </w:tc>
        <w:tc>
          <w:tcPr>
            <w:tcW w:w="1520" w:type="dxa"/>
            <w:tcBorders>
              <w:bottom w:val="single" w:sz="4" w:space="0" w:color="auto"/>
            </w:tcBorders>
            <w:shd w:val="clear" w:color="auto" w:fill="auto"/>
          </w:tcPr>
          <w:p w:rsidR="000F566D" w:rsidRPr="002531DC" w:rsidRDefault="00FF64A9" w:rsidP="00214D51">
            <w:pPr>
              <w:pStyle w:val="Tabletext"/>
              <w:jc w:val="right"/>
            </w:pPr>
            <w:r w:rsidRPr="002531DC">
              <w:t>0.000776</w:t>
            </w:r>
          </w:p>
        </w:tc>
      </w:tr>
      <w:tr w:rsidR="000F566D" w:rsidRPr="002531DC" w:rsidTr="00021CAB">
        <w:tc>
          <w:tcPr>
            <w:tcW w:w="714" w:type="dxa"/>
            <w:tcBorders>
              <w:bottom w:val="single" w:sz="12" w:space="0" w:color="auto"/>
            </w:tcBorders>
            <w:shd w:val="clear" w:color="auto" w:fill="auto"/>
          </w:tcPr>
          <w:p w:rsidR="000F566D" w:rsidRPr="002531DC" w:rsidRDefault="000F566D" w:rsidP="000F566D">
            <w:pPr>
              <w:pStyle w:val="Tabletext"/>
            </w:pPr>
            <w:r w:rsidRPr="002531DC">
              <w:t>4</w:t>
            </w:r>
          </w:p>
        </w:tc>
        <w:tc>
          <w:tcPr>
            <w:tcW w:w="1520" w:type="dxa"/>
            <w:tcBorders>
              <w:bottom w:val="single" w:sz="12" w:space="0" w:color="auto"/>
            </w:tcBorders>
            <w:shd w:val="clear" w:color="auto" w:fill="auto"/>
          </w:tcPr>
          <w:p w:rsidR="000F566D" w:rsidRPr="002531DC" w:rsidRDefault="000F566D" w:rsidP="000F566D">
            <w:pPr>
              <w:pStyle w:val="Tabletext"/>
            </w:pPr>
            <w:r w:rsidRPr="002531DC">
              <w:t>ADI not mentioned in item</w:t>
            </w:r>
            <w:r w:rsidR="002531DC" w:rsidRPr="002531DC">
              <w:t> </w:t>
            </w:r>
            <w:r w:rsidRPr="002531DC">
              <w:t>1, 2 or 3</w:t>
            </w:r>
          </w:p>
        </w:tc>
        <w:tc>
          <w:tcPr>
            <w:tcW w:w="1520" w:type="dxa"/>
            <w:tcBorders>
              <w:bottom w:val="single" w:sz="12" w:space="0" w:color="auto"/>
            </w:tcBorders>
            <w:shd w:val="clear" w:color="auto" w:fill="auto"/>
          </w:tcPr>
          <w:p w:rsidR="000F566D" w:rsidRPr="002531DC" w:rsidRDefault="000F566D" w:rsidP="00214D51">
            <w:pPr>
              <w:pStyle w:val="Tabletext"/>
              <w:jc w:val="right"/>
            </w:pPr>
            <w:r w:rsidRPr="002531DC">
              <w:t>2</w:t>
            </w:r>
            <w:r w:rsidR="002531DC" w:rsidRPr="002531DC">
              <w:t> </w:t>
            </w:r>
            <w:r w:rsidRPr="002531DC">
              <w:t>341 000</w:t>
            </w:r>
          </w:p>
        </w:tc>
        <w:tc>
          <w:tcPr>
            <w:tcW w:w="1520" w:type="dxa"/>
            <w:tcBorders>
              <w:bottom w:val="single" w:sz="12" w:space="0" w:color="auto"/>
            </w:tcBorders>
            <w:shd w:val="clear" w:color="auto" w:fill="auto"/>
          </w:tcPr>
          <w:p w:rsidR="000F566D" w:rsidRPr="002531DC" w:rsidRDefault="000F566D" w:rsidP="00214D51">
            <w:pPr>
              <w:pStyle w:val="Tabletext"/>
              <w:jc w:val="right"/>
            </w:pPr>
            <w:r w:rsidRPr="002531DC">
              <w:t>490</w:t>
            </w:r>
          </w:p>
        </w:tc>
        <w:tc>
          <w:tcPr>
            <w:tcW w:w="1520" w:type="dxa"/>
            <w:tcBorders>
              <w:bottom w:val="single" w:sz="12" w:space="0" w:color="auto"/>
            </w:tcBorders>
            <w:shd w:val="clear" w:color="auto" w:fill="auto"/>
          </w:tcPr>
          <w:p w:rsidR="000F566D" w:rsidRPr="002531DC" w:rsidRDefault="00FF64A9" w:rsidP="00214D51">
            <w:pPr>
              <w:pStyle w:val="Tabletext"/>
              <w:jc w:val="right"/>
            </w:pPr>
            <w:r w:rsidRPr="002531DC">
              <w:t>0.00499</w:t>
            </w:r>
          </w:p>
        </w:tc>
        <w:tc>
          <w:tcPr>
            <w:tcW w:w="1520" w:type="dxa"/>
            <w:tcBorders>
              <w:bottom w:val="single" w:sz="12" w:space="0" w:color="auto"/>
            </w:tcBorders>
            <w:shd w:val="clear" w:color="auto" w:fill="auto"/>
          </w:tcPr>
          <w:p w:rsidR="000F566D" w:rsidRPr="002531DC" w:rsidRDefault="00FF64A9" w:rsidP="00214D51">
            <w:pPr>
              <w:pStyle w:val="Tabletext"/>
              <w:jc w:val="right"/>
            </w:pPr>
            <w:r w:rsidRPr="002531DC">
              <w:t>0.000776</w:t>
            </w:r>
          </w:p>
        </w:tc>
      </w:tr>
    </w:tbl>
    <w:p w:rsidR="009F0E2F" w:rsidRPr="002531DC" w:rsidRDefault="003B52C0" w:rsidP="00383C26">
      <w:pPr>
        <w:pStyle w:val="ActHead5"/>
      </w:pPr>
      <w:bookmarkStart w:id="9" w:name="_Toc359492598"/>
      <w:r w:rsidRPr="002531DC">
        <w:rPr>
          <w:rStyle w:val="CharSectno"/>
        </w:rPr>
        <w:t>7</w:t>
      </w:r>
      <w:r w:rsidR="00383C26" w:rsidRPr="002531DC">
        <w:t xml:space="preserve">  </w:t>
      </w:r>
      <w:r w:rsidR="00BB3A5B" w:rsidRPr="002531DC">
        <w:t>ADI’s l</w:t>
      </w:r>
      <w:r w:rsidR="00C7343F" w:rsidRPr="002531DC">
        <w:t>evy base</w:t>
      </w:r>
      <w:r w:rsidR="00743CDB" w:rsidRPr="002531DC">
        <w:t>—</w:t>
      </w:r>
      <w:r w:rsidR="009F0E2F" w:rsidRPr="002531DC">
        <w:t>ADI other than a specialist credit card institution</w:t>
      </w:r>
      <w:r w:rsidR="00243186" w:rsidRPr="002531DC">
        <w:t xml:space="preserve"> or provider of purchased payment facilities</w:t>
      </w:r>
      <w:bookmarkEnd w:id="9"/>
    </w:p>
    <w:p w:rsidR="00237938" w:rsidRPr="002531DC" w:rsidRDefault="009F0E2F" w:rsidP="00383C26">
      <w:pPr>
        <w:pStyle w:val="subsection"/>
      </w:pPr>
      <w:r w:rsidRPr="002531DC">
        <w:tab/>
        <w:t>(1)</w:t>
      </w:r>
      <w:r w:rsidRPr="002531DC">
        <w:tab/>
        <w:t>For paragraph</w:t>
      </w:r>
      <w:r w:rsidR="002531DC" w:rsidRPr="002531DC">
        <w:t> </w:t>
      </w:r>
      <w:r w:rsidRPr="002531DC">
        <w:t xml:space="preserve">7(3)(d) of the Act, </w:t>
      </w:r>
      <w:r w:rsidR="00BB3A5B" w:rsidRPr="002531DC">
        <w:t>the ADI’s</w:t>
      </w:r>
      <w:r w:rsidRPr="002531DC">
        <w:t xml:space="preserve"> </w:t>
      </w:r>
      <w:r w:rsidR="00C7343F" w:rsidRPr="002531DC">
        <w:t>levy base</w:t>
      </w:r>
      <w:r w:rsidRPr="002531DC">
        <w:t xml:space="preserve"> of an ADI, other than a specialist credit card institution</w:t>
      </w:r>
      <w:r w:rsidR="00243186" w:rsidRPr="002531DC">
        <w:t xml:space="preserve"> or provider of purchased payment facilities</w:t>
      </w:r>
      <w:r w:rsidRPr="002531DC">
        <w:t xml:space="preserve">, is to be worked out using </w:t>
      </w:r>
      <w:r w:rsidR="00545687" w:rsidRPr="002531DC">
        <w:t xml:space="preserve">the </w:t>
      </w:r>
      <w:r w:rsidR="00237938" w:rsidRPr="002531DC">
        <w:t xml:space="preserve">following </w:t>
      </w:r>
      <w:r w:rsidR="00545687" w:rsidRPr="002531DC">
        <w:t>t</w:t>
      </w:r>
      <w:r w:rsidRPr="002531DC">
        <w:t xml:space="preserve">able and </w:t>
      </w:r>
      <w:r w:rsidR="002531DC" w:rsidRPr="002531DC">
        <w:t>subsections (</w:t>
      </w:r>
      <w:r w:rsidR="000C3C97" w:rsidRPr="002531DC">
        <w:t>2) to (5</w:t>
      </w:r>
      <w:r w:rsidRPr="002531DC">
        <w:t>).</w:t>
      </w:r>
    </w:p>
    <w:p w:rsidR="00237938" w:rsidRPr="002531DC" w:rsidRDefault="00237938" w:rsidP="0023793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237938" w:rsidRPr="002531DC" w:rsidTr="00021CAB">
        <w:trPr>
          <w:tblHeader/>
        </w:trPr>
        <w:tc>
          <w:tcPr>
            <w:tcW w:w="8312" w:type="dxa"/>
            <w:gridSpan w:val="3"/>
            <w:tcBorders>
              <w:top w:val="single" w:sz="12" w:space="0" w:color="auto"/>
              <w:bottom w:val="single" w:sz="6" w:space="0" w:color="auto"/>
            </w:tcBorders>
            <w:shd w:val="clear" w:color="auto" w:fill="auto"/>
          </w:tcPr>
          <w:p w:rsidR="00237938" w:rsidRPr="002531DC" w:rsidRDefault="00237938" w:rsidP="00237938">
            <w:pPr>
              <w:pStyle w:val="TableHeading"/>
            </w:pPr>
            <w:r w:rsidRPr="002531DC">
              <w:t>ADI’s levy base—ADI other than a specialist credit card institution or provider of purchased payment facilities</w:t>
            </w:r>
          </w:p>
        </w:tc>
      </w:tr>
      <w:tr w:rsidR="00237938" w:rsidRPr="002531DC" w:rsidTr="00021CAB">
        <w:trPr>
          <w:tblHeader/>
        </w:trPr>
        <w:tc>
          <w:tcPr>
            <w:tcW w:w="714" w:type="dxa"/>
            <w:tcBorders>
              <w:top w:val="single" w:sz="6" w:space="0" w:color="auto"/>
              <w:bottom w:val="single" w:sz="12" w:space="0" w:color="auto"/>
            </w:tcBorders>
            <w:shd w:val="clear" w:color="auto" w:fill="auto"/>
          </w:tcPr>
          <w:p w:rsidR="00237938" w:rsidRPr="002531DC" w:rsidRDefault="00237938" w:rsidP="00237938">
            <w:pPr>
              <w:pStyle w:val="TableHeading"/>
            </w:pPr>
            <w:r w:rsidRPr="002531DC">
              <w:t>Item</w:t>
            </w:r>
          </w:p>
        </w:tc>
        <w:tc>
          <w:tcPr>
            <w:tcW w:w="3799" w:type="dxa"/>
            <w:tcBorders>
              <w:top w:val="single" w:sz="6" w:space="0" w:color="auto"/>
              <w:bottom w:val="single" w:sz="12" w:space="0" w:color="auto"/>
            </w:tcBorders>
            <w:shd w:val="clear" w:color="auto" w:fill="auto"/>
          </w:tcPr>
          <w:p w:rsidR="00237938" w:rsidRPr="002531DC" w:rsidRDefault="00237938" w:rsidP="00237938">
            <w:pPr>
              <w:pStyle w:val="TableHeading"/>
            </w:pPr>
            <w:r w:rsidRPr="002531DC">
              <w:t>If the ADI …</w:t>
            </w:r>
          </w:p>
        </w:tc>
        <w:tc>
          <w:tcPr>
            <w:tcW w:w="3799" w:type="dxa"/>
            <w:tcBorders>
              <w:top w:val="single" w:sz="6" w:space="0" w:color="auto"/>
              <w:bottom w:val="single" w:sz="12" w:space="0" w:color="auto"/>
            </w:tcBorders>
            <w:shd w:val="clear" w:color="auto" w:fill="auto"/>
          </w:tcPr>
          <w:p w:rsidR="00237938" w:rsidRPr="002531DC" w:rsidRDefault="00237938" w:rsidP="00237938">
            <w:pPr>
              <w:pStyle w:val="TableHeading"/>
            </w:pPr>
            <w:r w:rsidRPr="002531DC">
              <w:t>the ADI’s levy base is …</w:t>
            </w:r>
          </w:p>
        </w:tc>
      </w:tr>
      <w:tr w:rsidR="00237938" w:rsidRPr="002531DC" w:rsidTr="00021CAB">
        <w:tc>
          <w:tcPr>
            <w:tcW w:w="714" w:type="dxa"/>
            <w:tcBorders>
              <w:top w:val="single" w:sz="12" w:space="0" w:color="auto"/>
              <w:bottom w:val="single" w:sz="4" w:space="0" w:color="auto"/>
            </w:tcBorders>
            <w:shd w:val="clear" w:color="auto" w:fill="auto"/>
          </w:tcPr>
          <w:p w:rsidR="00237938" w:rsidRPr="002531DC" w:rsidRDefault="00237938" w:rsidP="00237938">
            <w:pPr>
              <w:pStyle w:val="Tabletext"/>
            </w:pPr>
            <w:r w:rsidRPr="002531DC">
              <w:t>1</w:t>
            </w:r>
          </w:p>
        </w:tc>
        <w:tc>
          <w:tcPr>
            <w:tcW w:w="3799" w:type="dxa"/>
            <w:tcBorders>
              <w:top w:val="single" w:sz="12" w:space="0" w:color="auto"/>
              <w:bottom w:val="single" w:sz="4" w:space="0" w:color="auto"/>
            </w:tcBorders>
            <w:shd w:val="clear" w:color="auto" w:fill="auto"/>
          </w:tcPr>
          <w:p w:rsidR="00237938" w:rsidRPr="002531DC" w:rsidRDefault="00237938" w:rsidP="002833CF">
            <w:pPr>
              <w:pStyle w:val="Tablea"/>
            </w:pPr>
            <w:r w:rsidRPr="002531DC">
              <w:t>(a) was an ADI at all times from 17</w:t>
            </w:r>
            <w:r w:rsidR="002531DC" w:rsidRPr="002531DC">
              <w:t> </w:t>
            </w:r>
            <w:r w:rsidRPr="002531DC">
              <w:t>March 2013 to 30</w:t>
            </w:r>
            <w:r w:rsidR="002531DC" w:rsidRPr="002531DC">
              <w:t> </w:t>
            </w:r>
            <w:r w:rsidRPr="002531DC">
              <w:t>June 2013; and</w:t>
            </w:r>
          </w:p>
          <w:p w:rsidR="00237938" w:rsidRPr="002531DC" w:rsidRDefault="00237938" w:rsidP="002833CF">
            <w:pPr>
              <w:pStyle w:val="Tablea"/>
            </w:pPr>
            <w:r w:rsidRPr="002531DC">
              <w:t>(b) was required to give information using Form ARF 320.0 for a reporting period ending during the period from 17</w:t>
            </w:r>
            <w:r w:rsidR="002531DC" w:rsidRPr="002531DC">
              <w:t> </w:t>
            </w:r>
            <w:r w:rsidRPr="002531DC">
              <w:t>March 2013 to 14</w:t>
            </w:r>
            <w:r w:rsidR="002531DC" w:rsidRPr="002531DC">
              <w:t> </w:t>
            </w:r>
            <w:r w:rsidRPr="002531DC">
              <w:t>April 2013</w:t>
            </w:r>
          </w:p>
        </w:tc>
        <w:tc>
          <w:tcPr>
            <w:tcW w:w="3799" w:type="dxa"/>
            <w:tcBorders>
              <w:top w:val="single" w:sz="12" w:space="0" w:color="auto"/>
              <w:bottom w:val="single" w:sz="4" w:space="0" w:color="auto"/>
            </w:tcBorders>
            <w:shd w:val="clear" w:color="auto" w:fill="auto"/>
          </w:tcPr>
          <w:p w:rsidR="00237938" w:rsidRPr="002531DC" w:rsidRDefault="00237938" w:rsidP="00237938">
            <w:pPr>
              <w:pStyle w:val="Tabletext"/>
            </w:pPr>
            <w:r w:rsidRPr="002531DC">
              <w:t>the sum of the amounts required to be reported in the following items in that Form:</w:t>
            </w:r>
          </w:p>
          <w:p w:rsidR="00237938" w:rsidRPr="002531DC" w:rsidRDefault="00237938" w:rsidP="002833CF">
            <w:pPr>
              <w:pStyle w:val="Tablea"/>
            </w:pPr>
            <w:r w:rsidRPr="002531DC">
              <w:t>(a) item</w:t>
            </w:r>
            <w:r w:rsidR="002531DC" w:rsidRPr="002531DC">
              <w:t> </w:t>
            </w:r>
            <w:r w:rsidRPr="002531DC">
              <w:t>10 Total assets;</w:t>
            </w:r>
          </w:p>
          <w:p w:rsidR="00237938" w:rsidRPr="002531DC" w:rsidRDefault="00237938" w:rsidP="002833CF">
            <w:pPr>
              <w:pStyle w:val="Tablea"/>
            </w:pPr>
            <w:r w:rsidRPr="002531DC">
              <w:t>(b) item</w:t>
            </w:r>
            <w:r w:rsidR="002531DC" w:rsidRPr="002531DC">
              <w:t> </w:t>
            </w:r>
            <w:r w:rsidRPr="002531DC">
              <w:t>11.2 Australian ADI operations: Total amount due from non</w:t>
            </w:r>
            <w:r w:rsidR="002531DC">
              <w:noBreakHyphen/>
            </w:r>
            <w:r w:rsidRPr="002531DC">
              <w:t>residents (excluding intra</w:t>
            </w:r>
            <w:r w:rsidR="002531DC">
              <w:noBreakHyphen/>
            </w:r>
            <w:r w:rsidRPr="002531DC">
              <w:t>company transactions);</w:t>
            </w:r>
          </w:p>
          <w:p w:rsidR="00237938" w:rsidRPr="002531DC" w:rsidRDefault="00237938" w:rsidP="002833CF">
            <w:pPr>
              <w:pStyle w:val="Tablea"/>
            </w:pPr>
            <w:r w:rsidRPr="002531DC">
              <w:t>(c) item</w:t>
            </w:r>
            <w:r w:rsidR="002531DC" w:rsidRPr="002531DC">
              <w:t> </w:t>
            </w:r>
            <w:r w:rsidRPr="002531DC">
              <w:t>11.3 Australian ADI operations: Total amount due from overseas operations of the ADI.</w:t>
            </w:r>
          </w:p>
        </w:tc>
      </w:tr>
      <w:tr w:rsidR="00237938" w:rsidRPr="002531DC" w:rsidTr="00021CAB">
        <w:tc>
          <w:tcPr>
            <w:tcW w:w="714" w:type="dxa"/>
            <w:tcBorders>
              <w:bottom w:val="single" w:sz="12" w:space="0" w:color="auto"/>
            </w:tcBorders>
            <w:shd w:val="clear" w:color="auto" w:fill="auto"/>
          </w:tcPr>
          <w:p w:rsidR="00237938" w:rsidRPr="002531DC" w:rsidRDefault="00237938" w:rsidP="00237938">
            <w:pPr>
              <w:pStyle w:val="Tabletext"/>
            </w:pPr>
            <w:r w:rsidRPr="002531DC">
              <w:t>2</w:t>
            </w:r>
          </w:p>
        </w:tc>
        <w:tc>
          <w:tcPr>
            <w:tcW w:w="3799" w:type="dxa"/>
            <w:tcBorders>
              <w:bottom w:val="single" w:sz="12" w:space="0" w:color="auto"/>
            </w:tcBorders>
            <w:shd w:val="clear" w:color="auto" w:fill="auto"/>
          </w:tcPr>
          <w:p w:rsidR="00237938" w:rsidRPr="002531DC" w:rsidRDefault="00237938" w:rsidP="002833CF">
            <w:pPr>
              <w:pStyle w:val="Tablea"/>
            </w:pPr>
            <w:r w:rsidRPr="002531DC">
              <w:t>(a) was an ADI at all times from 17</w:t>
            </w:r>
            <w:r w:rsidR="002531DC" w:rsidRPr="002531DC">
              <w:t> </w:t>
            </w:r>
            <w:r w:rsidRPr="002531DC">
              <w:t>March 2013 to 30</w:t>
            </w:r>
            <w:r w:rsidR="002531DC" w:rsidRPr="002531DC">
              <w:t> </w:t>
            </w:r>
            <w:r w:rsidRPr="002531DC">
              <w:t>June 2013; and</w:t>
            </w:r>
          </w:p>
          <w:p w:rsidR="00237938" w:rsidRPr="002531DC" w:rsidRDefault="00237938" w:rsidP="002833CF">
            <w:pPr>
              <w:pStyle w:val="Tablea"/>
            </w:pPr>
            <w:r w:rsidRPr="002531DC">
              <w:t>(b) was required to give information using Form ARF 323.0 for a reporting period ending during the period from 17</w:t>
            </w:r>
            <w:r w:rsidR="002531DC" w:rsidRPr="002531DC">
              <w:t> </w:t>
            </w:r>
            <w:r w:rsidRPr="002531DC">
              <w:t>March 2013 to 14</w:t>
            </w:r>
            <w:r w:rsidR="002531DC" w:rsidRPr="002531DC">
              <w:t> </w:t>
            </w:r>
            <w:r w:rsidRPr="002531DC">
              <w:t>April 2013</w:t>
            </w:r>
          </w:p>
        </w:tc>
        <w:tc>
          <w:tcPr>
            <w:tcW w:w="3799" w:type="dxa"/>
            <w:tcBorders>
              <w:bottom w:val="single" w:sz="12" w:space="0" w:color="auto"/>
            </w:tcBorders>
            <w:shd w:val="clear" w:color="auto" w:fill="auto"/>
          </w:tcPr>
          <w:p w:rsidR="00237938" w:rsidRPr="002531DC" w:rsidRDefault="00237938" w:rsidP="00237938">
            <w:pPr>
              <w:pStyle w:val="Tabletext"/>
            </w:pPr>
            <w:r w:rsidRPr="002531DC">
              <w:t>the amount required to be reported in item</w:t>
            </w:r>
            <w:r w:rsidR="002531DC" w:rsidRPr="002531DC">
              <w:t> </w:t>
            </w:r>
            <w:r w:rsidRPr="002531DC">
              <w:t>11 Total assets in that Form.</w:t>
            </w:r>
          </w:p>
        </w:tc>
      </w:tr>
    </w:tbl>
    <w:p w:rsidR="00237938" w:rsidRPr="002531DC" w:rsidRDefault="00237938" w:rsidP="00237938">
      <w:pPr>
        <w:pStyle w:val="Tabletext"/>
      </w:pPr>
    </w:p>
    <w:p w:rsidR="000C3C97" w:rsidRPr="002531DC" w:rsidRDefault="000C3C97" w:rsidP="000C3C97">
      <w:pPr>
        <w:pStyle w:val="subsection"/>
      </w:pPr>
      <w:r w:rsidRPr="002531DC">
        <w:tab/>
        <w:t>(2)</w:t>
      </w:r>
      <w:r w:rsidRPr="002531DC">
        <w:tab/>
      </w:r>
      <w:r w:rsidR="002531DC" w:rsidRPr="002531DC">
        <w:t>Subsection (</w:t>
      </w:r>
      <w:r w:rsidRPr="002531DC">
        <w:t>3) applies to an ADI that:</w:t>
      </w:r>
    </w:p>
    <w:p w:rsidR="000C3C97" w:rsidRPr="002531DC" w:rsidRDefault="000C3C97" w:rsidP="000C3C97">
      <w:pPr>
        <w:pStyle w:val="paragraph"/>
      </w:pPr>
      <w:r w:rsidRPr="002531DC">
        <w:tab/>
        <w:t>(a)</w:t>
      </w:r>
      <w:r w:rsidRPr="002531DC">
        <w:tab/>
        <w:t>is not described in items</w:t>
      </w:r>
      <w:r w:rsidR="002531DC" w:rsidRPr="002531DC">
        <w:t> </w:t>
      </w:r>
      <w:r w:rsidRPr="002531DC">
        <w:t xml:space="preserve">1 and 2 of the table in </w:t>
      </w:r>
      <w:r w:rsidR="002531DC" w:rsidRPr="002531DC">
        <w:t>subsection (</w:t>
      </w:r>
      <w:r w:rsidRPr="002531DC">
        <w:t>1); and</w:t>
      </w:r>
    </w:p>
    <w:p w:rsidR="000C3C97" w:rsidRPr="002531DC" w:rsidRDefault="000C3C97" w:rsidP="000C3C97">
      <w:pPr>
        <w:pStyle w:val="paragraph"/>
      </w:pPr>
      <w:r w:rsidRPr="002531DC">
        <w:tab/>
        <w:t>(b)</w:t>
      </w:r>
      <w:r w:rsidRPr="002531DC">
        <w:tab/>
        <w:t>was an ARS 320.0 entity on the valuation day</w:t>
      </w:r>
      <w:r w:rsidR="00C34DDA" w:rsidRPr="002531DC">
        <w:t xml:space="preserve"> for the ADI</w:t>
      </w:r>
      <w:r w:rsidRPr="002531DC">
        <w:t>.</w:t>
      </w:r>
    </w:p>
    <w:p w:rsidR="000C3C97" w:rsidRPr="002531DC" w:rsidRDefault="000C3C97" w:rsidP="000C3C97">
      <w:pPr>
        <w:pStyle w:val="subsection"/>
      </w:pPr>
      <w:r w:rsidRPr="002531DC">
        <w:lastRenderedPageBreak/>
        <w:tab/>
        <w:t>(3)</w:t>
      </w:r>
      <w:r w:rsidRPr="002531DC">
        <w:tab/>
        <w:t>The ADI’s levy base is the sum of the values of the following assets of the ADI as at the valuation day</w:t>
      </w:r>
      <w:r w:rsidR="00C34DDA" w:rsidRPr="002531DC">
        <w:t xml:space="preserve"> for the ADI</w:t>
      </w:r>
      <w:r w:rsidRPr="002531DC">
        <w:t>, with the values of those assets being worked out in the same way as for the corresponding items in Form ARF 320.0:</w:t>
      </w:r>
    </w:p>
    <w:p w:rsidR="000C3C97" w:rsidRPr="002531DC" w:rsidRDefault="000C3C97" w:rsidP="000C3C97">
      <w:pPr>
        <w:pStyle w:val="paragraph"/>
      </w:pPr>
      <w:r w:rsidRPr="002531DC">
        <w:tab/>
        <w:t>(a)</w:t>
      </w:r>
      <w:r w:rsidRPr="002531DC">
        <w:tab/>
        <w:t>item</w:t>
      </w:r>
      <w:r w:rsidR="002531DC" w:rsidRPr="002531DC">
        <w:t> </w:t>
      </w:r>
      <w:r w:rsidRPr="002531DC">
        <w:t>10 Total assets;</w:t>
      </w:r>
    </w:p>
    <w:p w:rsidR="000C3C97" w:rsidRPr="002531DC" w:rsidRDefault="000C3C97" w:rsidP="000C3C97">
      <w:pPr>
        <w:pStyle w:val="paragraph"/>
      </w:pPr>
      <w:r w:rsidRPr="002531DC">
        <w:tab/>
        <w:t>(b)</w:t>
      </w:r>
      <w:r w:rsidRPr="002531DC">
        <w:tab/>
        <w:t>item</w:t>
      </w:r>
      <w:r w:rsidR="002531DC" w:rsidRPr="002531DC">
        <w:t> </w:t>
      </w:r>
      <w:r w:rsidRPr="002531DC">
        <w:t>11.2 Australian ADI operations: Total amount due from non</w:t>
      </w:r>
      <w:r w:rsidR="002531DC">
        <w:noBreakHyphen/>
      </w:r>
      <w:r w:rsidRPr="002531DC">
        <w:t>residents (excluding intra</w:t>
      </w:r>
      <w:r w:rsidR="002531DC">
        <w:noBreakHyphen/>
      </w:r>
      <w:r w:rsidRPr="002531DC">
        <w:t>company transactions);</w:t>
      </w:r>
    </w:p>
    <w:p w:rsidR="000C3C97" w:rsidRPr="002531DC" w:rsidRDefault="000C3C97" w:rsidP="000C3C97">
      <w:pPr>
        <w:pStyle w:val="paragraph"/>
      </w:pPr>
      <w:r w:rsidRPr="002531DC">
        <w:tab/>
        <w:t>(c)</w:t>
      </w:r>
      <w:r w:rsidRPr="002531DC">
        <w:tab/>
        <w:t>item</w:t>
      </w:r>
      <w:r w:rsidR="002531DC" w:rsidRPr="002531DC">
        <w:t> </w:t>
      </w:r>
      <w:r w:rsidRPr="002531DC">
        <w:t>11.3 Australian ADI operations: Total amount due from overseas operations of the ADI.</w:t>
      </w:r>
    </w:p>
    <w:p w:rsidR="00A17990" w:rsidRPr="002531DC" w:rsidRDefault="0099727B" w:rsidP="00A17990">
      <w:pPr>
        <w:pStyle w:val="subsection"/>
      </w:pPr>
      <w:r w:rsidRPr="002531DC">
        <w:tab/>
      </w:r>
      <w:r w:rsidR="000C3C97" w:rsidRPr="002531DC">
        <w:t>(4</w:t>
      </w:r>
      <w:r w:rsidR="00A17990" w:rsidRPr="002531DC">
        <w:t>)</w:t>
      </w:r>
      <w:r w:rsidR="00A17990" w:rsidRPr="002531DC">
        <w:tab/>
      </w:r>
      <w:r w:rsidR="002531DC" w:rsidRPr="002531DC">
        <w:t>Subsection (</w:t>
      </w:r>
      <w:r w:rsidR="000C3C97" w:rsidRPr="002531DC">
        <w:t xml:space="preserve">5) applies to an </w:t>
      </w:r>
      <w:r w:rsidR="00A17990" w:rsidRPr="002531DC">
        <w:t>ADI</w:t>
      </w:r>
      <w:r w:rsidR="000C3C97" w:rsidRPr="002531DC">
        <w:t xml:space="preserve"> that</w:t>
      </w:r>
      <w:r w:rsidR="00A17990" w:rsidRPr="002531DC">
        <w:t>:</w:t>
      </w:r>
    </w:p>
    <w:p w:rsidR="00A17990" w:rsidRPr="002531DC" w:rsidRDefault="00A17990" w:rsidP="00A17990">
      <w:pPr>
        <w:pStyle w:val="paragraph"/>
      </w:pPr>
      <w:r w:rsidRPr="002531DC">
        <w:tab/>
        <w:t>(a)</w:t>
      </w:r>
      <w:r w:rsidRPr="002531DC">
        <w:tab/>
        <w:t>is not described in items</w:t>
      </w:r>
      <w:r w:rsidR="002531DC" w:rsidRPr="002531DC">
        <w:t> </w:t>
      </w:r>
      <w:r w:rsidRPr="002531DC">
        <w:t xml:space="preserve">1 and 2 of the table in </w:t>
      </w:r>
      <w:r w:rsidR="002531DC" w:rsidRPr="002531DC">
        <w:t>subsection (</w:t>
      </w:r>
      <w:r w:rsidRPr="002531DC">
        <w:t>1); and</w:t>
      </w:r>
    </w:p>
    <w:p w:rsidR="00A17990" w:rsidRPr="002531DC" w:rsidRDefault="00A17990" w:rsidP="00A17990">
      <w:pPr>
        <w:pStyle w:val="paragraph"/>
      </w:pPr>
      <w:r w:rsidRPr="002531DC">
        <w:tab/>
        <w:t>(b)</w:t>
      </w:r>
      <w:r w:rsidRPr="002531DC">
        <w:tab/>
        <w:t>was not an ARS 32</w:t>
      </w:r>
      <w:r w:rsidR="000C3C97" w:rsidRPr="002531DC">
        <w:t>0.0 entity on the valuation day</w:t>
      </w:r>
      <w:r w:rsidR="00C34DDA" w:rsidRPr="002531DC">
        <w:t xml:space="preserve"> for the ADI</w:t>
      </w:r>
      <w:r w:rsidR="000C3C97" w:rsidRPr="002531DC">
        <w:t>.</w:t>
      </w:r>
    </w:p>
    <w:p w:rsidR="00A17990" w:rsidRPr="002531DC" w:rsidRDefault="000C3C97" w:rsidP="000C3C97">
      <w:pPr>
        <w:pStyle w:val="subsection"/>
      </w:pPr>
      <w:r w:rsidRPr="002531DC">
        <w:tab/>
        <w:t>(5)</w:t>
      </w:r>
      <w:r w:rsidRPr="002531DC">
        <w:tab/>
        <w:t>T</w:t>
      </w:r>
      <w:r w:rsidR="00A17990" w:rsidRPr="002531DC">
        <w:t>he ADI’s levy base is the value of the ADI’s assets as at the valuation day</w:t>
      </w:r>
      <w:r w:rsidR="00C34DDA" w:rsidRPr="002531DC">
        <w:t xml:space="preserve"> for the ADI</w:t>
      </w:r>
      <w:r w:rsidR="00A17990" w:rsidRPr="002531DC">
        <w:t>, worked out in the same way as for item</w:t>
      </w:r>
      <w:r w:rsidR="002531DC" w:rsidRPr="002531DC">
        <w:t> </w:t>
      </w:r>
      <w:r w:rsidR="00A17990" w:rsidRPr="002531DC">
        <w:t>11 Total assets in Form ARF 323.0.</w:t>
      </w:r>
    </w:p>
    <w:p w:rsidR="0024323F" w:rsidRPr="002531DC" w:rsidRDefault="003B52C0" w:rsidP="00A17990">
      <w:pPr>
        <w:pStyle w:val="ActHead5"/>
      </w:pPr>
      <w:bookmarkStart w:id="10" w:name="_Toc359492599"/>
      <w:r w:rsidRPr="002531DC">
        <w:rPr>
          <w:rStyle w:val="CharSectno"/>
        </w:rPr>
        <w:t>8</w:t>
      </w:r>
      <w:r w:rsidR="00383C26" w:rsidRPr="002531DC">
        <w:t xml:space="preserve">  </w:t>
      </w:r>
      <w:r w:rsidR="004F1259" w:rsidRPr="002531DC">
        <w:t>ADI’s l</w:t>
      </w:r>
      <w:r w:rsidR="00C7343F" w:rsidRPr="002531DC">
        <w:t>evy base</w:t>
      </w:r>
      <w:r w:rsidR="00743CDB" w:rsidRPr="002531DC">
        <w:t>—</w:t>
      </w:r>
      <w:r w:rsidR="0024323F" w:rsidRPr="002531DC">
        <w:t>specialist credit card institution</w:t>
      </w:r>
      <w:bookmarkEnd w:id="10"/>
    </w:p>
    <w:p w:rsidR="0024323F" w:rsidRPr="002531DC" w:rsidRDefault="0024323F" w:rsidP="00383C26">
      <w:pPr>
        <w:pStyle w:val="subsection"/>
      </w:pPr>
      <w:r w:rsidRPr="002531DC">
        <w:tab/>
        <w:t>(1)</w:t>
      </w:r>
      <w:r w:rsidRPr="002531DC">
        <w:tab/>
        <w:t>For paragraph</w:t>
      </w:r>
      <w:r w:rsidR="002531DC" w:rsidRPr="002531DC">
        <w:t> </w:t>
      </w:r>
      <w:r w:rsidRPr="002531DC">
        <w:t xml:space="preserve">7(3)(d) of the Act, the </w:t>
      </w:r>
      <w:r w:rsidR="004F1259" w:rsidRPr="002531DC">
        <w:t xml:space="preserve">ADI’s </w:t>
      </w:r>
      <w:r w:rsidR="00C7343F" w:rsidRPr="002531DC">
        <w:t>levy base</w:t>
      </w:r>
      <w:r w:rsidRPr="002531DC">
        <w:t xml:space="preserve"> of a specialist credit card institution is to be worked out using </w:t>
      </w:r>
      <w:r w:rsidR="003606BC" w:rsidRPr="002531DC">
        <w:t>this section.</w:t>
      </w:r>
    </w:p>
    <w:p w:rsidR="0024323F" w:rsidRPr="002531DC" w:rsidRDefault="0024323F" w:rsidP="00383C26">
      <w:pPr>
        <w:pStyle w:val="subsection"/>
      </w:pPr>
      <w:r w:rsidRPr="002531DC">
        <w:tab/>
        <w:t>(2)</w:t>
      </w:r>
      <w:r w:rsidRPr="002531DC">
        <w:tab/>
      </w:r>
      <w:r w:rsidR="002531DC" w:rsidRPr="002531DC">
        <w:t>Subsection (</w:t>
      </w:r>
      <w:r w:rsidR="008040AA" w:rsidRPr="002531DC">
        <w:t>3</w:t>
      </w:r>
      <w:r w:rsidR="008E6E12" w:rsidRPr="002531DC">
        <w:t>)</w:t>
      </w:r>
      <w:r w:rsidR="008040AA" w:rsidRPr="002531DC">
        <w:t xml:space="preserve"> applies to an ADI that</w:t>
      </w:r>
      <w:r w:rsidRPr="002531DC">
        <w:t>:</w:t>
      </w:r>
    </w:p>
    <w:p w:rsidR="0024323F" w:rsidRPr="002531DC" w:rsidRDefault="0024323F" w:rsidP="00383C26">
      <w:pPr>
        <w:pStyle w:val="paragraph"/>
      </w:pPr>
      <w:r w:rsidRPr="002531DC">
        <w:tab/>
        <w:t>(a)</w:t>
      </w:r>
      <w:r w:rsidRPr="002531DC">
        <w:tab/>
        <w:t>was an ADI</w:t>
      </w:r>
      <w:r w:rsidR="003577EE" w:rsidRPr="002531DC">
        <w:t xml:space="preserve"> at all times from 17</w:t>
      </w:r>
      <w:r w:rsidR="002531DC" w:rsidRPr="002531DC">
        <w:t> </w:t>
      </w:r>
      <w:r w:rsidR="003577EE" w:rsidRPr="002531DC">
        <w:t xml:space="preserve">March </w:t>
      </w:r>
      <w:r w:rsidR="008D388C" w:rsidRPr="002531DC">
        <w:t>201</w:t>
      </w:r>
      <w:r w:rsidR="003068FA" w:rsidRPr="002531DC">
        <w:t>3</w:t>
      </w:r>
      <w:r w:rsidRPr="002531DC">
        <w:t xml:space="preserve"> to 3</w:t>
      </w:r>
      <w:r w:rsidR="003577EE" w:rsidRPr="002531DC">
        <w:t>0</w:t>
      </w:r>
      <w:r w:rsidR="002531DC" w:rsidRPr="002531DC">
        <w:t> </w:t>
      </w:r>
      <w:r w:rsidR="003577EE" w:rsidRPr="002531DC">
        <w:t xml:space="preserve">June </w:t>
      </w:r>
      <w:r w:rsidR="008D388C" w:rsidRPr="002531DC">
        <w:t>201</w:t>
      </w:r>
      <w:r w:rsidR="003068FA" w:rsidRPr="002531DC">
        <w:t>3</w:t>
      </w:r>
      <w:r w:rsidRPr="002531DC">
        <w:t>; and</w:t>
      </w:r>
    </w:p>
    <w:p w:rsidR="0024323F" w:rsidRPr="002531DC" w:rsidRDefault="0024323F" w:rsidP="00383C26">
      <w:pPr>
        <w:pStyle w:val="paragraph"/>
      </w:pPr>
      <w:r w:rsidRPr="002531DC">
        <w:tab/>
        <w:t>(b)</w:t>
      </w:r>
      <w:r w:rsidR="00B11AC2" w:rsidRPr="002531DC">
        <w:tab/>
        <w:t xml:space="preserve">was required to lodge Form ARF </w:t>
      </w:r>
      <w:r w:rsidRPr="002531DC">
        <w:t>323.0 for a reporting period ending duri</w:t>
      </w:r>
      <w:r w:rsidR="006C0E29" w:rsidRPr="002531DC">
        <w:t xml:space="preserve">ng the period from </w:t>
      </w:r>
      <w:r w:rsidR="003577EE" w:rsidRPr="002531DC">
        <w:t>17</w:t>
      </w:r>
      <w:r w:rsidR="002531DC" w:rsidRPr="002531DC">
        <w:t> </w:t>
      </w:r>
      <w:r w:rsidR="003577EE" w:rsidRPr="002531DC">
        <w:t xml:space="preserve">March </w:t>
      </w:r>
      <w:r w:rsidR="003068FA" w:rsidRPr="002531DC">
        <w:t>2013</w:t>
      </w:r>
      <w:r w:rsidR="008D388C" w:rsidRPr="002531DC">
        <w:t xml:space="preserve"> </w:t>
      </w:r>
      <w:r w:rsidR="003577EE" w:rsidRPr="002531DC">
        <w:t>to 14</w:t>
      </w:r>
      <w:r w:rsidR="002531DC" w:rsidRPr="002531DC">
        <w:t> </w:t>
      </w:r>
      <w:r w:rsidR="003577EE" w:rsidRPr="002531DC">
        <w:t xml:space="preserve">April </w:t>
      </w:r>
      <w:r w:rsidR="003068FA" w:rsidRPr="002531DC">
        <w:t>2013</w:t>
      </w:r>
      <w:r w:rsidRPr="002531DC">
        <w:t>;</w:t>
      </w:r>
    </w:p>
    <w:p w:rsidR="0024323F" w:rsidRPr="002531DC" w:rsidRDefault="008040AA" w:rsidP="008040AA">
      <w:pPr>
        <w:pStyle w:val="subsection"/>
      </w:pPr>
      <w:r w:rsidRPr="002531DC">
        <w:tab/>
        <w:t>(3)</w:t>
      </w:r>
      <w:r w:rsidRPr="002531DC">
        <w:tab/>
        <w:t>T</w:t>
      </w:r>
      <w:r w:rsidR="001E548D" w:rsidRPr="002531DC">
        <w:t xml:space="preserve">he </w:t>
      </w:r>
      <w:r w:rsidR="00702B4F" w:rsidRPr="002531DC">
        <w:t xml:space="preserve">ADI’s </w:t>
      </w:r>
      <w:r w:rsidR="00C7343F" w:rsidRPr="002531DC">
        <w:t>levy base</w:t>
      </w:r>
      <w:r w:rsidR="0024323F" w:rsidRPr="002531DC">
        <w:t xml:space="preserve"> is the sum of the amounts required to </w:t>
      </w:r>
      <w:r w:rsidR="006C05A0" w:rsidRPr="002531DC">
        <w:t xml:space="preserve">be reported in the following </w:t>
      </w:r>
      <w:r w:rsidR="0024323F" w:rsidRPr="002531DC">
        <w:t>items in Form</w:t>
      </w:r>
      <w:r w:rsidR="00C32469" w:rsidRPr="002531DC">
        <w:t xml:space="preserve"> ARF 323.0</w:t>
      </w:r>
      <w:r w:rsidR="0024323F" w:rsidRPr="002531DC">
        <w:t>:</w:t>
      </w:r>
    </w:p>
    <w:p w:rsidR="0024323F" w:rsidRPr="002531DC" w:rsidRDefault="008040AA" w:rsidP="00383C26">
      <w:pPr>
        <w:pStyle w:val="paragraph"/>
      </w:pPr>
      <w:r w:rsidRPr="002531DC">
        <w:tab/>
        <w:t>(a</w:t>
      </w:r>
      <w:r w:rsidR="00B11AC2" w:rsidRPr="002531DC">
        <w:t>)</w:t>
      </w:r>
      <w:r w:rsidR="00B11AC2" w:rsidRPr="002531DC">
        <w:tab/>
      </w:r>
      <w:r w:rsidR="001E548D" w:rsidRPr="002531DC">
        <w:t>item</w:t>
      </w:r>
      <w:r w:rsidR="002531DC" w:rsidRPr="002531DC">
        <w:t> </w:t>
      </w:r>
      <w:r w:rsidR="00B11AC2" w:rsidRPr="002531DC">
        <w:t>6.1.3 Credit cards</w:t>
      </w:r>
      <w:r w:rsidR="0024323F" w:rsidRPr="002531DC">
        <w:t xml:space="preserve"> (un</w:t>
      </w:r>
      <w:r w:rsidR="00B11AC2" w:rsidRPr="002531DC">
        <w:t>der item</w:t>
      </w:r>
      <w:r w:rsidR="002531DC" w:rsidRPr="002531DC">
        <w:t> </w:t>
      </w:r>
      <w:r w:rsidR="00B11AC2" w:rsidRPr="002531DC">
        <w:t>6.1</w:t>
      </w:r>
      <w:r w:rsidR="00C32469" w:rsidRPr="002531DC">
        <w:t xml:space="preserve"> </w:t>
      </w:r>
      <w:r w:rsidR="00B11AC2" w:rsidRPr="002531DC">
        <w:t>Loans to Households</w:t>
      </w:r>
      <w:r w:rsidR="0024323F" w:rsidRPr="002531DC">
        <w:t>);</w:t>
      </w:r>
    </w:p>
    <w:p w:rsidR="0024323F" w:rsidRPr="002531DC" w:rsidRDefault="008040AA" w:rsidP="00383C26">
      <w:pPr>
        <w:pStyle w:val="paragraph"/>
      </w:pPr>
      <w:r w:rsidRPr="002531DC">
        <w:tab/>
        <w:t>(b</w:t>
      </w:r>
      <w:r w:rsidR="0024323F" w:rsidRPr="002531DC">
        <w:t>)</w:t>
      </w:r>
      <w:r w:rsidR="0024323F" w:rsidRPr="002531DC">
        <w:tab/>
      </w:r>
      <w:r w:rsidR="001E548D" w:rsidRPr="002531DC">
        <w:t>item</w:t>
      </w:r>
      <w:r w:rsidR="002531DC" w:rsidRPr="002531DC">
        <w:t> </w:t>
      </w:r>
      <w:r w:rsidR="0024323F" w:rsidRPr="002531DC">
        <w:t>6.2.5.2</w:t>
      </w:r>
      <w:r w:rsidR="008E473C" w:rsidRPr="002531DC">
        <w:t xml:space="preserve"> </w:t>
      </w:r>
      <w:r w:rsidR="001F6D5A" w:rsidRPr="002531DC">
        <w:t xml:space="preserve">of which: Credit cards </w:t>
      </w:r>
      <w:r w:rsidR="0024323F" w:rsidRPr="002531DC">
        <w:t>(u</w:t>
      </w:r>
      <w:r w:rsidR="00B11AC2" w:rsidRPr="002531DC">
        <w:t>nder item</w:t>
      </w:r>
      <w:r w:rsidR="002531DC" w:rsidRPr="002531DC">
        <w:t> </w:t>
      </w:r>
      <w:r w:rsidR="00B11AC2" w:rsidRPr="002531DC">
        <w:t>6.2 Commercial Lending</w:t>
      </w:r>
      <w:r w:rsidR="0024323F" w:rsidRPr="002531DC">
        <w:t xml:space="preserve"> </w:t>
      </w:r>
      <w:r w:rsidR="006C05A0" w:rsidRPr="002531DC">
        <w:t xml:space="preserve">and </w:t>
      </w:r>
      <w:r w:rsidR="0024323F" w:rsidRPr="002531DC">
        <w:t>ite</w:t>
      </w:r>
      <w:r w:rsidR="00B11AC2" w:rsidRPr="002531DC">
        <w:t>m</w:t>
      </w:r>
      <w:r w:rsidR="002531DC" w:rsidRPr="002531DC">
        <w:t> </w:t>
      </w:r>
      <w:r w:rsidR="00B11AC2" w:rsidRPr="002531DC">
        <w:t>6.2.5 Total commercial lending</w:t>
      </w:r>
      <w:r w:rsidR="008E6E12" w:rsidRPr="002531DC">
        <w:t>)</w:t>
      </w:r>
      <w:r w:rsidR="0024323F" w:rsidRPr="002531DC">
        <w:t>.</w:t>
      </w:r>
    </w:p>
    <w:p w:rsidR="0024323F" w:rsidRPr="002531DC" w:rsidRDefault="008040AA" w:rsidP="00383C26">
      <w:pPr>
        <w:pStyle w:val="subsection"/>
      </w:pPr>
      <w:r w:rsidRPr="002531DC">
        <w:tab/>
        <w:t>(4</w:t>
      </w:r>
      <w:r w:rsidR="0024323F" w:rsidRPr="002531DC">
        <w:t>)</w:t>
      </w:r>
      <w:r w:rsidR="0024323F" w:rsidRPr="002531DC">
        <w:tab/>
        <w:t xml:space="preserve">If </w:t>
      </w:r>
      <w:r w:rsidR="008E6E12" w:rsidRPr="002531DC">
        <w:t xml:space="preserve">the institution is not an ADI mentioned in </w:t>
      </w:r>
      <w:r w:rsidR="002531DC" w:rsidRPr="002531DC">
        <w:t>subsection (</w:t>
      </w:r>
      <w:r w:rsidR="0024323F" w:rsidRPr="002531DC">
        <w:t>2)</w:t>
      </w:r>
      <w:r w:rsidR="001E548D" w:rsidRPr="002531DC">
        <w:t xml:space="preserve">, the </w:t>
      </w:r>
      <w:r w:rsidR="00702B4F" w:rsidRPr="002531DC">
        <w:t>ADI’s</w:t>
      </w:r>
      <w:r w:rsidR="0024323F" w:rsidRPr="002531DC">
        <w:t xml:space="preserve"> </w:t>
      </w:r>
      <w:r w:rsidR="00C7343F" w:rsidRPr="002531DC">
        <w:t>levy base</w:t>
      </w:r>
      <w:r w:rsidR="0024323F" w:rsidRPr="002531DC">
        <w:t xml:space="preserve"> is the sum of the values of the household credit card loan assets and the commercial credit card loan asset</w:t>
      </w:r>
      <w:r w:rsidR="001E548D" w:rsidRPr="002531DC">
        <w:t xml:space="preserve">s of the </w:t>
      </w:r>
      <w:r w:rsidR="0024323F" w:rsidRPr="002531DC">
        <w:t>institution as at the valuation day, with the values of those assets being worked out in the s</w:t>
      </w:r>
      <w:r w:rsidR="006C05A0" w:rsidRPr="002531DC">
        <w:t xml:space="preserve">ame way as for the following </w:t>
      </w:r>
      <w:r w:rsidR="0024323F" w:rsidRPr="002531DC">
        <w:t>items in Form ARF 323.0:</w:t>
      </w:r>
    </w:p>
    <w:p w:rsidR="0024323F" w:rsidRPr="002531DC" w:rsidRDefault="001B42E3" w:rsidP="00383C26">
      <w:pPr>
        <w:pStyle w:val="paragraph"/>
      </w:pPr>
      <w:r w:rsidRPr="002531DC">
        <w:tab/>
        <w:t>(a)</w:t>
      </w:r>
      <w:r w:rsidRPr="002531DC">
        <w:tab/>
      </w:r>
      <w:r w:rsidR="001E548D" w:rsidRPr="002531DC">
        <w:t>item</w:t>
      </w:r>
      <w:r w:rsidR="002531DC" w:rsidRPr="002531DC">
        <w:t> </w:t>
      </w:r>
      <w:r w:rsidRPr="002531DC">
        <w:t>6.1.3 Credit cards</w:t>
      </w:r>
      <w:r w:rsidR="0024323F" w:rsidRPr="002531DC">
        <w:t xml:space="preserve"> (un</w:t>
      </w:r>
      <w:r w:rsidRPr="002531DC">
        <w:t>der item</w:t>
      </w:r>
      <w:r w:rsidR="002531DC" w:rsidRPr="002531DC">
        <w:t> </w:t>
      </w:r>
      <w:r w:rsidRPr="002531DC">
        <w:t>6.1 Loans to Households</w:t>
      </w:r>
      <w:r w:rsidR="0024323F" w:rsidRPr="002531DC">
        <w:t>);</w:t>
      </w:r>
    </w:p>
    <w:p w:rsidR="00D53DEA" w:rsidRPr="002531DC" w:rsidRDefault="0024323F" w:rsidP="00383C26">
      <w:pPr>
        <w:pStyle w:val="paragraph"/>
      </w:pPr>
      <w:r w:rsidRPr="002531DC">
        <w:tab/>
        <w:t>(b)</w:t>
      </w:r>
      <w:r w:rsidRPr="002531DC">
        <w:tab/>
      </w:r>
      <w:r w:rsidR="00C250B4" w:rsidRPr="002531DC">
        <w:t>item</w:t>
      </w:r>
      <w:r w:rsidR="002531DC" w:rsidRPr="002531DC">
        <w:t> </w:t>
      </w:r>
      <w:r w:rsidR="00C250B4" w:rsidRPr="002531DC">
        <w:t>6.2.5.2</w:t>
      </w:r>
      <w:r w:rsidR="00066191" w:rsidRPr="002531DC">
        <w:t xml:space="preserve"> </w:t>
      </w:r>
      <w:r w:rsidR="001F6D5A" w:rsidRPr="002531DC">
        <w:t xml:space="preserve">of which: Credit cards </w:t>
      </w:r>
      <w:r w:rsidR="00C250B4" w:rsidRPr="002531DC">
        <w:t>(under item</w:t>
      </w:r>
      <w:r w:rsidR="002531DC" w:rsidRPr="002531DC">
        <w:t> </w:t>
      </w:r>
      <w:r w:rsidR="00C250B4" w:rsidRPr="002531DC">
        <w:t>6.2 Commercial Lending and item</w:t>
      </w:r>
      <w:r w:rsidR="002531DC" w:rsidRPr="002531DC">
        <w:t> </w:t>
      </w:r>
      <w:r w:rsidR="00C250B4" w:rsidRPr="002531DC">
        <w:t>6.2.5 Total commercial lending).</w:t>
      </w:r>
    </w:p>
    <w:p w:rsidR="00243186" w:rsidRPr="002531DC" w:rsidRDefault="003B52C0" w:rsidP="00383C26">
      <w:pPr>
        <w:pStyle w:val="ActHead5"/>
      </w:pPr>
      <w:bookmarkStart w:id="11" w:name="_Toc359492600"/>
      <w:r w:rsidRPr="002531DC">
        <w:rPr>
          <w:rStyle w:val="CharSectno"/>
        </w:rPr>
        <w:t>9</w:t>
      </w:r>
      <w:r w:rsidR="00383C26" w:rsidRPr="002531DC">
        <w:t xml:space="preserve">  </w:t>
      </w:r>
      <w:r w:rsidR="00702B4F" w:rsidRPr="002531DC">
        <w:t>ADI’s l</w:t>
      </w:r>
      <w:r w:rsidR="00C7343F" w:rsidRPr="002531DC">
        <w:t>evy base</w:t>
      </w:r>
      <w:r w:rsidR="00743CDB" w:rsidRPr="002531DC">
        <w:t>—</w:t>
      </w:r>
      <w:r w:rsidR="00243186" w:rsidRPr="002531DC">
        <w:t>provider of purchased payment facilities</w:t>
      </w:r>
      <w:bookmarkEnd w:id="11"/>
    </w:p>
    <w:p w:rsidR="00243186" w:rsidRPr="002531DC" w:rsidRDefault="00243186" w:rsidP="00383C26">
      <w:pPr>
        <w:pStyle w:val="subsection"/>
      </w:pPr>
      <w:r w:rsidRPr="002531DC">
        <w:tab/>
      </w:r>
      <w:r w:rsidRPr="002531DC">
        <w:tab/>
        <w:t>For paragraph</w:t>
      </w:r>
      <w:r w:rsidR="002531DC" w:rsidRPr="002531DC">
        <w:t> </w:t>
      </w:r>
      <w:r w:rsidRPr="002531DC">
        <w:t xml:space="preserve">7(3)(d) of the Act, the </w:t>
      </w:r>
      <w:r w:rsidR="00702B4F" w:rsidRPr="002531DC">
        <w:t xml:space="preserve">ADI’s </w:t>
      </w:r>
      <w:r w:rsidR="00C7343F" w:rsidRPr="002531DC">
        <w:t>levy base</w:t>
      </w:r>
      <w:r w:rsidRPr="002531DC">
        <w:t xml:space="preserve"> of a provider of purchased payment facilities is the sum of the values of the following assets of the provider as at the valuation day, with the values of those assets being worked out in the same way as for the corresponding items in Form ARF 320.0:</w:t>
      </w:r>
    </w:p>
    <w:p w:rsidR="00243186" w:rsidRPr="002531DC" w:rsidRDefault="00243186" w:rsidP="00383C26">
      <w:pPr>
        <w:pStyle w:val="paragraph"/>
      </w:pPr>
      <w:r w:rsidRPr="002531DC">
        <w:lastRenderedPageBreak/>
        <w:tab/>
        <w:t>(a)</w:t>
      </w:r>
      <w:r w:rsidRPr="002531DC">
        <w:tab/>
      </w:r>
      <w:r w:rsidR="001E548D" w:rsidRPr="002531DC">
        <w:t>item</w:t>
      </w:r>
      <w:r w:rsidR="002531DC" w:rsidRPr="002531DC">
        <w:t> </w:t>
      </w:r>
      <w:r w:rsidR="001E548D" w:rsidRPr="002531DC">
        <w:t xml:space="preserve">10 </w:t>
      </w:r>
      <w:r w:rsidRPr="002531DC">
        <w:t>Total assets;</w:t>
      </w:r>
    </w:p>
    <w:p w:rsidR="00243186" w:rsidRPr="002531DC" w:rsidRDefault="00243186" w:rsidP="00383C26">
      <w:pPr>
        <w:pStyle w:val="paragraph"/>
      </w:pPr>
      <w:r w:rsidRPr="002531DC">
        <w:tab/>
        <w:t>(b)</w:t>
      </w:r>
      <w:r w:rsidRPr="002531DC">
        <w:tab/>
      </w:r>
      <w:r w:rsidR="001E548D" w:rsidRPr="002531DC">
        <w:t>item</w:t>
      </w:r>
      <w:r w:rsidR="002531DC" w:rsidRPr="002531DC">
        <w:t> </w:t>
      </w:r>
      <w:r w:rsidR="001E548D" w:rsidRPr="002531DC">
        <w:t xml:space="preserve">11.2 </w:t>
      </w:r>
      <w:r w:rsidRPr="002531DC">
        <w:t>Australian ADI operations: Total amount due from non</w:t>
      </w:r>
      <w:r w:rsidR="002531DC">
        <w:noBreakHyphen/>
      </w:r>
      <w:r w:rsidRPr="002531DC">
        <w:t>residents (excluding intra</w:t>
      </w:r>
      <w:r w:rsidR="002531DC">
        <w:noBreakHyphen/>
      </w:r>
      <w:r w:rsidRPr="002531DC">
        <w:t>company transactions);</w:t>
      </w:r>
    </w:p>
    <w:p w:rsidR="0080523E" w:rsidRPr="002531DC" w:rsidRDefault="00243186" w:rsidP="003B52C0">
      <w:pPr>
        <w:pStyle w:val="paragraph"/>
      </w:pPr>
      <w:r w:rsidRPr="002531DC">
        <w:tab/>
        <w:t>(c)</w:t>
      </w:r>
      <w:r w:rsidRPr="002531DC">
        <w:tab/>
      </w:r>
      <w:r w:rsidR="00420BAC" w:rsidRPr="002531DC">
        <w:t>item</w:t>
      </w:r>
      <w:r w:rsidR="002531DC" w:rsidRPr="002531DC">
        <w:t> </w:t>
      </w:r>
      <w:r w:rsidR="001E548D" w:rsidRPr="002531DC">
        <w:t xml:space="preserve">11.3 </w:t>
      </w:r>
      <w:r w:rsidRPr="002531DC">
        <w:t>Australian ADI operations: Total amount due from overseas operations of the ADI.</w:t>
      </w:r>
    </w:p>
    <w:sectPr w:rsidR="0080523E" w:rsidRPr="002531DC" w:rsidSect="00CA472C">
      <w:headerReference w:type="even" r:id="rId24"/>
      <w:headerReference w:type="default" r:id="rId25"/>
      <w:footerReference w:type="even" r:id="rId26"/>
      <w:footerReference w:type="default" r:id="rId27"/>
      <w:headerReference w:type="first" r:id="rId28"/>
      <w:footerReference w:type="first" r:id="rId29"/>
      <w:pgSz w:w="11907" w:h="16839" w:code="9"/>
      <w:pgMar w:top="238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9C" w:rsidRDefault="00FB7B9C">
      <w:r>
        <w:separator/>
      </w:r>
    </w:p>
  </w:endnote>
  <w:endnote w:type="continuationSeparator" w:id="0">
    <w:p w:rsidR="00FB7B9C" w:rsidRDefault="00FB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B7B9C" w:rsidRPr="00CA472C" w:rsidTr="00FB7B9C">
      <w:tc>
        <w:tcPr>
          <w:tcW w:w="8472" w:type="dxa"/>
        </w:tcPr>
        <w:p w:rsidR="00FB7B9C" w:rsidRPr="00CA472C" w:rsidRDefault="00FB7B9C" w:rsidP="00FB7B9C">
          <w:pPr>
            <w:jc w:val="right"/>
            <w:rPr>
              <w:rFonts w:cs="Times New Roman"/>
              <w:sz w:val="18"/>
            </w:rPr>
          </w:pPr>
        </w:p>
      </w:tc>
    </w:tr>
  </w:tbl>
  <w:p w:rsidR="00FB7B9C" w:rsidRPr="00CA472C" w:rsidRDefault="00CA472C" w:rsidP="00CA472C">
    <w:pPr>
      <w:pStyle w:val="Footer"/>
      <w:rPr>
        <w:sz w:val="18"/>
      </w:rPr>
    </w:pPr>
    <w:r>
      <w:rPr>
        <w:sz w:val="18"/>
      </w:rPr>
      <w:t>OPC60122</w:t>
    </w:r>
    <w:r w:rsidRPr="00CA472C">
      <w:rPr>
        <w:sz w:val="18"/>
      </w:rPr>
      <w:t xml:space="preserve">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FB7B9C" w:rsidTr="00FB7B9C">
      <w:tc>
        <w:tcPr>
          <w:tcW w:w="8472" w:type="dxa"/>
        </w:tcPr>
        <w:p w:rsidR="00FB7B9C" w:rsidRDefault="00FB7B9C" w:rsidP="00FB7B9C">
          <w:pPr>
            <w:rPr>
              <w:sz w:val="18"/>
            </w:rPr>
          </w:pPr>
        </w:p>
      </w:tc>
    </w:tr>
  </w:tbl>
  <w:p w:rsidR="00FB7B9C" w:rsidRPr="007500C8" w:rsidRDefault="00CA472C" w:rsidP="00CA472C">
    <w:pPr>
      <w:pStyle w:val="Footer"/>
    </w:pPr>
    <w:r>
      <w:t>OPC60122</w:t>
    </w:r>
    <w:r w:rsidRPr="00CA472C">
      <w:rPr>
        <w:sz w:val="18"/>
      </w:rPr>
      <w:t xml:space="preserve">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ED79B6" w:rsidRDefault="00FB7B9C" w:rsidP="00CB7D6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CA472C" w:rsidRDefault="00FB7B9C" w:rsidP="00CB7D66">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FB7B9C" w:rsidRPr="00CA472C" w:rsidTr="00FB7B9C">
      <w:tc>
        <w:tcPr>
          <w:tcW w:w="709" w:type="dxa"/>
          <w:tcBorders>
            <w:top w:val="nil"/>
            <w:left w:val="nil"/>
            <w:bottom w:val="nil"/>
            <w:right w:val="nil"/>
          </w:tcBorders>
        </w:tcPr>
        <w:p w:rsidR="00FB7B9C" w:rsidRPr="00CA472C" w:rsidRDefault="00FB7B9C" w:rsidP="00FB7B9C">
          <w:pPr>
            <w:spacing w:line="0" w:lineRule="atLeast"/>
            <w:rPr>
              <w:rFonts w:cs="Times New Roman"/>
              <w:sz w:val="18"/>
            </w:rPr>
          </w:pPr>
          <w:r w:rsidRPr="00CA472C">
            <w:rPr>
              <w:rFonts w:cs="Times New Roman"/>
              <w:i/>
              <w:sz w:val="18"/>
            </w:rPr>
            <w:fldChar w:fldCharType="begin"/>
          </w:r>
          <w:r w:rsidRPr="00CA472C">
            <w:rPr>
              <w:rFonts w:cs="Times New Roman"/>
              <w:i/>
              <w:sz w:val="18"/>
            </w:rPr>
            <w:instrText xml:space="preserve"> PAGE </w:instrText>
          </w:r>
          <w:r w:rsidRPr="00CA472C">
            <w:rPr>
              <w:rFonts w:cs="Times New Roman"/>
              <w:i/>
              <w:sz w:val="18"/>
            </w:rPr>
            <w:fldChar w:fldCharType="separate"/>
          </w:r>
          <w:r w:rsidR="00342AB4">
            <w:rPr>
              <w:rFonts w:cs="Times New Roman"/>
              <w:i/>
              <w:noProof/>
              <w:sz w:val="18"/>
            </w:rPr>
            <w:t>iv</w:t>
          </w:r>
          <w:r w:rsidRPr="00CA472C">
            <w:rPr>
              <w:rFonts w:cs="Times New Roman"/>
              <w:i/>
              <w:sz w:val="18"/>
            </w:rPr>
            <w:fldChar w:fldCharType="end"/>
          </w:r>
        </w:p>
      </w:tc>
      <w:tc>
        <w:tcPr>
          <w:tcW w:w="6379" w:type="dxa"/>
          <w:tcBorders>
            <w:top w:val="nil"/>
            <w:left w:val="nil"/>
            <w:bottom w:val="nil"/>
            <w:right w:val="nil"/>
          </w:tcBorders>
        </w:tcPr>
        <w:p w:rsidR="00FB7B9C" w:rsidRPr="00CA472C" w:rsidRDefault="00FB7B9C" w:rsidP="00FB7B9C">
          <w:pPr>
            <w:spacing w:line="0" w:lineRule="atLeast"/>
            <w:jc w:val="center"/>
            <w:rPr>
              <w:rFonts w:cs="Times New Roman"/>
              <w:sz w:val="18"/>
            </w:rPr>
          </w:pPr>
          <w:r w:rsidRPr="00CA472C">
            <w:rPr>
              <w:rFonts w:cs="Times New Roman"/>
              <w:i/>
              <w:sz w:val="18"/>
            </w:rPr>
            <w:fldChar w:fldCharType="begin"/>
          </w:r>
          <w:r w:rsidRPr="00CA472C">
            <w:rPr>
              <w:rFonts w:cs="Times New Roman"/>
              <w:i/>
              <w:sz w:val="18"/>
            </w:rPr>
            <w:instrText xml:space="preserve"> DOCPROPERTY ShortT </w:instrText>
          </w:r>
          <w:r w:rsidRPr="00CA472C">
            <w:rPr>
              <w:rFonts w:cs="Times New Roman"/>
              <w:i/>
              <w:sz w:val="18"/>
            </w:rPr>
            <w:fldChar w:fldCharType="separate"/>
          </w:r>
          <w:r w:rsidR="00342AB4">
            <w:rPr>
              <w:rFonts w:cs="Times New Roman"/>
              <w:i/>
              <w:sz w:val="18"/>
            </w:rPr>
            <w:t>Authorised Deposit</w:t>
          </w:r>
          <w:r w:rsidR="00342AB4">
            <w:rPr>
              <w:rFonts w:cs="Times New Roman"/>
              <w:i/>
              <w:sz w:val="18"/>
            </w:rPr>
            <w:noBreakHyphen/>
            <w:t>taking Institutions Supervisory Levy Imposition Determination 2013</w:t>
          </w:r>
          <w:r w:rsidRPr="00CA472C">
            <w:rPr>
              <w:rFonts w:cs="Times New Roman"/>
              <w:i/>
              <w:sz w:val="18"/>
            </w:rPr>
            <w:fldChar w:fldCharType="end"/>
          </w:r>
        </w:p>
      </w:tc>
      <w:tc>
        <w:tcPr>
          <w:tcW w:w="1383" w:type="dxa"/>
          <w:tcBorders>
            <w:top w:val="nil"/>
            <w:left w:val="nil"/>
            <w:bottom w:val="nil"/>
            <w:right w:val="nil"/>
          </w:tcBorders>
        </w:tcPr>
        <w:p w:rsidR="00FB7B9C" w:rsidRPr="00CA472C" w:rsidRDefault="00FB7B9C" w:rsidP="00FB7B9C">
          <w:pPr>
            <w:spacing w:line="0" w:lineRule="atLeast"/>
            <w:jc w:val="right"/>
            <w:rPr>
              <w:rFonts w:cs="Times New Roman"/>
              <w:sz w:val="18"/>
            </w:rPr>
          </w:pPr>
        </w:p>
      </w:tc>
    </w:tr>
    <w:tr w:rsidR="00FB7B9C" w:rsidRPr="00CA472C"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B7B9C" w:rsidRPr="00CA472C" w:rsidRDefault="00FB7B9C" w:rsidP="00FB7B9C">
          <w:pPr>
            <w:jc w:val="right"/>
            <w:rPr>
              <w:rFonts w:cs="Times New Roman"/>
              <w:sz w:val="18"/>
            </w:rPr>
          </w:pPr>
        </w:p>
      </w:tc>
    </w:tr>
  </w:tbl>
  <w:p w:rsidR="00FB7B9C" w:rsidRPr="00CA472C" w:rsidRDefault="00CA472C" w:rsidP="00CA472C">
    <w:pPr>
      <w:rPr>
        <w:rFonts w:cs="Times New Roman"/>
        <w:i/>
        <w:sz w:val="18"/>
      </w:rPr>
    </w:pPr>
    <w:r>
      <w:rPr>
        <w:rFonts w:cs="Times New Roman"/>
        <w:i/>
        <w:sz w:val="18"/>
      </w:rPr>
      <w:t>OPC60122</w:t>
    </w:r>
    <w:r w:rsidRPr="00CA472C">
      <w:rPr>
        <w:rFonts w:cs="Times New Roman"/>
        <w:i/>
        <w:sz w:val="18"/>
      </w:rPr>
      <w:t xml:space="preserve">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E33C1C" w:rsidRDefault="00FB7B9C" w:rsidP="00CB7D6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B7B9C" w:rsidTr="00FB7B9C">
      <w:tc>
        <w:tcPr>
          <w:tcW w:w="1383" w:type="dxa"/>
          <w:tcBorders>
            <w:top w:val="nil"/>
            <w:left w:val="nil"/>
            <w:bottom w:val="nil"/>
            <w:right w:val="nil"/>
          </w:tcBorders>
        </w:tcPr>
        <w:p w:rsidR="00FB7B9C" w:rsidRDefault="00FB7B9C" w:rsidP="00FB7B9C">
          <w:pPr>
            <w:spacing w:line="0" w:lineRule="atLeast"/>
            <w:rPr>
              <w:sz w:val="18"/>
            </w:rPr>
          </w:pPr>
        </w:p>
      </w:tc>
      <w:tc>
        <w:tcPr>
          <w:tcW w:w="6380" w:type="dxa"/>
          <w:tcBorders>
            <w:top w:val="nil"/>
            <w:left w:val="nil"/>
            <w:bottom w:val="nil"/>
            <w:right w:val="nil"/>
          </w:tcBorders>
        </w:tcPr>
        <w:p w:rsidR="00FB7B9C" w:rsidRDefault="00FB7B9C" w:rsidP="00FB7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2AB4">
            <w:rPr>
              <w:i/>
              <w:sz w:val="18"/>
            </w:rPr>
            <w:t>Authorised Deposit</w:t>
          </w:r>
          <w:r w:rsidR="00342AB4">
            <w:rPr>
              <w:i/>
              <w:sz w:val="18"/>
            </w:rPr>
            <w:noBreakHyphen/>
            <w:t>taking Institutions Supervisory Levy Imposition Determination 2013</w:t>
          </w:r>
          <w:r w:rsidRPr="007A1328">
            <w:rPr>
              <w:i/>
              <w:sz w:val="18"/>
            </w:rPr>
            <w:fldChar w:fldCharType="end"/>
          </w:r>
        </w:p>
      </w:tc>
      <w:tc>
        <w:tcPr>
          <w:tcW w:w="709" w:type="dxa"/>
          <w:tcBorders>
            <w:top w:val="nil"/>
            <w:left w:val="nil"/>
            <w:bottom w:val="nil"/>
            <w:right w:val="nil"/>
          </w:tcBorders>
        </w:tcPr>
        <w:p w:rsidR="00FB7B9C" w:rsidRDefault="00FB7B9C" w:rsidP="00FB7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AB4">
            <w:rPr>
              <w:i/>
              <w:noProof/>
              <w:sz w:val="18"/>
            </w:rPr>
            <w:t>i</w:t>
          </w:r>
          <w:r w:rsidRPr="00ED79B6">
            <w:rPr>
              <w:i/>
              <w:sz w:val="18"/>
            </w:rPr>
            <w:fldChar w:fldCharType="end"/>
          </w:r>
        </w:p>
      </w:tc>
    </w:tr>
    <w:tr w:rsidR="00FB7B9C"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B7B9C" w:rsidRDefault="00FB7B9C" w:rsidP="00FB7B9C">
          <w:pPr>
            <w:rPr>
              <w:sz w:val="18"/>
            </w:rPr>
          </w:pPr>
        </w:p>
      </w:tc>
    </w:tr>
  </w:tbl>
  <w:p w:rsidR="00FB7B9C" w:rsidRPr="00ED79B6" w:rsidRDefault="00CA472C" w:rsidP="00CA472C">
    <w:pPr>
      <w:rPr>
        <w:i/>
        <w:sz w:val="18"/>
      </w:rPr>
    </w:pPr>
    <w:r>
      <w:rPr>
        <w:i/>
        <w:sz w:val="18"/>
      </w:rPr>
      <w:t>OPC60122</w:t>
    </w:r>
    <w:r w:rsidRPr="00CA472C">
      <w:rPr>
        <w:rFonts w:cs="Times New Roman"/>
        <w:i/>
        <w:sz w:val="18"/>
      </w:rPr>
      <w:t xml:space="preserve">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CA472C" w:rsidRDefault="00FB7B9C" w:rsidP="00CB7D66">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FB7B9C" w:rsidRPr="00CA472C" w:rsidTr="00FB7B9C">
      <w:tc>
        <w:tcPr>
          <w:tcW w:w="709" w:type="dxa"/>
          <w:tcBorders>
            <w:top w:val="nil"/>
            <w:left w:val="nil"/>
            <w:bottom w:val="nil"/>
            <w:right w:val="nil"/>
          </w:tcBorders>
        </w:tcPr>
        <w:p w:rsidR="00FB7B9C" w:rsidRPr="00CA472C" w:rsidRDefault="00FB7B9C" w:rsidP="00FB7B9C">
          <w:pPr>
            <w:spacing w:line="0" w:lineRule="atLeast"/>
            <w:rPr>
              <w:rFonts w:cs="Times New Roman"/>
              <w:sz w:val="18"/>
            </w:rPr>
          </w:pPr>
          <w:r w:rsidRPr="00CA472C">
            <w:rPr>
              <w:rFonts w:cs="Times New Roman"/>
              <w:i/>
              <w:sz w:val="18"/>
            </w:rPr>
            <w:fldChar w:fldCharType="begin"/>
          </w:r>
          <w:r w:rsidRPr="00CA472C">
            <w:rPr>
              <w:rFonts w:cs="Times New Roman"/>
              <w:i/>
              <w:sz w:val="18"/>
            </w:rPr>
            <w:instrText xml:space="preserve"> PAGE </w:instrText>
          </w:r>
          <w:r w:rsidRPr="00CA472C">
            <w:rPr>
              <w:rFonts w:cs="Times New Roman"/>
              <w:i/>
              <w:sz w:val="18"/>
            </w:rPr>
            <w:fldChar w:fldCharType="separate"/>
          </w:r>
          <w:r w:rsidR="00342AB4">
            <w:rPr>
              <w:rFonts w:cs="Times New Roman"/>
              <w:i/>
              <w:noProof/>
              <w:sz w:val="18"/>
            </w:rPr>
            <w:t>4</w:t>
          </w:r>
          <w:r w:rsidRPr="00CA472C">
            <w:rPr>
              <w:rFonts w:cs="Times New Roman"/>
              <w:i/>
              <w:sz w:val="18"/>
            </w:rPr>
            <w:fldChar w:fldCharType="end"/>
          </w:r>
        </w:p>
      </w:tc>
      <w:tc>
        <w:tcPr>
          <w:tcW w:w="6379" w:type="dxa"/>
          <w:tcBorders>
            <w:top w:val="nil"/>
            <w:left w:val="nil"/>
            <w:bottom w:val="nil"/>
            <w:right w:val="nil"/>
          </w:tcBorders>
        </w:tcPr>
        <w:p w:rsidR="00FB7B9C" w:rsidRPr="00CA472C" w:rsidRDefault="00FB7B9C" w:rsidP="00FB7B9C">
          <w:pPr>
            <w:spacing w:line="0" w:lineRule="atLeast"/>
            <w:jc w:val="center"/>
            <w:rPr>
              <w:rFonts w:cs="Times New Roman"/>
              <w:sz w:val="18"/>
            </w:rPr>
          </w:pPr>
          <w:r w:rsidRPr="00CA472C">
            <w:rPr>
              <w:rFonts w:cs="Times New Roman"/>
              <w:i/>
              <w:sz w:val="18"/>
            </w:rPr>
            <w:fldChar w:fldCharType="begin"/>
          </w:r>
          <w:r w:rsidRPr="00CA472C">
            <w:rPr>
              <w:rFonts w:cs="Times New Roman"/>
              <w:i/>
              <w:sz w:val="18"/>
            </w:rPr>
            <w:instrText xml:space="preserve"> DOCPROPERTY ShortT </w:instrText>
          </w:r>
          <w:r w:rsidRPr="00CA472C">
            <w:rPr>
              <w:rFonts w:cs="Times New Roman"/>
              <w:i/>
              <w:sz w:val="18"/>
            </w:rPr>
            <w:fldChar w:fldCharType="separate"/>
          </w:r>
          <w:r w:rsidR="00342AB4">
            <w:rPr>
              <w:rFonts w:cs="Times New Roman"/>
              <w:i/>
              <w:sz w:val="18"/>
            </w:rPr>
            <w:t>Authorised Deposit</w:t>
          </w:r>
          <w:r w:rsidR="00342AB4">
            <w:rPr>
              <w:rFonts w:cs="Times New Roman"/>
              <w:i/>
              <w:sz w:val="18"/>
            </w:rPr>
            <w:noBreakHyphen/>
            <w:t>taking Institutions Supervisory Levy Imposition Determination 2013</w:t>
          </w:r>
          <w:r w:rsidRPr="00CA472C">
            <w:rPr>
              <w:rFonts w:cs="Times New Roman"/>
              <w:i/>
              <w:sz w:val="18"/>
            </w:rPr>
            <w:fldChar w:fldCharType="end"/>
          </w:r>
        </w:p>
      </w:tc>
      <w:tc>
        <w:tcPr>
          <w:tcW w:w="1383" w:type="dxa"/>
          <w:tcBorders>
            <w:top w:val="nil"/>
            <w:left w:val="nil"/>
            <w:bottom w:val="nil"/>
            <w:right w:val="nil"/>
          </w:tcBorders>
        </w:tcPr>
        <w:p w:rsidR="00FB7B9C" w:rsidRPr="00CA472C" w:rsidRDefault="00FB7B9C" w:rsidP="00FB7B9C">
          <w:pPr>
            <w:spacing w:line="0" w:lineRule="atLeast"/>
            <w:jc w:val="right"/>
            <w:rPr>
              <w:rFonts w:cs="Times New Roman"/>
              <w:sz w:val="18"/>
            </w:rPr>
          </w:pPr>
        </w:p>
      </w:tc>
    </w:tr>
    <w:tr w:rsidR="00FB7B9C" w:rsidRPr="00CA472C"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B7B9C" w:rsidRPr="00CA472C" w:rsidRDefault="00FB7B9C" w:rsidP="00FB7B9C">
          <w:pPr>
            <w:jc w:val="right"/>
            <w:rPr>
              <w:rFonts w:cs="Times New Roman"/>
              <w:sz w:val="18"/>
            </w:rPr>
          </w:pPr>
        </w:p>
      </w:tc>
    </w:tr>
  </w:tbl>
  <w:p w:rsidR="00FB7B9C" w:rsidRPr="00CA472C" w:rsidRDefault="00CA472C" w:rsidP="00CA472C">
    <w:pPr>
      <w:rPr>
        <w:rFonts w:cs="Times New Roman"/>
        <w:i/>
        <w:sz w:val="18"/>
      </w:rPr>
    </w:pPr>
    <w:r>
      <w:rPr>
        <w:rFonts w:cs="Times New Roman"/>
        <w:i/>
        <w:sz w:val="18"/>
      </w:rPr>
      <w:t>OPC60122</w:t>
    </w:r>
    <w:r w:rsidRPr="00CA472C">
      <w:rPr>
        <w:rFonts w:cs="Times New Roman"/>
        <w:i/>
        <w:sz w:val="18"/>
      </w:rPr>
      <w:t xml:space="preserve">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E33C1C" w:rsidRDefault="00FB7B9C" w:rsidP="00CB7D6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B7B9C" w:rsidTr="00FB7B9C">
      <w:tc>
        <w:tcPr>
          <w:tcW w:w="1384" w:type="dxa"/>
          <w:tcBorders>
            <w:top w:val="nil"/>
            <w:left w:val="nil"/>
            <w:bottom w:val="nil"/>
            <w:right w:val="nil"/>
          </w:tcBorders>
        </w:tcPr>
        <w:p w:rsidR="00FB7B9C" w:rsidRDefault="00FB7B9C" w:rsidP="00FB7B9C">
          <w:pPr>
            <w:spacing w:line="0" w:lineRule="atLeast"/>
            <w:rPr>
              <w:sz w:val="18"/>
            </w:rPr>
          </w:pPr>
        </w:p>
      </w:tc>
      <w:tc>
        <w:tcPr>
          <w:tcW w:w="6379" w:type="dxa"/>
          <w:tcBorders>
            <w:top w:val="nil"/>
            <w:left w:val="nil"/>
            <w:bottom w:val="nil"/>
            <w:right w:val="nil"/>
          </w:tcBorders>
        </w:tcPr>
        <w:p w:rsidR="00FB7B9C" w:rsidRDefault="00FB7B9C" w:rsidP="00FB7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2AB4">
            <w:rPr>
              <w:i/>
              <w:sz w:val="18"/>
            </w:rPr>
            <w:t>Authorised Deposit</w:t>
          </w:r>
          <w:r w:rsidR="00342AB4">
            <w:rPr>
              <w:i/>
              <w:sz w:val="18"/>
            </w:rPr>
            <w:noBreakHyphen/>
            <w:t>taking Institutions Supervisory Levy Imposition Determination 2013</w:t>
          </w:r>
          <w:r w:rsidRPr="007A1328">
            <w:rPr>
              <w:i/>
              <w:sz w:val="18"/>
            </w:rPr>
            <w:fldChar w:fldCharType="end"/>
          </w:r>
        </w:p>
      </w:tc>
      <w:tc>
        <w:tcPr>
          <w:tcW w:w="709" w:type="dxa"/>
          <w:tcBorders>
            <w:top w:val="nil"/>
            <w:left w:val="nil"/>
            <w:bottom w:val="nil"/>
            <w:right w:val="nil"/>
          </w:tcBorders>
        </w:tcPr>
        <w:p w:rsidR="00FB7B9C" w:rsidRDefault="00FB7B9C" w:rsidP="00FB7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AB4">
            <w:rPr>
              <w:i/>
              <w:noProof/>
              <w:sz w:val="18"/>
            </w:rPr>
            <w:t>5</w:t>
          </w:r>
          <w:r w:rsidRPr="00ED79B6">
            <w:rPr>
              <w:i/>
              <w:sz w:val="18"/>
            </w:rPr>
            <w:fldChar w:fldCharType="end"/>
          </w:r>
        </w:p>
      </w:tc>
    </w:tr>
    <w:tr w:rsidR="00FB7B9C"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B7B9C" w:rsidRDefault="00FB7B9C" w:rsidP="00FB7B9C">
          <w:pPr>
            <w:rPr>
              <w:sz w:val="18"/>
            </w:rPr>
          </w:pPr>
        </w:p>
      </w:tc>
    </w:tr>
  </w:tbl>
  <w:p w:rsidR="00FB7B9C" w:rsidRPr="00ED79B6" w:rsidRDefault="00CA472C" w:rsidP="00CA472C">
    <w:pPr>
      <w:rPr>
        <w:i/>
        <w:sz w:val="18"/>
      </w:rPr>
    </w:pPr>
    <w:r>
      <w:rPr>
        <w:i/>
        <w:sz w:val="18"/>
      </w:rPr>
      <w:t>OPC60122</w:t>
    </w:r>
    <w:r w:rsidRPr="00CA472C">
      <w:rPr>
        <w:rFonts w:cs="Times New Roman"/>
        <w:i/>
        <w:sz w:val="18"/>
      </w:rPr>
      <w:t xml:space="preserve">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E33C1C" w:rsidRDefault="00FB7B9C" w:rsidP="00CB7D6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B7B9C" w:rsidTr="00FB7B9C">
      <w:tc>
        <w:tcPr>
          <w:tcW w:w="1384" w:type="dxa"/>
          <w:tcBorders>
            <w:top w:val="nil"/>
            <w:left w:val="nil"/>
            <w:bottom w:val="nil"/>
            <w:right w:val="nil"/>
          </w:tcBorders>
        </w:tcPr>
        <w:p w:rsidR="00FB7B9C" w:rsidRDefault="00FB7B9C" w:rsidP="00FB7B9C">
          <w:pPr>
            <w:spacing w:line="0" w:lineRule="atLeast"/>
            <w:rPr>
              <w:sz w:val="18"/>
            </w:rPr>
          </w:pPr>
        </w:p>
      </w:tc>
      <w:tc>
        <w:tcPr>
          <w:tcW w:w="6379" w:type="dxa"/>
          <w:tcBorders>
            <w:top w:val="nil"/>
            <w:left w:val="nil"/>
            <w:bottom w:val="nil"/>
            <w:right w:val="nil"/>
          </w:tcBorders>
        </w:tcPr>
        <w:p w:rsidR="00FB7B9C" w:rsidRDefault="00FB7B9C" w:rsidP="00FB7B9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42AB4">
            <w:rPr>
              <w:i/>
              <w:sz w:val="18"/>
            </w:rPr>
            <w:t>Authorised Deposit</w:t>
          </w:r>
          <w:r w:rsidR="00342AB4">
            <w:rPr>
              <w:i/>
              <w:sz w:val="18"/>
            </w:rPr>
            <w:noBreakHyphen/>
            <w:t>taking Institutions Supervisory Levy Imposition Determination 2013</w:t>
          </w:r>
          <w:r w:rsidRPr="007A1328">
            <w:rPr>
              <w:i/>
              <w:sz w:val="18"/>
            </w:rPr>
            <w:fldChar w:fldCharType="end"/>
          </w:r>
        </w:p>
      </w:tc>
      <w:tc>
        <w:tcPr>
          <w:tcW w:w="709" w:type="dxa"/>
          <w:tcBorders>
            <w:top w:val="nil"/>
            <w:left w:val="nil"/>
            <w:bottom w:val="nil"/>
            <w:right w:val="nil"/>
          </w:tcBorders>
        </w:tcPr>
        <w:p w:rsidR="00FB7B9C" w:rsidRDefault="00FB7B9C" w:rsidP="00FB7B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2AB4">
            <w:rPr>
              <w:i/>
              <w:noProof/>
              <w:sz w:val="18"/>
            </w:rPr>
            <w:t>4</w:t>
          </w:r>
          <w:r w:rsidRPr="00ED79B6">
            <w:rPr>
              <w:i/>
              <w:sz w:val="18"/>
            </w:rPr>
            <w:fldChar w:fldCharType="end"/>
          </w:r>
        </w:p>
      </w:tc>
    </w:tr>
    <w:tr w:rsidR="00FB7B9C" w:rsidTr="00FB7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FB7B9C" w:rsidRDefault="00FB7B9C" w:rsidP="00FB7B9C">
          <w:pPr>
            <w:rPr>
              <w:sz w:val="18"/>
            </w:rPr>
          </w:pPr>
        </w:p>
      </w:tc>
    </w:tr>
  </w:tbl>
  <w:p w:rsidR="00FB7B9C" w:rsidRPr="00ED79B6" w:rsidRDefault="00FB7B9C" w:rsidP="00CB7D6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9C" w:rsidRDefault="00FB7B9C">
      <w:r>
        <w:separator/>
      </w:r>
    </w:p>
  </w:footnote>
  <w:footnote w:type="continuationSeparator" w:id="0">
    <w:p w:rsidR="00FB7B9C" w:rsidRDefault="00FB7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5F1388" w:rsidRDefault="00FB7B9C" w:rsidP="00FB7B9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5F1388" w:rsidRDefault="00FB7B9C" w:rsidP="00FB7B9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5F1388" w:rsidRDefault="00FB7B9C" w:rsidP="00FB7B9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ED79B6" w:rsidRDefault="00FB7B9C" w:rsidP="00FB7B9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ED79B6" w:rsidRDefault="00FB7B9C" w:rsidP="00FB7B9C">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ED79B6" w:rsidRDefault="00FB7B9C" w:rsidP="00FB7B9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Default="00FB7B9C" w:rsidP="00FB7B9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B7B9C" w:rsidRDefault="00FB7B9C" w:rsidP="00FB7B9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B7B9C" w:rsidRPr="007A1328" w:rsidRDefault="00FB7B9C" w:rsidP="00FB7B9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B7B9C" w:rsidRPr="007A1328" w:rsidRDefault="00FB7B9C" w:rsidP="00FB7B9C">
    <w:pPr>
      <w:rPr>
        <w:b/>
        <w:sz w:val="24"/>
      </w:rPr>
    </w:pPr>
  </w:p>
  <w:p w:rsidR="00FB7B9C" w:rsidRPr="007A1328" w:rsidRDefault="00FB7B9C" w:rsidP="00FB7B9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42AB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42AB4">
      <w:rPr>
        <w:noProof/>
        <w:sz w:val="24"/>
      </w:rPr>
      <w:t>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7A1328" w:rsidRDefault="00FB7B9C" w:rsidP="00FB7B9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B7B9C" w:rsidRPr="007A1328" w:rsidRDefault="00FB7B9C" w:rsidP="00FB7B9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B7B9C" w:rsidRPr="007A1328" w:rsidRDefault="00FB7B9C" w:rsidP="00FB7B9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B7B9C" w:rsidRPr="007A1328" w:rsidRDefault="00FB7B9C" w:rsidP="00FB7B9C">
    <w:pPr>
      <w:jc w:val="right"/>
      <w:rPr>
        <w:b/>
        <w:sz w:val="24"/>
      </w:rPr>
    </w:pPr>
  </w:p>
  <w:p w:rsidR="00FB7B9C" w:rsidRPr="007A1328" w:rsidRDefault="00FB7B9C" w:rsidP="00FB7B9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42AB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42AB4">
      <w:rPr>
        <w:noProof/>
        <w:sz w:val="24"/>
      </w:rPr>
      <w:t>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9C" w:rsidRPr="007A1328" w:rsidRDefault="00FB7B9C" w:rsidP="00FB7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3"/>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12"/>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38A0"/>
    <w:rsid w:val="00012F8A"/>
    <w:rsid w:val="0001662A"/>
    <w:rsid w:val="00020108"/>
    <w:rsid w:val="00021CAB"/>
    <w:rsid w:val="000312DE"/>
    <w:rsid w:val="00032F2C"/>
    <w:rsid w:val="000342AA"/>
    <w:rsid w:val="00040090"/>
    <w:rsid w:val="000403D5"/>
    <w:rsid w:val="000427E4"/>
    <w:rsid w:val="00042EF5"/>
    <w:rsid w:val="00045BA4"/>
    <w:rsid w:val="00045F1B"/>
    <w:rsid w:val="000521B7"/>
    <w:rsid w:val="00052F0C"/>
    <w:rsid w:val="0005339D"/>
    <w:rsid w:val="000574F6"/>
    <w:rsid w:val="00060076"/>
    <w:rsid w:val="000646EC"/>
    <w:rsid w:val="00065118"/>
    <w:rsid w:val="00065296"/>
    <w:rsid w:val="00066191"/>
    <w:rsid w:val="000715D1"/>
    <w:rsid w:val="0007774F"/>
    <w:rsid w:val="000804C9"/>
    <w:rsid w:val="0008056D"/>
    <w:rsid w:val="00081214"/>
    <w:rsid w:val="00082916"/>
    <w:rsid w:val="00083189"/>
    <w:rsid w:val="00083608"/>
    <w:rsid w:val="00084025"/>
    <w:rsid w:val="00084194"/>
    <w:rsid w:val="0008560A"/>
    <w:rsid w:val="00087B23"/>
    <w:rsid w:val="00091146"/>
    <w:rsid w:val="00091A78"/>
    <w:rsid w:val="00092FB4"/>
    <w:rsid w:val="000951BE"/>
    <w:rsid w:val="00095849"/>
    <w:rsid w:val="000960C1"/>
    <w:rsid w:val="00096E15"/>
    <w:rsid w:val="000A0032"/>
    <w:rsid w:val="000A0788"/>
    <w:rsid w:val="000A0CCA"/>
    <w:rsid w:val="000A1742"/>
    <w:rsid w:val="000A1E6B"/>
    <w:rsid w:val="000A620C"/>
    <w:rsid w:val="000A6418"/>
    <w:rsid w:val="000A7869"/>
    <w:rsid w:val="000B0F56"/>
    <w:rsid w:val="000B4121"/>
    <w:rsid w:val="000B51B3"/>
    <w:rsid w:val="000C2C9B"/>
    <w:rsid w:val="000C3C97"/>
    <w:rsid w:val="000C6FB1"/>
    <w:rsid w:val="000D0985"/>
    <w:rsid w:val="000D1916"/>
    <w:rsid w:val="000D3D6A"/>
    <w:rsid w:val="000D51B7"/>
    <w:rsid w:val="000D629B"/>
    <w:rsid w:val="000E16EC"/>
    <w:rsid w:val="000E27E3"/>
    <w:rsid w:val="000E306B"/>
    <w:rsid w:val="000E3BDA"/>
    <w:rsid w:val="000E48BD"/>
    <w:rsid w:val="000E7494"/>
    <w:rsid w:val="000F3405"/>
    <w:rsid w:val="000F566D"/>
    <w:rsid w:val="000F713A"/>
    <w:rsid w:val="00105BB8"/>
    <w:rsid w:val="00111D90"/>
    <w:rsid w:val="001139D6"/>
    <w:rsid w:val="0011561F"/>
    <w:rsid w:val="00115775"/>
    <w:rsid w:val="001162F9"/>
    <w:rsid w:val="00116989"/>
    <w:rsid w:val="00116BD2"/>
    <w:rsid w:val="0012055B"/>
    <w:rsid w:val="00122896"/>
    <w:rsid w:val="00125657"/>
    <w:rsid w:val="001312D8"/>
    <w:rsid w:val="00132573"/>
    <w:rsid w:val="001328CE"/>
    <w:rsid w:val="00133143"/>
    <w:rsid w:val="00133C72"/>
    <w:rsid w:val="00134DDC"/>
    <w:rsid w:val="00140090"/>
    <w:rsid w:val="001409F1"/>
    <w:rsid w:val="0014186A"/>
    <w:rsid w:val="00141CBA"/>
    <w:rsid w:val="00143B9A"/>
    <w:rsid w:val="00144DE3"/>
    <w:rsid w:val="00146B10"/>
    <w:rsid w:val="00153195"/>
    <w:rsid w:val="00162609"/>
    <w:rsid w:val="001646F9"/>
    <w:rsid w:val="00164935"/>
    <w:rsid w:val="00165D61"/>
    <w:rsid w:val="00176654"/>
    <w:rsid w:val="0017685B"/>
    <w:rsid w:val="0018362C"/>
    <w:rsid w:val="001838B9"/>
    <w:rsid w:val="00185F83"/>
    <w:rsid w:val="00186360"/>
    <w:rsid w:val="00187D63"/>
    <w:rsid w:val="00191FA5"/>
    <w:rsid w:val="00192330"/>
    <w:rsid w:val="00192C10"/>
    <w:rsid w:val="00193F32"/>
    <w:rsid w:val="00194DC1"/>
    <w:rsid w:val="001A0932"/>
    <w:rsid w:val="001A2FD9"/>
    <w:rsid w:val="001A4DD7"/>
    <w:rsid w:val="001A6C59"/>
    <w:rsid w:val="001B07C6"/>
    <w:rsid w:val="001B1122"/>
    <w:rsid w:val="001B42E3"/>
    <w:rsid w:val="001B4E06"/>
    <w:rsid w:val="001B788F"/>
    <w:rsid w:val="001C22F5"/>
    <w:rsid w:val="001C25FE"/>
    <w:rsid w:val="001D6D71"/>
    <w:rsid w:val="001E092D"/>
    <w:rsid w:val="001E4783"/>
    <w:rsid w:val="001E548D"/>
    <w:rsid w:val="001E5651"/>
    <w:rsid w:val="001F108C"/>
    <w:rsid w:val="001F2367"/>
    <w:rsid w:val="001F41C5"/>
    <w:rsid w:val="001F6D5A"/>
    <w:rsid w:val="001F7D9A"/>
    <w:rsid w:val="002013A1"/>
    <w:rsid w:val="002015B2"/>
    <w:rsid w:val="00202F6F"/>
    <w:rsid w:val="00203232"/>
    <w:rsid w:val="00210652"/>
    <w:rsid w:val="00213B2C"/>
    <w:rsid w:val="00214C3B"/>
    <w:rsid w:val="00214D51"/>
    <w:rsid w:val="00216A8C"/>
    <w:rsid w:val="00220C7B"/>
    <w:rsid w:val="00222C9D"/>
    <w:rsid w:val="00222FD0"/>
    <w:rsid w:val="00224236"/>
    <w:rsid w:val="00224C7B"/>
    <w:rsid w:val="00224E32"/>
    <w:rsid w:val="002252C7"/>
    <w:rsid w:val="0022734F"/>
    <w:rsid w:val="0023084F"/>
    <w:rsid w:val="00233C57"/>
    <w:rsid w:val="0023489C"/>
    <w:rsid w:val="00235F9D"/>
    <w:rsid w:val="00237938"/>
    <w:rsid w:val="0024222C"/>
    <w:rsid w:val="00243186"/>
    <w:rsid w:val="0024323F"/>
    <w:rsid w:val="00243601"/>
    <w:rsid w:val="00244C01"/>
    <w:rsid w:val="00246042"/>
    <w:rsid w:val="00252F17"/>
    <w:rsid w:val="002531DC"/>
    <w:rsid w:val="00253DDD"/>
    <w:rsid w:val="00260912"/>
    <w:rsid w:val="00265514"/>
    <w:rsid w:val="0026572A"/>
    <w:rsid w:val="00275245"/>
    <w:rsid w:val="00281E63"/>
    <w:rsid w:val="002833CF"/>
    <w:rsid w:val="00283C7B"/>
    <w:rsid w:val="0028609E"/>
    <w:rsid w:val="00286CEA"/>
    <w:rsid w:val="00293BC3"/>
    <w:rsid w:val="002952E2"/>
    <w:rsid w:val="00295727"/>
    <w:rsid w:val="00296215"/>
    <w:rsid w:val="002A0984"/>
    <w:rsid w:val="002A19B0"/>
    <w:rsid w:val="002A1A7C"/>
    <w:rsid w:val="002A2D9D"/>
    <w:rsid w:val="002A37DA"/>
    <w:rsid w:val="002A38A4"/>
    <w:rsid w:val="002A6E5A"/>
    <w:rsid w:val="002B0156"/>
    <w:rsid w:val="002B1EBA"/>
    <w:rsid w:val="002B265A"/>
    <w:rsid w:val="002B3196"/>
    <w:rsid w:val="002B32C5"/>
    <w:rsid w:val="002B374E"/>
    <w:rsid w:val="002B3D0A"/>
    <w:rsid w:val="002B519A"/>
    <w:rsid w:val="002B5B41"/>
    <w:rsid w:val="002B6523"/>
    <w:rsid w:val="002B7DCF"/>
    <w:rsid w:val="002C498C"/>
    <w:rsid w:val="002C7C35"/>
    <w:rsid w:val="002D23E1"/>
    <w:rsid w:val="002D4558"/>
    <w:rsid w:val="002D71AC"/>
    <w:rsid w:val="002D7932"/>
    <w:rsid w:val="002D7EB0"/>
    <w:rsid w:val="002E5148"/>
    <w:rsid w:val="002E5749"/>
    <w:rsid w:val="002E5B4E"/>
    <w:rsid w:val="002F6F45"/>
    <w:rsid w:val="002F771D"/>
    <w:rsid w:val="002F78D5"/>
    <w:rsid w:val="003014B9"/>
    <w:rsid w:val="00305FA2"/>
    <w:rsid w:val="00306194"/>
    <w:rsid w:val="003068FA"/>
    <w:rsid w:val="00313A4A"/>
    <w:rsid w:val="00320E0D"/>
    <w:rsid w:val="003231FF"/>
    <w:rsid w:val="00323FED"/>
    <w:rsid w:val="00327D26"/>
    <w:rsid w:val="0033097D"/>
    <w:rsid w:val="00333C05"/>
    <w:rsid w:val="0033573E"/>
    <w:rsid w:val="00336724"/>
    <w:rsid w:val="00342AB4"/>
    <w:rsid w:val="00343B24"/>
    <w:rsid w:val="00345DD4"/>
    <w:rsid w:val="003469E3"/>
    <w:rsid w:val="00347561"/>
    <w:rsid w:val="0035001E"/>
    <w:rsid w:val="00350246"/>
    <w:rsid w:val="00350D2D"/>
    <w:rsid w:val="00353D12"/>
    <w:rsid w:val="00353F3B"/>
    <w:rsid w:val="00357657"/>
    <w:rsid w:val="003577EE"/>
    <w:rsid w:val="003606BC"/>
    <w:rsid w:val="00366D30"/>
    <w:rsid w:val="00367056"/>
    <w:rsid w:val="00367E3F"/>
    <w:rsid w:val="00370DD7"/>
    <w:rsid w:val="0037255F"/>
    <w:rsid w:val="003805F6"/>
    <w:rsid w:val="0038199B"/>
    <w:rsid w:val="00383C26"/>
    <w:rsid w:val="00387F34"/>
    <w:rsid w:val="00392551"/>
    <w:rsid w:val="00392557"/>
    <w:rsid w:val="0039396B"/>
    <w:rsid w:val="003A1A46"/>
    <w:rsid w:val="003A3957"/>
    <w:rsid w:val="003A435E"/>
    <w:rsid w:val="003A4B15"/>
    <w:rsid w:val="003A5AF1"/>
    <w:rsid w:val="003A77F7"/>
    <w:rsid w:val="003B0D29"/>
    <w:rsid w:val="003B52C0"/>
    <w:rsid w:val="003B7E2B"/>
    <w:rsid w:val="003C1D25"/>
    <w:rsid w:val="003C43E7"/>
    <w:rsid w:val="003C778D"/>
    <w:rsid w:val="003C7EA8"/>
    <w:rsid w:val="003D1079"/>
    <w:rsid w:val="003D1FD3"/>
    <w:rsid w:val="003D5357"/>
    <w:rsid w:val="003D5FC8"/>
    <w:rsid w:val="003D659C"/>
    <w:rsid w:val="003D6F03"/>
    <w:rsid w:val="003D7AC8"/>
    <w:rsid w:val="003E4F2E"/>
    <w:rsid w:val="003E5F8F"/>
    <w:rsid w:val="003E6D06"/>
    <w:rsid w:val="003F02AE"/>
    <w:rsid w:val="003F5B4A"/>
    <w:rsid w:val="003F6833"/>
    <w:rsid w:val="0040026B"/>
    <w:rsid w:val="004005D4"/>
    <w:rsid w:val="00401656"/>
    <w:rsid w:val="00403F78"/>
    <w:rsid w:val="004175B2"/>
    <w:rsid w:val="00420BAC"/>
    <w:rsid w:val="00421964"/>
    <w:rsid w:val="00422522"/>
    <w:rsid w:val="00424410"/>
    <w:rsid w:val="004255DD"/>
    <w:rsid w:val="0042655E"/>
    <w:rsid w:val="004272B4"/>
    <w:rsid w:val="00433AF7"/>
    <w:rsid w:val="00433B06"/>
    <w:rsid w:val="004357A9"/>
    <w:rsid w:val="004361A5"/>
    <w:rsid w:val="00440B24"/>
    <w:rsid w:val="00442AA3"/>
    <w:rsid w:val="00443890"/>
    <w:rsid w:val="0044430D"/>
    <w:rsid w:val="00444F77"/>
    <w:rsid w:val="004459DE"/>
    <w:rsid w:val="00450DE1"/>
    <w:rsid w:val="004533FC"/>
    <w:rsid w:val="00461A95"/>
    <w:rsid w:val="00464092"/>
    <w:rsid w:val="004640EA"/>
    <w:rsid w:val="00466DBA"/>
    <w:rsid w:val="00481E93"/>
    <w:rsid w:val="00482887"/>
    <w:rsid w:val="004875EE"/>
    <w:rsid w:val="004879CB"/>
    <w:rsid w:val="0049172E"/>
    <w:rsid w:val="004937E0"/>
    <w:rsid w:val="00497DA0"/>
    <w:rsid w:val="004A20E2"/>
    <w:rsid w:val="004A36CA"/>
    <w:rsid w:val="004A7713"/>
    <w:rsid w:val="004A7AA7"/>
    <w:rsid w:val="004B0AC1"/>
    <w:rsid w:val="004B1AC1"/>
    <w:rsid w:val="004B4937"/>
    <w:rsid w:val="004B5BCB"/>
    <w:rsid w:val="004B6C4F"/>
    <w:rsid w:val="004C13E3"/>
    <w:rsid w:val="004D0E26"/>
    <w:rsid w:val="004D1D03"/>
    <w:rsid w:val="004D32C2"/>
    <w:rsid w:val="004D5EAB"/>
    <w:rsid w:val="004D6045"/>
    <w:rsid w:val="004D6F46"/>
    <w:rsid w:val="004E0009"/>
    <w:rsid w:val="004E0619"/>
    <w:rsid w:val="004E1C75"/>
    <w:rsid w:val="004E2FEB"/>
    <w:rsid w:val="004E64E4"/>
    <w:rsid w:val="004E7590"/>
    <w:rsid w:val="004F1259"/>
    <w:rsid w:val="004F166C"/>
    <w:rsid w:val="004F40B5"/>
    <w:rsid w:val="004F5D6D"/>
    <w:rsid w:val="005008BF"/>
    <w:rsid w:val="00501E0C"/>
    <w:rsid w:val="00504A48"/>
    <w:rsid w:val="005056C8"/>
    <w:rsid w:val="0051137B"/>
    <w:rsid w:val="00511776"/>
    <w:rsid w:val="00511924"/>
    <w:rsid w:val="00512974"/>
    <w:rsid w:val="00514B63"/>
    <w:rsid w:val="0051511D"/>
    <w:rsid w:val="00520515"/>
    <w:rsid w:val="00520A1E"/>
    <w:rsid w:val="0052114E"/>
    <w:rsid w:val="0052195F"/>
    <w:rsid w:val="0052220C"/>
    <w:rsid w:val="005234C7"/>
    <w:rsid w:val="005238E0"/>
    <w:rsid w:val="00525769"/>
    <w:rsid w:val="005277E8"/>
    <w:rsid w:val="00530CAD"/>
    <w:rsid w:val="0053231B"/>
    <w:rsid w:val="005371EF"/>
    <w:rsid w:val="00541A09"/>
    <w:rsid w:val="005432C7"/>
    <w:rsid w:val="0054351E"/>
    <w:rsid w:val="00545687"/>
    <w:rsid w:val="00551469"/>
    <w:rsid w:val="005516CA"/>
    <w:rsid w:val="005537DD"/>
    <w:rsid w:val="00560392"/>
    <w:rsid w:val="005672DE"/>
    <w:rsid w:val="005749F6"/>
    <w:rsid w:val="005759E7"/>
    <w:rsid w:val="00576569"/>
    <w:rsid w:val="00580301"/>
    <w:rsid w:val="0058194C"/>
    <w:rsid w:val="005859FB"/>
    <w:rsid w:val="005875BD"/>
    <w:rsid w:val="0059037E"/>
    <w:rsid w:val="005924C4"/>
    <w:rsid w:val="005943B6"/>
    <w:rsid w:val="00597297"/>
    <w:rsid w:val="005A4031"/>
    <w:rsid w:val="005A64A5"/>
    <w:rsid w:val="005A7583"/>
    <w:rsid w:val="005B2862"/>
    <w:rsid w:val="005B5BAF"/>
    <w:rsid w:val="005B7B02"/>
    <w:rsid w:val="005C0D34"/>
    <w:rsid w:val="005C3FD0"/>
    <w:rsid w:val="005C4A85"/>
    <w:rsid w:val="005C5A64"/>
    <w:rsid w:val="005C75F3"/>
    <w:rsid w:val="005D0D39"/>
    <w:rsid w:val="005D1B5D"/>
    <w:rsid w:val="005D2F97"/>
    <w:rsid w:val="005D50E7"/>
    <w:rsid w:val="005D51A8"/>
    <w:rsid w:val="005D692B"/>
    <w:rsid w:val="005E0704"/>
    <w:rsid w:val="005E43E5"/>
    <w:rsid w:val="005E563D"/>
    <w:rsid w:val="005E5960"/>
    <w:rsid w:val="005E641F"/>
    <w:rsid w:val="005F47D8"/>
    <w:rsid w:val="005F52A1"/>
    <w:rsid w:val="00602748"/>
    <w:rsid w:val="006047C5"/>
    <w:rsid w:val="00607B26"/>
    <w:rsid w:val="00620819"/>
    <w:rsid w:val="00620F0C"/>
    <w:rsid w:val="00621915"/>
    <w:rsid w:val="00624074"/>
    <w:rsid w:val="0062769F"/>
    <w:rsid w:val="00632684"/>
    <w:rsid w:val="00632958"/>
    <w:rsid w:val="006337F6"/>
    <w:rsid w:val="00641664"/>
    <w:rsid w:val="00642093"/>
    <w:rsid w:val="00643783"/>
    <w:rsid w:val="00645747"/>
    <w:rsid w:val="0065001E"/>
    <w:rsid w:val="006533B7"/>
    <w:rsid w:val="00662AD0"/>
    <w:rsid w:val="00671DDB"/>
    <w:rsid w:val="00674B00"/>
    <w:rsid w:val="00684CFD"/>
    <w:rsid w:val="00690D3E"/>
    <w:rsid w:val="00695444"/>
    <w:rsid w:val="006A2ED9"/>
    <w:rsid w:val="006A6124"/>
    <w:rsid w:val="006B1466"/>
    <w:rsid w:val="006B341B"/>
    <w:rsid w:val="006C05A0"/>
    <w:rsid w:val="006C0E29"/>
    <w:rsid w:val="006C2616"/>
    <w:rsid w:val="006C2A49"/>
    <w:rsid w:val="006C50D6"/>
    <w:rsid w:val="006C5742"/>
    <w:rsid w:val="006C64A7"/>
    <w:rsid w:val="006D018E"/>
    <w:rsid w:val="006D063B"/>
    <w:rsid w:val="006D2CBA"/>
    <w:rsid w:val="006D3078"/>
    <w:rsid w:val="006D4002"/>
    <w:rsid w:val="006D4034"/>
    <w:rsid w:val="006E2530"/>
    <w:rsid w:val="006E548F"/>
    <w:rsid w:val="006F0BD8"/>
    <w:rsid w:val="006F73F0"/>
    <w:rsid w:val="00702998"/>
    <w:rsid w:val="00702B4F"/>
    <w:rsid w:val="00707594"/>
    <w:rsid w:val="00710556"/>
    <w:rsid w:val="0071055A"/>
    <w:rsid w:val="0071414A"/>
    <w:rsid w:val="0071514F"/>
    <w:rsid w:val="00716F1E"/>
    <w:rsid w:val="0072559A"/>
    <w:rsid w:val="00727685"/>
    <w:rsid w:val="00730109"/>
    <w:rsid w:val="00730AF8"/>
    <w:rsid w:val="00735D7F"/>
    <w:rsid w:val="007375F7"/>
    <w:rsid w:val="00740322"/>
    <w:rsid w:val="00740916"/>
    <w:rsid w:val="00740E91"/>
    <w:rsid w:val="0074117E"/>
    <w:rsid w:val="007431FF"/>
    <w:rsid w:val="00743CDB"/>
    <w:rsid w:val="007461EE"/>
    <w:rsid w:val="00752546"/>
    <w:rsid w:val="007568F7"/>
    <w:rsid w:val="00756F68"/>
    <w:rsid w:val="00756F9E"/>
    <w:rsid w:val="00772ADE"/>
    <w:rsid w:val="007760B8"/>
    <w:rsid w:val="0078300B"/>
    <w:rsid w:val="007833A9"/>
    <w:rsid w:val="007851E9"/>
    <w:rsid w:val="007910D2"/>
    <w:rsid w:val="00794754"/>
    <w:rsid w:val="007949CA"/>
    <w:rsid w:val="007972B9"/>
    <w:rsid w:val="007A3064"/>
    <w:rsid w:val="007A5FF2"/>
    <w:rsid w:val="007B0085"/>
    <w:rsid w:val="007B1C0C"/>
    <w:rsid w:val="007C379A"/>
    <w:rsid w:val="007C6639"/>
    <w:rsid w:val="007C7959"/>
    <w:rsid w:val="007C7F4B"/>
    <w:rsid w:val="007D1A1E"/>
    <w:rsid w:val="007D5AC8"/>
    <w:rsid w:val="007E0C03"/>
    <w:rsid w:val="007E231D"/>
    <w:rsid w:val="007E3AA5"/>
    <w:rsid w:val="007F47EA"/>
    <w:rsid w:val="007F75DF"/>
    <w:rsid w:val="00800288"/>
    <w:rsid w:val="008002E8"/>
    <w:rsid w:val="008006D5"/>
    <w:rsid w:val="008040AA"/>
    <w:rsid w:val="00804542"/>
    <w:rsid w:val="0080523E"/>
    <w:rsid w:val="008059E8"/>
    <w:rsid w:val="008079F0"/>
    <w:rsid w:val="00807F2F"/>
    <w:rsid w:val="00811633"/>
    <w:rsid w:val="008149B7"/>
    <w:rsid w:val="00817BFC"/>
    <w:rsid w:val="00824A87"/>
    <w:rsid w:val="00825250"/>
    <w:rsid w:val="00825584"/>
    <w:rsid w:val="008322B6"/>
    <w:rsid w:val="008349F1"/>
    <w:rsid w:val="00836024"/>
    <w:rsid w:val="00836392"/>
    <w:rsid w:val="0084160D"/>
    <w:rsid w:val="008416EA"/>
    <w:rsid w:val="00844132"/>
    <w:rsid w:val="00847850"/>
    <w:rsid w:val="00847971"/>
    <w:rsid w:val="00850C3B"/>
    <w:rsid w:val="008546A9"/>
    <w:rsid w:val="00854857"/>
    <w:rsid w:val="00856C8B"/>
    <w:rsid w:val="00856EB5"/>
    <w:rsid w:val="00861A22"/>
    <w:rsid w:val="00863597"/>
    <w:rsid w:val="0086648B"/>
    <w:rsid w:val="008673F2"/>
    <w:rsid w:val="0087059C"/>
    <w:rsid w:val="008731F9"/>
    <w:rsid w:val="00873699"/>
    <w:rsid w:val="00873E3C"/>
    <w:rsid w:val="008750E2"/>
    <w:rsid w:val="00876486"/>
    <w:rsid w:val="00880CCC"/>
    <w:rsid w:val="00884F3A"/>
    <w:rsid w:val="00886003"/>
    <w:rsid w:val="008866E8"/>
    <w:rsid w:val="0088671C"/>
    <w:rsid w:val="00886C7C"/>
    <w:rsid w:val="00886CED"/>
    <w:rsid w:val="0088700F"/>
    <w:rsid w:val="00890E1A"/>
    <w:rsid w:val="00890EA3"/>
    <w:rsid w:val="008933B8"/>
    <w:rsid w:val="00893575"/>
    <w:rsid w:val="00894B69"/>
    <w:rsid w:val="008A1054"/>
    <w:rsid w:val="008A358A"/>
    <w:rsid w:val="008A4808"/>
    <w:rsid w:val="008A4F0C"/>
    <w:rsid w:val="008A6DFE"/>
    <w:rsid w:val="008B0EFE"/>
    <w:rsid w:val="008B183C"/>
    <w:rsid w:val="008B1E93"/>
    <w:rsid w:val="008B5981"/>
    <w:rsid w:val="008B6C52"/>
    <w:rsid w:val="008C3068"/>
    <w:rsid w:val="008C43C2"/>
    <w:rsid w:val="008C48D9"/>
    <w:rsid w:val="008D388C"/>
    <w:rsid w:val="008D5B3D"/>
    <w:rsid w:val="008E2235"/>
    <w:rsid w:val="008E24FE"/>
    <w:rsid w:val="008E3423"/>
    <w:rsid w:val="008E372D"/>
    <w:rsid w:val="008E43C8"/>
    <w:rsid w:val="008E473C"/>
    <w:rsid w:val="008E63C4"/>
    <w:rsid w:val="008E6E12"/>
    <w:rsid w:val="008E6FE5"/>
    <w:rsid w:val="008F1DAB"/>
    <w:rsid w:val="008F2BFD"/>
    <w:rsid w:val="008F3C01"/>
    <w:rsid w:val="009007F1"/>
    <w:rsid w:val="009023AD"/>
    <w:rsid w:val="009067E5"/>
    <w:rsid w:val="009078CC"/>
    <w:rsid w:val="00911F7B"/>
    <w:rsid w:val="00913281"/>
    <w:rsid w:val="00913EA5"/>
    <w:rsid w:val="009146C1"/>
    <w:rsid w:val="00915D96"/>
    <w:rsid w:val="00922D8C"/>
    <w:rsid w:val="00925D58"/>
    <w:rsid w:val="00926582"/>
    <w:rsid w:val="00927849"/>
    <w:rsid w:val="00930919"/>
    <w:rsid w:val="009407D8"/>
    <w:rsid w:val="00943CEA"/>
    <w:rsid w:val="00945A5E"/>
    <w:rsid w:val="00947FA1"/>
    <w:rsid w:val="00951457"/>
    <w:rsid w:val="009575ED"/>
    <w:rsid w:val="00957635"/>
    <w:rsid w:val="009612A7"/>
    <w:rsid w:val="00963ADB"/>
    <w:rsid w:val="00967444"/>
    <w:rsid w:val="00973575"/>
    <w:rsid w:val="00976374"/>
    <w:rsid w:val="00983A1F"/>
    <w:rsid w:val="00987485"/>
    <w:rsid w:val="0099167B"/>
    <w:rsid w:val="00995DA8"/>
    <w:rsid w:val="0099727B"/>
    <w:rsid w:val="009A0CC8"/>
    <w:rsid w:val="009A207B"/>
    <w:rsid w:val="009A42AB"/>
    <w:rsid w:val="009A5A0D"/>
    <w:rsid w:val="009A679E"/>
    <w:rsid w:val="009A6D1B"/>
    <w:rsid w:val="009B303B"/>
    <w:rsid w:val="009B3BDA"/>
    <w:rsid w:val="009B3CAA"/>
    <w:rsid w:val="009B76D8"/>
    <w:rsid w:val="009B785F"/>
    <w:rsid w:val="009B7B53"/>
    <w:rsid w:val="009B7DE0"/>
    <w:rsid w:val="009C0398"/>
    <w:rsid w:val="009C045E"/>
    <w:rsid w:val="009C0B84"/>
    <w:rsid w:val="009C3239"/>
    <w:rsid w:val="009C4042"/>
    <w:rsid w:val="009D6B2A"/>
    <w:rsid w:val="009D7BDF"/>
    <w:rsid w:val="009E0702"/>
    <w:rsid w:val="009E1C06"/>
    <w:rsid w:val="009E28DB"/>
    <w:rsid w:val="009E2D2F"/>
    <w:rsid w:val="009E31F2"/>
    <w:rsid w:val="009E7B76"/>
    <w:rsid w:val="009F0E2F"/>
    <w:rsid w:val="009F258C"/>
    <w:rsid w:val="009F3F7B"/>
    <w:rsid w:val="009F45D6"/>
    <w:rsid w:val="009F470F"/>
    <w:rsid w:val="009F64A7"/>
    <w:rsid w:val="00A00C88"/>
    <w:rsid w:val="00A046F7"/>
    <w:rsid w:val="00A05448"/>
    <w:rsid w:val="00A13F63"/>
    <w:rsid w:val="00A1700B"/>
    <w:rsid w:val="00A17990"/>
    <w:rsid w:val="00A21D2D"/>
    <w:rsid w:val="00A223AA"/>
    <w:rsid w:val="00A24F06"/>
    <w:rsid w:val="00A266F5"/>
    <w:rsid w:val="00A30ABA"/>
    <w:rsid w:val="00A314B9"/>
    <w:rsid w:val="00A41885"/>
    <w:rsid w:val="00A41B45"/>
    <w:rsid w:val="00A42EFB"/>
    <w:rsid w:val="00A5189A"/>
    <w:rsid w:val="00A52515"/>
    <w:rsid w:val="00A538A8"/>
    <w:rsid w:val="00A54B37"/>
    <w:rsid w:val="00A57A44"/>
    <w:rsid w:val="00A57C11"/>
    <w:rsid w:val="00A609DD"/>
    <w:rsid w:val="00A60B57"/>
    <w:rsid w:val="00A61815"/>
    <w:rsid w:val="00A62F21"/>
    <w:rsid w:val="00A644DE"/>
    <w:rsid w:val="00A6740F"/>
    <w:rsid w:val="00A71652"/>
    <w:rsid w:val="00A7255D"/>
    <w:rsid w:val="00A737E5"/>
    <w:rsid w:val="00A80009"/>
    <w:rsid w:val="00A81997"/>
    <w:rsid w:val="00A95A88"/>
    <w:rsid w:val="00A967FF"/>
    <w:rsid w:val="00AA1B63"/>
    <w:rsid w:val="00AA3188"/>
    <w:rsid w:val="00AA420D"/>
    <w:rsid w:val="00AA64A1"/>
    <w:rsid w:val="00AB2C8C"/>
    <w:rsid w:val="00AB444A"/>
    <w:rsid w:val="00AC347C"/>
    <w:rsid w:val="00AC405E"/>
    <w:rsid w:val="00AD2431"/>
    <w:rsid w:val="00AD24A0"/>
    <w:rsid w:val="00AD5BD8"/>
    <w:rsid w:val="00AD6A66"/>
    <w:rsid w:val="00AE02E5"/>
    <w:rsid w:val="00AE4301"/>
    <w:rsid w:val="00AE732F"/>
    <w:rsid w:val="00AF074C"/>
    <w:rsid w:val="00AF716F"/>
    <w:rsid w:val="00AF7A76"/>
    <w:rsid w:val="00B00308"/>
    <w:rsid w:val="00B03AF0"/>
    <w:rsid w:val="00B05373"/>
    <w:rsid w:val="00B067E6"/>
    <w:rsid w:val="00B10805"/>
    <w:rsid w:val="00B10FAB"/>
    <w:rsid w:val="00B11A88"/>
    <w:rsid w:val="00B11AC2"/>
    <w:rsid w:val="00B12260"/>
    <w:rsid w:val="00B12AA9"/>
    <w:rsid w:val="00B13F00"/>
    <w:rsid w:val="00B156E1"/>
    <w:rsid w:val="00B242A3"/>
    <w:rsid w:val="00B25433"/>
    <w:rsid w:val="00B2626C"/>
    <w:rsid w:val="00B35F96"/>
    <w:rsid w:val="00B36D39"/>
    <w:rsid w:val="00B3728B"/>
    <w:rsid w:val="00B408B6"/>
    <w:rsid w:val="00B46E46"/>
    <w:rsid w:val="00B531ED"/>
    <w:rsid w:val="00B53574"/>
    <w:rsid w:val="00B548A3"/>
    <w:rsid w:val="00B55500"/>
    <w:rsid w:val="00B60027"/>
    <w:rsid w:val="00B63AE9"/>
    <w:rsid w:val="00B64FB0"/>
    <w:rsid w:val="00B670FF"/>
    <w:rsid w:val="00B700E0"/>
    <w:rsid w:val="00B75777"/>
    <w:rsid w:val="00B76556"/>
    <w:rsid w:val="00B76BE0"/>
    <w:rsid w:val="00B80913"/>
    <w:rsid w:val="00B818BA"/>
    <w:rsid w:val="00B91A8D"/>
    <w:rsid w:val="00B93BCD"/>
    <w:rsid w:val="00BA34AD"/>
    <w:rsid w:val="00BA4B2A"/>
    <w:rsid w:val="00BA6F45"/>
    <w:rsid w:val="00BB379A"/>
    <w:rsid w:val="00BB3A5B"/>
    <w:rsid w:val="00BB5195"/>
    <w:rsid w:val="00BB69FF"/>
    <w:rsid w:val="00BB6E8E"/>
    <w:rsid w:val="00BC258E"/>
    <w:rsid w:val="00BC6288"/>
    <w:rsid w:val="00BD4CC0"/>
    <w:rsid w:val="00BD545A"/>
    <w:rsid w:val="00BE32B7"/>
    <w:rsid w:val="00BE3380"/>
    <w:rsid w:val="00BE5AA0"/>
    <w:rsid w:val="00BE7C52"/>
    <w:rsid w:val="00BF1C2D"/>
    <w:rsid w:val="00BF2735"/>
    <w:rsid w:val="00BF738E"/>
    <w:rsid w:val="00C0097B"/>
    <w:rsid w:val="00C01837"/>
    <w:rsid w:val="00C01919"/>
    <w:rsid w:val="00C0402F"/>
    <w:rsid w:val="00C0441B"/>
    <w:rsid w:val="00C07033"/>
    <w:rsid w:val="00C10480"/>
    <w:rsid w:val="00C12169"/>
    <w:rsid w:val="00C12F29"/>
    <w:rsid w:val="00C14CE5"/>
    <w:rsid w:val="00C23119"/>
    <w:rsid w:val="00C23910"/>
    <w:rsid w:val="00C24D41"/>
    <w:rsid w:val="00C250B4"/>
    <w:rsid w:val="00C250ED"/>
    <w:rsid w:val="00C253F9"/>
    <w:rsid w:val="00C2672D"/>
    <w:rsid w:val="00C32469"/>
    <w:rsid w:val="00C329A2"/>
    <w:rsid w:val="00C33C35"/>
    <w:rsid w:val="00C34DDA"/>
    <w:rsid w:val="00C35EC8"/>
    <w:rsid w:val="00C4065A"/>
    <w:rsid w:val="00C41215"/>
    <w:rsid w:val="00C412B4"/>
    <w:rsid w:val="00C4170B"/>
    <w:rsid w:val="00C42FF3"/>
    <w:rsid w:val="00C447FD"/>
    <w:rsid w:val="00C44BA2"/>
    <w:rsid w:val="00C464FB"/>
    <w:rsid w:val="00C479EC"/>
    <w:rsid w:val="00C5024F"/>
    <w:rsid w:val="00C514A6"/>
    <w:rsid w:val="00C51630"/>
    <w:rsid w:val="00C52F4B"/>
    <w:rsid w:val="00C53754"/>
    <w:rsid w:val="00C55105"/>
    <w:rsid w:val="00C56AF9"/>
    <w:rsid w:val="00C6035E"/>
    <w:rsid w:val="00C639B5"/>
    <w:rsid w:val="00C651A6"/>
    <w:rsid w:val="00C65678"/>
    <w:rsid w:val="00C679DC"/>
    <w:rsid w:val="00C67BDE"/>
    <w:rsid w:val="00C72C99"/>
    <w:rsid w:val="00C7343F"/>
    <w:rsid w:val="00C744B3"/>
    <w:rsid w:val="00C74908"/>
    <w:rsid w:val="00C74A06"/>
    <w:rsid w:val="00C74A7B"/>
    <w:rsid w:val="00C822F8"/>
    <w:rsid w:val="00C8251B"/>
    <w:rsid w:val="00C83482"/>
    <w:rsid w:val="00C83A6F"/>
    <w:rsid w:val="00C92D6F"/>
    <w:rsid w:val="00C93DEA"/>
    <w:rsid w:val="00C944D3"/>
    <w:rsid w:val="00C957C6"/>
    <w:rsid w:val="00C97351"/>
    <w:rsid w:val="00C97D8E"/>
    <w:rsid w:val="00CA0BD5"/>
    <w:rsid w:val="00CA1E7C"/>
    <w:rsid w:val="00CA2A23"/>
    <w:rsid w:val="00CA472C"/>
    <w:rsid w:val="00CA752C"/>
    <w:rsid w:val="00CB009F"/>
    <w:rsid w:val="00CB0566"/>
    <w:rsid w:val="00CB221F"/>
    <w:rsid w:val="00CB4EB5"/>
    <w:rsid w:val="00CB75FC"/>
    <w:rsid w:val="00CB7D66"/>
    <w:rsid w:val="00CC3524"/>
    <w:rsid w:val="00CC73AA"/>
    <w:rsid w:val="00CD3C04"/>
    <w:rsid w:val="00CD3C3C"/>
    <w:rsid w:val="00CE662A"/>
    <w:rsid w:val="00CF24B2"/>
    <w:rsid w:val="00CF3A79"/>
    <w:rsid w:val="00CF4984"/>
    <w:rsid w:val="00CF73A6"/>
    <w:rsid w:val="00CF7D47"/>
    <w:rsid w:val="00D0183F"/>
    <w:rsid w:val="00D03856"/>
    <w:rsid w:val="00D05575"/>
    <w:rsid w:val="00D10DE7"/>
    <w:rsid w:val="00D118BD"/>
    <w:rsid w:val="00D13C76"/>
    <w:rsid w:val="00D15738"/>
    <w:rsid w:val="00D17E6C"/>
    <w:rsid w:val="00D2157E"/>
    <w:rsid w:val="00D22AE7"/>
    <w:rsid w:val="00D2550B"/>
    <w:rsid w:val="00D271FF"/>
    <w:rsid w:val="00D32477"/>
    <w:rsid w:val="00D3367E"/>
    <w:rsid w:val="00D33956"/>
    <w:rsid w:val="00D34F1B"/>
    <w:rsid w:val="00D3553C"/>
    <w:rsid w:val="00D36644"/>
    <w:rsid w:val="00D41229"/>
    <w:rsid w:val="00D420B5"/>
    <w:rsid w:val="00D4367A"/>
    <w:rsid w:val="00D53DEA"/>
    <w:rsid w:val="00D565CA"/>
    <w:rsid w:val="00D57D13"/>
    <w:rsid w:val="00D6243F"/>
    <w:rsid w:val="00D6403A"/>
    <w:rsid w:val="00D6456A"/>
    <w:rsid w:val="00D66187"/>
    <w:rsid w:val="00D7409A"/>
    <w:rsid w:val="00D742DA"/>
    <w:rsid w:val="00D76AC0"/>
    <w:rsid w:val="00D76BE1"/>
    <w:rsid w:val="00D774C6"/>
    <w:rsid w:val="00D80163"/>
    <w:rsid w:val="00D809D6"/>
    <w:rsid w:val="00D84CCB"/>
    <w:rsid w:val="00D84E18"/>
    <w:rsid w:val="00D86D3E"/>
    <w:rsid w:val="00D9155F"/>
    <w:rsid w:val="00D95125"/>
    <w:rsid w:val="00DB2470"/>
    <w:rsid w:val="00DB5102"/>
    <w:rsid w:val="00DB5F5C"/>
    <w:rsid w:val="00DC7FB4"/>
    <w:rsid w:val="00DE2E4B"/>
    <w:rsid w:val="00DE5043"/>
    <w:rsid w:val="00DE7DDB"/>
    <w:rsid w:val="00DF0562"/>
    <w:rsid w:val="00DF1E80"/>
    <w:rsid w:val="00DF44BE"/>
    <w:rsid w:val="00DF64FD"/>
    <w:rsid w:val="00E05AF6"/>
    <w:rsid w:val="00E079B0"/>
    <w:rsid w:val="00E10958"/>
    <w:rsid w:val="00E11D84"/>
    <w:rsid w:val="00E127AC"/>
    <w:rsid w:val="00E14318"/>
    <w:rsid w:val="00E15E1D"/>
    <w:rsid w:val="00E1672A"/>
    <w:rsid w:val="00E21F69"/>
    <w:rsid w:val="00E22710"/>
    <w:rsid w:val="00E22ED8"/>
    <w:rsid w:val="00E24686"/>
    <w:rsid w:val="00E24EF9"/>
    <w:rsid w:val="00E24FB9"/>
    <w:rsid w:val="00E26CD1"/>
    <w:rsid w:val="00E26F82"/>
    <w:rsid w:val="00E27084"/>
    <w:rsid w:val="00E319CE"/>
    <w:rsid w:val="00E33013"/>
    <w:rsid w:val="00E337AD"/>
    <w:rsid w:val="00E42107"/>
    <w:rsid w:val="00E44149"/>
    <w:rsid w:val="00E44D80"/>
    <w:rsid w:val="00E44ECA"/>
    <w:rsid w:val="00E459C3"/>
    <w:rsid w:val="00E45B82"/>
    <w:rsid w:val="00E45BA2"/>
    <w:rsid w:val="00E46024"/>
    <w:rsid w:val="00E53A61"/>
    <w:rsid w:val="00E542A2"/>
    <w:rsid w:val="00E57384"/>
    <w:rsid w:val="00E5755C"/>
    <w:rsid w:val="00E62CB2"/>
    <w:rsid w:val="00E6578A"/>
    <w:rsid w:val="00E7293B"/>
    <w:rsid w:val="00E74109"/>
    <w:rsid w:val="00E75061"/>
    <w:rsid w:val="00E750F1"/>
    <w:rsid w:val="00E814E3"/>
    <w:rsid w:val="00E81E04"/>
    <w:rsid w:val="00E83542"/>
    <w:rsid w:val="00E83EEA"/>
    <w:rsid w:val="00E86735"/>
    <w:rsid w:val="00E90609"/>
    <w:rsid w:val="00E93F0E"/>
    <w:rsid w:val="00E9460E"/>
    <w:rsid w:val="00EA0159"/>
    <w:rsid w:val="00EA0DE3"/>
    <w:rsid w:val="00EA0E4D"/>
    <w:rsid w:val="00EA17D1"/>
    <w:rsid w:val="00EA3B8F"/>
    <w:rsid w:val="00EA5695"/>
    <w:rsid w:val="00EB1E0E"/>
    <w:rsid w:val="00EB77D8"/>
    <w:rsid w:val="00EB78D7"/>
    <w:rsid w:val="00EB7CEA"/>
    <w:rsid w:val="00EC100A"/>
    <w:rsid w:val="00ED1C66"/>
    <w:rsid w:val="00ED3187"/>
    <w:rsid w:val="00ED6022"/>
    <w:rsid w:val="00ED7BB6"/>
    <w:rsid w:val="00ED7BC5"/>
    <w:rsid w:val="00EE2D75"/>
    <w:rsid w:val="00EE35BB"/>
    <w:rsid w:val="00EE4BF8"/>
    <w:rsid w:val="00EE739D"/>
    <w:rsid w:val="00EF15F7"/>
    <w:rsid w:val="00EF1EE8"/>
    <w:rsid w:val="00EF2A76"/>
    <w:rsid w:val="00EF526B"/>
    <w:rsid w:val="00EF63BE"/>
    <w:rsid w:val="00EF69B2"/>
    <w:rsid w:val="00F02711"/>
    <w:rsid w:val="00F02993"/>
    <w:rsid w:val="00F02BCC"/>
    <w:rsid w:val="00F02E13"/>
    <w:rsid w:val="00F05511"/>
    <w:rsid w:val="00F10F95"/>
    <w:rsid w:val="00F11A57"/>
    <w:rsid w:val="00F172D2"/>
    <w:rsid w:val="00F22FFD"/>
    <w:rsid w:val="00F242C4"/>
    <w:rsid w:val="00F24D84"/>
    <w:rsid w:val="00F31A34"/>
    <w:rsid w:val="00F336D9"/>
    <w:rsid w:val="00F355CF"/>
    <w:rsid w:val="00F37063"/>
    <w:rsid w:val="00F374EB"/>
    <w:rsid w:val="00F41F12"/>
    <w:rsid w:val="00F511C0"/>
    <w:rsid w:val="00F63C00"/>
    <w:rsid w:val="00F719EC"/>
    <w:rsid w:val="00F736DB"/>
    <w:rsid w:val="00F7591B"/>
    <w:rsid w:val="00F76ECD"/>
    <w:rsid w:val="00F849AD"/>
    <w:rsid w:val="00F85143"/>
    <w:rsid w:val="00F85F25"/>
    <w:rsid w:val="00F86BD5"/>
    <w:rsid w:val="00F91AA5"/>
    <w:rsid w:val="00F92D2D"/>
    <w:rsid w:val="00F9606B"/>
    <w:rsid w:val="00F96711"/>
    <w:rsid w:val="00F973E0"/>
    <w:rsid w:val="00FA152A"/>
    <w:rsid w:val="00FA65D1"/>
    <w:rsid w:val="00FA7324"/>
    <w:rsid w:val="00FB0DA9"/>
    <w:rsid w:val="00FB1906"/>
    <w:rsid w:val="00FB2AD9"/>
    <w:rsid w:val="00FB7B9C"/>
    <w:rsid w:val="00FC1284"/>
    <w:rsid w:val="00FD119D"/>
    <w:rsid w:val="00FD6632"/>
    <w:rsid w:val="00FD6C79"/>
    <w:rsid w:val="00FE262A"/>
    <w:rsid w:val="00FE36CF"/>
    <w:rsid w:val="00FE3A0D"/>
    <w:rsid w:val="00FF3AA5"/>
    <w:rsid w:val="00FF4830"/>
    <w:rsid w:val="00FF4FE1"/>
    <w:rsid w:val="00FF5C10"/>
    <w:rsid w:val="00FF6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1DC"/>
    <w:pPr>
      <w:spacing w:line="260" w:lineRule="atLeast"/>
    </w:pPr>
    <w:rPr>
      <w:rFonts w:eastAsiaTheme="minorHAnsi" w:cstheme="minorBid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531DC"/>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rsid w:val="00E814E3"/>
    <w:rPr>
      <w:color w:val="800080"/>
      <w:u w:val="single"/>
    </w:rPr>
  </w:style>
  <w:style w:type="paragraph" w:styleId="Header">
    <w:name w:val="header"/>
    <w:basedOn w:val="OPCParaBase"/>
    <w:link w:val="HeaderChar"/>
    <w:unhideWhenUsed/>
    <w:rsid w:val="002531DC"/>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OPCCharBase"/>
    <w:uiPriority w:val="99"/>
    <w:unhideWhenUsed/>
    <w:rsid w:val="002531DC"/>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383C26"/>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531D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2531DC"/>
    <w:pPr>
      <w:spacing w:line="240" w:lineRule="auto"/>
    </w:pPr>
    <w:rPr>
      <w:rFonts w:ascii="Tahoma" w:hAnsi="Tahoma" w:cs="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uiPriority w:val="1"/>
    <w:qFormat/>
    <w:rsid w:val="002531DC"/>
  </w:style>
  <w:style w:type="character" w:customStyle="1" w:styleId="CharAmSchText">
    <w:name w:val="CharAmSchText"/>
    <w:basedOn w:val="OPCCharBase"/>
    <w:uiPriority w:val="1"/>
    <w:qFormat/>
    <w:rsid w:val="002531DC"/>
  </w:style>
  <w:style w:type="character" w:customStyle="1" w:styleId="CharChapNo">
    <w:name w:val="CharChapNo"/>
    <w:basedOn w:val="OPCCharBase"/>
    <w:qFormat/>
    <w:rsid w:val="002531DC"/>
  </w:style>
  <w:style w:type="character" w:customStyle="1" w:styleId="CharChapText">
    <w:name w:val="CharChapText"/>
    <w:basedOn w:val="OPCCharBase"/>
    <w:qFormat/>
    <w:rsid w:val="002531DC"/>
  </w:style>
  <w:style w:type="character" w:customStyle="1" w:styleId="CharDivNo">
    <w:name w:val="CharDivNo"/>
    <w:basedOn w:val="OPCCharBase"/>
    <w:qFormat/>
    <w:rsid w:val="002531DC"/>
  </w:style>
  <w:style w:type="character" w:customStyle="1" w:styleId="CharDivText">
    <w:name w:val="CharDivText"/>
    <w:basedOn w:val="OPCCharBase"/>
    <w:qFormat/>
    <w:rsid w:val="002531DC"/>
  </w:style>
  <w:style w:type="character" w:customStyle="1" w:styleId="CharPartNo">
    <w:name w:val="CharPartNo"/>
    <w:basedOn w:val="OPCCharBase"/>
    <w:qFormat/>
    <w:rsid w:val="002531DC"/>
  </w:style>
  <w:style w:type="character" w:customStyle="1" w:styleId="CharPartText">
    <w:name w:val="CharPartText"/>
    <w:basedOn w:val="OPCCharBase"/>
    <w:qFormat/>
    <w:rsid w:val="002531DC"/>
  </w:style>
  <w:style w:type="character" w:customStyle="1" w:styleId="OPCCharBase">
    <w:name w:val="OPCCharBase"/>
    <w:uiPriority w:val="1"/>
    <w:qFormat/>
    <w:rsid w:val="002531DC"/>
  </w:style>
  <w:style w:type="paragraph" w:customStyle="1" w:styleId="OPCParaBase">
    <w:name w:val="OPCParaBase"/>
    <w:qFormat/>
    <w:rsid w:val="002531DC"/>
    <w:pPr>
      <w:spacing w:line="260" w:lineRule="atLeast"/>
    </w:pPr>
    <w:rPr>
      <w:sz w:val="22"/>
    </w:rPr>
  </w:style>
  <w:style w:type="character" w:customStyle="1" w:styleId="CharSectno">
    <w:name w:val="CharSectno"/>
    <w:basedOn w:val="OPCCharBase"/>
    <w:qFormat/>
    <w:rsid w:val="002531DC"/>
  </w:style>
  <w:style w:type="character" w:styleId="CommentReference">
    <w:name w:val="annotation reference"/>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rsid w:val="00E814E3"/>
    <w:rPr>
      <w:vertAlign w:val="superscript"/>
    </w:rPr>
  </w:style>
  <w:style w:type="paragraph" w:styleId="EndnoteText">
    <w:name w:val="endnote text"/>
    <w:basedOn w:val="Normal"/>
    <w:rsid w:val="00E814E3"/>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2531DC"/>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2531DC"/>
    <w:pPr>
      <w:spacing w:line="240" w:lineRule="auto"/>
    </w:pPr>
    <w:rPr>
      <w:sz w:val="20"/>
    </w:rPr>
  </w:style>
  <w:style w:type="paragraph" w:customStyle="1" w:styleId="Penalty">
    <w:name w:val="Penalty"/>
    <w:basedOn w:val="OPCParaBase"/>
    <w:rsid w:val="002531DC"/>
    <w:pPr>
      <w:tabs>
        <w:tab w:val="left" w:pos="2977"/>
      </w:tabs>
      <w:spacing w:before="180" w:line="240" w:lineRule="auto"/>
      <w:ind w:left="1985" w:hanging="851"/>
    </w:pPr>
  </w:style>
  <w:style w:type="paragraph" w:customStyle="1" w:styleId="ShortT">
    <w:name w:val="ShortT"/>
    <w:basedOn w:val="OPCParaBase"/>
    <w:next w:val="Normal"/>
    <w:qFormat/>
    <w:rsid w:val="002531DC"/>
    <w:pPr>
      <w:spacing w:line="240" w:lineRule="auto"/>
    </w:pPr>
    <w:rPr>
      <w:b/>
      <w:sz w:val="40"/>
    </w:rPr>
  </w:style>
  <w:style w:type="paragraph" w:customStyle="1" w:styleId="ActHead1">
    <w:name w:val="ActHead 1"/>
    <w:aliases w:val="c"/>
    <w:basedOn w:val="OPCParaBase"/>
    <w:next w:val="Normal"/>
    <w:qFormat/>
    <w:rsid w:val="002531DC"/>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2531DC"/>
    <w:pPr>
      <w:keepNext/>
      <w:keepLines/>
      <w:spacing w:before="280" w:line="240" w:lineRule="auto"/>
      <w:ind w:left="1134" w:hanging="1134"/>
      <w:outlineLvl w:val="1"/>
    </w:pPr>
    <w:rPr>
      <w:b/>
      <w:kern w:val="28"/>
      <w:sz w:val="32"/>
    </w:r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rsid w:val="002531D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31D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531D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531D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531D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531D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531D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531D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531DC"/>
    <w:pPr>
      <w:keepLines/>
      <w:tabs>
        <w:tab w:val="right" w:pos="8278"/>
      </w:tabs>
      <w:spacing w:before="80" w:line="240" w:lineRule="auto"/>
      <w:ind w:left="851" w:right="567"/>
    </w:pPr>
    <w:rPr>
      <w:i/>
      <w:kern w:val="28"/>
      <w:sz w:val="20"/>
    </w:rPr>
  </w:style>
  <w:style w:type="paragraph" w:customStyle="1" w:styleId="ActHead3">
    <w:name w:val="ActHead 3"/>
    <w:aliases w:val="d"/>
    <w:basedOn w:val="OPCParaBase"/>
    <w:next w:val="ActHead4"/>
    <w:qFormat/>
    <w:rsid w:val="002531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1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1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1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1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1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1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1DC"/>
  </w:style>
  <w:style w:type="paragraph" w:customStyle="1" w:styleId="Blocks">
    <w:name w:val="Blocks"/>
    <w:aliases w:val="bb"/>
    <w:basedOn w:val="OPCParaBase"/>
    <w:qFormat/>
    <w:rsid w:val="002531DC"/>
    <w:pPr>
      <w:spacing w:line="240" w:lineRule="auto"/>
    </w:pPr>
    <w:rPr>
      <w:sz w:val="24"/>
    </w:rPr>
  </w:style>
  <w:style w:type="paragraph" w:customStyle="1" w:styleId="BoxText">
    <w:name w:val="BoxText"/>
    <w:aliases w:val="bt"/>
    <w:basedOn w:val="OPCParaBase"/>
    <w:qFormat/>
    <w:rsid w:val="002531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1DC"/>
    <w:rPr>
      <w:b/>
    </w:rPr>
  </w:style>
  <w:style w:type="paragraph" w:customStyle="1" w:styleId="BoxHeadItalic">
    <w:name w:val="BoxHeadItalic"/>
    <w:aliases w:val="bhi"/>
    <w:basedOn w:val="BoxText"/>
    <w:next w:val="BoxStep"/>
    <w:qFormat/>
    <w:rsid w:val="002531DC"/>
    <w:rPr>
      <w:i/>
    </w:rPr>
  </w:style>
  <w:style w:type="paragraph" w:customStyle="1" w:styleId="BoxList">
    <w:name w:val="BoxList"/>
    <w:aliases w:val="bl"/>
    <w:basedOn w:val="BoxText"/>
    <w:qFormat/>
    <w:rsid w:val="002531DC"/>
    <w:pPr>
      <w:ind w:left="1559" w:hanging="425"/>
    </w:pPr>
  </w:style>
  <w:style w:type="paragraph" w:customStyle="1" w:styleId="BoxNote">
    <w:name w:val="BoxNote"/>
    <w:aliases w:val="bn"/>
    <w:basedOn w:val="BoxText"/>
    <w:qFormat/>
    <w:rsid w:val="002531DC"/>
    <w:pPr>
      <w:tabs>
        <w:tab w:val="left" w:pos="1985"/>
      </w:tabs>
      <w:spacing w:before="122" w:line="198" w:lineRule="exact"/>
      <w:ind w:left="2948" w:hanging="1814"/>
    </w:pPr>
    <w:rPr>
      <w:sz w:val="18"/>
    </w:rPr>
  </w:style>
  <w:style w:type="paragraph" w:customStyle="1" w:styleId="BoxPara">
    <w:name w:val="BoxPara"/>
    <w:aliases w:val="bp"/>
    <w:basedOn w:val="BoxText"/>
    <w:qFormat/>
    <w:rsid w:val="002531DC"/>
    <w:pPr>
      <w:tabs>
        <w:tab w:val="right" w:pos="2268"/>
      </w:tabs>
      <w:ind w:left="2552" w:hanging="1418"/>
    </w:pPr>
  </w:style>
  <w:style w:type="paragraph" w:customStyle="1" w:styleId="BoxStep">
    <w:name w:val="BoxStep"/>
    <w:aliases w:val="bs"/>
    <w:basedOn w:val="BoxText"/>
    <w:qFormat/>
    <w:rsid w:val="002531DC"/>
    <w:pPr>
      <w:ind w:left="1985" w:hanging="851"/>
    </w:pPr>
  </w:style>
  <w:style w:type="character" w:customStyle="1" w:styleId="CharAmPartNo">
    <w:name w:val="CharAmPartNo"/>
    <w:basedOn w:val="OPCCharBase"/>
    <w:uiPriority w:val="1"/>
    <w:qFormat/>
    <w:rsid w:val="002531DC"/>
  </w:style>
  <w:style w:type="character" w:customStyle="1" w:styleId="CharAmPartText">
    <w:name w:val="CharAmPartText"/>
    <w:basedOn w:val="OPCCharBase"/>
    <w:uiPriority w:val="1"/>
    <w:qFormat/>
    <w:rsid w:val="002531DC"/>
  </w:style>
  <w:style w:type="character" w:customStyle="1" w:styleId="CharBoldItalic">
    <w:name w:val="CharBoldItalic"/>
    <w:basedOn w:val="OPCCharBase"/>
    <w:uiPriority w:val="1"/>
    <w:qFormat/>
    <w:rsid w:val="002531DC"/>
    <w:rPr>
      <w:b/>
      <w:i/>
    </w:rPr>
  </w:style>
  <w:style w:type="character" w:customStyle="1" w:styleId="CharItalic">
    <w:name w:val="CharItalic"/>
    <w:basedOn w:val="OPCCharBase"/>
    <w:uiPriority w:val="1"/>
    <w:qFormat/>
    <w:rsid w:val="002531DC"/>
    <w:rPr>
      <w:i/>
    </w:rPr>
  </w:style>
  <w:style w:type="character" w:customStyle="1" w:styleId="CharSubdNo">
    <w:name w:val="CharSubdNo"/>
    <w:basedOn w:val="OPCCharBase"/>
    <w:uiPriority w:val="1"/>
    <w:qFormat/>
    <w:rsid w:val="002531DC"/>
  </w:style>
  <w:style w:type="character" w:customStyle="1" w:styleId="CharSubdText">
    <w:name w:val="CharSubdText"/>
    <w:basedOn w:val="OPCCharBase"/>
    <w:uiPriority w:val="1"/>
    <w:qFormat/>
    <w:rsid w:val="002531DC"/>
  </w:style>
  <w:style w:type="paragraph" w:customStyle="1" w:styleId="CTA--">
    <w:name w:val="CTA --"/>
    <w:basedOn w:val="OPCParaBase"/>
    <w:next w:val="Normal"/>
    <w:rsid w:val="002531DC"/>
    <w:pPr>
      <w:spacing w:before="60" w:line="240" w:lineRule="atLeast"/>
      <w:ind w:left="142" w:hanging="142"/>
    </w:pPr>
    <w:rPr>
      <w:sz w:val="20"/>
    </w:rPr>
  </w:style>
  <w:style w:type="paragraph" w:customStyle="1" w:styleId="CTA-">
    <w:name w:val="CTA -"/>
    <w:basedOn w:val="OPCParaBase"/>
    <w:rsid w:val="002531DC"/>
    <w:pPr>
      <w:spacing w:before="60" w:line="240" w:lineRule="atLeast"/>
      <w:ind w:left="85" w:hanging="85"/>
    </w:pPr>
    <w:rPr>
      <w:sz w:val="20"/>
    </w:rPr>
  </w:style>
  <w:style w:type="paragraph" w:customStyle="1" w:styleId="CTA---">
    <w:name w:val="CTA ---"/>
    <w:basedOn w:val="OPCParaBase"/>
    <w:next w:val="Normal"/>
    <w:rsid w:val="002531DC"/>
    <w:pPr>
      <w:spacing w:before="60" w:line="240" w:lineRule="atLeast"/>
      <w:ind w:left="198" w:hanging="198"/>
    </w:pPr>
    <w:rPr>
      <w:sz w:val="20"/>
    </w:rPr>
  </w:style>
  <w:style w:type="paragraph" w:customStyle="1" w:styleId="CTA----">
    <w:name w:val="CTA ----"/>
    <w:basedOn w:val="OPCParaBase"/>
    <w:next w:val="Normal"/>
    <w:rsid w:val="002531DC"/>
    <w:pPr>
      <w:spacing w:before="60" w:line="240" w:lineRule="atLeast"/>
      <w:ind w:left="255" w:hanging="255"/>
    </w:pPr>
    <w:rPr>
      <w:sz w:val="20"/>
    </w:rPr>
  </w:style>
  <w:style w:type="paragraph" w:customStyle="1" w:styleId="CTA1a">
    <w:name w:val="CTA 1(a)"/>
    <w:basedOn w:val="OPCParaBase"/>
    <w:rsid w:val="002531DC"/>
    <w:pPr>
      <w:tabs>
        <w:tab w:val="right" w:pos="414"/>
      </w:tabs>
      <w:spacing w:before="40" w:line="240" w:lineRule="atLeast"/>
      <w:ind w:left="675" w:hanging="675"/>
    </w:pPr>
    <w:rPr>
      <w:sz w:val="20"/>
    </w:rPr>
  </w:style>
  <w:style w:type="paragraph" w:customStyle="1" w:styleId="CTA1ai">
    <w:name w:val="CTA 1(a)(i)"/>
    <w:basedOn w:val="OPCParaBase"/>
    <w:rsid w:val="002531DC"/>
    <w:pPr>
      <w:tabs>
        <w:tab w:val="right" w:pos="1004"/>
      </w:tabs>
      <w:spacing w:before="40" w:line="240" w:lineRule="atLeast"/>
      <w:ind w:left="1253" w:hanging="1253"/>
    </w:pPr>
    <w:rPr>
      <w:sz w:val="20"/>
    </w:rPr>
  </w:style>
  <w:style w:type="paragraph" w:customStyle="1" w:styleId="CTA2a">
    <w:name w:val="CTA 2(a)"/>
    <w:basedOn w:val="OPCParaBase"/>
    <w:rsid w:val="002531DC"/>
    <w:pPr>
      <w:tabs>
        <w:tab w:val="right" w:pos="482"/>
      </w:tabs>
      <w:spacing w:before="40" w:line="240" w:lineRule="atLeast"/>
      <w:ind w:left="748" w:hanging="748"/>
    </w:pPr>
    <w:rPr>
      <w:sz w:val="20"/>
    </w:rPr>
  </w:style>
  <w:style w:type="paragraph" w:customStyle="1" w:styleId="CTA2ai">
    <w:name w:val="CTA 2(a)(i)"/>
    <w:basedOn w:val="OPCParaBase"/>
    <w:rsid w:val="002531DC"/>
    <w:pPr>
      <w:tabs>
        <w:tab w:val="right" w:pos="1089"/>
      </w:tabs>
      <w:spacing w:before="40" w:line="240" w:lineRule="atLeast"/>
      <w:ind w:left="1327" w:hanging="1327"/>
    </w:pPr>
    <w:rPr>
      <w:sz w:val="20"/>
    </w:rPr>
  </w:style>
  <w:style w:type="paragraph" w:customStyle="1" w:styleId="CTA3a">
    <w:name w:val="CTA 3(a)"/>
    <w:basedOn w:val="OPCParaBase"/>
    <w:rsid w:val="002531DC"/>
    <w:pPr>
      <w:tabs>
        <w:tab w:val="right" w:pos="556"/>
      </w:tabs>
      <w:spacing w:before="40" w:line="240" w:lineRule="atLeast"/>
      <w:ind w:left="805" w:hanging="805"/>
    </w:pPr>
    <w:rPr>
      <w:sz w:val="20"/>
    </w:rPr>
  </w:style>
  <w:style w:type="paragraph" w:customStyle="1" w:styleId="CTA3ai">
    <w:name w:val="CTA 3(a)(i)"/>
    <w:basedOn w:val="OPCParaBase"/>
    <w:rsid w:val="002531DC"/>
    <w:pPr>
      <w:tabs>
        <w:tab w:val="right" w:pos="1140"/>
      </w:tabs>
      <w:spacing w:before="40" w:line="240" w:lineRule="atLeast"/>
      <w:ind w:left="1361" w:hanging="1361"/>
    </w:pPr>
    <w:rPr>
      <w:sz w:val="20"/>
    </w:rPr>
  </w:style>
  <w:style w:type="paragraph" w:customStyle="1" w:styleId="CTA4a">
    <w:name w:val="CTA 4(a)"/>
    <w:basedOn w:val="OPCParaBase"/>
    <w:rsid w:val="002531DC"/>
    <w:pPr>
      <w:tabs>
        <w:tab w:val="right" w:pos="624"/>
      </w:tabs>
      <w:spacing w:before="40" w:line="240" w:lineRule="atLeast"/>
      <w:ind w:left="873" w:hanging="873"/>
    </w:pPr>
    <w:rPr>
      <w:sz w:val="20"/>
    </w:rPr>
  </w:style>
  <w:style w:type="paragraph" w:customStyle="1" w:styleId="CTA4ai">
    <w:name w:val="CTA 4(a)(i)"/>
    <w:basedOn w:val="OPCParaBase"/>
    <w:rsid w:val="002531DC"/>
    <w:pPr>
      <w:tabs>
        <w:tab w:val="right" w:pos="1213"/>
      </w:tabs>
      <w:spacing w:before="40" w:line="240" w:lineRule="atLeast"/>
      <w:ind w:left="1452" w:hanging="1452"/>
    </w:pPr>
    <w:rPr>
      <w:sz w:val="20"/>
    </w:rPr>
  </w:style>
  <w:style w:type="paragraph" w:customStyle="1" w:styleId="CTACAPS">
    <w:name w:val="CTA CAPS"/>
    <w:basedOn w:val="OPCParaBase"/>
    <w:rsid w:val="002531DC"/>
    <w:pPr>
      <w:spacing w:before="60" w:line="240" w:lineRule="atLeast"/>
    </w:pPr>
    <w:rPr>
      <w:sz w:val="20"/>
    </w:rPr>
  </w:style>
  <w:style w:type="paragraph" w:customStyle="1" w:styleId="CTAright">
    <w:name w:val="CTA right"/>
    <w:basedOn w:val="OPCParaBase"/>
    <w:rsid w:val="002531DC"/>
    <w:pPr>
      <w:spacing w:before="60" w:line="240" w:lineRule="auto"/>
      <w:jc w:val="right"/>
    </w:pPr>
    <w:rPr>
      <w:sz w:val="20"/>
    </w:rPr>
  </w:style>
  <w:style w:type="paragraph" w:customStyle="1" w:styleId="subsection">
    <w:name w:val="subsection"/>
    <w:aliases w:val="ss"/>
    <w:basedOn w:val="OPCParaBase"/>
    <w:rsid w:val="002531DC"/>
    <w:pPr>
      <w:tabs>
        <w:tab w:val="right" w:pos="1021"/>
      </w:tabs>
      <w:spacing w:before="180" w:line="240" w:lineRule="auto"/>
      <w:ind w:left="1134" w:hanging="1134"/>
    </w:pPr>
  </w:style>
  <w:style w:type="paragraph" w:customStyle="1" w:styleId="Definition">
    <w:name w:val="Definition"/>
    <w:aliases w:val="dd"/>
    <w:basedOn w:val="OPCParaBase"/>
    <w:rsid w:val="002531DC"/>
    <w:pPr>
      <w:spacing w:before="180" w:line="240" w:lineRule="auto"/>
      <w:ind w:left="1134"/>
    </w:pPr>
  </w:style>
  <w:style w:type="character" w:customStyle="1" w:styleId="HeaderChar">
    <w:name w:val="Header Char"/>
    <w:basedOn w:val="DefaultParagraphFont"/>
    <w:link w:val="Header"/>
    <w:rsid w:val="002531DC"/>
    <w:rPr>
      <w:sz w:val="16"/>
    </w:rPr>
  </w:style>
  <w:style w:type="paragraph" w:customStyle="1" w:styleId="House">
    <w:name w:val="House"/>
    <w:basedOn w:val="OPCParaBase"/>
    <w:rsid w:val="002531DC"/>
    <w:pPr>
      <w:spacing w:line="240" w:lineRule="auto"/>
    </w:pPr>
    <w:rPr>
      <w:sz w:val="28"/>
    </w:rPr>
  </w:style>
  <w:style w:type="paragraph" w:customStyle="1" w:styleId="Item">
    <w:name w:val="Item"/>
    <w:aliases w:val="i"/>
    <w:basedOn w:val="OPCParaBase"/>
    <w:next w:val="ItemHead"/>
    <w:rsid w:val="002531DC"/>
    <w:pPr>
      <w:keepLines/>
      <w:spacing w:before="80" w:line="240" w:lineRule="auto"/>
      <w:ind w:left="709"/>
    </w:pPr>
  </w:style>
  <w:style w:type="paragraph" w:customStyle="1" w:styleId="ItemHead">
    <w:name w:val="ItemHead"/>
    <w:aliases w:val="ih"/>
    <w:basedOn w:val="OPCParaBase"/>
    <w:next w:val="Item"/>
    <w:rsid w:val="002531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31DC"/>
    <w:pPr>
      <w:spacing w:line="240" w:lineRule="auto"/>
    </w:pPr>
    <w:rPr>
      <w:b/>
      <w:sz w:val="32"/>
    </w:rPr>
  </w:style>
  <w:style w:type="paragraph" w:customStyle="1" w:styleId="notedraft">
    <w:name w:val="note(draft)"/>
    <w:aliases w:val="nd"/>
    <w:basedOn w:val="OPCParaBase"/>
    <w:rsid w:val="002531DC"/>
    <w:pPr>
      <w:spacing w:before="240" w:line="240" w:lineRule="auto"/>
      <w:ind w:left="284" w:hanging="284"/>
    </w:pPr>
    <w:rPr>
      <w:i/>
      <w:sz w:val="24"/>
    </w:rPr>
  </w:style>
  <w:style w:type="paragraph" w:customStyle="1" w:styleId="notemargin">
    <w:name w:val="note(margin)"/>
    <w:aliases w:val="nm"/>
    <w:basedOn w:val="OPCParaBase"/>
    <w:rsid w:val="002531DC"/>
    <w:pPr>
      <w:tabs>
        <w:tab w:val="left" w:pos="709"/>
      </w:tabs>
      <w:spacing w:before="122" w:line="198" w:lineRule="exact"/>
      <w:ind w:left="709" w:hanging="709"/>
    </w:pPr>
    <w:rPr>
      <w:sz w:val="18"/>
    </w:rPr>
  </w:style>
  <w:style w:type="paragraph" w:customStyle="1" w:styleId="notepara">
    <w:name w:val="note(para)"/>
    <w:aliases w:val="na"/>
    <w:basedOn w:val="OPCParaBase"/>
    <w:rsid w:val="002531DC"/>
    <w:pPr>
      <w:spacing w:before="40" w:line="198" w:lineRule="exact"/>
      <w:ind w:left="2354" w:hanging="369"/>
    </w:pPr>
    <w:rPr>
      <w:sz w:val="18"/>
    </w:rPr>
  </w:style>
  <w:style w:type="paragraph" w:customStyle="1" w:styleId="noteParlAmend">
    <w:name w:val="note(ParlAmend)"/>
    <w:aliases w:val="npp"/>
    <w:basedOn w:val="OPCParaBase"/>
    <w:next w:val="ParlAmend"/>
    <w:rsid w:val="002531DC"/>
    <w:pPr>
      <w:spacing w:line="240" w:lineRule="auto"/>
      <w:jc w:val="right"/>
    </w:pPr>
    <w:rPr>
      <w:rFonts w:ascii="Arial" w:hAnsi="Arial"/>
      <w:b/>
      <w:i/>
    </w:rPr>
  </w:style>
  <w:style w:type="paragraph" w:customStyle="1" w:styleId="notetext">
    <w:name w:val="note(text)"/>
    <w:aliases w:val="n"/>
    <w:basedOn w:val="OPCParaBase"/>
    <w:rsid w:val="002531DC"/>
    <w:pPr>
      <w:spacing w:before="122" w:line="198" w:lineRule="exact"/>
      <w:ind w:left="1985" w:hanging="851"/>
    </w:pPr>
    <w:rPr>
      <w:sz w:val="18"/>
    </w:rPr>
  </w:style>
  <w:style w:type="paragraph" w:customStyle="1" w:styleId="Page1">
    <w:name w:val="Page1"/>
    <w:basedOn w:val="OPCParaBase"/>
    <w:rsid w:val="002531DC"/>
    <w:pPr>
      <w:spacing w:before="5600" w:line="240" w:lineRule="auto"/>
    </w:pPr>
    <w:rPr>
      <w:b/>
      <w:sz w:val="32"/>
    </w:rPr>
  </w:style>
  <w:style w:type="paragraph" w:customStyle="1" w:styleId="paragraphsub">
    <w:name w:val="paragraph(sub)"/>
    <w:aliases w:val="aa"/>
    <w:basedOn w:val="OPCParaBase"/>
    <w:rsid w:val="002531DC"/>
    <w:pPr>
      <w:tabs>
        <w:tab w:val="right" w:pos="1985"/>
      </w:tabs>
      <w:spacing w:before="40" w:line="240" w:lineRule="auto"/>
      <w:ind w:left="2098" w:hanging="2098"/>
    </w:pPr>
  </w:style>
  <w:style w:type="paragraph" w:customStyle="1" w:styleId="paragraphsub-sub">
    <w:name w:val="paragraph(sub-sub)"/>
    <w:aliases w:val="aaa"/>
    <w:basedOn w:val="OPCParaBase"/>
    <w:rsid w:val="002531DC"/>
    <w:pPr>
      <w:tabs>
        <w:tab w:val="right" w:pos="2722"/>
      </w:tabs>
      <w:spacing w:before="40" w:line="240" w:lineRule="auto"/>
      <w:ind w:left="2835" w:hanging="2835"/>
    </w:pPr>
  </w:style>
  <w:style w:type="paragraph" w:customStyle="1" w:styleId="paragraph">
    <w:name w:val="paragraph"/>
    <w:aliases w:val="a"/>
    <w:basedOn w:val="OPCParaBase"/>
    <w:rsid w:val="002531DC"/>
    <w:pPr>
      <w:tabs>
        <w:tab w:val="right" w:pos="1531"/>
      </w:tabs>
      <w:spacing w:before="40" w:line="240" w:lineRule="auto"/>
      <w:ind w:left="1644" w:hanging="1644"/>
    </w:pPr>
  </w:style>
  <w:style w:type="paragraph" w:customStyle="1" w:styleId="ParlAmend">
    <w:name w:val="ParlAmend"/>
    <w:aliases w:val="pp"/>
    <w:basedOn w:val="OPCParaBase"/>
    <w:rsid w:val="002531DC"/>
    <w:pPr>
      <w:spacing w:before="240" w:line="240" w:lineRule="atLeast"/>
      <w:ind w:hanging="567"/>
    </w:pPr>
    <w:rPr>
      <w:sz w:val="24"/>
    </w:rPr>
  </w:style>
  <w:style w:type="paragraph" w:customStyle="1" w:styleId="Portfolio">
    <w:name w:val="Portfolio"/>
    <w:basedOn w:val="OPCParaBase"/>
    <w:rsid w:val="002531DC"/>
    <w:pPr>
      <w:spacing w:line="240" w:lineRule="auto"/>
    </w:pPr>
    <w:rPr>
      <w:i/>
      <w:sz w:val="20"/>
    </w:rPr>
  </w:style>
  <w:style w:type="paragraph" w:customStyle="1" w:styleId="Preamble">
    <w:name w:val="Preamble"/>
    <w:basedOn w:val="OPCParaBase"/>
    <w:next w:val="Normal"/>
    <w:rsid w:val="002531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1DC"/>
    <w:pPr>
      <w:spacing w:line="240" w:lineRule="auto"/>
    </w:pPr>
    <w:rPr>
      <w:i/>
      <w:sz w:val="20"/>
    </w:rPr>
  </w:style>
  <w:style w:type="paragraph" w:customStyle="1" w:styleId="Session">
    <w:name w:val="Session"/>
    <w:basedOn w:val="OPCParaBase"/>
    <w:rsid w:val="002531DC"/>
    <w:pPr>
      <w:spacing w:line="240" w:lineRule="auto"/>
    </w:pPr>
    <w:rPr>
      <w:sz w:val="28"/>
    </w:rPr>
  </w:style>
  <w:style w:type="paragraph" w:customStyle="1" w:styleId="Sponsor">
    <w:name w:val="Sponsor"/>
    <w:basedOn w:val="OPCParaBase"/>
    <w:rsid w:val="002531DC"/>
    <w:pPr>
      <w:spacing w:line="240" w:lineRule="auto"/>
    </w:pPr>
    <w:rPr>
      <w:i/>
    </w:rPr>
  </w:style>
  <w:style w:type="paragraph" w:customStyle="1" w:styleId="Subitem">
    <w:name w:val="Subitem"/>
    <w:aliases w:val="iss"/>
    <w:basedOn w:val="OPCParaBase"/>
    <w:rsid w:val="002531DC"/>
    <w:pPr>
      <w:spacing w:before="180" w:line="240" w:lineRule="auto"/>
      <w:ind w:left="709" w:hanging="709"/>
    </w:pPr>
  </w:style>
  <w:style w:type="paragraph" w:customStyle="1" w:styleId="SubitemHead">
    <w:name w:val="SubitemHead"/>
    <w:aliases w:val="issh"/>
    <w:basedOn w:val="OPCParaBase"/>
    <w:rsid w:val="002531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1DC"/>
    <w:pPr>
      <w:spacing w:before="40" w:line="240" w:lineRule="auto"/>
      <w:ind w:left="1134"/>
    </w:pPr>
  </w:style>
  <w:style w:type="paragraph" w:customStyle="1" w:styleId="SubsectionHead">
    <w:name w:val="SubsectionHead"/>
    <w:aliases w:val="ssh"/>
    <w:basedOn w:val="OPCParaBase"/>
    <w:next w:val="subsection"/>
    <w:rsid w:val="002531DC"/>
    <w:pPr>
      <w:keepNext/>
      <w:keepLines/>
      <w:spacing w:before="240" w:line="240" w:lineRule="auto"/>
      <w:ind w:left="1134"/>
    </w:pPr>
    <w:rPr>
      <w:i/>
    </w:rPr>
  </w:style>
  <w:style w:type="paragraph" w:customStyle="1" w:styleId="Tablea">
    <w:name w:val="Table(a)"/>
    <w:aliases w:val="ta"/>
    <w:basedOn w:val="OPCParaBase"/>
    <w:rsid w:val="002531DC"/>
    <w:pPr>
      <w:spacing w:before="60" w:line="240" w:lineRule="auto"/>
      <w:ind w:left="284" w:hanging="284"/>
    </w:pPr>
    <w:rPr>
      <w:sz w:val="20"/>
    </w:rPr>
  </w:style>
  <w:style w:type="paragraph" w:customStyle="1" w:styleId="TableAA">
    <w:name w:val="Table(AA)"/>
    <w:aliases w:val="taaa"/>
    <w:basedOn w:val="OPCParaBase"/>
    <w:rsid w:val="002531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1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1DC"/>
    <w:pPr>
      <w:spacing w:before="60" w:line="240" w:lineRule="atLeast"/>
    </w:pPr>
    <w:rPr>
      <w:sz w:val="20"/>
    </w:rPr>
  </w:style>
  <w:style w:type="paragraph" w:customStyle="1" w:styleId="TLPBoxTextnote">
    <w:name w:val="TLPBoxText(note"/>
    <w:aliases w:val="right)"/>
    <w:basedOn w:val="OPCParaBase"/>
    <w:rsid w:val="002531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1D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31DC"/>
    <w:pPr>
      <w:spacing w:before="122" w:line="198" w:lineRule="exact"/>
      <w:ind w:left="1985" w:hanging="851"/>
      <w:jc w:val="right"/>
    </w:pPr>
    <w:rPr>
      <w:sz w:val="18"/>
    </w:rPr>
  </w:style>
  <w:style w:type="paragraph" w:customStyle="1" w:styleId="TLPTableBullet">
    <w:name w:val="TLPTableBullet"/>
    <w:aliases w:val="ttb"/>
    <w:basedOn w:val="OPCParaBase"/>
    <w:rsid w:val="002531DC"/>
    <w:pPr>
      <w:spacing w:line="240" w:lineRule="exact"/>
      <w:ind w:left="284" w:hanging="284"/>
    </w:pPr>
    <w:rPr>
      <w:sz w:val="20"/>
    </w:rPr>
  </w:style>
  <w:style w:type="paragraph" w:customStyle="1" w:styleId="TofSectsGroupHeading">
    <w:name w:val="TofSects(GroupHeading)"/>
    <w:basedOn w:val="OPCParaBase"/>
    <w:next w:val="TofSectsSection"/>
    <w:rsid w:val="002531DC"/>
    <w:pPr>
      <w:keepLines/>
      <w:spacing w:before="240" w:after="120" w:line="240" w:lineRule="auto"/>
      <w:ind w:left="794"/>
    </w:pPr>
    <w:rPr>
      <w:b/>
      <w:kern w:val="28"/>
      <w:sz w:val="20"/>
    </w:rPr>
  </w:style>
  <w:style w:type="paragraph" w:customStyle="1" w:styleId="TofSectsHeading">
    <w:name w:val="TofSects(Heading)"/>
    <w:basedOn w:val="OPCParaBase"/>
    <w:rsid w:val="002531DC"/>
    <w:pPr>
      <w:spacing w:before="240" w:after="120" w:line="240" w:lineRule="auto"/>
    </w:pPr>
    <w:rPr>
      <w:b/>
      <w:sz w:val="24"/>
    </w:rPr>
  </w:style>
  <w:style w:type="paragraph" w:customStyle="1" w:styleId="TofSectsSection">
    <w:name w:val="TofSects(Section)"/>
    <w:basedOn w:val="OPCParaBase"/>
    <w:rsid w:val="002531DC"/>
    <w:pPr>
      <w:keepLines/>
      <w:spacing w:before="40" w:line="240" w:lineRule="auto"/>
      <w:ind w:left="1588" w:hanging="794"/>
    </w:pPr>
    <w:rPr>
      <w:kern w:val="28"/>
      <w:sz w:val="18"/>
    </w:rPr>
  </w:style>
  <w:style w:type="paragraph" w:customStyle="1" w:styleId="TofSectsSubdiv">
    <w:name w:val="TofSects(Subdiv)"/>
    <w:basedOn w:val="OPCParaBase"/>
    <w:rsid w:val="002531DC"/>
    <w:pPr>
      <w:keepLines/>
      <w:spacing w:before="80" w:line="240" w:lineRule="auto"/>
      <w:ind w:left="1588" w:hanging="794"/>
    </w:pPr>
    <w:rPr>
      <w:kern w:val="28"/>
    </w:rPr>
  </w:style>
  <w:style w:type="paragraph" w:customStyle="1" w:styleId="WRStyle">
    <w:name w:val="WR Style"/>
    <w:aliases w:val="WR"/>
    <w:basedOn w:val="OPCParaBase"/>
    <w:rsid w:val="002531DC"/>
    <w:pPr>
      <w:spacing w:before="240" w:line="240" w:lineRule="auto"/>
      <w:ind w:left="284" w:hanging="284"/>
    </w:pPr>
    <w:rPr>
      <w:b/>
      <w:i/>
      <w:kern w:val="28"/>
      <w:sz w:val="24"/>
    </w:rPr>
  </w:style>
  <w:style w:type="numbering" w:customStyle="1" w:styleId="OPCBodyList">
    <w:name w:val="OPCBodyList"/>
    <w:uiPriority w:val="99"/>
    <w:rsid w:val="00383C26"/>
    <w:pPr>
      <w:numPr>
        <w:numId w:val="17"/>
      </w:numPr>
    </w:pPr>
  </w:style>
  <w:style w:type="paragraph" w:customStyle="1" w:styleId="noteToPara">
    <w:name w:val="noteToPara"/>
    <w:aliases w:val="ntp"/>
    <w:basedOn w:val="OPCParaBase"/>
    <w:rsid w:val="002531DC"/>
    <w:pPr>
      <w:spacing w:before="122" w:line="198" w:lineRule="exact"/>
      <w:ind w:left="2353" w:hanging="709"/>
    </w:pPr>
    <w:rPr>
      <w:sz w:val="18"/>
    </w:rPr>
  </w:style>
  <w:style w:type="character" w:customStyle="1" w:styleId="FooterChar">
    <w:name w:val="Footer Char"/>
    <w:basedOn w:val="DefaultParagraphFont"/>
    <w:link w:val="Footer"/>
    <w:rsid w:val="002531DC"/>
    <w:rPr>
      <w:sz w:val="22"/>
      <w:szCs w:val="24"/>
    </w:rPr>
  </w:style>
  <w:style w:type="character" w:customStyle="1" w:styleId="BalloonTextChar">
    <w:name w:val="Balloon Text Char"/>
    <w:basedOn w:val="DefaultParagraphFont"/>
    <w:link w:val="BalloonText"/>
    <w:uiPriority w:val="99"/>
    <w:rsid w:val="002531D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531DC"/>
    <w:pPr>
      <w:keepNext/>
      <w:spacing w:before="60" w:line="240" w:lineRule="atLeast"/>
    </w:pPr>
    <w:rPr>
      <w:b/>
      <w:sz w:val="20"/>
    </w:rPr>
  </w:style>
  <w:style w:type="table" w:customStyle="1" w:styleId="CFlag">
    <w:name w:val="CFlag"/>
    <w:basedOn w:val="TableNormal"/>
    <w:uiPriority w:val="99"/>
    <w:rsid w:val="002531DC"/>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2531DC"/>
    <w:pPr>
      <w:keepNext/>
      <w:keepLines/>
      <w:spacing w:before="280"/>
      <w:outlineLvl w:val="1"/>
    </w:pPr>
    <w:rPr>
      <w:b/>
      <w:kern w:val="28"/>
      <w:sz w:val="32"/>
    </w:rPr>
  </w:style>
  <w:style w:type="paragraph" w:customStyle="1" w:styleId="ENotesText">
    <w:name w:val="ENotesText"/>
    <w:aliases w:val="Ent"/>
    <w:basedOn w:val="OPCParaBase"/>
    <w:next w:val="Normal"/>
    <w:rsid w:val="002531DC"/>
    <w:pPr>
      <w:spacing w:before="120"/>
    </w:pPr>
  </w:style>
  <w:style w:type="paragraph" w:customStyle="1" w:styleId="CompiledActNo">
    <w:name w:val="CompiledActNo"/>
    <w:basedOn w:val="OPCParaBase"/>
    <w:next w:val="Normal"/>
    <w:rsid w:val="002531DC"/>
    <w:rPr>
      <w:b/>
      <w:sz w:val="24"/>
      <w:szCs w:val="24"/>
    </w:rPr>
  </w:style>
  <w:style w:type="paragraph" w:customStyle="1" w:styleId="CompiledMadeUnder">
    <w:name w:val="CompiledMadeUnder"/>
    <w:basedOn w:val="OPCParaBase"/>
    <w:next w:val="Normal"/>
    <w:rsid w:val="002531DC"/>
    <w:rPr>
      <w:i/>
      <w:sz w:val="24"/>
      <w:szCs w:val="24"/>
    </w:rPr>
  </w:style>
  <w:style w:type="paragraph" w:customStyle="1" w:styleId="Paragraphsub-sub-sub">
    <w:name w:val="Paragraph(sub-sub-sub)"/>
    <w:aliases w:val="aaaa"/>
    <w:basedOn w:val="OPCParaBase"/>
    <w:rsid w:val="002531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31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31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31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31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31DC"/>
    <w:pPr>
      <w:spacing w:before="60" w:line="240" w:lineRule="auto"/>
    </w:pPr>
    <w:rPr>
      <w:rFonts w:cs="Arial"/>
      <w:sz w:val="20"/>
      <w:szCs w:val="22"/>
    </w:rPr>
  </w:style>
  <w:style w:type="paragraph" w:customStyle="1" w:styleId="NoteToSubpara">
    <w:name w:val="NoteToSubpara"/>
    <w:aliases w:val="nts"/>
    <w:basedOn w:val="OPCParaBase"/>
    <w:rsid w:val="002531DC"/>
    <w:pPr>
      <w:spacing w:before="40" w:line="198" w:lineRule="exact"/>
      <w:ind w:left="2835" w:hanging="709"/>
    </w:pPr>
    <w:rPr>
      <w:sz w:val="18"/>
    </w:rPr>
  </w:style>
  <w:style w:type="paragraph" w:customStyle="1" w:styleId="ENoteTableHeading">
    <w:name w:val="ENoteTableHeading"/>
    <w:aliases w:val="enth"/>
    <w:basedOn w:val="OPCParaBase"/>
    <w:rsid w:val="002531DC"/>
    <w:pPr>
      <w:keepNext/>
      <w:spacing w:before="60" w:line="240" w:lineRule="atLeast"/>
    </w:pPr>
    <w:rPr>
      <w:rFonts w:ascii="Arial" w:hAnsi="Arial"/>
      <w:b/>
      <w:sz w:val="16"/>
    </w:rPr>
  </w:style>
  <w:style w:type="paragraph" w:customStyle="1" w:styleId="ENoteTTi">
    <w:name w:val="ENoteTTi"/>
    <w:aliases w:val="entti"/>
    <w:basedOn w:val="OPCParaBase"/>
    <w:rsid w:val="002531DC"/>
    <w:pPr>
      <w:keepNext/>
      <w:spacing w:before="60" w:line="240" w:lineRule="atLeast"/>
      <w:ind w:left="170"/>
    </w:pPr>
    <w:rPr>
      <w:sz w:val="16"/>
    </w:rPr>
  </w:style>
  <w:style w:type="paragraph" w:customStyle="1" w:styleId="ENotesHeading1">
    <w:name w:val="ENotesHeading 1"/>
    <w:aliases w:val="Enh1"/>
    <w:basedOn w:val="OPCParaBase"/>
    <w:next w:val="Normal"/>
    <w:rsid w:val="002531DC"/>
    <w:pPr>
      <w:spacing w:before="120"/>
      <w:outlineLvl w:val="1"/>
    </w:pPr>
    <w:rPr>
      <w:b/>
      <w:sz w:val="28"/>
      <w:szCs w:val="28"/>
    </w:rPr>
  </w:style>
  <w:style w:type="paragraph" w:customStyle="1" w:styleId="ENotesHeading2">
    <w:name w:val="ENotesHeading 2"/>
    <w:aliases w:val="Enh2"/>
    <w:basedOn w:val="OPCParaBase"/>
    <w:next w:val="Normal"/>
    <w:rsid w:val="002531DC"/>
    <w:pPr>
      <w:spacing w:before="120" w:after="120"/>
      <w:outlineLvl w:val="2"/>
    </w:pPr>
    <w:rPr>
      <w:b/>
      <w:sz w:val="24"/>
      <w:szCs w:val="28"/>
    </w:rPr>
  </w:style>
  <w:style w:type="paragraph" w:customStyle="1" w:styleId="ENoteTTIndentHeading">
    <w:name w:val="ENoteTTIndentHeading"/>
    <w:aliases w:val="enTTHi"/>
    <w:basedOn w:val="OPCParaBase"/>
    <w:rsid w:val="002531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31DC"/>
    <w:pPr>
      <w:spacing w:before="60" w:line="240" w:lineRule="atLeast"/>
    </w:pPr>
    <w:rPr>
      <w:sz w:val="16"/>
    </w:rPr>
  </w:style>
  <w:style w:type="paragraph" w:customStyle="1" w:styleId="MadeunderText">
    <w:name w:val="MadeunderText"/>
    <w:basedOn w:val="OPCParaBase"/>
    <w:next w:val="CompiledMadeUnder"/>
    <w:rsid w:val="002531DC"/>
    <w:pPr>
      <w:spacing w:before="240"/>
    </w:pPr>
    <w:rPr>
      <w:sz w:val="24"/>
      <w:szCs w:val="24"/>
    </w:rPr>
  </w:style>
  <w:style w:type="paragraph" w:customStyle="1" w:styleId="ENotesHeading3">
    <w:name w:val="ENotesHeading 3"/>
    <w:aliases w:val="Enh3"/>
    <w:basedOn w:val="OPCParaBase"/>
    <w:next w:val="Normal"/>
    <w:rsid w:val="002531DC"/>
    <w:pPr>
      <w:keepNext/>
      <w:spacing w:before="120" w:line="240" w:lineRule="auto"/>
      <w:outlineLvl w:val="4"/>
    </w:pPr>
    <w:rPr>
      <w:b/>
      <w:szCs w:val="24"/>
    </w:rPr>
  </w:style>
  <w:style w:type="paragraph" w:customStyle="1" w:styleId="InstNo">
    <w:name w:val="InstNo"/>
    <w:basedOn w:val="OPCParaBase"/>
    <w:next w:val="Normal"/>
    <w:rsid w:val="002531DC"/>
    <w:rPr>
      <w:b/>
      <w:sz w:val="28"/>
      <w:szCs w:val="32"/>
    </w:rPr>
  </w:style>
  <w:style w:type="paragraph" w:customStyle="1" w:styleId="LegislationMadeUnder">
    <w:name w:val="LegislationMadeUnder"/>
    <w:basedOn w:val="OPCParaBase"/>
    <w:next w:val="Normal"/>
    <w:rsid w:val="002531DC"/>
    <w:rPr>
      <w:i/>
      <w:sz w:val="32"/>
      <w:szCs w:val="32"/>
    </w:rPr>
  </w:style>
  <w:style w:type="paragraph" w:customStyle="1" w:styleId="SignCoverPageEnd">
    <w:name w:val="SignCoverPageEnd"/>
    <w:basedOn w:val="OPCParaBase"/>
    <w:next w:val="Normal"/>
    <w:rsid w:val="002531D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531DC"/>
    <w:pPr>
      <w:pBdr>
        <w:top w:val="single" w:sz="4" w:space="1" w:color="auto"/>
      </w:pBdr>
      <w:spacing w:before="360"/>
      <w:ind w:right="397"/>
      <w:jc w:val="both"/>
    </w:pPr>
  </w:style>
  <w:style w:type="paragraph" w:customStyle="1" w:styleId="NotesHeading1">
    <w:name w:val="NotesHeading 1"/>
    <w:basedOn w:val="OPCParaBase"/>
    <w:next w:val="Normal"/>
    <w:rsid w:val="002531DC"/>
    <w:pPr>
      <w:outlineLvl w:val="0"/>
    </w:pPr>
    <w:rPr>
      <w:b/>
      <w:sz w:val="28"/>
      <w:szCs w:val="28"/>
    </w:rPr>
  </w:style>
  <w:style w:type="paragraph" w:customStyle="1" w:styleId="NotesHeading2">
    <w:name w:val="NotesHeading 2"/>
    <w:basedOn w:val="OPCParaBase"/>
    <w:next w:val="Normal"/>
    <w:rsid w:val="002531DC"/>
    <w:rPr>
      <w:b/>
      <w:sz w:val="28"/>
      <w:szCs w:val="28"/>
    </w:rPr>
  </w:style>
  <w:style w:type="character" w:customStyle="1" w:styleId="CharSubPartTextCASA">
    <w:name w:val="CharSubPartText(CASA)"/>
    <w:basedOn w:val="OPCCharBase"/>
    <w:uiPriority w:val="1"/>
    <w:rsid w:val="002531DC"/>
  </w:style>
  <w:style w:type="character" w:customStyle="1" w:styleId="CharSubPartNoCASA">
    <w:name w:val="CharSubPartNo(CASA)"/>
    <w:basedOn w:val="OPCCharBase"/>
    <w:uiPriority w:val="1"/>
    <w:rsid w:val="002531DC"/>
  </w:style>
  <w:style w:type="paragraph" w:customStyle="1" w:styleId="ENoteTTIndentHeadingSub">
    <w:name w:val="ENoteTTIndentHeadingSub"/>
    <w:aliases w:val="enTTHis"/>
    <w:basedOn w:val="OPCParaBase"/>
    <w:rsid w:val="002531DC"/>
    <w:pPr>
      <w:keepNext/>
      <w:spacing w:before="60" w:line="240" w:lineRule="atLeast"/>
      <w:ind w:left="340"/>
    </w:pPr>
    <w:rPr>
      <w:b/>
      <w:sz w:val="16"/>
    </w:rPr>
  </w:style>
  <w:style w:type="paragraph" w:customStyle="1" w:styleId="ENoteTTiSub">
    <w:name w:val="ENoteTTiSub"/>
    <w:aliases w:val="enttis"/>
    <w:basedOn w:val="OPCParaBase"/>
    <w:rsid w:val="002531DC"/>
    <w:pPr>
      <w:keepNext/>
      <w:spacing w:before="60" w:line="240" w:lineRule="atLeast"/>
      <w:ind w:left="340"/>
    </w:pPr>
    <w:rPr>
      <w:sz w:val="16"/>
    </w:rPr>
  </w:style>
  <w:style w:type="paragraph" w:customStyle="1" w:styleId="SubDivisionMigration">
    <w:name w:val="SubDivisionMigration"/>
    <w:aliases w:val="sdm"/>
    <w:basedOn w:val="OPCParaBase"/>
    <w:rsid w:val="002531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31DC"/>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31DC"/>
    <w:pPr>
      <w:spacing w:line="260" w:lineRule="atLeast"/>
    </w:pPr>
    <w:rPr>
      <w:rFonts w:eastAsiaTheme="minorHAnsi" w:cstheme="minorBid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531DC"/>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rsid w:val="00E814E3"/>
    <w:rPr>
      <w:color w:val="800080"/>
      <w:u w:val="single"/>
    </w:rPr>
  </w:style>
  <w:style w:type="paragraph" w:styleId="Header">
    <w:name w:val="header"/>
    <w:basedOn w:val="OPCParaBase"/>
    <w:link w:val="HeaderChar"/>
    <w:unhideWhenUsed/>
    <w:rsid w:val="002531DC"/>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OPCCharBase"/>
    <w:uiPriority w:val="99"/>
    <w:unhideWhenUsed/>
    <w:rsid w:val="002531DC"/>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383C26"/>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531D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2531DC"/>
    <w:pPr>
      <w:spacing w:line="240" w:lineRule="auto"/>
    </w:pPr>
    <w:rPr>
      <w:rFonts w:ascii="Tahoma" w:hAnsi="Tahoma" w:cs="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uiPriority w:val="1"/>
    <w:qFormat/>
    <w:rsid w:val="002531DC"/>
  </w:style>
  <w:style w:type="character" w:customStyle="1" w:styleId="CharAmSchText">
    <w:name w:val="CharAmSchText"/>
    <w:basedOn w:val="OPCCharBase"/>
    <w:uiPriority w:val="1"/>
    <w:qFormat/>
    <w:rsid w:val="002531DC"/>
  </w:style>
  <w:style w:type="character" w:customStyle="1" w:styleId="CharChapNo">
    <w:name w:val="CharChapNo"/>
    <w:basedOn w:val="OPCCharBase"/>
    <w:qFormat/>
    <w:rsid w:val="002531DC"/>
  </w:style>
  <w:style w:type="character" w:customStyle="1" w:styleId="CharChapText">
    <w:name w:val="CharChapText"/>
    <w:basedOn w:val="OPCCharBase"/>
    <w:qFormat/>
    <w:rsid w:val="002531DC"/>
  </w:style>
  <w:style w:type="character" w:customStyle="1" w:styleId="CharDivNo">
    <w:name w:val="CharDivNo"/>
    <w:basedOn w:val="OPCCharBase"/>
    <w:qFormat/>
    <w:rsid w:val="002531DC"/>
  </w:style>
  <w:style w:type="character" w:customStyle="1" w:styleId="CharDivText">
    <w:name w:val="CharDivText"/>
    <w:basedOn w:val="OPCCharBase"/>
    <w:qFormat/>
    <w:rsid w:val="002531DC"/>
  </w:style>
  <w:style w:type="character" w:customStyle="1" w:styleId="CharPartNo">
    <w:name w:val="CharPartNo"/>
    <w:basedOn w:val="OPCCharBase"/>
    <w:qFormat/>
    <w:rsid w:val="002531DC"/>
  </w:style>
  <w:style w:type="character" w:customStyle="1" w:styleId="CharPartText">
    <w:name w:val="CharPartText"/>
    <w:basedOn w:val="OPCCharBase"/>
    <w:qFormat/>
    <w:rsid w:val="002531DC"/>
  </w:style>
  <w:style w:type="character" w:customStyle="1" w:styleId="OPCCharBase">
    <w:name w:val="OPCCharBase"/>
    <w:uiPriority w:val="1"/>
    <w:qFormat/>
    <w:rsid w:val="002531DC"/>
  </w:style>
  <w:style w:type="paragraph" w:customStyle="1" w:styleId="OPCParaBase">
    <w:name w:val="OPCParaBase"/>
    <w:qFormat/>
    <w:rsid w:val="002531DC"/>
    <w:pPr>
      <w:spacing w:line="260" w:lineRule="atLeast"/>
    </w:pPr>
    <w:rPr>
      <w:sz w:val="22"/>
    </w:rPr>
  </w:style>
  <w:style w:type="character" w:customStyle="1" w:styleId="CharSectno">
    <w:name w:val="CharSectno"/>
    <w:basedOn w:val="OPCCharBase"/>
    <w:qFormat/>
    <w:rsid w:val="002531DC"/>
  </w:style>
  <w:style w:type="character" w:styleId="CommentReference">
    <w:name w:val="annotation reference"/>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rsid w:val="00E814E3"/>
    <w:rPr>
      <w:vertAlign w:val="superscript"/>
    </w:rPr>
  </w:style>
  <w:style w:type="paragraph" w:styleId="EndnoteText">
    <w:name w:val="endnote text"/>
    <w:basedOn w:val="Normal"/>
    <w:rsid w:val="00E814E3"/>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2531DC"/>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2531DC"/>
    <w:pPr>
      <w:spacing w:line="240" w:lineRule="auto"/>
    </w:pPr>
    <w:rPr>
      <w:sz w:val="20"/>
    </w:rPr>
  </w:style>
  <w:style w:type="paragraph" w:customStyle="1" w:styleId="Penalty">
    <w:name w:val="Penalty"/>
    <w:basedOn w:val="OPCParaBase"/>
    <w:rsid w:val="002531DC"/>
    <w:pPr>
      <w:tabs>
        <w:tab w:val="left" w:pos="2977"/>
      </w:tabs>
      <w:spacing w:before="180" w:line="240" w:lineRule="auto"/>
      <w:ind w:left="1985" w:hanging="851"/>
    </w:pPr>
  </w:style>
  <w:style w:type="paragraph" w:customStyle="1" w:styleId="ShortT">
    <w:name w:val="ShortT"/>
    <w:basedOn w:val="OPCParaBase"/>
    <w:next w:val="Normal"/>
    <w:qFormat/>
    <w:rsid w:val="002531DC"/>
    <w:pPr>
      <w:spacing w:line="240" w:lineRule="auto"/>
    </w:pPr>
    <w:rPr>
      <w:b/>
      <w:sz w:val="40"/>
    </w:rPr>
  </w:style>
  <w:style w:type="paragraph" w:customStyle="1" w:styleId="ActHead1">
    <w:name w:val="ActHead 1"/>
    <w:aliases w:val="c"/>
    <w:basedOn w:val="OPCParaBase"/>
    <w:next w:val="Normal"/>
    <w:qFormat/>
    <w:rsid w:val="002531DC"/>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2531DC"/>
    <w:pPr>
      <w:keepNext/>
      <w:keepLines/>
      <w:spacing w:before="280" w:line="240" w:lineRule="auto"/>
      <w:ind w:left="1134" w:hanging="1134"/>
      <w:outlineLvl w:val="1"/>
    </w:pPr>
    <w:rPr>
      <w:b/>
      <w:kern w:val="28"/>
      <w:sz w:val="32"/>
    </w:r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rsid w:val="002531D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531D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531D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2531D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531D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2531D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2531D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2531D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2531DC"/>
    <w:pPr>
      <w:keepLines/>
      <w:tabs>
        <w:tab w:val="right" w:pos="8278"/>
      </w:tabs>
      <w:spacing w:before="80" w:line="240" w:lineRule="auto"/>
      <w:ind w:left="851" w:right="567"/>
    </w:pPr>
    <w:rPr>
      <w:i/>
      <w:kern w:val="28"/>
      <w:sz w:val="20"/>
    </w:rPr>
  </w:style>
  <w:style w:type="paragraph" w:customStyle="1" w:styleId="ActHead3">
    <w:name w:val="ActHead 3"/>
    <w:aliases w:val="d"/>
    <w:basedOn w:val="OPCParaBase"/>
    <w:next w:val="ActHead4"/>
    <w:qFormat/>
    <w:rsid w:val="002531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531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531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531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531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531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531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531DC"/>
  </w:style>
  <w:style w:type="paragraph" w:customStyle="1" w:styleId="Blocks">
    <w:name w:val="Blocks"/>
    <w:aliases w:val="bb"/>
    <w:basedOn w:val="OPCParaBase"/>
    <w:qFormat/>
    <w:rsid w:val="002531DC"/>
    <w:pPr>
      <w:spacing w:line="240" w:lineRule="auto"/>
    </w:pPr>
    <w:rPr>
      <w:sz w:val="24"/>
    </w:rPr>
  </w:style>
  <w:style w:type="paragraph" w:customStyle="1" w:styleId="BoxText">
    <w:name w:val="BoxText"/>
    <w:aliases w:val="bt"/>
    <w:basedOn w:val="OPCParaBase"/>
    <w:qFormat/>
    <w:rsid w:val="002531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531DC"/>
    <w:rPr>
      <w:b/>
    </w:rPr>
  </w:style>
  <w:style w:type="paragraph" w:customStyle="1" w:styleId="BoxHeadItalic">
    <w:name w:val="BoxHeadItalic"/>
    <w:aliases w:val="bhi"/>
    <w:basedOn w:val="BoxText"/>
    <w:next w:val="BoxStep"/>
    <w:qFormat/>
    <w:rsid w:val="002531DC"/>
    <w:rPr>
      <w:i/>
    </w:rPr>
  </w:style>
  <w:style w:type="paragraph" w:customStyle="1" w:styleId="BoxList">
    <w:name w:val="BoxList"/>
    <w:aliases w:val="bl"/>
    <w:basedOn w:val="BoxText"/>
    <w:qFormat/>
    <w:rsid w:val="002531DC"/>
    <w:pPr>
      <w:ind w:left="1559" w:hanging="425"/>
    </w:pPr>
  </w:style>
  <w:style w:type="paragraph" w:customStyle="1" w:styleId="BoxNote">
    <w:name w:val="BoxNote"/>
    <w:aliases w:val="bn"/>
    <w:basedOn w:val="BoxText"/>
    <w:qFormat/>
    <w:rsid w:val="002531DC"/>
    <w:pPr>
      <w:tabs>
        <w:tab w:val="left" w:pos="1985"/>
      </w:tabs>
      <w:spacing w:before="122" w:line="198" w:lineRule="exact"/>
      <w:ind w:left="2948" w:hanging="1814"/>
    </w:pPr>
    <w:rPr>
      <w:sz w:val="18"/>
    </w:rPr>
  </w:style>
  <w:style w:type="paragraph" w:customStyle="1" w:styleId="BoxPara">
    <w:name w:val="BoxPara"/>
    <w:aliases w:val="bp"/>
    <w:basedOn w:val="BoxText"/>
    <w:qFormat/>
    <w:rsid w:val="002531DC"/>
    <w:pPr>
      <w:tabs>
        <w:tab w:val="right" w:pos="2268"/>
      </w:tabs>
      <w:ind w:left="2552" w:hanging="1418"/>
    </w:pPr>
  </w:style>
  <w:style w:type="paragraph" w:customStyle="1" w:styleId="BoxStep">
    <w:name w:val="BoxStep"/>
    <w:aliases w:val="bs"/>
    <w:basedOn w:val="BoxText"/>
    <w:qFormat/>
    <w:rsid w:val="002531DC"/>
    <w:pPr>
      <w:ind w:left="1985" w:hanging="851"/>
    </w:pPr>
  </w:style>
  <w:style w:type="character" w:customStyle="1" w:styleId="CharAmPartNo">
    <w:name w:val="CharAmPartNo"/>
    <w:basedOn w:val="OPCCharBase"/>
    <w:uiPriority w:val="1"/>
    <w:qFormat/>
    <w:rsid w:val="002531DC"/>
  </w:style>
  <w:style w:type="character" w:customStyle="1" w:styleId="CharAmPartText">
    <w:name w:val="CharAmPartText"/>
    <w:basedOn w:val="OPCCharBase"/>
    <w:uiPriority w:val="1"/>
    <w:qFormat/>
    <w:rsid w:val="002531DC"/>
  </w:style>
  <w:style w:type="character" w:customStyle="1" w:styleId="CharBoldItalic">
    <w:name w:val="CharBoldItalic"/>
    <w:basedOn w:val="OPCCharBase"/>
    <w:uiPriority w:val="1"/>
    <w:qFormat/>
    <w:rsid w:val="002531DC"/>
    <w:rPr>
      <w:b/>
      <w:i/>
    </w:rPr>
  </w:style>
  <w:style w:type="character" w:customStyle="1" w:styleId="CharItalic">
    <w:name w:val="CharItalic"/>
    <w:basedOn w:val="OPCCharBase"/>
    <w:uiPriority w:val="1"/>
    <w:qFormat/>
    <w:rsid w:val="002531DC"/>
    <w:rPr>
      <w:i/>
    </w:rPr>
  </w:style>
  <w:style w:type="character" w:customStyle="1" w:styleId="CharSubdNo">
    <w:name w:val="CharSubdNo"/>
    <w:basedOn w:val="OPCCharBase"/>
    <w:uiPriority w:val="1"/>
    <w:qFormat/>
    <w:rsid w:val="002531DC"/>
  </w:style>
  <w:style w:type="character" w:customStyle="1" w:styleId="CharSubdText">
    <w:name w:val="CharSubdText"/>
    <w:basedOn w:val="OPCCharBase"/>
    <w:uiPriority w:val="1"/>
    <w:qFormat/>
    <w:rsid w:val="002531DC"/>
  </w:style>
  <w:style w:type="paragraph" w:customStyle="1" w:styleId="CTA--">
    <w:name w:val="CTA --"/>
    <w:basedOn w:val="OPCParaBase"/>
    <w:next w:val="Normal"/>
    <w:rsid w:val="002531DC"/>
    <w:pPr>
      <w:spacing w:before="60" w:line="240" w:lineRule="atLeast"/>
      <w:ind w:left="142" w:hanging="142"/>
    </w:pPr>
    <w:rPr>
      <w:sz w:val="20"/>
    </w:rPr>
  </w:style>
  <w:style w:type="paragraph" w:customStyle="1" w:styleId="CTA-">
    <w:name w:val="CTA -"/>
    <w:basedOn w:val="OPCParaBase"/>
    <w:rsid w:val="002531DC"/>
    <w:pPr>
      <w:spacing w:before="60" w:line="240" w:lineRule="atLeast"/>
      <w:ind w:left="85" w:hanging="85"/>
    </w:pPr>
    <w:rPr>
      <w:sz w:val="20"/>
    </w:rPr>
  </w:style>
  <w:style w:type="paragraph" w:customStyle="1" w:styleId="CTA---">
    <w:name w:val="CTA ---"/>
    <w:basedOn w:val="OPCParaBase"/>
    <w:next w:val="Normal"/>
    <w:rsid w:val="002531DC"/>
    <w:pPr>
      <w:spacing w:before="60" w:line="240" w:lineRule="atLeast"/>
      <w:ind w:left="198" w:hanging="198"/>
    </w:pPr>
    <w:rPr>
      <w:sz w:val="20"/>
    </w:rPr>
  </w:style>
  <w:style w:type="paragraph" w:customStyle="1" w:styleId="CTA----">
    <w:name w:val="CTA ----"/>
    <w:basedOn w:val="OPCParaBase"/>
    <w:next w:val="Normal"/>
    <w:rsid w:val="002531DC"/>
    <w:pPr>
      <w:spacing w:before="60" w:line="240" w:lineRule="atLeast"/>
      <w:ind w:left="255" w:hanging="255"/>
    </w:pPr>
    <w:rPr>
      <w:sz w:val="20"/>
    </w:rPr>
  </w:style>
  <w:style w:type="paragraph" w:customStyle="1" w:styleId="CTA1a">
    <w:name w:val="CTA 1(a)"/>
    <w:basedOn w:val="OPCParaBase"/>
    <w:rsid w:val="002531DC"/>
    <w:pPr>
      <w:tabs>
        <w:tab w:val="right" w:pos="414"/>
      </w:tabs>
      <w:spacing w:before="40" w:line="240" w:lineRule="atLeast"/>
      <w:ind w:left="675" w:hanging="675"/>
    </w:pPr>
    <w:rPr>
      <w:sz w:val="20"/>
    </w:rPr>
  </w:style>
  <w:style w:type="paragraph" w:customStyle="1" w:styleId="CTA1ai">
    <w:name w:val="CTA 1(a)(i)"/>
    <w:basedOn w:val="OPCParaBase"/>
    <w:rsid w:val="002531DC"/>
    <w:pPr>
      <w:tabs>
        <w:tab w:val="right" w:pos="1004"/>
      </w:tabs>
      <w:spacing w:before="40" w:line="240" w:lineRule="atLeast"/>
      <w:ind w:left="1253" w:hanging="1253"/>
    </w:pPr>
    <w:rPr>
      <w:sz w:val="20"/>
    </w:rPr>
  </w:style>
  <w:style w:type="paragraph" w:customStyle="1" w:styleId="CTA2a">
    <w:name w:val="CTA 2(a)"/>
    <w:basedOn w:val="OPCParaBase"/>
    <w:rsid w:val="002531DC"/>
    <w:pPr>
      <w:tabs>
        <w:tab w:val="right" w:pos="482"/>
      </w:tabs>
      <w:spacing w:before="40" w:line="240" w:lineRule="atLeast"/>
      <w:ind w:left="748" w:hanging="748"/>
    </w:pPr>
    <w:rPr>
      <w:sz w:val="20"/>
    </w:rPr>
  </w:style>
  <w:style w:type="paragraph" w:customStyle="1" w:styleId="CTA2ai">
    <w:name w:val="CTA 2(a)(i)"/>
    <w:basedOn w:val="OPCParaBase"/>
    <w:rsid w:val="002531DC"/>
    <w:pPr>
      <w:tabs>
        <w:tab w:val="right" w:pos="1089"/>
      </w:tabs>
      <w:spacing w:before="40" w:line="240" w:lineRule="atLeast"/>
      <w:ind w:left="1327" w:hanging="1327"/>
    </w:pPr>
    <w:rPr>
      <w:sz w:val="20"/>
    </w:rPr>
  </w:style>
  <w:style w:type="paragraph" w:customStyle="1" w:styleId="CTA3a">
    <w:name w:val="CTA 3(a)"/>
    <w:basedOn w:val="OPCParaBase"/>
    <w:rsid w:val="002531DC"/>
    <w:pPr>
      <w:tabs>
        <w:tab w:val="right" w:pos="556"/>
      </w:tabs>
      <w:spacing w:before="40" w:line="240" w:lineRule="atLeast"/>
      <w:ind w:left="805" w:hanging="805"/>
    </w:pPr>
    <w:rPr>
      <w:sz w:val="20"/>
    </w:rPr>
  </w:style>
  <w:style w:type="paragraph" w:customStyle="1" w:styleId="CTA3ai">
    <w:name w:val="CTA 3(a)(i)"/>
    <w:basedOn w:val="OPCParaBase"/>
    <w:rsid w:val="002531DC"/>
    <w:pPr>
      <w:tabs>
        <w:tab w:val="right" w:pos="1140"/>
      </w:tabs>
      <w:spacing w:before="40" w:line="240" w:lineRule="atLeast"/>
      <w:ind w:left="1361" w:hanging="1361"/>
    </w:pPr>
    <w:rPr>
      <w:sz w:val="20"/>
    </w:rPr>
  </w:style>
  <w:style w:type="paragraph" w:customStyle="1" w:styleId="CTA4a">
    <w:name w:val="CTA 4(a)"/>
    <w:basedOn w:val="OPCParaBase"/>
    <w:rsid w:val="002531DC"/>
    <w:pPr>
      <w:tabs>
        <w:tab w:val="right" w:pos="624"/>
      </w:tabs>
      <w:spacing w:before="40" w:line="240" w:lineRule="atLeast"/>
      <w:ind w:left="873" w:hanging="873"/>
    </w:pPr>
    <w:rPr>
      <w:sz w:val="20"/>
    </w:rPr>
  </w:style>
  <w:style w:type="paragraph" w:customStyle="1" w:styleId="CTA4ai">
    <w:name w:val="CTA 4(a)(i)"/>
    <w:basedOn w:val="OPCParaBase"/>
    <w:rsid w:val="002531DC"/>
    <w:pPr>
      <w:tabs>
        <w:tab w:val="right" w:pos="1213"/>
      </w:tabs>
      <w:spacing w:before="40" w:line="240" w:lineRule="atLeast"/>
      <w:ind w:left="1452" w:hanging="1452"/>
    </w:pPr>
    <w:rPr>
      <w:sz w:val="20"/>
    </w:rPr>
  </w:style>
  <w:style w:type="paragraph" w:customStyle="1" w:styleId="CTACAPS">
    <w:name w:val="CTA CAPS"/>
    <w:basedOn w:val="OPCParaBase"/>
    <w:rsid w:val="002531DC"/>
    <w:pPr>
      <w:spacing w:before="60" w:line="240" w:lineRule="atLeast"/>
    </w:pPr>
    <w:rPr>
      <w:sz w:val="20"/>
    </w:rPr>
  </w:style>
  <w:style w:type="paragraph" w:customStyle="1" w:styleId="CTAright">
    <w:name w:val="CTA right"/>
    <w:basedOn w:val="OPCParaBase"/>
    <w:rsid w:val="002531DC"/>
    <w:pPr>
      <w:spacing w:before="60" w:line="240" w:lineRule="auto"/>
      <w:jc w:val="right"/>
    </w:pPr>
    <w:rPr>
      <w:sz w:val="20"/>
    </w:rPr>
  </w:style>
  <w:style w:type="paragraph" w:customStyle="1" w:styleId="subsection">
    <w:name w:val="subsection"/>
    <w:aliases w:val="ss"/>
    <w:basedOn w:val="OPCParaBase"/>
    <w:rsid w:val="002531DC"/>
    <w:pPr>
      <w:tabs>
        <w:tab w:val="right" w:pos="1021"/>
      </w:tabs>
      <w:spacing w:before="180" w:line="240" w:lineRule="auto"/>
      <w:ind w:left="1134" w:hanging="1134"/>
    </w:pPr>
  </w:style>
  <w:style w:type="paragraph" w:customStyle="1" w:styleId="Definition">
    <w:name w:val="Definition"/>
    <w:aliases w:val="dd"/>
    <w:basedOn w:val="OPCParaBase"/>
    <w:rsid w:val="002531DC"/>
    <w:pPr>
      <w:spacing w:before="180" w:line="240" w:lineRule="auto"/>
      <w:ind w:left="1134"/>
    </w:pPr>
  </w:style>
  <w:style w:type="character" w:customStyle="1" w:styleId="HeaderChar">
    <w:name w:val="Header Char"/>
    <w:basedOn w:val="DefaultParagraphFont"/>
    <w:link w:val="Header"/>
    <w:rsid w:val="002531DC"/>
    <w:rPr>
      <w:sz w:val="16"/>
    </w:rPr>
  </w:style>
  <w:style w:type="paragraph" w:customStyle="1" w:styleId="House">
    <w:name w:val="House"/>
    <w:basedOn w:val="OPCParaBase"/>
    <w:rsid w:val="002531DC"/>
    <w:pPr>
      <w:spacing w:line="240" w:lineRule="auto"/>
    </w:pPr>
    <w:rPr>
      <w:sz w:val="28"/>
    </w:rPr>
  </w:style>
  <w:style w:type="paragraph" w:customStyle="1" w:styleId="Item">
    <w:name w:val="Item"/>
    <w:aliases w:val="i"/>
    <w:basedOn w:val="OPCParaBase"/>
    <w:next w:val="ItemHead"/>
    <w:rsid w:val="002531DC"/>
    <w:pPr>
      <w:keepLines/>
      <w:spacing w:before="80" w:line="240" w:lineRule="auto"/>
      <w:ind w:left="709"/>
    </w:pPr>
  </w:style>
  <w:style w:type="paragraph" w:customStyle="1" w:styleId="ItemHead">
    <w:name w:val="ItemHead"/>
    <w:aliases w:val="ih"/>
    <w:basedOn w:val="OPCParaBase"/>
    <w:next w:val="Item"/>
    <w:rsid w:val="002531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531DC"/>
    <w:pPr>
      <w:spacing w:line="240" w:lineRule="auto"/>
    </w:pPr>
    <w:rPr>
      <w:b/>
      <w:sz w:val="32"/>
    </w:rPr>
  </w:style>
  <w:style w:type="paragraph" w:customStyle="1" w:styleId="notedraft">
    <w:name w:val="note(draft)"/>
    <w:aliases w:val="nd"/>
    <w:basedOn w:val="OPCParaBase"/>
    <w:rsid w:val="002531DC"/>
    <w:pPr>
      <w:spacing w:before="240" w:line="240" w:lineRule="auto"/>
      <w:ind w:left="284" w:hanging="284"/>
    </w:pPr>
    <w:rPr>
      <w:i/>
      <w:sz w:val="24"/>
    </w:rPr>
  </w:style>
  <w:style w:type="paragraph" w:customStyle="1" w:styleId="notemargin">
    <w:name w:val="note(margin)"/>
    <w:aliases w:val="nm"/>
    <w:basedOn w:val="OPCParaBase"/>
    <w:rsid w:val="002531DC"/>
    <w:pPr>
      <w:tabs>
        <w:tab w:val="left" w:pos="709"/>
      </w:tabs>
      <w:spacing w:before="122" w:line="198" w:lineRule="exact"/>
      <w:ind w:left="709" w:hanging="709"/>
    </w:pPr>
    <w:rPr>
      <w:sz w:val="18"/>
    </w:rPr>
  </w:style>
  <w:style w:type="paragraph" w:customStyle="1" w:styleId="notepara">
    <w:name w:val="note(para)"/>
    <w:aliases w:val="na"/>
    <w:basedOn w:val="OPCParaBase"/>
    <w:rsid w:val="002531DC"/>
    <w:pPr>
      <w:spacing w:before="40" w:line="198" w:lineRule="exact"/>
      <w:ind w:left="2354" w:hanging="369"/>
    </w:pPr>
    <w:rPr>
      <w:sz w:val="18"/>
    </w:rPr>
  </w:style>
  <w:style w:type="paragraph" w:customStyle="1" w:styleId="noteParlAmend">
    <w:name w:val="note(ParlAmend)"/>
    <w:aliases w:val="npp"/>
    <w:basedOn w:val="OPCParaBase"/>
    <w:next w:val="ParlAmend"/>
    <w:rsid w:val="002531DC"/>
    <w:pPr>
      <w:spacing w:line="240" w:lineRule="auto"/>
      <w:jc w:val="right"/>
    </w:pPr>
    <w:rPr>
      <w:rFonts w:ascii="Arial" w:hAnsi="Arial"/>
      <w:b/>
      <w:i/>
    </w:rPr>
  </w:style>
  <w:style w:type="paragraph" w:customStyle="1" w:styleId="notetext">
    <w:name w:val="note(text)"/>
    <w:aliases w:val="n"/>
    <w:basedOn w:val="OPCParaBase"/>
    <w:rsid w:val="002531DC"/>
    <w:pPr>
      <w:spacing w:before="122" w:line="198" w:lineRule="exact"/>
      <w:ind w:left="1985" w:hanging="851"/>
    </w:pPr>
    <w:rPr>
      <w:sz w:val="18"/>
    </w:rPr>
  </w:style>
  <w:style w:type="paragraph" w:customStyle="1" w:styleId="Page1">
    <w:name w:val="Page1"/>
    <w:basedOn w:val="OPCParaBase"/>
    <w:rsid w:val="002531DC"/>
    <w:pPr>
      <w:spacing w:before="5600" w:line="240" w:lineRule="auto"/>
    </w:pPr>
    <w:rPr>
      <w:b/>
      <w:sz w:val="32"/>
    </w:rPr>
  </w:style>
  <w:style w:type="paragraph" w:customStyle="1" w:styleId="paragraphsub">
    <w:name w:val="paragraph(sub)"/>
    <w:aliases w:val="aa"/>
    <w:basedOn w:val="OPCParaBase"/>
    <w:rsid w:val="002531DC"/>
    <w:pPr>
      <w:tabs>
        <w:tab w:val="right" w:pos="1985"/>
      </w:tabs>
      <w:spacing w:before="40" w:line="240" w:lineRule="auto"/>
      <w:ind w:left="2098" w:hanging="2098"/>
    </w:pPr>
  </w:style>
  <w:style w:type="paragraph" w:customStyle="1" w:styleId="paragraphsub-sub">
    <w:name w:val="paragraph(sub-sub)"/>
    <w:aliases w:val="aaa"/>
    <w:basedOn w:val="OPCParaBase"/>
    <w:rsid w:val="002531DC"/>
    <w:pPr>
      <w:tabs>
        <w:tab w:val="right" w:pos="2722"/>
      </w:tabs>
      <w:spacing w:before="40" w:line="240" w:lineRule="auto"/>
      <w:ind w:left="2835" w:hanging="2835"/>
    </w:pPr>
  </w:style>
  <w:style w:type="paragraph" w:customStyle="1" w:styleId="paragraph">
    <w:name w:val="paragraph"/>
    <w:aliases w:val="a"/>
    <w:basedOn w:val="OPCParaBase"/>
    <w:rsid w:val="002531DC"/>
    <w:pPr>
      <w:tabs>
        <w:tab w:val="right" w:pos="1531"/>
      </w:tabs>
      <w:spacing w:before="40" w:line="240" w:lineRule="auto"/>
      <w:ind w:left="1644" w:hanging="1644"/>
    </w:pPr>
  </w:style>
  <w:style w:type="paragraph" w:customStyle="1" w:styleId="ParlAmend">
    <w:name w:val="ParlAmend"/>
    <w:aliases w:val="pp"/>
    <w:basedOn w:val="OPCParaBase"/>
    <w:rsid w:val="002531DC"/>
    <w:pPr>
      <w:spacing w:before="240" w:line="240" w:lineRule="atLeast"/>
      <w:ind w:hanging="567"/>
    </w:pPr>
    <w:rPr>
      <w:sz w:val="24"/>
    </w:rPr>
  </w:style>
  <w:style w:type="paragraph" w:customStyle="1" w:styleId="Portfolio">
    <w:name w:val="Portfolio"/>
    <w:basedOn w:val="OPCParaBase"/>
    <w:rsid w:val="002531DC"/>
    <w:pPr>
      <w:spacing w:line="240" w:lineRule="auto"/>
    </w:pPr>
    <w:rPr>
      <w:i/>
      <w:sz w:val="20"/>
    </w:rPr>
  </w:style>
  <w:style w:type="paragraph" w:customStyle="1" w:styleId="Preamble">
    <w:name w:val="Preamble"/>
    <w:basedOn w:val="OPCParaBase"/>
    <w:next w:val="Normal"/>
    <w:rsid w:val="002531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531DC"/>
    <w:pPr>
      <w:spacing w:line="240" w:lineRule="auto"/>
    </w:pPr>
    <w:rPr>
      <w:i/>
      <w:sz w:val="20"/>
    </w:rPr>
  </w:style>
  <w:style w:type="paragraph" w:customStyle="1" w:styleId="Session">
    <w:name w:val="Session"/>
    <w:basedOn w:val="OPCParaBase"/>
    <w:rsid w:val="002531DC"/>
    <w:pPr>
      <w:spacing w:line="240" w:lineRule="auto"/>
    </w:pPr>
    <w:rPr>
      <w:sz w:val="28"/>
    </w:rPr>
  </w:style>
  <w:style w:type="paragraph" w:customStyle="1" w:styleId="Sponsor">
    <w:name w:val="Sponsor"/>
    <w:basedOn w:val="OPCParaBase"/>
    <w:rsid w:val="002531DC"/>
    <w:pPr>
      <w:spacing w:line="240" w:lineRule="auto"/>
    </w:pPr>
    <w:rPr>
      <w:i/>
    </w:rPr>
  </w:style>
  <w:style w:type="paragraph" w:customStyle="1" w:styleId="Subitem">
    <w:name w:val="Subitem"/>
    <w:aliases w:val="iss"/>
    <w:basedOn w:val="OPCParaBase"/>
    <w:rsid w:val="002531DC"/>
    <w:pPr>
      <w:spacing w:before="180" w:line="240" w:lineRule="auto"/>
      <w:ind w:left="709" w:hanging="709"/>
    </w:pPr>
  </w:style>
  <w:style w:type="paragraph" w:customStyle="1" w:styleId="SubitemHead">
    <w:name w:val="SubitemHead"/>
    <w:aliases w:val="issh"/>
    <w:basedOn w:val="OPCParaBase"/>
    <w:rsid w:val="002531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531DC"/>
    <w:pPr>
      <w:spacing w:before="40" w:line="240" w:lineRule="auto"/>
      <w:ind w:left="1134"/>
    </w:pPr>
  </w:style>
  <w:style w:type="paragraph" w:customStyle="1" w:styleId="SubsectionHead">
    <w:name w:val="SubsectionHead"/>
    <w:aliases w:val="ssh"/>
    <w:basedOn w:val="OPCParaBase"/>
    <w:next w:val="subsection"/>
    <w:rsid w:val="002531DC"/>
    <w:pPr>
      <w:keepNext/>
      <w:keepLines/>
      <w:spacing w:before="240" w:line="240" w:lineRule="auto"/>
      <w:ind w:left="1134"/>
    </w:pPr>
    <w:rPr>
      <w:i/>
    </w:rPr>
  </w:style>
  <w:style w:type="paragraph" w:customStyle="1" w:styleId="Tablea">
    <w:name w:val="Table(a)"/>
    <w:aliases w:val="ta"/>
    <w:basedOn w:val="OPCParaBase"/>
    <w:rsid w:val="002531DC"/>
    <w:pPr>
      <w:spacing w:before="60" w:line="240" w:lineRule="auto"/>
      <w:ind w:left="284" w:hanging="284"/>
    </w:pPr>
    <w:rPr>
      <w:sz w:val="20"/>
    </w:rPr>
  </w:style>
  <w:style w:type="paragraph" w:customStyle="1" w:styleId="TableAA">
    <w:name w:val="Table(AA)"/>
    <w:aliases w:val="taaa"/>
    <w:basedOn w:val="OPCParaBase"/>
    <w:rsid w:val="002531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531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531DC"/>
    <w:pPr>
      <w:spacing w:before="60" w:line="240" w:lineRule="atLeast"/>
    </w:pPr>
    <w:rPr>
      <w:sz w:val="20"/>
    </w:rPr>
  </w:style>
  <w:style w:type="paragraph" w:customStyle="1" w:styleId="TLPBoxTextnote">
    <w:name w:val="TLPBoxText(note"/>
    <w:aliases w:val="right)"/>
    <w:basedOn w:val="OPCParaBase"/>
    <w:rsid w:val="002531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531D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531DC"/>
    <w:pPr>
      <w:spacing w:before="122" w:line="198" w:lineRule="exact"/>
      <w:ind w:left="1985" w:hanging="851"/>
      <w:jc w:val="right"/>
    </w:pPr>
    <w:rPr>
      <w:sz w:val="18"/>
    </w:rPr>
  </w:style>
  <w:style w:type="paragraph" w:customStyle="1" w:styleId="TLPTableBullet">
    <w:name w:val="TLPTableBullet"/>
    <w:aliases w:val="ttb"/>
    <w:basedOn w:val="OPCParaBase"/>
    <w:rsid w:val="002531DC"/>
    <w:pPr>
      <w:spacing w:line="240" w:lineRule="exact"/>
      <w:ind w:left="284" w:hanging="284"/>
    </w:pPr>
    <w:rPr>
      <w:sz w:val="20"/>
    </w:rPr>
  </w:style>
  <w:style w:type="paragraph" w:customStyle="1" w:styleId="TofSectsGroupHeading">
    <w:name w:val="TofSects(GroupHeading)"/>
    <w:basedOn w:val="OPCParaBase"/>
    <w:next w:val="TofSectsSection"/>
    <w:rsid w:val="002531DC"/>
    <w:pPr>
      <w:keepLines/>
      <w:spacing w:before="240" w:after="120" w:line="240" w:lineRule="auto"/>
      <w:ind w:left="794"/>
    </w:pPr>
    <w:rPr>
      <w:b/>
      <w:kern w:val="28"/>
      <w:sz w:val="20"/>
    </w:rPr>
  </w:style>
  <w:style w:type="paragraph" w:customStyle="1" w:styleId="TofSectsHeading">
    <w:name w:val="TofSects(Heading)"/>
    <w:basedOn w:val="OPCParaBase"/>
    <w:rsid w:val="002531DC"/>
    <w:pPr>
      <w:spacing w:before="240" w:after="120" w:line="240" w:lineRule="auto"/>
    </w:pPr>
    <w:rPr>
      <w:b/>
      <w:sz w:val="24"/>
    </w:rPr>
  </w:style>
  <w:style w:type="paragraph" w:customStyle="1" w:styleId="TofSectsSection">
    <w:name w:val="TofSects(Section)"/>
    <w:basedOn w:val="OPCParaBase"/>
    <w:rsid w:val="002531DC"/>
    <w:pPr>
      <w:keepLines/>
      <w:spacing w:before="40" w:line="240" w:lineRule="auto"/>
      <w:ind w:left="1588" w:hanging="794"/>
    </w:pPr>
    <w:rPr>
      <w:kern w:val="28"/>
      <w:sz w:val="18"/>
    </w:rPr>
  </w:style>
  <w:style w:type="paragraph" w:customStyle="1" w:styleId="TofSectsSubdiv">
    <w:name w:val="TofSects(Subdiv)"/>
    <w:basedOn w:val="OPCParaBase"/>
    <w:rsid w:val="002531DC"/>
    <w:pPr>
      <w:keepLines/>
      <w:spacing w:before="80" w:line="240" w:lineRule="auto"/>
      <w:ind w:left="1588" w:hanging="794"/>
    </w:pPr>
    <w:rPr>
      <w:kern w:val="28"/>
    </w:rPr>
  </w:style>
  <w:style w:type="paragraph" w:customStyle="1" w:styleId="WRStyle">
    <w:name w:val="WR Style"/>
    <w:aliases w:val="WR"/>
    <w:basedOn w:val="OPCParaBase"/>
    <w:rsid w:val="002531DC"/>
    <w:pPr>
      <w:spacing w:before="240" w:line="240" w:lineRule="auto"/>
      <w:ind w:left="284" w:hanging="284"/>
    </w:pPr>
    <w:rPr>
      <w:b/>
      <w:i/>
      <w:kern w:val="28"/>
      <w:sz w:val="24"/>
    </w:rPr>
  </w:style>
  <w:style w:type="numbering" w:customStyle="1" w:styleId="OPCBodyList">
    <w:name w:val="OPCBodyList"/>
    <w:uiPriority w:val="99"/>
    <w:rsid w:val="00383C26"/>
    <w:pPr>
      <w:numPr>
        <w:numId w:val="17"/>
      </w:numPr>
    </w:pPr>
  </w:style>
  <w:style w:type="paragraph" w:customStyle="1" w:styleId="noteToPara">
    <w:name w:val="noteToPara"/>
    <w:aliases w:val="ntp"/>
    <w:basedOn w:val="OPCParaBase"/>
    <w:rsid w:val="002531DC"/>
    <w:pPr>
      <w:spacing w:before="122" w:line="198" w:lineRule="exact"/>
      <w:ind w:left="2353" w:hanging="709"/>
    </w:pPr>
    <w:rPr>
      <w:sz w:val="18"/>
    </w:rPr>
  </w:style>
  <w:style w:type="character" w:customStyle="1" w:styleId="FooterChar">
    <w:name w:val="Footer Char"/>
    <w:basedOn w:val="DefaultParagraphFont"/>
    <w:link w:val="Footer"/>
    <w:rsid w:val="002531DC"/>
    <w:rPr>
      <w:sz w:val="22"/>
      <w:szCs w:val="24"/>
    </w:rPr>
  </w:style>
  <w:style w:type="character" w:customStyle="1" w:styleId="BalloonTextChar">
    <w:name w:val="Balloon Text Char"/>
    <w:basedOn w:val="DefaultParagraphFont"/>
    <w:link w:val="BalloonText"/>
    <w:uiPriority w:val="99"/>
    <w:rsid w:val="002531D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531DC"/>
    <w:pPr>
      <w:keepNext/>
      <w:spacing w:before="60" w:line="240" w:lineRule="atLeast"/>
    </w:pPr>
    <w:rPr>
      <w:b/>
      <w:sz w:val="20"/>
    </w:rPr>
  </w:style>
  <w:style w:type="table" w:customStyle="1" w:styleId="CFlag">
    <w:name w:val="CFlag"/>
    <w:basedOn w:val="TableNormal"/>
    <w:uiPriority w:val="99"/>
    <w:rsid w:val="002531DC"/>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2531DC"/>
    <w:pPr>
      <w:keepNext/>
      <w:keepLines/>
      <w:spacing w:before="280"/>
      <w:outlineLvl w:val="1"/>
    </w:pPr>
    <w:rPr>
      <w:b/>
      <w:kern w:val="28"/>
      <w:sz w:val="32"/>
    </w:rPr>
  </w:style>
  <w:style w:type="paragraph" w:customStyle="1" w:styleId="ENotesText">
    <w:name w:val="ENotesText"/>
    <w:aliases w:val="Ent"/>
    <w:basedOn w:val="OPCParaBase"/>
    <w:next w:val="Normal"/>
    <w:rsid w:val="002531DC"/>
    <w:pPr>
      <w:spacing w:before="120"/>
    </w:pPr>
  </w:style>
  <w:style w:type="paragraph" w:customStyle="1" w:styleId="CompiledActNo">
    <w:name w:val="CompiledActNo"/>
    <w:basedOn w:val="OPCParaBase"/>
    <w:next w:val="Normal"/>
    <w:rsid w:val="002531DC"/>
    <w:rPr>
      <w:b/>
      <w:sz w:val="24"/>
      <w:szCs w:val="24"/>
    </w:rPr>
  </w:style>
  <w:style w:type="paragraph" w:customStyle="1" w:styleId="CompiledMadeUnder">
    <w:name w:val="CompiledMadeUnder"/>
    <w:basedOn w:val="OPCParaBase"/>
    <w:next w:val="Normal"/>
    <w:rsid w:val="002531DC"/>
    <w:rPr>
      <w:i/>
      <w:sz w:val="24"/>
      <w:szCs w:val="24"/>
    </w:rPr>
  </w:style>
  <w:style w:type="paragraph" w:customStyle="1" w:styleId="Paragraphsub-sub-sub">
    <w:name w:val="Paragraph(sub-sub-sub)"/>
    <w:aliases w:val="aaaa"/>
    <w:basedOn w:val="OPCParaBase"/>
    <w:rsid w:val="002531D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531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531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531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531D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531DC"/>
    <w:pPr>
      <w:spacing w:before="60" w:line="240" w:lineRule="auto"/>
    </w:pPr>
    <w:rPr>
      <w:rFonts w:cs="Arial"/>
      <w:sz w:val="20"/>
      <w:szCs w:val="22"/>
    </w:rPr>
  </w:style>
  <w:style w:type="paragraph" w:customStyle="1" w:styleId="NoteToSubpara">
    <w:name w:val="NoteToSubpara"/>
    <w:aliases w:val="nts"/>
    <w:basedOn w:val="OPCParaBase"/>
    <w:rsid w:val="002531DC"/>
    <w:pPr>
      <w:spacing w:before="40" w:line="198" w:lineRule="exact"/>
      <w:ind w:left="2835" w:hanging="709"/>
    </w:pPr>
    <w:rPr>
      <w:sz w:val="18"/>
    </w:rPr>
  </w:style>
  <w:style w:type="paragraph" w:customStyle="1" w:styleId="ENoteTableHeading">
    <w:name w:val="ENoteTableHeading"/>
    <w:aliases w:val="enth"/>
    <w:basedOn w:val="OPCParaBase"/>
    <w:rsid w:val="002531DC"/>
    <w:pPr>
      <w:keepNext/>
      <w:spacing w:before="60" w:line="240" w:lineRule="atLeast"/>
    </w:pPr>
    <w:rPr>
      <w:rFonts w:ascii="Arial" w:hAnsi="Arial"/>
      <w:b/>
      <w:sz w:val="16"/>
    </w:rPr>
  </w:style>
  <w:style w:type="paragraph" w:customStyle="1" w:styleId="ENoteTTi">
    <w:name w:val="ENoteTTi"/>
    <w:aliases w:val="entti"/>
    <w:basedOn w:val="OPCParaBase"/>
    <w:rsid w:val="002531DC"/>
    <w:pPr>
      <w:keepNext/>
      <w:spacing w:before="60" w:line="240" w:lineRule="atLeast"/>
      <w:ind w:left="170"/>
    </w:pPr>
    <w:rPr>
      <w:sz w:val="16"/>
    </w:rPr>
  </w:style>
  <w:style w:type="paragraph" w:customStyle="1" w:styleId="ENotesHeading1">
    <w:name w:val="ENotesHeading 1"/>
    <w:aliases w:val="Enh1"/>
    <w:basedOn w:val="OPCParaBase"/>
    <w:next w:val="Normal"/>
    <w:rsid w:val="002531DC"/>
    <w:pPr>
      <w:spacing w:before="120"/>
      <w:outlineLvl w:val="1"/>
    </w:pPr>
    <w:rPr>
      <w:b/>
      <w:sz w:val="28"/>
      <w:szCs w:val="28"/>
    </w:rPr>
  </w:style>
  <w:style w:type="paragraph" w:customStyle="1" w:styleId="ENotesHeading2">
    <w:name w:val="ENotesHeading 2"/>
    <w:aliases w:val="Enh2"/>
    <w:basedOn w:val="OPCParaBase"/>
    <w:next w:val="Normal"/>
    <w:rsid w:val="002531DC"/>
    <w:pPr>
      <w:spacing w:before="120" w:after="120"/>
      <w:outlineLvl w:val="2"/>
    </w:pPr>
    <w:rPr>
      <w:b/>
      <w:sz w:val="24"/>
      <w:szCs w:val="28"/>
    </w:rPr>
  </w:style>
  <w:style w:type="paragraph" w:customStyle="1" w:styleId="ENoteTTIndentHeading">
    <w:name w:val="ENoteTTIndentHeading"/>
    <w:aliases w:val="enTTHi"/>
    <w:basedOn w:val="OPCParaBase"/>
    <w:rsid w:val="002531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531DC"/>
    <w:pPr>
      <w:spacing w:before="60" w:line="240" w:lineRule="atLeast"/>
    </w:pPr>
    <w:rPr>
      <w:sz w:val="16"/>
    </w:rPr>
  </w:style>
  <w:style w:type="paragraph" w:customStyle="1" w:styleId="MadeunderText">
    <w:name w:val="MadeunderText"/>
    <w:basedOn w:val="OPCParaBase"/>
    <w:next w:val="CompiledMadeUnder"/>
    <w:rsid w:val="002531DC"/>
    <w:pPr>
      <w:spacing w:before="240"/>
    </w:pPr>
    <w:rPr>
      <w:sz w:val="24"/>
      <w:szCs w:val="24"/>
    </w:rPr>
  </w:style>
  <w:style w:type="paragraph" w:customStyle="1" w:styleId="ENotesHeading3">
    <w:name w:val="ENotesHeading 3"/>
    <w:aliases w:val="Enh3"/>
    <w:basedOn w:val="OPCParaBase"/>
    <w:next w:val="Normal"/>
    <w:rsid w:val="002531DC"/>
    <w:pPr>
      <w:keepNext/>
      <w:spacing w:before="120" w:line="240" w:lineRule="auto"/>
      <w:outlineLvl w:val="4"/>
    </w:pPr>
    <w:rPr>
      <w:b/>
      <w:szCs w:val="24"/>
    </w:rPr>
  </w:style>
  <w:style w:type="paragraph" w:customStyle="1" w:styleId="InstNo">
    <w:name w:val="InstNo"/>
    <w:basedOn w:val="OPCParaBase"/>
    <w:next w:val="Normal"/>
    <w:rsid w:val="002531DC"/>
    <w:rPr>
      <w:b/>
      <w:sz w:val="28"/>
      <w:szCs w:val="32"/>
    </w:rPr>
  </w:style>
  <w:style w:type="paragraph" w:customStyle="1" w:styleId="LegislationMadeUnder">
    <w:name w:val="LegislationMadeUnder"/>
    <w:basedOn w:val="OPCParaBase"/>
    <w:next w:val="Normal"/>
    <w:rsid w:val="002531DC"/>
    <w:rPr>
      <w:i/>
      <w:sz w:val="32"/>
      <w:szCs w:val="32"/>
    </w:rPr>
  </w:style>
  <w:style w:type="paragraph" w:customStyle="1" w:styleId="SignCoverPageEnd">
    <w:name w:val="SignCoverPageEnd"/>
    <w:basedOn w:val="OPCParaBase"/>
    <w:next w:val="Normal"/>
    <w:rsid w:val="002531DC"/>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531DC"/>
    <w:pPr>
      <w:pBdr>
        <w:top w:val="single" w:sz="4" w:space="1" w:color="auto"/>
      </w:pBdr>
      <w:spacing w:before="360"/>
      <w:ind w:right="397"/>
      <w:jc w:val="both"/>
    </w:pPr>
  </w:style>
  <w:style w:type="paragraph" w:customStyle="1" w:styleId="NotesHeading1">
    <w:name w:val="NotesHeading 1"/>
    <w:basedOn w:val="OPCParaBase"/>
    <w:next w:val="Normal"/>
    <w:rsid w:val="002531DC"/>
    <w:pPr>
      <w:outlineLvl w:val="0"/>
    </w:pPr>
    <w:rPr>
      <w:b/>
      <w:sz w:val="28"/>
      <w:szCs w:val="28"/>
    </w:rPr>
  </w:style>
  <w:style w:type="paragraph" w:customStyle="1" w:styleId="NotesHeading2">
    <w:name w:val="NotesHeading 2"/>
    <w:basedOn w:val="OPCParaBase"/>
    <w:next w:val="Normal"/>
    <w:rsid w:val="002531DC"/>
    <w:rPr>
      <w:b/>
      <w:sz w:val="28"/>
      <w:szCs w:val="28"/>
    </w:rPr>
  </w:style>
  <w:style w:type="character" w:customStyle="1" w:styleId="CharSubPartTextCASA">
    <w:name w:val="CharSubPartText(CASA)"/>
    <w:basedOn w:val="OPCCharBase"/>
    <w:uiPriority w:val="1"/>
    <w:rsid w:val="002531DC"/>
  </w:style>
  <w:style w:type="character" w:customStyle="1" w:styleId="CharSubPartNoCASA">
    <w:name w:val="CharSubPartNo(CASA)"/>
    <w:basedOn w:val="OPCCharBase"/>
    <w:uiPriority w:val="1"/>
    <w:rsid w:val="002531DC"/>
  </w:style>
  <w:style w:type="paragraph" w:customStyle="1" w:styleId="ENoteTTIndentHeadingSub">
    <w:name w:val="ENoteTTIndentHeadingSub"/>
    <w:aliases w:val="enTTHis"/>
    <w:basedOn w:val="OPCParaBase"/>
    <w:rsid w:val="002531DC"/>
    <w:pPr>
      <w:keepNext/>
      <w:spacing w:before="60" w:line="240" w:lineRule="atLeast"/>
      <w:ind w:left="340"/>
    </w:pPr>
    <w:rPr>
      <w:b/>
      <w:sz w:val="16"/>
    </w:rPr>
  </w:style>
  <w:style w:type="paragraph" w:customStyle="1" w:styleId="ENoteTTiSub">
    <w:name w:val="ENoteTTiSub"/>
    <w:aliases w:val="enttis"/>
    <w:basedOn w:val="OPCParaBase"/>
    <w:rsid w:val="002531DC"/>
    <w:pPr>
      <w:keepNext/>
      <w:spacing w:before="60" w:line="240" w:lineRule="atLeast"/>
      <w:ind w:left="340"/>
    </w:pPr>
    <w:rPr>
      <w:sz w:val="16"/>
    </w:rPr>
  </w:style>
  <w:style w:type="paragraph" w:customStyle="1" w:styleId="SubDivisionMigration">
    <w:name w:val="SubDivisionMigration"/>
    <w:aliases w:val="sdm"/>
    <w:basedOn w:val="OPCParaBase"/>
    <w:rsid w:val="002531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531DC"/>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4831">
      <w:bodyDiv w:val="1"/>
      <w:marLeft w:val="0"/>
      <w:marRight w:val="0"/>
      <w:marTop w:val="0"/>
      <w:marBottom w:val="0"/>
      <w:divBdr>
        <w:top w:val="none" w:sz="0" w:space="0" w:color="auto"/>
        <w:left w:val="none" w:sz="0" w:space="0" w:color="auto"/>
        <w:bottom w:val="none" w:sz="0" w:space="0" w:color="auto"/>
        <w:right w:val="none" w:sz="0" w:space="0" w:color="auto"/>
      </w:divBdr>
    </w:div>
    <w:div w:id="61598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EC85559CF5648AC5525CF54BA8921" ma:contentTypeVersion="0" ma:contentTypeDescription="Create a new document." ma:contentTypeScope="" ma:versionID="c8323a4379d25630d8227563975f880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C7F7B-DCC7-4AA8-9819-F2383A6F00D4}">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4336F67-3FA8-487A-8367-310D67259B4C}">
  <ds:schemaRefs>
    <ds:schemaRef ds:uri="http://schemas.microsoft.com/sharepoint/v3/contenttype/forms"/>
  </ds:schemaRefs>
</ds:datastoreItem>
</file>

<file path=customXml/itemProps3.xml><?xml version="1.0" encoding="utf-8"?>
<ds:datastoreItem xmlns:ds="http://schemas.openxmlformats.org/officeDocument/2006/customXml" ds:itemID="{9B8D716A-B1F9-4AB2-8614-8FE81645B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D3820E-DCAC-4633-A57A-FEA8EF38B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1630</Words>
  <Characters>7911</Characters>
  <Application>Microsoft Office Word</Application>
  <DocSecurity>0</DocSecurity>
  <PresentationFormat/>
  <Lines>239</Lines>
  <Paragraphs>164</Paragraphs>
  <ScaleCrop>false</ScaleCrop>
  <HeadingPairs>
    <vt:vector size="2" baseType="variant">
      <vt:variant>
        <vt:lpstr>Title</vt:lpstr>
      </vt:variant>
      <vt:variant>
        <vt:i4>1</vt:i4>
      </vt:variant>
    </vt:vector>
  </HeadingPairs>
  <TitlesOfParts>
    <vt:vector size="1" baseType="lpstr">
      <vt:lpstr>Authorised Deposit_x001e_taking Institutions Supervisory Levy Imposition Determination 2013</vt:lpstr>
    </vt:vector>
  </TitlesOfParts>
  <Manager/>
  <Company/>
  <LinksUpToDate>false</LinksUpToDate>
  <CharactersWithSpaces>9377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2012-06-25T06:49:00Z</cp:lastPrinted>
  <dcterms:created xsi:type="dcterms:W3CDTF">2013-07-01T06:43:00Z</dcterms:created>
  <dcterms:modified xsi:type="dcterms:W3CDTF">2013-07-01T06:43:00Z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_AdHocReviewCycleID">
    <vt:i4>1112528102</vt:i4>
  </property>
  <property fmtid="{D5CDD505-2E9C-101B-9397-08002B2CF9AE}" pid="4" name="_NewReviewCycle">
    <vt:lpwstr/>
  </property>
  <property fmtid="{D5CDD505-2E9C-101B-9397-08002B2CF9AE}" pid="5" name="Final">
    <vt:bool>true</vt:bool>
  </property>
  <property fmtid="{D5CDD505-2E9C-101B-9397-08002B2CF9AE}" pid="6" name="_PreviousAdHocReviewCycleID">
    <vt:i4>-1820806055</vt:i4>
  </property>
  <property fmtid="{D5CDD505-2E9C-101B-9397-08002B2CF9AE}" pid="7" name="_ReviewingToolsShownOnce">
    <vt:lpwstr/>
  </property>
  <property fmtid="{D5CDD505-2E9C-101B-9397-08002B2CF9AE}" pid="8" name="Converted">
    <vt:bool>true</vt:bool>
  </property>
  <property fmtid="{D5CDD505-2E9C-101B-9397-08002B2CF9AE}" pid="9" name="Classification">
    <vt:lpwstr> </vt:lpwstr>
  </property>
  <property fmtid="{D5CDD505-2E9C-101B-9397-08002B2CF9AE}" pid="10" name="Header">
    <vt:lpwstr>Section</vt:lpwstr>
  </property>
  <property fmtid="{D5CDD505-2E9C-101B-9397-08002B2CF9AE}" pid="11" name="ActNo">
    <vt:lpwstr/>
  </property>
  <property fmtid="{D5CDD505-2E9C-101B-9397-08002B2CF9AE}" pid="12" name="ShortT">
    <vt:lpwstr>Authorised Deposit_x001e_taking Institutions Supervisory Levy Imposition Determination 2013</vt:lpwstr>
  </property>
  <property fmtid="{D5CDD505-2E9C-101B-9397-08002B2CF9AE}" pid="13" name="Class">
    <vt:lpwstr>Determination</vt:lpwstr>
  </property>
  <property fmtid="{D5CDD505-2E9C-101B-9397-08002B2CF9AE}" pid="14" name="Type">
    <vt:lpwstr>LI</vt:lpwstr>
  </property>
  <property fmtid="{D5CDD505-2E9C-101B-9397-08002B2CF9AE}" pid="15" name="DocType">
    <vt:lpwstr>NEW</vt:lpwstr>
  </property>
  <property fmtid="{D5CDD505-2E9C-101B-9397-08002B2CF9AE}" pid="16" name="Exco">
    <vt:lpwstr>No</vt:lpwstr>
  </property>
  <property fmtid="{D5CDD505-2E9C-101B-9397-08002B2CF9AE}" pid="17" name="Authority">
    <vt:lpwstr/>
  </property>
  <property fmtid="{D5CDD505-2E9C-101B-9397-08002B2CF9AE}" pid="18" name="DoNotAsk">
    <vt:lpwstr>0</vt:lpwstr>
  </property>
  <property fmtid="{D5CDD505-2E9C-101B-9397-08002B2CF9AE}" pid="19" name="ChangedTitle">
    <vt:lpwstr/>
  </property>
  <property fmtid="{D5CDD505-2E9C-101B-9397-08002B2CF9AE}" pid="20" name="ID">
    <vt:lpwstr>OPC60122</vt:lpwstr>
  </property>
  <property fmtid="{D5CDD505-2E9C-101B-9397-08002B2CF9AE}" pid="21" name="CounterSign">
    <vt:lpwstr/>
  </property>
  <property fmtid="{D5CDD505-2E9C-101B-9397-08002B2CF9AE}" pid="22" name="DateMade">
    <vt:lpwstr> 24 June 2013</vt:lpwstr>
  </property>
</Properties>
</file>