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5B" w:rsidRPr="0030435B" w:rsidRDefault="0030435B" w:rsidP="0026393E">
      <w:pPr>
        <w:jc w:val="center"/>
      </w:pPr>
      <w:r w:rsidRPr="0030435B">
        <w:rPr>
          <w:b/>
          <w:bCs/>
        </w:rPr>
        <w:t>ASIC CLASS ORDER [</w:t>
      </w:r>
      <w:r w:rsidRPr="00BD0862">
        <w:rPr>
          <w:b/>
          <w:bCs/>
        </w:rPr>
        <w:t xml:space="preserve">CO </w:t>
      </w:r>
      <w:r w:rsidR="00BD0862">
        <w:rPr>
          <w:b/>
          <w:bCs/>
        </w:rPr>
        <w:t>13/</w:t>
      </w:r>
      <w:r w:rsidR="00782B05">
        <w:rPr>
          <w:b/>
          <w:bCs/>
        </w:rPr>
        <w:t>897</w:t>
      </w:r>
      <w:r w:rsidRPr="0030435B">
        <w:rPr>
          <w:b/>
          <w:bCs/>
        </w:rPr>
        <w:t>]</w:t>
      </w:r>
    </w:p>
    <w:p w:rsidR="0030435B" w:rsidRPr="0030435B" w:rsidRDefault="0030435B" w:rsidP="0026393E">
      <w:pPr>
        <w:jc w:val="center"/>
      </w:pPr>
      <w:r w:rsidRPr="0030435B">
        <w:rPr>
          <w:b/>
          <w:bCs/>
        </w:rPr>
        <w:t>EXPLANATORY STATEMENT</w:t>
      </w:r>
    </w:p>
    <w:p w:rsidR="0030435B" w:rsidRPr="0030435B" w:rsidRDefault="0030435B" w:rsidP="0026393E">
      <w:pPr>
        <w:jc w:val="center"/>
      </w:pPr>
      <w:r w:rsidRPr="0030435B">
        <w:t>Prepared by the Australian Securities and Investments Commission</w:t>
      </w:r>
    </w:p>
    <w:p w:rsidR="0030435B" w:rsidRDefault="00BD0862" w:rsidP="0026393E">
      <w:pPr>
        <w:jc w:val="center"/>
      </w:pPr>
      <w:r>
        <w:rPr>
          <w:i/>
          <w:iCs/>
        </w:rPr>
        <w:t>National Credit Code</w:t>
      </w:r>
    </w:p>
    <w:p w:rsidR="00B335FB" w:rsidRDefault="00B335FB"/>
    <w:p w:rsidR="00AD2715" w:rsidRDefault="0030435B">
      <w:r w:rsidRPr="0030435B">
        <w:t>The Australian Securities and Investments Commission (</w:t>
      </w:r>
      <w:r w:rsidRPr="0030435B">
        <w:rPr>
          <w:b/>
          <w:bCs/>
          <w:i/>
          <w:iCs/>
        </w:rPr>
        <w:t>ASIC</w:t>
      </w:r>
      <w:r w:rsidRPr="0030435B">
        <w:t xml:space="preserve">) makes </w:t>
      </w:r>
      <w:r w:rsidR="00B61DE2">
        <w:t xml:space="preserve">ASIC </w:t>
      </w:r>
      <w:r w:rsidR="00BD0862">
        <w:t xml:space="preserve">Class Order </w:t>
      </w:r>
      <w:r w:rsidRPr="0030435B">
        <w:t>[</w:t>
      </w:r>
      <w:r w:rsidRPr="00BD0862">
        <w:t xml:space="preserve">CO </w:t>
      </w:r>
      <w:r w:rsidR="005068EE">
        <w:t>13/</w:t>
      </w:r>
      <w:r w:rsidR="00B61DE2">
        <w:t>897</w:t>
      </w:r>
      <w:r w:rsidR="001900A3">
        <w:t xml:space="preserve">] under </w:t>
      </w:r>
      <w:r w:rsidR="002775AF">
        <w:t>subsection</w:t>
      </w:r>
      <w:r w:rsidRPr="0030435B">
        <w:t xml:space="preserve"> </w:t>
      </w:r>
      <w:r w:rsidR="002775AF">
        <w:t xml:space="preserve">6(17) </w:t>
      </w:r>
      <w:r w:rsidR="00BD0862">
        <w:t xml:space="preserve">of the National Credit Code (the </w:t>
      </w:r>
      <w:r w:rsidR="00B203EE" w:rsidRPr="00B203EE">
        <w:rPr>
          <w:b/>
          <w:i/>
        </w:rPr>
        <w:t>Code</w:t>
      </w:r>
      <w:r w:rsidR="00BD0862">
        <w:t xml:space="preserve">), which is found in </w:t>
      </w:r>
      <w:r w:rsidR="00FF6C9D">
        <w:t xml:space="preserve">Schedule 1 to </w:t>
      </w:r>
      <w:r w:rsidR="002775AF">
        <w:t xml:space="preserve">the </w:t>
      </w:r>
      <w:r w:rsidR="00B203EE" w:rsidRPr="00B203EE">
        <w:rPr>
          <w:i/>
        </w:rPr>
        <w:t>National Consumer Credit Protection Act 2009</w:t>
      </w:r>
      <w:r w:rsidR="002775AF">
        <w:t xml:space="preserve"> </w:t>
      </w:r>
      <w:r w:rsidR="002775AF" w:rsidRPr="002775AF">
        <w:t xml:space="preserve">(the </w:t>
      </w:r>
      <w:r w:rsidR="006678C5">
        <w:rPr>
          <w:b/>
          <w:i/>
        </w:rPr>
        <w:t xml:space="preserve">Credit </w:t>
      </w:r>
      <w:r w:rsidR="002775AF" w:rsidRPr="002775AF">
        <w:rPr>
          <w:b/>
          <w:bCs/>
          <w:i/>
          <w:iCs/>
        </w:rPr>
        <w:t>Act</w:t>
      </w:r>
      <w:r w:rsidR="002775AF" w:rsidRPr="002775AF">
        <w:t>)</w:t>
      </w:r>
      <w:r w:rsidR="00BD0862">
        <w:t xml:space="preserve">. </w:t>
      </w:r>
      <w:r w:rsidR="00BD0862">
        <w:br/>
      </w:r>
    </w:p>
    <w:p w:rsidR="00AD2715" w:rsidRDefault="002775AF">
      <w:r>
        <w:t>Subsection</w:t>
      </w:r>
      <w:r w:rsidR="0030435B" w:rsidRPr="0030435B">
        <w:t xml:space="preserve"> 6</w:t>
      </w:r>
      <w:r>
        <w:t>(17) th</w:t>
      </w:r>
      <w:r w:rsidR="0030435B" w:rsidRPr="0030435B">
        <w:t xml:space="preserve">e </w:t>
      </w:r>
      <w:r>
        <w:t>Code</w:t>
      </w:r>
      <w:r w:rsidR="009C572F">
        <w:t xml:space="preserve"> </w:t>
      </w:r>
      <w:r w:rsidR="0030435B" w:rsidRPr="0030435B">
        <w:t xml:space="preserve">provides that </w:t>
      </w:r>
      <w:r w:rsidR="00CB68B9">
        <w:t xml:space="preserve">ASIC </w:t>
      </w:r>
      <w:r w:rsidR="00FF6C9D">
        <w:t xml:space="preserve">may </w:t>
      </w:r>
      <w:r>
        <w:t xml:space="preserve">exclude </w:t>
      </w:r>
      <w:r w:rsidR="00FF6C9D">
        <w:t xml:space="preserve">from </w:t>
      </w:r>
      <w:r>
        <w:t xml:space="preserve">the </w:t>
      </w:r>
      <w:r w:rsidR="00FF6C9D">
        <w:t xml:space="preserve">application of the Code the </w:t>
      </w:r>
      <w:r>
        <w:t xml:space="preserve">provision of credit </w:t>
      </w:r>
      <w:r w:rsidR="00FF6C9D">
        <w:t xml:space="preserve">of a specified </w:t>
      </w:r>
      <w:r>
        <w:t>class</w:t>
      </w:r>
      <w:r w:rsidR="00FF6C9D">
        <w:t>.</w:t>
      </w:r>
      <w:r>
        <w:t xml:space="preserve"> </w:t>
      </w:r>
    </w:p>
    <w:p w:rsidR="0030435B" w:rsidRDefault="0030435B" w:rsidP="0026393E">
      <w:pPr>
        <w:jc w:val="both"/>
        <w:rPr>
          <w:b/>
          <w:bCs/>
        </w:rPr>
      </w:pPr>
    </w:p>
    <w:p w:rsidR="0030435B" w:rsidRDefault="00556276" w:rsidP="0026393E">
      <w:pPr>
        <w:jc w:val="both"/>
        <w:rPr>
          <w:b/>
          <w:bCs/>
        </w:rPr>
      </w:pPr>
      <w:r>
        <w:rPr>
          <w:b/>
          <w:bCs/>
        </w:rPr>
        <w:t>1.</w:t>
      </w:r>
      <w:r>
        <w:rPr>
          <w:b/>
          <w:bCs/>
        </w:rPr>
        <w:tab/>
      </w:r>
      <w:r w:rsidR="0030435B" w:rsidRPr="0030435B">
        <w:rPr>
          <w:b/>
          <w:bCs/>
        </w:rPr>
        <w:t xml:space="preserve">Background </w:t>
      </w:r>
    </w:p>
    <w:p w:rsidR="003F2160" w:rsidRPr="0030435B" w:rsidRDefault="003F2160" w:rsidP="0026393E">
      <w:pPr>
        <w:jc w:val="both"/>
      </w:pPr>
    </w:p>
    <w:p w:rsidR="00BD0862" w:rsidRDefault="009D6E08" w:rsidP="005F4687">
      <w:pPr>
        <w:jc w:val="both"/>
      </w:pPr>
      <w:r>
        <w:t>T</w:t>
      </w:r>
      <w:r w:rsidR="005F4687" w:rsidRPr="005F4687">
        <w:t xml:space="preserve">he High Court </w:t>
      </w:r>
      <w:r w:rsidR="00BD0862">
        <w:t xml:space="preserve">of Australia </w:t>
      </w:r>
      <w:r w:rsidR="005F4687" w:rsidRPr="005F4687">
        <w:t xml:space="preserve">held in </w:t>
      </w:r>
      <w:r w:rsidR="009C0BDB" w:rsidRPr="009C0BDB">
        <w:rPr>
          <w:i/>
        </w:rPr>
        <w:t>International Litigation Partners Pte Ltd v Chameleon Mining NL (Receivers and Managers Appointed)</w:t>
      </w:r>
      <w:r w:rsidR="009C0BDB" w:rsidRPr="009C0BDB">
        <w:t xml:space="preserve"> [2012] HCA 45 </w:t>
      </w:r>
      <w:r w:rsidR="005F4687" w:rsidRPr="005F4687">
        <w:t xml:space="preserve">that </w:t>
      </w:r>
      <w:r w:rsidR="00BD0862">
        <w:t>the</w:t>
      </w:r>
      <w:r w:rsidR="005F4687" w:rsidRPr="005F4687">
        <w:t xml:space="preserve"> litigation funding agreement </w:t>
      </w:r>
      <w:r w:rsidR="00BD0862">
        <w:t xml:space="preserve">in that matter </w:t>
      </w:r>
      <w:r w:rsidR="005F4687" w:rsidRPr="005F4687">
        <w:t xml:space="preserve">was a </w:t>
      </w:r>
      <w:r w:rsidR="00BD0862">
        <w:t>“</w:t>
      </w:r>
      <w:r w:rsidR="005F4687" w:rsidRPr="005F4687">
        <w:t>credit facility</w:t>
      </w:r>
      <w:r w:rsidR="00BD0862">
        <w:t>”</w:t>
      </w:r>
      <w:r w:rsidR="005F4687" w:rsidRPr="005F4687">
        <w:t xml:space="preserve"> within the meaning of reg</w:t>
      </w:r>
      <w:r w:rsidR="00847755">
        <w:t>ulation</w:t>
      </w:r>
      <w:r w:rsidR="005F4687" w:rsidRPr="005F4687">
        <w:t xml:space="preserve"> 7.1.06 of the </w:t>
      </w:r>
      <w:r w:rsidR="005F4687" w:rsidRPr="005F4687">
        <w:rPr>
          <w:i/>
        </w:rPr>
        <w:t>Corporations Regulations 2001</w:t>
      </w:r>
      <w:r w:rsidR="005F4687" w:rsidRPr="005F4687">
        <w:t xml:space="preserve"> </w:t>
      </w:r>
      <w:r w:rsidR="00847755">
        <w:t xml:space="preserve">(the </w:t>
      </w:r>
      <w:r w:rsidR="00AE665A" w:rsidRPr="00AE665A">
        <w:rPr>
          <w:b/>
          <w:i/>
        </w:rPr>
        <w:t>Regulations</w:t>
      </w:r>
      <w:r w:rsidR="00847755">
        <w:t>)</w:t>
      </w:r>
      <w:r w:rsidR="001D20F4">
        <w:t xml:space="preserve"> </w:t>
      </w:r>
      <w:r w:rsidR="005F4687" w:rsidRPr="005F4687">
        <w:t xml:space="preserve">and specifically excluded from the definition of a </w:t>
      </w:r>
      <w:r w:rsidR="00BD0862">
        <w:t>“</w:t>
      </w:r>
      <w:r w:rsidR="005F4687" w:rsidRPr="005F4687">
        <w:t>financial product</w:t>
      </w:r>
      <w:r w:rsidR="00BD0862">
        <w:t>”</w:t>
      </w:r>
      <w:r w:rsidR="005F4687" w:rsidRPr="005F4687">
        <w:t xml:space="preserve"> under s</w:t>
      </w:r>
      <w:r w:rsidR="00847755">
        <w:t xml:space="preserve">ubparagraph </w:t>
      </w:r>
      <w:proofErr w:type="gramStart"/>
      <w:r w:rsidR="005F4687" w:rsidRPr="005F4687">
        <w:t>765A</w:t>
      </w:r>
      <w:r w:rsidR="00847755">
        <w:t>(</w:t>
      </w:r>
      <w:proofErr w:type="gramEnd"/>
      <w:r w:rsidR="00847755">
        <w:t>1)</w:t>
      </w:r>
      <w:r w:rsidR="005F4687" w:rsidRPr="005F4687">
        <w:t>(h)(</w:t>
      </w:r>
      <w:proofErr w:type="spellStart"/>
      <w:r w:rsidR="005F4687" w:rsidRPr="005F4687">
        <w:t>i</w:t>
      </w:r>
      <w:proofErr w:type="spellEnd"/>
      <w:r w:rsidR="005F4687" w:rsidRPr="005F4687">
        <w:t xml:space="preserve">) of the </w:t>
      </w:r>
      <w:r w:rsidR="00AE665A" w:rsidRPr="00AE665A">
        <w:rPr>
          <w:i/>
        </w:rPr>
        <w:t>Corporations Act 2001</w:t>
      </w:r>
      <w:r w:rsidR="00BD0862">
        <w:rPr>
          <w:i/>
        </w:rPr>
        <w:t xml:space="preserve"> </w:t>
      </w:r>
      <w:r w:rsidR="00AE665A" w:rsidRPr="00AE665A">
        <w:t xml:space="preserve">(the </w:t>
      </w:r>
      <w:r w:rsidR="00AE665A" w:rsidRPr="00AE665A">
        <w:rPr>
          <w:b/>
          <w:i/>
        </w:rPr>
        <w:t>Act</w:t>
      </w:r>
      <w:r w:rsidR="00AE665A" w:rsidRPr="00AE665A">
        <w:t>)</w:t>
      </w:r>
      <w:r w:rsidR="005F4687" w:rsidRPr="005F4687">
        <w:t>.</w:t>
      </w:r>
    </w:p>
    <w:p w:rsidR="00BD0862" w:rsidRDefault="00BD0862" w:rsidP="005F4687">
      <w:pPr>
        <w:jc w:val="both"/>
      </w:pPr>
    </w:p>
    <w:p w:rsidR="005F4687" w:rsidRDefault="00BD0862" w:rsidP="005F4687">
      <w:pPr>
        <w:jc w:val="both"/>
      </w:pPr>
      <w:r>
        <w:t>Accordingly,</w:t>
      </w:r>
      <w:r w:rsidR="005F4687" w:rsidRPr="005F4687">
        <w:t xml:space="preserve"> </w:t>
      </w:r>
      <w:r>
        <w:t>the litigation funder</w:t>
      </w:r>
      <w:r w:rsidR="005F4687" w:rsidRPr="005F4687">
        <w:t xml:space="preserve"> was exempt from the requirement to hold an A</w:t>
      </w:r>
      <w:r w:rsidR="00847755">
        <w:t>ustralian financial services</w:t>
      </w:r>
      <w:r w:rsidR="005F4687" w:rsidRPr="005F4687">
        <w:t xml:space="preserve"> licence. The High Court considered the definition of </w:t>
      </w:r>
      <w:r>
        <w:t>“</w:t>
      </w:r>
      <w:r w:rsidR="005F4687" w:rsidRPr="005F4687">
        <w:t>credit</w:t>
      </w:r>
      <w:r>
        <w:t>”</w:t>
      </w:r>
      <w:r w:rsidR="005F4687" w:rsidRPr="005F4687">
        <w:t xml:space="preserve"> in </w:t>
      </w:r>
      <w:proofErr w:type="spellStart"/>
      <w:r>
        <w:t>sub</w:t>
      </w:r>
      <w:r w:rsidR="005F4687" w:rsidRPr="005F4687">
        <w:t>reg</w:t>
      </w:r>
      <w:r w:rsidR="00847755">
        <w:t>ulation</w:t>
      </w:r>
      <w:proofErr w:type="spellEnd"/>
      <w:r w:rsidR="005F4687" w:rsidRPr="005F4687">
        <w:t xml:space="preserve"> 7.1.06(3) </w:t>
      </w:r>
      <w:r w:rsidR="00847755">
        <w:t xml:space="preserve">of the Regulations </w:t>
      </w:r>
      <w:r w:rsidR="005F4687" w:rsidRPr="005F4687">
        <w:t>and held that this</w:t>
      </w:r>
      <w:r>
        <w:t xml:space="preserve"> litigation funding agreement</w:t>
      </w:r>
      <w:r w:rsidR="005F4687" w:rsidRPr="005F4687">
        <w:t xml:space="preserve"> was </w:t>
      </w:r>
      <w:r>
        <w:t>“</w:t>
      </w:r>
      <w:r w:rsidR="005F4687" w:rsidRPr="005F4687">
        <w:t>credit</w:t>
      </w:r>
      <w:r>
        <w:t>”</w:t>
      </w:r>
      <w:r w:rsidR="005F4687" w:rsidRPr="005F4687">
        <w:t xml:space="preserve"> because it was a form of financial accommodation provided by </w:t>
      </w:r>
      <w:r>
        <w:t>the litigation funder</w:t>
      </w:r>
      <w:r w:rsidR="005F4687" w:rsidRPr="005F4687">
        <w:t xml:space="preserve"> to </w:t>
      </w:r>
      <w:r w:rsidR="003E06AE">
        <w:t>the litigant</w:t>
      </w:r>
      <w:r w:rsidR="005F4687" w:rsidRPr="005F4687">
        <w:t xml:space="preserve"> and its provision </w:t>
      </w:r>
      <w:r>
        <w:t>“</w:t>
      </w:r>
      <w:r w:rsidR="005F4687" w:rsidRPr="005F4687">
        <w:t>for any period</w:t>
      </w:r>
      <w:r>
        <w:t>”</w:t>
      </w:r>
      <w:r w:rsidR="005F4687" w:rsidRPr="005F4687">
        <w:t xml:space="preserve"> will be a </w:t>
      </w:r>
      <w:r>
        <w:t>“</w:t>
      </w:r>
      <w:r w:rsidR="005F4687" w:rsidRPr="005F4687">
        <w:t>credit facility</w:t>
      </w:r>
      <w:r>
        <w:t>”</w:t>
      </w:r>
      <w:r w:rsidR="005F4687" w:rsidRPr="005F4687">
        <w:t xml:space="preserve">. Under the litigation funding agreement, </w:t>
      </w:r>
      <w:r>
        <w:t>the litigation funder</w:t>
      </w:r>
      <w:r w:rsidR="005F4687" w:rsidRPr="005F4687">
        <w:t xml:space="preserve"> </w:t>
      </w:r>
      <w:r w:rsidR="00847755">
        <w:t xml:space="preserve">had </w:t>
      </w:r>
      <w:r w:rsidR="005F4687" w:rsidRPr="005F4687">
        <w:t xml:space="preserve">agreed to pay </w:t>
      </w:r>
      <w:r w:rsidR="003E06AE">
        <w:t>the litigant’s</w:t>
      </w:r>
      <w:r w:rsidR="005F4687" w:rsidRPr="005F4687">
        <w:t xml:space="preserve"> legal bills within 28 days of receiving written notification. </w:t>
      </w:r>
      <w:r w:rsidR="003E06AE">
        <w:t xml:space="preserve">The litigant </w:t>
      </w:r>
      <w:r w:rsidR="005F4687" w:rsidRPr="005F4687">
        <w:t xml:space="preserve">in turn agreed to reimburse </w:t>
      </w:r>
      <w:r>
        <w:t>the litigation funder</w:t>
      </w:r>
      <w:r w:rsidR="005F4687" w:rsidRPr="005F4687">
        <w:t xml:space="preserve"> if the proceedings were resolved in its favour. </w:t>
      </w:r>
    </w:p>
    <w:p w:rsidR="005068EE" w:rsidRDefault="005068EE" w:rsidP="005F4687">
      <w:pPr>
        <w:jc w:val="both"/>
      </w:pPr>
    </w:p>
    <w:p w:rsidR="005068EE" w:rsidRPr="005068EE" w:rsidRDefault="005068EE" w:rsidP="005068EE">
      <w:pPr>
        <w:jc w:val="both"/>
      </w:pPr>
      <w:r w:rsidRPr="005068EE">
        <w:t>The decision of the High Court has highlighted that, depending on the terms of a litigation funding agreement, a litigation funding arrangement or a proof of debt funding arrangement may amount to the provision of “credit” to which the Credit Act and Code applies.</w:t>
      </w:r>
    </w:p>
    <w:p w:rsidR="005068EE" w:rsidRDefault="005068EE" w:rsidP="005F4687">
      <w:pPr>
        <w:jc w:val="both"/>
      </w:pPr>
    </w:p>
    <w:p w:rsidR="005068EE" w:rsidRDefault="005068EE" w:rsidP="005F4687">
      <w:pPr>
        <w:jc w:val="both"/>
      </w:pPr>
      <w:r>
        <w:t>On the 9</w:t>
      </w:r>
      <w:r w:rsidRPr="005068EE">
        <w:rPr>
          <w:vertAlign w:val="superscript"/>
        </w:rPr>
        <w:t>th</w:t>
      </w:r>
      <w:r>
        <w:t xml:space="preserve"> of January 2013, ASIC made Class Order [CO 13/18] to enable </w:t>
      </w:r>
      <w:r w:rsidRPr="005068EE">
        <w:t xml:space="preserve">the </w:t>
      </w:r>
      <w:proofErr w:type="gramStart"/>
      <w:r w:rsidRPr="005068EE">
        <w:t>temporary</w:t>
      </w:r>
      <w:proofErr w:type="gramEnd"/>
      <w:r w:rsidRPr="005068EE">
        <w:t xml:space="preserve"> operation of a litigation funding arrangement and a proof of debt funding arrangement without compliance with the requirements of the Credit Act and Code until 12 July 2013. This is to allow time for the Government to consider its policy position on the regulation of litigation funding arrangements and proof of debt funding arrangements.</w:t>
      </w:r>
    </w:p>
    <w:p w:rsidR="0030435B" w:rsidRDefault="0030435B" w:rsidP="0026393E">
      <w:pPr>
        <w:jc w:val="both"/>
      </w:pPr>
    </w:p>
    <w:p w:rsidR="0030435B" w:rsidRPr="0030435B" w:rsidRDefault="00556276" w:rsidP="0026393E">
      <w:pPr>
        <w:jc w:val="both"/>
      </w:pPr>
      <w:r>
        <w:rPr>
          <w:b/>
          <w:bCs/>
        </w:rPr>
        <w:t>2.</w:t>
      </w:r>
      <w:r>
        <w:rPr>
          <w:b/>
          <w:bCs/>
        </w:rPr>
        <w:tab/>
      </w:r>
      <w:r w:rsidR="0030435B" w:rsidRPr="0030435B">
        <w:rPr>
          <w:b/>
          <w:bCs/>
        </w:rPr>
        <w:t xml:space="preserve">Purpose of </w:t>
      </w:r>
      <w:r w:rsidR="003E06AE">
        <w:rPr>
          <w:b/>
          <w:bCs/>
        </w:rPr>
        <w:t>the class order</w:t>
      </w:r>
      <w:r w:rsidR="0030435B" w:rsidRPr="0030435B">
        <w:rPr>
          <w:b/>
          <w:bCs/>
        </w:rPr>
        <w:t xml:space="preserve"> </w:t>
      </w:r>
    </w:p>
    <w:p w:rsidR="0096103C" w:rsidRDefault="0096103C" w:rsidP="0026393E">
      <w:pPr>
        <w:jc w:val="both"/>
      </w:pPr>
    </w:p>
    <w:p w:rsidR="0030435B" w:rsidRPr="0030435B" w:rsidRDefault="003E06AE" w:rsidP="0026393E">
      <w:pPr>
        <w:jc w:val="both"/>
      </w:pPr>
      <w:r>
        <w:t xml:space="preserve">This class order </w:t>
      </w:r>
      <w:r w:rsidR="0030435B" w:rsidRPr="0030435B">
        <w:t>will</w:t>
      </w:r>
      <w:r w:rsidR="005068EE">
        <w:t xml:space="preserve"> extend the relief in CO 13/18 to</w:t>
      </w:r>
      <w:r w:rsidR="0030435B" w:rsidRPr="0030435B">
        <w:t xml:space="preserve"> enable the temporary operation of </w:t>
      </w:r>
      <w:r w:rsidR="00943A70" w:rsidRPr="00943A70">
        <w:t xml:space="preserve">a litigation funding </w:t>
      </w:r>
      <w:r w:rsidR="00E96366">
        <w:t xml:space="preserve">arrangement </w:t>
      </w:r>
      <w:r w:rsidR="006172A0">
        <w:t>and</w:t>
      </w:r>
      <w:r w:rsidR="00AF5A7A">
        <w:t xml:space="preserve"> </w:t>
      </w:r>
      <w:r w:rsidR="00943A70" w:rsidRPr="00943A70">
        <w:t xml:space="preserve">a proof of debt funding </w:t>
      </w:r>
      <w:r w:rsidR="00E96366">
        <w:t xml:space="preserve">arrangement </w:t>
      </w:r>
      <w:r w:rsidR="0030435B" w:rsidRPr="0030435B">
        <w:t xml:space="preserve">without compliance with the requirements of the </w:t>
      </w:r>
      <w:r w:rsidR="00E96366">
        <w:t xml:space="preserve">Credit </w:t>
      </w:r>
      <w:r w:rsidR="0030435B" w:rsidRPr="0030435B">
        <w:t xml:space="preserve">Act </w:t>
      </w:r>
      <w:r>
        <w:t xml:space="preserve">and Code </w:t>
      </w:r>
      <w:r w:rsidR="0030435B" w:rsidRPr="0030435B">
        <w:t xml:space="preserve">until </w:t>
      </w:r>
      <w:r w:rsidR="00CA6DDB" w:rsidRPr="00BD0862">
        <w:t>12</w:t>
      </w:r>
      <w:r w:rsidR="00E238EB" w:rsidRPr="00BD0862">
        <w:t xml:space="preserve"> </w:t>
      </w:r>
      <w:r w:rsidR="009C0BDB" w:rsidRPr="00BD0862">
        <w:t>July</w:t>
      </w:r>
      <w:r w:rsidR="0052705F" w:rsidRPr="00BD0862">
        <w:t xml:space="preserve"> </w:t>
      </w:r>
      <w:r w:rsidR="007706B6" w:rsidRPr="00BD0862">
        <w:t>201</w:t>
      </w:r>
      <w:r w:rsidR="005068EE">
        <w:t>4</w:t>
      </w:r>
      <w:r w:rsidR="0030435B" w:rsidRPr="0030435B">
        <w:t>. This is to allow</w:t>
      </w:r>
      <w:r w:rsidR="007766C7">
        <w:t xml:space="preserve"> further</w:t>
      </w:r>
      <w:r w:rsidR="0030435B" w:rsidRPr="0030435B">
        <w:t xml:space="preserve"> time for </w:t>
      </w:r>
      <w:r w:rsidR="00453AEF">
        <w:t xml:space="preserve">the Government to </w:t>
      </w:r>
      <w:r w:rsidR="00C44E46">
        <w:t>implement</w:t>
      </w:r>
      <w:r w:rsidR="00453AEF">
        <w:t xml:space="preserve"> regulation</w:t>
      </w:r>
      <w:r w:rsidR="00C44E46">
        <w:t xml:space="preserve">s for the purposes </w:t>
      </w:r>
      <w:r w:rsidR="00C44E46">
        <w:lastRenderedPageBreak/>
        <w:t>of exempting</w:t>
      </w:r>
      <w:r w:rsidR="00453AEF">
        <w:t xml:space="preserve"> litigation funding arrangements and proof of debt funding arrangements</w:t>
      </w:r>
      <w:r w:rsidR="00C44E46">
        <w:t xml:space="preserve"> from the Credit Act</w:t>
      </w:r>
      <w:r w:rsidR="00724D90">
        <w:t xml:space="preserve">. </w:t>
      </w:r>
    </w:p>
    <w:p w:rsidR="0030435B" w:rsidRDefault="0030435B" w:rsidP="0026393E">
      <w:pPr>
        <w:jc w:val="both"/>
        <w:rPr>
          <w:b/>
          <w:bCs/>
        </w:rPr>
      </w:pPr>
    </w:p>
    <w:p w:rsidR="0030435B" w:rsidRPr="0030435B" w:rsidRDefault="00556276" w:rsidP="0026393E">
      <w:pPr>
        <w:jc w:val="both"/>
      </w:pPr>
      <w:r>
        <w:rPr>
          <w:b/>
          <w:bCs/>
        </w:rPr>
        <w:t>3.</w:t>
      </w:r>
      <w:r>
        <w:rPr>
          <w:b/>
          <w:bCs/>
        </w:rPr>
        <w:tab/>
      </w:r>
      <w:r w:rsidR="0030435B" w:rsidRPr="0030435B">
        <w:rPr>
          <w:b/>
          <w:bCs/>
        </w:rPr>
        <w:t xml:space="preserve">Operation of </w:t>
      </w:r>
      <w:r w:rsidR="003E06AE">
        <w:rPr>
          <w:b/>
          <w:bCs/>
        </w:rPr>
        <w:t>the class order</w:t>
      </w:r>
      <w:r w:rsidR="0030435B" w:rsidRPr="0030435B">
        <w:rPr>
          <w:b/>
          <w:bCs/>
        </w:rPr>
        <w:t xml:space="preserve"> </w:t>
      </w:r>
    </w:p>
    <w:p w:rsidR="00D65383" w:rsidRDefault="00D65383" w:rsidP="0026393E">
      <w:pPr>
        <w:jc w:val="both"/>
        <w:rPr>
          <w:bCs/>
        </w:rPr>
      </w:pPr>
    </w:p>
    <w:p w:rsidR="00B22B92" w:rsidRDefault="003E06AE" w:rsidP="0026393E">
      <w:pPr>
        <w:jc w:val="both"/>
        <w:rPr>
          <w:bCs/>
        </w:rPr>
      </w:pPr>
      <w:r>
        <w:rPr>
          <w:bCs/>
        </w:rPr>
        <w:t xml:space="preserve">The class order </w:t>
      </w:r>
      <w:r w:rsidR="009D6E08">
        <w:rPr>
          <w:bCs/>
        </w:rPr>
        <w:t xml:space="preserve">has the effect of </w:t>
      </w:r>
      <w:r w:rsidR="00F04E3F">
        <w:rPr>
          <w:bCs/>
        </w:rPr>
        <w:t>extending the exclusion</w:t>
      </w:r>
      <w:r w:rsidR="007766C7">
        <w:rPr>
          <w:bCs/>
        </w:rPr>
        <w:t xml:space="preserve"> period in CO 13/18 for</w:t>
      </w:r>
      <w:r w:rsidR="00F04E3F">
        <w:rPr>
          <w:bCs/>
        </w:rPr>
        <w:t xml:space="preserve"> </w:t>
      </w:r>
      <w:r w:rsidR="007766C7" w:rsidRPr="007766C7">
        <w:rPr>
          <w:bCs/>
        </w:rPr>
        <w:t>litigation arrangements or a proof of debt arrangements</w:t>
      </w:r>
      <w:r w:rsidR="009D6E08">
        <w:rPr>
          <w:bCs/>
        </w:rPr>
        <w:t xml:space="preserve"> from regulation under the </w:t>
      </w:r>
      <w:r>
        <w:rPr>
          <w:bCs/>
        </w:rPr>
        <w:t>Code</w:t>
      </w:r>
      <w:r w:rsidR="009D6E08">
        <w:rPr>
          <w:bCs/>
        </w:rPr>
        <w:t xml:space="preserve"> and the Credit Act  </w:t>
      </w:r>
      <w:r>
        <w:rPr>
          <w:bCs/>
        </w:rPr>
        <w:t xml:space="preserve">  </w:t>
      </w:r>
    </w:p>
    <w:p w:rsidR="009D68DF" w:rsidRDefault="009D68DF" w:rsidP="0026393E">
      <w:pPr>
        <w:jc w:val="both"/>
        <w:rPr>
          <w:bCs/>
        </w:rPr>
      </w:pPr>
    </w:p>
    <w:p w:rsidR="00B22B92" w:rsidRDefault="00B22B92" w:rsidP="0026393E">
      <w:pPr>
        <w:jc w:val="both"/>
        <w:rPr>
          <w:bCs/>
        </w:rPr>
      </w:pPr>
      <w:r>
        <w:rPr>
          <w:bCs/>
        </w:rPr>
        <w:t xml:space="preserve">The </w:t>
      </w:r>
      <w:r w:rsidR="003E06AE">
        <w:rPr>
          <w:bCs/>
        </w:rPr>
        <w:t>c</w:t>
      </w:r>
      <w:r>
        <w:rPr>
          <w:bCs/>
        </w:rPr>
        <w:t xml:space="preserve">lass </w:t>
      </w:r>
      <w:r w:rsidR="003E06AE">
        <w:rPr>
          <w:bCs/>
        </w:rPr>
        <w:t>o</w:t>
      </w:r>
      <w:r>
        <w:rPr>
          <w:bCs/>
        </w:rPr>
        <w:t>rder has effect until 12 July 201</w:t>
      </w:r>
      <w:r w:rsidR="00C44E46">
        <w:rPr>
          <w:bCs/>
        </w:rPr>
        <w:t>4</w:t>
      </w:r>
      <w:r>
        <w:rPr>
          <w:bCs/>
        </w:rPr>
        <w:t>.</w:t>
      </w:r>
      <w:r w:rsidR="003E06AE">
        <w:rPr>
          <w:bCs/>
        </w:rPr>
        <w:t xml:space="preserve"> This is to align the </w:t>
      </w:r>
      <w:proofErr w:type="spellStart"/>
      <w:r w:rsidR="003E06AE">
        <w:rPr>
          <w:bCs/>
        </w:rPr>
        <w:t>sunsetting</w:t>
      </w:r>
      <w:proofErr w:type="spellEnd"/>
      <w:r w:rsidR="003E06AE">
        <w:rPr>
          <w:bCs/>
        </w:rPr>
        <w:t xml:space="preserve"> of the relief to similar relief made under Class Order [</w:t>
      </w:r>
      <w:r w:rsidR="00F04E3F">
        <w:rPr>
          <w:bCs/>
        </w:rPr>
        <w:t>CO 13/</w:t>
      </w:r>
      <w:r w:rsidR="00782B05">
        <w:rPr>
          <w:bCs/>
        </w:rPr>
        <w:t>898</w:t>
      </w:r>
      <w:r w:rsidR="003E06AE">
        <w:rPr>
          <w:bCs/>
        </w:rPr>
        <w:t>]</w:t>
      </w:r>
      <w:r w:rsidR="00F04E3F">
        <w:rPr>
          <w:bCs/>
        </w:rPr>
        <w:t xml:space="preserve"> for</w:t>
      </w:r>
      <w:r w:rsidR="00F04E3F" w:rsidRPr="00F04E3F">
        <w:rPr>
          <w:bCs/>
        </w:rPr>
        <w:t xml:space="preserve"> litigation arrangement</w:t>
      </w:r>
      <w:r w:rsidR="007766C7">
        <w:rPr>
          <w:bCs/>
        </w:rPr>
        <w:t>s</w:t>
      </w:r>
      <w:r w:rsidR="00F04E3F" w:rsidRPr="00F04E3F">
        <w:rPr>
          <w:bCs/>
        </w:rPr>
        <w:t xml:space="preserve"> or a proof of debt arrangement</w:t>
      </w:r>
      <w:r w:rsidR="007766C7">
        <w:rPr>
          <w:bCs/>
        </w:rPr>
        <w:t>s</w:t>
      </w:r>
      <w:r w:rsidR="00F04E3F">
        <w:rPr>
          <w:bCs/>
        </w:rPr>
        <w:t xml:space="preserve"> that </w:t>
      </w:r>
      <w:r w:rsidR="007766C7">
        <w:rPr>
          <w:bCs/>
        </w:rPr>
        <w:t>is</w:t>
      </w:r>
      <w:r w:rsidR="00F871E3">
        <w:rPr>
          <w:bCs/>
        </w:rPr>
        <w:t xml:space="preserve"> funded by</w:t>
      </w:r>
      <w:r w:rsidR="00F04E3F">
        <w:rPr>
          <w:bCs/>
        </w:rPr>
        <w:t xml:space="preserve"> conditional costs agreement</w:t>
      </w:r>
      <w:r w:rsidR="007766C7">
        <w:rPr>
          <w:bCs/>
        </w:rPr>
        <w:t>s</w:t>
      </w:r>
      <w:r w:rsidR="003E06AE">
        <w:rPr>
          <w:bCs/>
        </w:rPr>
        <w:t xml:space="preserve">.  </w:t>
      </w:r>
    </w:p>
    <w:p w:rsidR="00556276" w:rsidRDefault="00556276" w:rsidP="0026393E">
      <w:pPr>
        <w:jc w:val="both"/>
        <w:rPr>
          <w:bCs/>
        </w:rPr>
      </w:pPr>
    </w:p>
    <w:p w:rsidR="0030435B" w:rsidRDefault="00782B05" w:rsidP="0026393E">
      <w:pPr>
        <w:jc w:val="both"/>
        <w:rPr>
          <w:b/>
          <w:bCs/>
        </w:rPr>
      </w:pPr>
      <w:r>
        <w:rPr>
          <w:b/>
          <w:bCs/>
        </w:rPr>
        <w:t>4</w:t>
      </w:r>
      <w:r w:rsidR="00556276">
        <w:rPr>
          <w:b/>
          <w:bCs/>
        </w:rPr>
        <w:t>.</w:t>
      </w:r>
      <w:r w:rsidR="00556276">
        <w:rPr>
          <w:b/>
          <w:bCs/>
        </w:rPr>
        <w:tab/>
      </w:r>
      <w:r w:rsidR="0030435B" w:rsidRPr="0030435B">
        <w:rPr>
          <w:b/>
          <w:bCs/>
        </w:rPr>
        <w:t xml:space="preserve">Consultation </w:t>
      </w:r>
    </w:p>
    <w:p w:rsidR="00071268" w:rsidRDefault="00071268" w:rsidP="0026393E">
      <w:pPr>
        <w:jc w:val="both"/>
      </w:pPr>
    </w:p>
    <w:p w:rsidR="0030435B" w:rsidRDefault="0088540B" w:rsidP="0026393E">
      <w:pPr>
        <w:jc w:val="both"/>
      </w:pPr>
      <w:r>
        <w:t xml:space="preserve">ASIC consulted with the Department of Treasury before making </w:t>
      </w:r>
      <w:r w:rsidR="009D6E08">
        <w:t>this class order</w:t>
      </w:r>
      <w:r>
        <w:t xml:space="preserve">. </w:t>
      </w:r>
      <w:r w:rsidR="0030435B" w:rsidRPr="0030435B">
        <w:t xml:space="preserve">ASIC did not undertake </w:t>
      </w:r>
      <w:r>
        <w:t xml:space="preserve">further </w:t>
      </w:r>
      <w:r w:rsidR="0030435B" w:rsidRPr="0030435B">
        <w:t xml:space="preserve">consultation as it </w:t>
      </w:r>
      <w:r w:rsidR="007706B6">
        <w:t>provides relief only for a short period pending the Government’s decision</w:t>
      </w:r>
      <w:r w:rsidR="0052705F">
        <w:t xml:space="preserve">. </w:t>
      </w:r>
      <w:r w:rsidR="007706B6">
        <w:t xml:space="preserve"> </w:t>
      </w:r>
    </w:p>
    <w:p w:rsidR="0088540B" w:rsidRDefault="0088540B" w:rsidP="0026393E">
      <w:pPr>
        <w:jc w:val="both"/>
      </w:pPr>
    </w:p>
    <w:p w:rsidR="00782B05" w:rsidRDefault="00DA3A94" w:rsidP="0026393E">
      <w:pPr>
        <w:jc w:val="both"/>
      </w:pPr>
      <w:r>
        <w:t xml:space="preserve"> </w:t>
      </w:r>
    </w:p>
    <w:p w:rsidR="00782B05" w:rsidRDefault="00782B05">
      <w:r>
        <w:br w:type="page"/>
      </w:r>
    </w:p>
    <w:p w:rsidR="00782B05" w:rsidRPr="00782B05" w:rsidRDefault="00782B05" w:rsidP="00636574">
      <w:pPr>
        <w:jc w:val="center"/>
        <w:rPr>
          <w:b/>
          <w:bCs/>
        </w:rPr>
      </w:pPr>
      <w:r w:rsidRPr="00782B05">
        <w:rPr>
          <w:b/>
          <w:bCs/>
        </w:rPr>
        <w:lastRenderedPageBreak/>
        <w:t>Statement of Compatibility with Human Rights</w:t>
      </w:r>
    </w:p>
    <w:p w:rsidR="00782B05" w:rsidRPr="00782B05" w:rsidRDefault="00782B05" w:rsidP="00782B05">
      <w:pPr>
        <w:jc w:val="both"/>
        <w:rPr>
          <w:i/>
          <w:iCs/>
        </w:rPr>
      </w:pPr>
    </w:p>
    <w:p w:rsidR="00782B05" w:rsidRPr="00782B05" w:rsidRDefault="00782B05" w:rsidP="00636574">
      <w:pPr>
        <w:jc w:val="center"/>
      </w:pPr>
      <w:r w:rsidRPr="00782B05">
        <w:rPr>
          <w:i/>
          <w:iCs/>
        </w:rPr>
        <w:t>Prepared in accordance with Part 3 of the Human Rights (Parliamentary Scrutiny) Act 2011</w:t>
      </w:r>
    </w:p>
    <w:p w:rsidR="00782B05" w:rsidRPr="00782B05" w:rsidRDefault="00782B05" w:rsidP="00782B05">
      <w:pPr>
        <w:jc w:val="both"/>
        <w:rPr>
          <w:b/>
          <w:bCs/>
        </w:rPr>
      </w:pPr>
    </w:p>
    <w:p w:rsidR="00782B05" w:rsidRPr="00782B05" w:rsidRDefault="00782B05" w:rsidP="00782B05">
      <w:pPr>
        <w:jc w:val="both"/>
      </w:pPr>
      <w:r w:rsidRPr="00782B05">
        <w:rPr>
          <w:b/>
          <w:bCs/>
        </w:rPr>
        <w:t>ASIC Class Order [CO 13-89</w:t>
      </w:r>
      <w:r>
        <w:rPr>
          <w:b/>
          <w:bCs/>
        </w:rPr>
        <w:t>7</w:t>
      </w:r>
      <w:r w:rsidRPr="00782B05">
        <w:rPr>
          <w:b/>
          <w:bCs/>
        </w:rPr>
        <w:t xml:space="preserve">] </w:t>
      </w:r>
    </w:p>
    <w:p w:rsidR="00782B05" w:rsidRPr="00782B05" w:rsidRDefault="00782B05" w:rsidP="00782B05">
      <w:pPr>
        <w:jc w:val="both"/>
      </w:pPr>
    </w:p>
    <w:p w:rsidR="00782B05" w:rsidRPr="00782B05" w:rsidRDefault="00782B05" w:rsidP="00782B05">
      <w:pPr>
        <w:jc w:val="both"/>
      </w:pPr>
      <w:r w:rsidRPr="00782B05">
        <w:t xml:space="preserve">This class order is compatible with the human rights and freedoms recognised or declared in the international instruments listed in section 3 of the </w:t>
      </w:r>
      <w:r w:rsidRPr="00782B05">
        <w:rPr>
          <w:i/>
          <w:iCs/>
        </w:rPr>
        <w:t>Human Rights (Parliamentary Scrutiny) Act 2011</w:t>
      </w:r>
      <w:r w:rsidRPr="00782B05">
        <w:t xml:space="preserve">. </w:t>
      </w:r>
    </w:p>
    <w:p w:rsidR="00782B05" w:rsidRPr="00782B05" w:rsidRDefault="00782B05" w:rsidP="00782B05">
      <w:pPr>
        <w:jc w:val="both"/>
        <w:rPr>
          <w:b/>
          <w:bCs/>
        </w:rPr>
      </w:pPr>
    </w:p>
    <w:p w:rsidR="00782B05" w:rsidRPr="00782B05" w:rsidRDefault="00782B05" w:rsidP="00782B05">
      <w:pPr>
        <w:jc w:val="both"/>
      </w:pPr>
      <w:r w:rsidRPr="00782B05">
        <w:rPr>
          <w:b/>
          <w:bCs/>
        </w:rPr>
        <w:t xml:space="preserve">Overview of the class order </w:t>
      </w:r>
    </w:p>
    <w:p w:rsidR="00782B05" w:rsidRPr="00782B05" w:rsidRDefault="00782B05" w:rsidP="00782B05">
      <w:pPr>
        <w:jc w:val="both"/>
      </w:pPr>
    </w:p>
    <w:p w:rsidR="00782B05" w:rsidRPr="00782B05" w:rsidRDefault="00782B05" w:rsidP="00782B05">
      <w:pPr>
        <w:jc w:val="both"/>
      </w:pPr>
      <w:r w:rsidRPr="00782B05">
        <w:t>ASIC Class Order [CO 13-89</w:t>
      </w:r>
      <w:r>
        <w:t>7</w:t>
      </w:r>
      <w:r w:rsidRPr="00782B05">
        <w:t xml:space="preserve">] will </w:t>
      </w:r>
      <w:r>
        <w:t>extend</w:t>
      </w:r>
      <w:r w:rsidRPr="00782B05">
        <w:t xml:space="preserve"> the temporary operation of a litigation funding arrangement and a proof of debt funding arrangement without compliance with the requirements of the Credit Act and Code until 12 July 2014</w:t>
      </w:r>
      <w:r>
        <w:t xml:space="preserve">. </w:t>
      </w:r>
      <w:r w:rsidRPr="00782B05">
        <w:t>The objective of [CO 13-89</w:t>
      </w:r>
      <w:r>
        <w:t>7</w:t>
      </w:r>
      <w:r w:rsidRPr="00782B05">
        <w:t>] is to allow time for the Government to consider its policy position on the regulation of litigation funding arrangements an</w:t>
      </w:r>
      <w:r>
        <w:t xml:space="preserve">d proof of debt funding arrangements under the </w:t>
      </w:r>
      <w:r w:rsidRPr="00782B05">
        <w:t>Credit Act and Code</w:t>
      </w:r>
      <w:r>
        <w:t>.</w:t>
      </w:r>
    </w:p>
    <w:p w:rsidR="00782B05" w:rsidRPr="00782B05" w:rsidRDefault="00782B05" w:rsidP="00782B05">
      <w:pPr>
        <w:jc w:val="both"/>
      </w:pPr>
      <w:r w:rsidRPr="00782B05">
        <w:br/>
      </w:r>
      <w:r w:rsidRPr="00782B05">
        <w:rPr>
          <w:b/>
          <w:bCs/>
        </w:rPr>
        <w:t xml:space="preserve">Human rights implications </w:t>
      </w:r>
    </w:p>
    <w:p w:rsidR="00782B05" w:rsidRPr="00782B05" w:rsidRDefault="00782B05" w:rsidP="00782B05">
      <w:pPr>
        <w:jc w:val="both"/>
      </w:pPr>
    </w:p>
    <w:p w:rsidR="00782B05" w:rsidRPr="00782B05" w:rsidRDefault="00782B05" w:rsidP="00782B05">
      <w:pPr>
        <w:jc w:val="both"/>
      </w:pPr>
      <w:r w:rsidRPr="00782B05">
        <w:t xml:space="preserve">This class order does not engage any of the applicable rights or freedoms. </w:t>
      </w:r>
    </w:p>
    <w:p w:rsidR="00782B05" w:rsidRPr="00782B05" w:rsidRDefault="00782B05" w:rsidP="00782B05">
      <w:pPr>
        <w:jc w:val="both"/>
        <w:rPr>
          <w:b/>
          <w:bCs/>
        </w:rPr>
      </w:pPr>
    </w:p>
    <w:p w:rsidR="00782B05" w:rsidRPr="00782B05" w:rsidRDefault="00782B05" w:rsidP="00782B05">
      <w:pPr>
        <w:jc w:val="both"/>
      </w:pPr>
      <w:r w:rsidRPr="00782B05">
        <w:rPr>
          <w:b/>
          <w:bCs/>
        </w:rPr>
        <w:t xml:space="preserve">Conclusion </w:t>
      </w:r>
    </w:p>
    <w:p w:rsidR="00782B05" w:rsidRPr="00782B05" w:rsidRDefault="00782B05" w:rsidP="00782B05">
      <w:pPr>
        <w:jc w:val="both"/>
      </w:pPr>
    </w:p>
    <w:p w:rsidR="00782B05" w:rsidRPr="00782B05" w:rsidRDefault="00782B05" w:rsidP="00782B05">
      <w:pPr>
        <w:jc w:val="both"/>
      </w:pPr>
      <w:r w:rsidRPr="00782B05">
        <w:t>This class order is compatible with human rights as it does not raise any human rights issues.</w:t>
      </w:r>
    </w:p>
    <w:p w:rsidR="00EA62DE" w:rsidRPr="0030435B" w:rsidRDefault="00EA62DE" w:rsidP="0026393E">
      <w:pPr>
        <w:jc w:val="both"/>
      </w:pPr>
    </w:p>
    <w:sectPr w:rsidR="00EA62DE" w:rsidRPr="0030435B" w:rsidSect="00D74FF2">
      <w:headerReference w:type="default" r:id="rId8"/>
      <w:pgSz w:w="11906" w:h="16838"/>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5F9" w:rsidRDefault="009035F9" w:rsidP="009E1020">
      <w:r>
        <w:separator/>
      </w:r>
    </w:p>
  </w:endnote>
  <w:endnote w:type="continuationSeparator" w:id="0">
    <w:p w:rsidR="009035F9" w:rsidRDefault="009035F9" w:rsidP="009E1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5F9" w:rsidRDefault="009035F9" w:rsidP="009E1020">
      <w:r>
        <w:separator/>
      </w:r>
    </w:p>
  </w:footnote>
  <w:footnote w:type="continuationSeparator" w:id="0">
    <w:p w:rsidR="009035F9" w:rsidRDefault="009035F9" w:rsidP="009E1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999736"/>
      <w:docPartObj>
        <w:docPartGallery w:val="Page Numbers (Top of Page)"/>
        <w:docPartUnique/>
      </w:docPartObj>
    </w:sdtPr>
    <w:sdtContent>
      <w:p w:rsidR="005068EE" w:rsidRDefault="00754469">
        <w:pPr>
          <w:pStyle w:val="Header"/>
          <w:jc w:val="center"/>
        </w:pPr>
        <w:fldSimple w:instr=" PAGE   \* MERGEFORMAT ">
          <w:r w:rsidR="00306C6A">
            <w:rPr>
              <w:noProof/>
            </w:rPr>
            <w:t>2</w:t>
          </w:r>
        </w:fldSimple>
      </w:p>
    </w:sdtContent>
  </w:sdt>
  <w:p w:rsidR="005068EE" w:rsidRDefault="00506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BD4"/>
    <w:multiLevelType w:val="hybridMultilevel"/>
    <w:tmpl w:val="A3266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EFE0BC3"/>
    <w:multiLevelType w:val="hybridMultilevel"/>
    <w:tmpl w:val="E2022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B5A5FBC"/>
    <w:multiLevelType w:val="multilevel"/>
    <w:tmpl w:val="A43E58CC"/>
    <w:lvl w:ilvl="0">
      <w:start w:val="1"/>
      <w:numFmt w:val="decimal"/>
      <w:lvlText w:val="%1"/>
      <w:lvlJc w:val="left"/>
      <w:pPr>
        <w:tabs>
          <w:tab w:val="num" w:pos="851"/>
        </w:tabs>
        <w:ind w:left="851" w:hanging="426"/>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rsids>
    <w:rsidRoot w:val="0030435B"/>
    <w:rsid w:val="00000DC6"/>
    <w:rsid w:val="00007650"/>
    <w:rsid w:val="00044B9C"/>
    <w:rsid w:val="00062F5F"/>
    <w:rsid w:val="00071268"/>
    <w:rsid w:val="000A0F6A"/>
    <w:rsid w:val="000A6144"/>
    <w:rsid w:val="000C64E2"/>
    <w:rsid w:val="001151F4"/>
    <w:rsid w:val="0014290D"/>
    <w:rsid w:val="00166924"/>
    <w:rsid w:val="001900A3"/>
    <w:rsid w:val="001A3D78"/>
    <w:rsid w:val="001A63F6"/>
    <w:rsid w:val="001D1503"/>
    <w:rsid w:val="001D20F4"/>
    <w:rsid w:val="0025154A"/>
    <w:rsid w:val="0026393E"/>
    <w:rsid w:val="00266221"/>
    <w:rsid w:val="002775AF"/>
    <w:rsid w:val="002E6EBF"/>
    <w:rsid w:val="002F5F44"/>
    <w:rsid w:val="0030435B"/>
    <w:rsid w:val="00306C6A"/>
    <w:rsid w:val="00347A1D"/>
    <w:rsid w:val="003E06AE"/>
    <w:rsid w:val="003E3286"/>
    <w:rsid w:val="003F162C"/>
    <w:rsid w:val="003F2160"/>
    <w:rsid w:val="00422C05"/>
    <w:rsid w:val="0043436C"/>
    <w:rsid w:val="004530A9"/>
    <w:rsid w:val="00453AEF"/>
    <w:rsid w:val="004A35F3"/>
    <w:rsid w:val="004B5370"/>
    <w:rsid w:val="004E397F"/>
    <w:rsid w:val="005068EE"/>
    <w:rsid w:val="00515FE0"/>
    <w:rsid w:val="0052705F"/>
    <w:rsid w:val="00556276"/>
    <w:rsid w:val="00557116"/>
    <w:rsid w:val="005916B7"/>
    <w:rsid w:val="00596B87"/>
    <w:rsid w:val="005B2423"/>
    <w:rsid w:val="005C27BD"/>
    <w:rsid w:val="005D46AF"/>
    <w:rsid w:val="005E0C6B"/>
    <w:rsid w:val="005F1A03"/>
    <w:rsid w:val="005F4687"/>
    <w:rsid w:val="006172A0"/>
    <w:rsid w:val="006264B8"/>
    <w:rsid w:val="00636574"/>
    <w:rsid w:val="006661A5"/>
    <w:rsid w:val="006678C5"/>
    <w:rsid w:val="006B6AEF"/>
    <w:rsid w:val="006C4047"/>
    <w:rsid w:val="006F0874"/>
    <w:rsid w:val="006F7A52"/>
    <w:rsid w:val="007072EA"/>
    <w:rsid w:val="00724D90"/>
    <w:rsid w:val="00737263"/>
    <w:rsid w:val="00754469"/>
    <w:rsid w:val="00765283"/>
    <w:rsid w:val="007706B6"/>
    <w:rsid w:val="007766C7"/>
    <w:rsid w:val="00782B05"/>
    <w:rsid w:val="007859D9"/>
    <w:rsid w:val="00811404"/>
    <w:rsid w:val="00812F29"/>
    <w:rsid w:val="00847755"/>
    <w:rsid w:val="0088540B"/>
    <w:rsid w:val="008A4388"/>
    <w:rsid w:val="008B03B8"/>
    <w:rsid w:val="008D5806"/>
    <w:rsid w:val="009035F9"/>
    <w:rsid w:val="00930B01"/>
    <w:rsid w:val="00943A70"/>
    <w:rsid w:val="0096103C"/>
    <w:rsid w:val="009652D6"/>
    <w:rsid w:val="00971758"/>
    <w:rsid w:val="0099042A"/>
    <w:rsid w:val="009C0BDB"/>
    <w:rsid w:val="009C4F85"/>
    <w:rsid w:val="009C572F"/>
    <w:rsid w:val="009D68DF"/>
    <w:rsid w:val="009D6E08"/>
    <w:rsid w:val="009E1020"/>
    <w:rsid w:val="00A23914"/>
    <w:rsid w:val="00A3747F"/>
    <w:rsid w:val="00A634CD"/>
    <w:rsid w:val="00A65B7D"/>
    <w:rsid w:val="00AD2270"/>
    <w:rsid w:val="00AD2715"/>
    <w:rsid w:val="00AD77E9"/>
    <w:rsid w:val="00AE665A"/>
    <w:rsid w:val="00AF5A7A"/>
    <w:rsid w:val="00B077BD"/>
    <w:rsid w:val="00B203EE"/>
    <w:rsid w:val="00B22B92"/>
    <w:rsid w:val="00B335FB"/>
    <w:rsid w:val="00B61DE2"/>
    <w:rsid w:val="00BC00D7"/>
    <w:rsid w:val="00BD0862"/>
    <w:rsid w:val="00C44E46"/>
    <w:rsid w:val="00C50FC9"/>
    <w:rsid w:val="00C52752"/>
    <w:rsid w:val="00C7677E"/>
    <w:rsid w:val="00CA6DDB"/>
    <w:rsid w:val="00CB68B9"/>
    <w:rsid w:val="00CC7307"/>
    <w:rsid w:val="00D2128C"/>
    <w:rsid w:val="00D52D8E"/>
    <w:rsid w:val="00D65383"/>
    <w:rsid w:val="00D74FF2"/>
    <w:rsid w:val="00D86A91"/>
    <w:rsid w:val="00D93BAA"/>
    <w:rsid w:val="00DA3A94"/>
    <w:rsid w:val="00DA4229"/>
    <w:rsid w:val="00DE4707"/>
    <w:rsid w:val="00E05696"/>
    <w:rsid w:val="00E07454"/>
    <w:rsid w:val="00E238EB"/>
    <w:rsid w:val="00E2684B"/>
    <w:rsid w:val="00E96366"/>
    <w:rsid w:val="00EA4F3A"/>
    <w:rsid w:val="00EA62DE"/>
    <w:rsid w:val="00ED20CD"/>
    <w:rsid w:val="00F04E3F"/>
    <w:rsid w:val="00F0531A"/>
    <w:rsid w:val="00F36E05"/>
    <w:rsid w:val="00F871E3"/>
    <w:rsid w:val="00FE508C"/>
    <w:rsid w:val="00FF6C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5B"/>
    <w:pPr>
      <w:ind w:left="720"/>
      <w:contextualSpacing/>
    </w:pPr>
  </w:style>
  <w:style w:type="paragraph" w:styleId="Header">
    <w:name w:val="header"/>
    <w:basedOn w:val="Normal"/>
    <w:link w:val="HeaderChar"/>
    <w:uiPriority w:val="99"/>
    <w:unhideWhenUsed/>
    <w:rsid w:val="009E1020"/>
    <w:pPr>
      <w:tabs>
        <w:tab w:val="center" w:pos="4513"/>
        <w:tab w:val="right" w:pos="9026"/>
      </w:tabs>
    </w:pPr>
  </w:style>
  <w:style w:type="character" w:customStyle="1" w:styleId="HeaderChar">
    <w:name w:val="Header Char"/>
    <w:basedOn w:val="DefaultParagraphFont"/>
    <w:link w:val="Header"/>
    <w:uiPriority w:val="99"/>
    <w:rsid w:val="009E1020"/>
    <w:rPr>
      <w:sz w:val="24"/>
      <w:szCs w:val="24"/>
      <w:lang w:eastAsia="en-US"/>
    </w:rPr>
  </w:style>
  <w:style w:type="paragraph" w:styleId="Footer">
    <w:name w:val="footer"/>
    <w:basedOn w:val="Normal"/>
    <w:link w:val="FooterChar"/>
    <w:uiPriority w:val="99"/>
    <w:semiHidden/>
    <w:unhideWhenUsed/>
    <w:rsid w:val="009E1020"/>
    <w:pPr>
      <w:tabs>
        <w:tab w:val="center" w:pos="4513"/>
        <w:tab w:val="right" w:pos="9026"/>
      </w:tabs>
    </w:pPr>
  </w:style>
  <w:style w:type="character" w:customStyle="1" w:styleId="FooterChar">
    <w:name w:val="Footer Char"/>
    <w:basedOn w:val="DefaultParagraphFont"/>
    <w:link w:val="Footer"/>
    <w:uiPriority w:val="99"/>
    <w:semiHidden/>
    <w:rsid w:val="009E1020"/>
    <w:rPr>
      <w:sz w:val="24"/>
      <w:szCs w:val="24"/>
      <w:lang w:eastAsia="en-US"/>
    </w:rPr>
  </w:style>
  <w:style w:type="paragraph" w:styleId="BalloonText">
    <w:name w:val="Balloon Text"/>
    <w:basedOn w:val="Normal"/>
    <w:link w:val="BalloonTextChar"/>
    <w:uiPriority w:val="99"/>
    <w:semiHidden/>
    <w:unhideWhenUsed/>
    <w:rsid w:val="006F7A52"/>
    <w:rPr>
      <w:rFonts w:ascii="Tahoma" w:hAnsi="Tahoma" w:cs="Tahoma"/>
      <w:sz w:val="16"/>
      <w:szCs w:val="16"/>
    </w:rPr>
  </w:style>
  <w:style w:type="character" w:customStyle="1" w:styleId="BalloonTextChar">
    <w:name w:val="Balloon Text Char"/>
    <w:basedOn w:val="DefaultParagraphFont"/>
    <w:link w:val="BalloonText"/>
    <w:uiPriority w:val="99"/>
    <w:semiHidden/>
    <w:rsid w:val="006F7A52"/>
    <w:rPr>
      <w:rFonts w:ascii="Tahoma" w:hAnsi="Tahoma" w:cs="Tahoma"/>
      <w:sz w:val="16"/>
      <w:szCs w:val="16"/>
      <w:lang w:eastAsia="en-US"/>
    </w:rPr>
  </w:style>
  <w:style w:type="character" w:styleId="Hyperlink">
    <w:name w:val="Hyperlink"/>
    <w:basedOn w:val="DefaultParagraphFont"/>
    <w:uiPriority w:val="99"/>
    <w:unhideWhenUsed/>
    <w:rsid w:val="002775AF"/>
    <w:rPr>
      <w:color w:val="0000FF" w:themeColor="hyperlink"/>
      <w:u w:val="single"/>
    </w:rPr>
  </w:style>
  <w:style w:type="character" w:styleId="CommentReference">
    <w:name w:val="annotation reference"/>
    <w:basedOn w:val="DefaultParagraphFont"/>
    <w:uiPriority w:val="99"/>
    <w:semiHidden/>
    <w:unhideWhenUsed/>
    <w:rsid w:val="005D46AF"/>
    <w:rPr>
      <w:sz w:val="16"/>
      <w:szCs w:val="16"/>
    </w:rPr>
  </w:style>
  <w:style w:type="paragraph" w:styleId="CommentText">
    <w:name w:val="annotation text"/>
    <w:basedOn w:val="Normal"/>
    <w:link w:val="CommentTextChar"/>
    <w:uiPriority w:val="99"/>
    <w:semiHidden/>
    <w:unhideWhenUsed/>
    <w:rsid w:val="005D46AF"/>
    <w:rPr>
      <w:sz w:val="20"/>
      <w:szCs w:val="20"/>
    </w:rPr>
  </w:style>
  <w:style w:type="character" w:customStyle="1" w:styleId="CommentTextChar">
    <w:name w:val="Comment Text Char"/>
    <w:basedOn w:val="DefaultParagraphFont"/>
    <w:link w:val="CommentText"/>
    <w:uiPriority w:val="99"/>
    <w:semiHidden/>
    <w:rsid w:val="005D46AF"/>
    <w:rPr>
      <w:lang w:eastAsia="en-US"/>
    </w:rPr>
  </w:style>
  <w:style w:type="paragraph" w:styleId="CommentSubject">
    <w:name w:val="annotation subject"/>
    <w:basedOn w:val="CommentText"/>
    <w:next w:val="CommentText"/>
    <w:link w:val="CommentSubjectChar"/>
    <w:uiPriority w:val="99"/>
    <w:semiHidden/>
    <w:unhideWhenUsed/>
    <w:rsid w:val="005D46AF"/>
    <w:rPr>
      <w:b/>
      <w:bCs/>
    </w:rPr>
  </w:style>
  <w:style w:type="character" w:customStyle="1" w:styleId="CommentSubjectChar">
    <w:name w:val="Comment Subject Char"/>
    <w:basedOn w:val="CommentTextChar"/>
    <w:link w:val="CommentSubject"/>
    <w:uiPriority w:val="99"/>
    <w:semiHidden/>
    <w:rsid w:val="005D46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6264-4AC1-439A-9E4C-C861E87D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732</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Reid</dc:creator>
  <cp:keywords/>
  <dc:description/>
  <cp:lastModifiedBy>Tony Tran</cp:lastModifiedBy>
  <cp:revision>3</cp:revision>
  <cp:lastPrinted>2012-02-07T05:48:00Z</cp:lastPrinted>
  <dcterms:created xsi:type="dcterms:W3CDTF">2013-07-11T11:16:00Z</dcterms:created>
  <dcterms:modified xsi:type="dcterms:W3CDTF">2013-07-11T23:38:00Z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B519265</vt:lpwstr>
  </property>
  <property fmtid="{D5CDD505-2E9C-101B-9397-08002B2CF9AE}" pid="3" name="Objective-Title">
    <vt:lpwstr>Explanatory statement - CO class actions and proof of debt - 20120904</vt:lpwstr>
  </property>
  <property fmtid="{D5CDD505-2E9C-101B-9397-08002B2CF9AE}" pid="4" name="Objective-Comment">
    <vt:lpwstr/>
  </property>
  <property fmtid="{D5CDD505-2E9C-101B-9397-08002B2CF9AE}" pid="5" name="Objective-CreationStamp">
    <vt:filetime>2012-09-04T02:27:39Z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2012-09-04T03:40:22Z</vt:filetime>
  </property>
  <property fmtid="{D5CDD505-2E9C-101B-9397-08002B2CF9AE}" pid="10" name="Objective-Owner">
    <vt:lpwstr>Michelle Reid</vt:lpwstr>
  </property>
  <property fmtid="{D5CDD505-2E9C-101B-9397-08002B2CF9AE}" pid="11" name="Objective-Path">
    <vt:lpwstr>ASIC BCS:REGULATION &amp; COMPLIANCE:Applications:Investment Management:Other Relief:Litigation Funding Arrangements:Policy development - proposed final regulatory solution:</vt:lpwstr>
  </property>
  <property fmtid="{D5CDD505-2E9C-101B-9397-08002B2CF9AE}" pid="12" name="Objective-Parent">
    <vt:lpwstr>Policy development - proposed final regulatory solution</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2009 - 010035</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