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B81" w:rsidRDefault="00741F92" w:rsidP="00A371F5">
      <w:pPr>
        <w:ind w:right="91"/>
        <w:jc w:val="center"/>
      </w:pPr>
      <w:r w:rsidRPr="000E39BF">
        <w:rPr>
          <w:b/>
          <w:u w:val="single"/>
        </w:rPr>
        <w:t xml:space="preserve">EXPLANATORY </w:t>
      </w:r>
      <w:r w:rsidR="00766D01">
        <w:rPr>
          <w:b/>
          <w:u w:val="single"/>
        </w:rPr>
        <w:t>STATEMENT</w:t>
      </w:r>
    </w:p>
    <w:p w:rsidR="00B12B81" w:rsidRDefault="00B12B81" w:rsidP="00A371F5">
      <w:pPr>
        <w:ind w:right="91"/>
      </w:pPr>
    </w:p>
    <w:p w:rsidR="00766D01" w:rsidRDefault="00766D01" w:rsidP="00A371F5">
      <w:pPr>
        <w:jc w:val="center"/>
        <w:rPr>
          <w:b/>
          <w:color w:val="000000" w:themeColor="text1"/>
        </w:rPr>
      </w:pPr>
      <w:r w:rsidRPr="005C3C2E">
        <w:rPr>
          <w:b/>
          <w:color w:val="000000" w:themeColor="text1"/>
        </w:rPr>
        <w:t xml:space="preserve">Select Legislative Instrument 2013 </w:t>
      </w:r>
      <w:r w:rsidR="00BD4717" w:rsidRPr="00BD4717">
        <w:rPr>
          <w:b/>
          <w:color w:val="000000" w:themeColor="text1"/>
        </w:rPr>
        <w:t>No.</w:t>
      </w:r>
      <w:r w:rsidR="0027595A">
        <w:rPr>
          <w:b/>
          <w:color w:val="000000" w:themeColor="text1"/>
        </w:rPr>
        <w:t xml:space="preserve"> 174</w:t>
      </w:r>
      <w:r w:rsidRPr="005C3C2E">
        <w:rPr>
          <w:b/>
          <w:color w:val="000000" w:themeColor="text1"/>
        </w:rPr>
        <w:t xml:space="preserve"> </w:t>
      </w:r>
      <w:r w:rsidR="005C3C2E" w:rsidRPr="005C3C2E">
        <w:rPr>
          <w:b/>
          <w:color w:val="000000" w:themeColor="text1"/>
        </w:rPr>
        <w:t xml:space="preserve">   </w:t>
      </w:r>
    </w:p>
    <w:p w:rsidR="005013EE" w:rsidRPr="005C3C2E" w:rsidRDefault="005013EE" w:rsidP="00A371F5">
      <w:pPr>
        <w:jc w:val="center"/>
        <w:rPr>
          <w:b/>
          <w:color w:val="000000" w:themeColor="text1"/>
        </w:rPr>
      </w:pPr>
    </w:p>
    <w:p w:rsidR="005C3C2E" w:rsidRPr="005C3C2E" w:rsidRDefault="005C3C2E" w:rsidP="00A371F5">
      <w:pPr>
        <w:jc w:val="center"/>
        <w:rPr>
          <w:b/>
          <w:color w:val="000000" w:themeColor="text1"/>
        </w:rPr>
      </w:pPr>
      <w:r w:rsidRPr="005C3C2E">
        <w:rPr>
          <w:b/>
          <w:color w:val="000000" w:themeColor="text1"/>
        </w:rPr>
        <w:t>Issued by the Authority of the Minister for Finance and Deregulation</w:t>
      </w:r>
    </w:p>
    <w:p w:rsidR="005C3C2E" w:rsidRDefault="005C3C2E" w:rsidP="00A371F5">
      <w:pPr>
        <w:tabs>
          <w:tab w:val="left" w:pos="1701"/>
        </w:tabs>
        <w:ind w:right="91"/>
      </w:pPr>
    </w:p>
    <w:p w:rsidR="00B12B81" w:rsidRDefault="00741F92" w:rsidP="00A371F5">
      <w:pPr>
        <w:tabs>
          <w:tab w:val="left" w:pos="1701"/>
        </w:tabs>
        <w:ind w:right="91"/>
        <w:rPr>
          <w:i/>
        </w:rPr>
      </w:pPr>
      <w:r w:rsidRPr="000E39BF">
        <w:tab/>
      </w:r>
      <w:r w:rsidRPr="000E39BF">
        <w:rPr>
          <w:i/>
        </w:rPr>
        <w:t>Financial Management and Accountability Act 1997</w:t>
      </w:r>
    </w:p>
    <w:p w:rsidR="00B12B81" w:rsidRDefault="00B12B81" w:rsidP="00A371F5">
      <w:pPr>
        <w:tabs>
          <w:tab w:val="left" w:pos="1701"/>
        </w:tabs>
        <w:ind w:right="91"/>
      </w:pPr>
    </w:p>
    <w:p w:rsidR="00B12B81" w:rsidRDefault="00741F92" w:rsidP="00A371F5">
      <w:pPr>
        <w:tabs>
          <w:tab w:val="left" w:pos="1701"/>
        </w:tabs>
        <w:ind w:left="1695" w:right="91"/>
        <w:rPr>
          <w:i/>
        </w:rPr>
      </w:pPr>
      <w:r w:rsidRPr="000E39BF">
        <w:rPr>
          <w:i/>
        </w:rPr>
        <w:t xml:space="preserve">Financial Management and Accountability Amendment </w:t>
      </w:r>
    </w:p>
    <w:p w:rsidR="00B12B81" w:rsidRDefault="00766D01" w:rsidP="00A371F5">
      <w:pPr>
        <w:tabs>
          <w:tab w:val="left" w:pos="1701"/>
        </w:tabs>
        <w:ind w:left="1695" w:right="91"/>
        <w:rPr>
          <w:i/>
        </w:rPr>
      </w:pPr>
      <w:r>
        <w:rPr>
          <w:i/>
        </w:rPr>
        <w:t xml:space="preserve">Regulation 2013 </w:t>
      </w:r>
      <w:r w:rsidR="0027595A">
        <w:rPr>
          <w:i/>
        </w:rPr>
        <w:t>(No. 5</w:t>
      </w:r>
      <w:r w:rsidR="005C3C2E">
        <w:rPr>
          <w:i/>
          <w:szCs w:val="24"/>
        </w:rPr>
        <w:t>)</w:t>
      </w:r>
    </w:p>
    <w:p w:rsidR="00892ABB" w:rsidRDefault="00892ABB" w:rsidP="00A371F5">
      <w:pPr>
        <w:ind w:right="91"/>
      </w:pPr>
    </w:p>
    <w:p w:rsidR="00B12B81" w:rsidRDefault="00741F92" w:rsidP="00A371F5">
      <w:pPr>
        <w:ind w:right="91"/>
      </w:pPr>
      <w:r w:rsidRPr="000E39BF">
        <w:t xml:space="preserve">The </w:t>
      </w:r>
      <w:r w:rsidRPr="000E39BF">
        <w:rPr>
          <w:i/>
        </w:rPr>
        <w:t>Financial Management and Accountability Act 1997</w:t>
      </w:r>
      <w:r w:rsidRPr="000E39BF">
        <w:t xml:space="preserve"> (the FMA Act) </w:t>
      </w:r>
      <w:r w:rsidRPr="000E39BF">
        <w:rPr>
          <w:szCs w:val="24"/>
        </w:rPr>
        <w:t>provides a framework of rules for the proper management of public money and public property by Chief Executives and officials of FMA Act agencies.  The FMA Act applies to Commonwealth Departments of State and their staff, parliamentary departments and their staff, and prescribed agencies.</w:t>
      </w:r>
    </w:p>
    <w:p w:rsidR="005C3C2E" w:rsidRDefault="005C3C2E" w:rsidP="005F51A2">
      <w:pPr>
        <w:pStyle w:val="ParaNumbering"/>
        <w:tabs>
          <w:tab w:val="clear" w:pos="360"/>
          <w:tab w:val="clear" w:pos="567"/>
        </w:tabs>
        <w:spacing w:after="0" w:line="240" w:lineRule="auto"/>
        <w:ind w:right="-51"/>
        <w:rPr>
          <w:szCs w:val="24"/>
        </w:rPr>
      </w:pPr>
    </w:p>
    <w:p w:rsidR="005F51A2" w:rsidRDefault="00741F92" w:rsidP="005F51A2">
      <w:pPr>
        <w:pStyle w:val="ParaNumbering"/>
        <w:tabs>
          <w:tab w:val="clear" w:pos="360"/>
          <w:tab w:val="clear" w:pos="567"/>
        </w:tabs>
        <w:spacing w:after="0" w:line="240" w:lineRule="auto"/>
        <w:ind w:right="-51"/>
        <w:rPr>
          <w:szCs w:val="24"/>
        </w:rPr>
      </w:pPr>
      <w:r w:rsidRPr="000E39BF">
        <w:rPr>
          <w:szCs w:val="24"/>
        </w:rPr>
        <w:t>Subsection 65(1) of the FMA Act provides that the Governor-General may make regulations prescribing matters required or permitted by that Act to be prescribed, or necessary or convenient to be prescribed for carrying out or giving effect to that Act.</w:t>
      </w:r>
    </w:p>
    <w:p w:rsidR="009E2A6D" w:rsidRDefault="009E2A6D" w:rsidP="005F51A2">
      <w:pPr>
        <w:pStyle w:val="ParaNumbering"/>
        <w:tabs>
          <w:tab w:val="clear" w:pos="360"/>
          <w:tab w:val="clear" w:pos="567"/>
        </w:tabs>
        <w:spacing w:after="0" w:line="240" w:lineRule="auto"/>
        <w:ind w:right="-51"/>
        <w:rPr>
          <w:szCs w:val="24"/>
        </w:rPr>
      </w:pPr>
    </w:p>
    <w:p w:rsidR="000E0B9A" w:rsidRDefault="00D70A96">
      <w:r>
        <w:t xml:space="preserve">To respond to the High Court’s decision in </w:t>
      </w:r>
      <w:r w:rsidRPr="006431B3">
        <w:rPr>
          <w:i/>
        </w:rPr>
        <w:t>Williams v Commonwealth</w:t>
      </w:r>
      <w:r w:rsidR="00890006">
        <w:t xml:space="preserve"> (2012) 288 ALR 410</w:t>
      </w:r>
      <w:r>
        <w:t xml:space="preserve">, the </w:t>
      </w:r>
      <w:r w:rsidRPr="00B51575">
        <w:rPr>
          <w:i/>
        </w:rPr>
        <w:t>Financial Framework Legislation Amendment Act (No.</w:t>
      </w:r>
      <w:r>
        <w:rPr>
          <w:i/>
        </w:rPr>
        <w:t xml:space="preserve"> </w:t>
      </w:r>
      <w:r w:rsidRPr="00B51575">
        <w:rPr>
          <w:i/>
        </w:rPr>
        <w:t>3) 2012</w:t>
      </w:r>
      <w:r>
        <w:t xml:space="preserve"> established legislative authority in section 32B of the FMA Act for the Government to spend on the grants and programs listed in Schedule 1AA to the </w:t>
      </w:r>
      <w:r w:rsidR="0034095A" w:rsidRPr="0034095A">
        <w:rPr>
          <w:i/>
        </w:rPr>
        <w:t>Financial Management and Accountability Regulations 1997</w:t>
      </w:r>
      <w:r w:rsidR="0034095A">
        <w:t xml:space="preserve"> (the </w:t>
      </w:r>
      <w:r>
        <w:t>Principal Regulations</w:t>
      </w:r>
      <w:r w:rsidR="0034095A">
        <w:t>)</w:t>
      </w:r>
      <w:r>
        <w:t xml:space="preserve">. </w:t>
      </w:r>
    </w:p>
    <w:p w:rsidR="001F5852" w:rsidRDefault="001F5852"/>
    <w:p w:rsidR="00675385" w:rsidRDefault="001F5852">
      <w:pPr>
        <w:spacing w:after="120"/>
        <w:rPr>
          <w:color w:val="000000" w:themeColor="text1"/>
          <w:szCs w:val="24"/>
        </w:rPr>
      </w:pPr>
      <w:r>
        <w:rPr>
          <w:szCs w:val="24"/>
        </w:rPr>
        <w:t>Schedule 1 to t</w:t>
      </w:r>
      <w:r w:rsidRPr="00632DE3">
        <w:rPr>
          <w:szCs w:val="24"/>
        </w:rPr>
        <w:t>he Regulation amend</w:t>
      </w:r>
      <w:r>
        <w:rPr>
          <w:szCs w:val="24"/>
        </w:rPr>
        <w:t>s</w:t>
      </w:r>
      <w:r w:rsidRPr="00632DE3">
        <w:rPr>
          <w:color w:val="000000" w:themeColor="text1"/>
          <w:szCs w:val="24"/>
        </w:rPr>
        <w:t xml:space="preserve"> the Principal Regulations to </w:t>
      </w:r>
      <w:r>
        <w:rPr>
          <w:color w:val="000000" w:themeColor="text1"/>
          <w:szCs w:val="24"/>
        </w:rPr>
        <w:t>establish</w:t>
      </w:r>
      <w:r w:rsidRPr="00632DE3">
        <w:rPr>
          <w:color w:val="000000" w:themeColor="text1"/>
          <w:szCs w:val="24"/>
        </w:rPr>
        <w:t xml:space="preserve"> legislative authority </w:t>
      </w:r>
      <w:r>
        <w:rPr>
          <w:color w:val="000000" w:themeColor="text1"/>
          <w:szCs w:val="24"/>
        </w:rPr>
        <w:t xml:space="preserve">in Schedule 1AA for the Government to spend on a range of new or existing activities across </w:t>
      </w:r>
      <w:r w:rsidR="00776864">
        <w:rPr>
          <w:color w:val="000000" w:themeColor="text1"/>
          <w:szCs w:val="24"/>
        </w:rPr>
        <w:t xml:space="preserve">eight </w:t>
      </w:r>
      <w:r>
        <w:rPr>
          <w:color w:val="000000" w:themeColor="text1"/>
          <w:szCs w:val="24"/>
        </w:rPr>
        <w:t>portfolios</w:t>
      </w:r>
      <w:r w:rsidR="00776864">
        <w:rPr>
          <w:color w:val="000000" w:themeColor="text1"/>
          <w:szCs w:val="24"/>
        </w:rPr>
        <w:t>.  Many of these activities</w:t>
      </w:r>
      <w:r w:rsidR="00DA6C37">
        <w:rPr>
          <w:color w:val="000000" w:themeColor="text1"/>
          <w:szCs w:val="24"/>
        </w:rPr>
        <w:t xml:space="preserve"> were announced in the 2013</w:t>
      </w:r>
      <w:r w:rsidR="00DA6C37">
        <w:rPr>
          <w:color w:val="000000" w:themeColor="text1"/>
          <w:szCs w:val="24"/>
        </w:rPr>
        <w:noBreakHyphen/>
        <w:t>14 Budget.</w:t>
      </w:r>
      <w:r>
        <w:rPr>
          <w:color w:val="000000" w:themeColor="text1"/>
          <w:szCs w:val="24"/>
        </w:rPr>
        <w:t xml:space="preserve">  </w:t>
      </w:r>
      <w:r w:rsidR="001209E3">
        <w:rPr>
          <w:color w:val="000000" w:themeColor="text1"/>
          <w:szCs w:val="24"/>
        </w:rPr>
        <w:t>The spending activities are in the following portfolios:</w:t>
      </w:r>
    </w:p>
    <w:p w:rsidR="00705C97" w:rsidRDefault="001209E3" w:rsidP="00D93251">
      <w:pPr>
        <w:pStyle w:val="ListParagraph"/>
        <w:numPr>
          <w:ilvl w:val="0"/>
          <w:numId w:val="34"/>
        </w:numPr>
        <w:spacing w:after="120"/>
        <w:rPr>
          <w:color w:val="000000" w:themeColor="text1"/>
          <w:szCs w:val="24"/>
        </w:rPr>
      </w:pPr>
      <w:r w:rsidRPr="00C0720E">
        <w:rPr>
          <w:color w:val="000000" w:themeColor="text1"/>
          <w:szCs w:val="24"/>
        </w:rPr>
        <w:t>Agriculture, Fisheries and Forestry;</w:t>
      </w:r>
    </w:p>
    <w:p w:rsidR="00705C97" w:rsidRDefault="001209E3" w:rsidP="00D93251">
      <w:pPr>
        <w:pStyle w:val="ListParagraph"/>
        <w:numPr>
          <w:ilvl w:val="0"/>
          <w:numId w:val="34"/>
        </w:numPr>
        <w:spacing w:after="120"/>
        <w:rPr>
          <w:color w:val="000000" w:themeColor="text1"/>
          <w:szCs w:val="24"/>
        </w:rPr>
      </w:pPr>
      <w:r w:rsidRPr="00C0720E">
        <w:rPr>
          <w:color w:val="000000" w:themeColor="text1"/>
          <w:szCs w:val="24"/>
        </w:rPr>
        <w:t>Attorney-General’s;</w:t>
      </w:r>
    </w:p>
    <w:p w:rsidR="00705C97" w:rsidRDefault="001209E3" w:rsidP="00D93251">
      <w:pPr>
        <w:pStyle w:val="ListParagraph"/>
        <w:numPr>
          <w:ilvl w:val="0"/>
          <w:numId w:val="34"/>
        </w:numPr>
        <w:spacing w:after="120"/>
        <w:rPr>
          <w:color w:val="000000" w:themeColor="text1"/>
          <w:szCs w:val="24"/>
        </w:rPr>
      </w:pPr>
      <w:r w:rsidRPr="00C0720E">
        <w:rPr>
          <w:color w:val="000000" w:themeColor="text1"/>
          <w:szCs w:val="24"/>
        </w:rPr>
        <w:t>Broadband, Communications and the Digital Economy;</w:t>
      </w:r>
    </w:p>
    <w:p w:rsidR="00705C97" w:rsidRDefault="001209E3" w:rsidP="00D93251">
      <w:pPr>
        <w:pStyle w:val="ListParagraph"/>
        <w:numPr>
          <w:ilvl w:val="0"/>
          <w:numId w:val="34"/>
        </w:numPr>
        <w:spacing w:after="120"/>
        <w:rPr>
          <w:color w:val="000000" w:themeColor="text1"/>
          <w:szCs w:val="24"/>
        </w:rPr>
      </w:pPr>
      <w:r>
        <w:rPr>
          <w:color w:val="000000" w:themeColor="text1"/>
          <w:szCs w:val="24"/>
        </w:rPr>
        <w:t>Education</w:t>
      </w:r>
      <w:r w:rsidR="00197335">
        <w:rPr>
          <w:color w:val="000000" w:themeColor="text1"/>
          <w:szCs w:val="24"/>
        </w:rPr>
        <w:t>, Employment</w:t>
      </w:r>
      <w:r>
        <w:rPr>
          <w:color w:val="000000" w:themeColor="text1"/>
          <w:szCs w:val="24"/>
        </w:rPr>
        <w:t xml:space="preserve"> and Workplace Relations; </w:t>
      </w:r>
    </w:p>
    <w:p w:rsidR="00705C97" w:rsidRDefault="001209E3" w:rsidP="00D93251">
      <w:pPr>
        <w:pStyle w:val="ListParagraph"/>
        <w:numPr>
          <w:ilvl w:val="0"/>
          <w:numId w:val="34"/>
        </w:numPr>
        <w:spacing w:after="120"/>
        <w:rPr>
          <w:color w:val="000000" w:themeColor="text1"/>
          <w:szCs w:val="24"/>
        </w:rPr>
      </w:pPr>
      <w:r>
        <w:rPr>
          <w:color w:val="000000" w:themeColor="text1"/>
          <w:szCs w:val="24"/>
        </w:rPr>
        <w:t>Families, Housing, Community Services and Indigenous Affairs;</w:t>
      </w:r>
    </w:p>
    <w:p w:rsidR="00705C97" w:rsidRDefault="001209E3" w:rsidP="00D93251">
      <w:pPr>
        <w:pStyle w:val="ListParagraph"/>
        <w:numPr>
          <w:ilvl w:val="0"/>
          <w:numId w:val="34"/>
        </w:numPr>
        <w:spacing w:after="120"/>
        <w:rPr>
          <w:color w:val="000000" w:themeColor="text1"/>
          <w:szCs w:val="24"/>
        </w:rPr>
      </w:pPr>
      <w:r>
        <w:rPr>
          <w:color w:val="000000" w:themeColor="text1"/>
          <w:szCs w:val="24"/>
        </w:rPr>
        <w:t>Health and Ageing;</w:t>
      </w:r>
    </w:p>
    <w:p w:rsidR="00705C97" w:rsidRDefault="001209E3" w:rsidP="00D93251">
      <w:pPr>
        <w:pStyle w:val="ListParagraph"/>
        <w:numPr>
          <w:ilvl w:val="0"/>
          <w:numId w:val="34"/>
        </w:numPr>
        <w:spacing w:after="120"/>
        <w:rPr>
          <w:color w:val="000000" w:themeColor="text1"/>
          <w:szCs w:val="24"/>
        </w:rPr>
      </w:pPr>
      <w:r>
        <w:rPr>
          <w:color w:val="000000" w:themeColor="text1"/>
          <w:szCs w:val="24"/>
        </w:rPr>
        <w:t xml:space="preserve">Industry, Innovation, Climate Change, </w:t>
      </w:r>
      <w:r w:rsidR="00585138">
        <w:rPr>
          <w:color w:val="000000" w:themeColor="text1"/>
          <w:szCs w:val="24"/>
        </w:rPr>
        <w:t>Science, Research</w:t>
      </w:r>
      <w:r>
        <w:rPr>
          <w:color w:val="000000" w:themeColor="text1"/>
          <w:szCs w:val="24"/>
        </w:rPr>
        <w:t xml:space="preserve"> and Tertiary Education; and</w:t>
      </w:r>
    </w:p>
    <w:p w:rsidR="00705C97" w:rsidRDefault="001209E3" w:rsidP="00D93251">
      <w:pPr>
        <w:pStyle w:val="ListParagraph"/>
        <w:numPr>
          <w:ilvl w:val="0"/>
          <w:numId w:val="34"/>
        </w:numPr>
        <w:spacing w:after="0"/>
        <w:rPr>
          <w:color w:val="000000" w:themeColor="text1"/>
          <w:szCs w:val="24"/>
        </w:rPr>
      </w:pPr>
      <w:r>
        <w:rPr>
          <w:color w:val="000000" w:themeColor="text1"/>
          <w:szCs w:val="24"/>
        </w:rPr>
        <w:t>Sustainability, Environment, Water, Population and Communities.</w:t>
      </w:r>
    </w:p>
    <w:p w:rsidR="00705C97" w:rsidRDefault="00705C97">
      <w:pPr>
        <w:spacing w:after="120"/>
        <w:contextualSpacing/>
        <w:rPr>
          <w:color w:val="000000" w:themeColor="text1"/>
          <w:szCs w:val="24"/>
        </w:rPr>
      </w:pPr>
    </w:p>
    <w:p w:rsidR="00723C1F" w:rsidRPr="00504D01" w:rsidRDefault="00246150">
      <w:pPr>
        <w:spacing w:after="120"/>
        <w:contextualSpacing/>
        <w:rPr>
          <w:color w:val="000000" w:themeColor="text1"/>
          <w:szCs w:val="24"/>
        </w:rPr>
      </w:pPr>
      <w:r w:rsidRPr="00504D01">
        <w:rPr>
          <w:szCs w:val="24"/>
        </w:rPr>
        <w:t xml:space="preserve">Section 5 of the FMA Act provides that, for the purposes of the FMA Act, a prescribed agency means a body, organisation or group of persons prescribed by the regulations for the purposes of that definition.  Agencies are prescribed in Schedule 1 to the </w:t>
      </w:r>
      <w:r w:rsidRPr="00504D01">
        <w:rPr>
          <w:color w:val="000000" w:themeColor="text1"/>
          <w:szCs w:val="24"/>
        </w:rPr>
        <w:t xml:space="preserve">Principal Regulations.  </w:t>
      </w:r>
    </w:p>
    <w:p w:rsidR="00723C1F" w:rsidRPr="00723C1F" w:rsidRDefault="00723C1F">
      <w:pPr>
        <w:spacing w:after="120"/>
        <w:contextualSpacing/>
        <w:rPr>
          <w:color w:val="000000" w:themeColor="text1"/>
          <w:szCs w:val="24"/>
          <w:highlight w:val="yellow"/>
        </w:rPr>
      </w:pPr>
    </w:p>
    <w:p w:rsidR="00723C1F" w:rsidRDefault="00246150">
      <w:pPr>
        <w:spacing w:after="120"/>
        <w:contextualSpacing/>
        <w:rPr>
          <w:szCs w:val="24"/>
        </w:rPr>
      </w:pPr>
      <w:r w:rsidRPr="00504D01">
        <w:rPr>
          <w:szCs w:val="24"/>
        </w:rPr>
        <w:t xml:space="preserve">Schedule 2 to the </w:t>
      </w:r>
      <w:r w:rsidRPr="00504D01">
        <w:rPr>
          <w:color w:val="000000" w:themeColor="text1"/>
          <w:szCs w:val="24"/>
        </w:rPr>
        <w:t xml:space="preserve">Regulation amends Schedule 1 to the Principal Regulations to prescribe a new agency for the purposes of the FMA Act.  The agency is the Asbestos Safety and Eradication Agency which was established by the </w:t>
      </w:r>
      <w:r w:rsidRPr="00504D01">
        <w:rPr>
          <w:i/>
          <w:color w:val="000000" w:themeColor="text1"/>
          <w:szCs w:val="24"/>
        </w:rPr>
        <w:t xml:space="preserve">Asbestos Safety and Eradication Agency </w:t>
      </w:r>
      <w:r w:rsidRPr="00504D01">
        <w:rPr>
          <w:i/>
          <w:color w:val="000000" w:themeColor="text1"/>
          <w:szCs w:val="24"/>
        </w:rPr>
        <w:lastRenderedPageBreak/>
        <w:t>Act 2013</w:t>
      </w:r>
      <w:r w:rsidRPr="00504D01">
        <w:rPr>
          <w:color w:val="000000" w:themeColor="text1"/>
          <w:szCs w:val="24"/>
        </w:rPr>
        <w:t xml:space="preserve"> from 1 July 2013.  The Asbestos Safety and Eradication Agency will administer the </w:t>
      </w:r>
      <w:r w:rsidRPr="00504D01">
        <w:rPr>
          <w:szCs w:val="24"/>
        </w:rPr>
        <w:t xml:space="preserve">national strategic plan to improve asbestos management and awareness in Australia.  </w:t>
      </w:r>
    </w:p>
    <w:p w:rsidR="00723C1F" w:rsidRDefault="00723C1F">
      <w:pPr>
        <w:spacing w:after="120"/>
        <w:contextualSpacing/>
        <w:rPr>
          <w:color w:val="000000" w:themeColor="text1"/>
          <w:szCs w:val="24"/>
        </w:rPr>
      </w:pPr>
    </w:p>
    <w:p w:rsidR="000E0B9A" w:rsidRDefault="00741F92" w:rsidP="00A371F5">
      <w:pPr>
        <w:rPr>
          <w:color w:val="000000" w:themeColor="text1"/>
          <w:szCs w:val="24"/>
        </w:rPr>
      </w:pPr>
      <w:r w:rsidRPr="000E39BF">
        <w:rPr>
          <w:color w:val="000000" w:themeColor="text1"/>
          <w:szCs w:val="24"/>
        </w:rPr>
        <w:t xml:space="preserve">Details of the Regulation are set out in the </w:t>
      </w:r>
      <w:r w:rsidRPr="000E39BF">
        <w:rPr>
          <w:color w:val="000000" w:themeColor="text1"/>
          <w:szCs w:val="24"/>
          <w:u w:val="single"/>
        </w:rPr>
        <w:t>Attachment</w:t>
      </w:r>
      <w:r w:rsidRPr="000E39BF">
        <w:rPr>
          <w:color w:val="000000" w:themeColor="text1"/>
          <w:szCs w:val="24"/>
        </w:rPr>
        <w:t>.</w:t>
      </w:r>
    </w:p>
    <w:p w:rsidR="005C7253" w:rsidRDefault="005C7253" w:rsidP="0060046F">
      <w:pPr>
        <w:pStyle w:val="ParaNumbering"/>
        <w:tabs>
          <w:tab w:val="clear" w:pos="360"/>
          <w:tab w:val="clear" w:pos="567"/>
        </w:tabs>
        <w:spacing w:after="0" w:line="240" w:lineRule="auto"/>
        <w:rPr>
          <w:color w:val="000000" w:themeColor="text1"/>
        </w:rPr>
      </w:pPr>
    </w:p>
    <w:p w:rsidR="00741F92" w:rsidRDefault="00706F2A" w:rsidP="0060046F">
      <w:pPr>
        <w:pStyle w:val="ParaNumbering"/>
        <w:tabs>
          <w:tab w:val="clear" w:pos="360"/>
          <w:tab w:val="clear" w:pos="567"/>
        </w:tabs>
        <w:spacing w:after="0" w:line="240" w:lineRule="auto"/>
        <w:rPr>
          <w:i/>
          <w:color w:val="000000" w:themeColor="text1"/>
        </w:rPr>
      </w:pPr>
      <w:r w:rsidRPr="00706F2A">
        <w:rPr>
          <w:color w:val="000000" w:themeColor="text1"/>
        </w:rPr>
        <w:t xml:space="preserve">The Regulation </w:t>
      </w:r>
      <w:r w:rsidR="00D62449" w:rsidRPr="003C7301">
        <w:rPr>
          <w:color w:val="000000" w:themeColor="text1"/>
          <w:szCs w:val="24"/>
        </w:rPr>
        <w:t>is</w:t>
      </w:r>
      <w:r w:rsidRPr="00706F2A">
        <w:rPr>
          <w:color w:val="000000" w:themeColor="text1"/>
        </w:rPr>
        <w:t xml:space="preserve"> a legislative instrument for the purposes of the</w:t>
      </w:r>
      <w:r w:rsidRPr="00706F2A">
        <w:rPr>
          <w:i/>
          <w:color w:val="000000" w:themeColor="text1"/>
        </w:rPr>
        <w:t xml:space="preserve"> Legislative Instruments Act</w:t>
      </w:r>
      <w:r w:rsidR="009D5067">
        <w:rPr>
          <w:i/>
          <w:color w:val="000000" w:themeColor="text1"/>
        </w:rPr>
        <w:t> </w:t>
      </w:r>
      <w:r w:rsidRPr="00706F2A">
        <w:rPr>
          <w:i/>
          <w:color w:val="000000" w:themeColor="text1"/>
        </w:rPr>
        <w:t>2003.</w:t>
      </w:r>
      <w:r w:rsidR="005C7253">
        <w:rPr>
          <w:i/>
          <w:color w:val="000000" w:themeColor="text1"/>
        </w:rPr>
        <w:t xml:space="preserve"> </w:t>
      </w:r>
    </w:p>
    <w:p w:rsidR="009E2A6D" w:rsidRDefault="009E2A6D" w:rsidP="0060046F">
      <w:pPr>
        <w:pStyle w:val="ParaNumbering"/>
        <w:tabs>
          <w:tab w:val="clear" w:pos="360"/>
          <w:tab w:val="clear" w:pos="567"/>
        </w:tabs>
        <w:spacing w:after="0" w:line="240" w:lineRule="auto"/>
        <w:rPr>
          <w:i/>
          <w:color w:val="000000" w:themeColor="text1"/>
        </w:rPr>
      </w:pPr>
    </w:p>
    <w:p w:rsidR="000E0B9A" w:rsidRDefault="00246150">
      <w:pPr>
        <w:rPr>
          <w:color w:val="000000" w:themeColor="text1"/>
          <w:szCs w:val="24"/>
        </w:rPr>
      </w:pPr>
      <w:r w:rsidRPr="00504D01">
        <w:rPr>
          <w:color w:val="000000" w:themeColor="text1"/>
          <w:szCs w:val="24"/>
        </w:rPr>
        <w:t>Schedule 1 to the Regulation commences on the day after registration on the Federal Register of Legislative Instruments.  Schedule 2 to the Regulation commences on 1 August 2013.</w:t>
      </w:r>
    </w:p>
    <w:p w:rsidR="001F5852" w:rsidRDefault="001F5852">
      <w:pPr>
        <w:rPr>
          <w:color w:val="000000" w:themeColor="text1"/>
          <w:szCs w:val="24"/>
        </w:rPr>
      </w:pPr>
    </w:p>
    <w:p w:rsidR="00675385" w:rsidRDefault="00D62449">
      <w:pPr>
        <w:spacing w:after="120"/>
        <w:ind w:right="510"/>
        <w:rPr>
          <w:b/>
          <w:bCs/>
          <w:szCs w:val="24"/>
        </w:rPr>
      </w:pPr>
      <w:r w:rsidRPr="003C7301">
        <w:rPr>
          <w:b/>
          <w:bCs/>
          <w:szCs w:val="24"/>
        </w:rPr>
        <w:t>Consultation</w:t>
      </w:r>
    </w:p>
    <w:p w:rsidR="000E0B9A" w:rsidRDefault="00D62449">
      <w:pPr>
        <w:rPr>
          <w:color w:val="000000" w:themeColor="text1"/>
          <w:szCs w:val="24"/>
        </w:rPr>
      </w:pPr>
      <w:r w:rsidRPr="003C7301">
        <w:rPr>
          <w:color w:val="000000" w:themeColor="text1"/>
          <w:szCs w:val="24"/>
        </w:rPr>
        <w:t xml:space="preserve">In accordance with section 17 of the </w:t>
      </w:r>
      <w:r w:rsidRPr="003C7301">
        <w:rPr>
          <w:i/>
          <w:iCs/>
          <w:color w:val="000000" w:themeColor="text1"/>
          <w:szCs w:val="24"/>
        </w:rPr>
        <w:t>Legislative Instruments Act 2003</w:t>
      </w:r>
      <w:r w:rsidRPr="003C7301">
        <w:rPr>
          <w:color w:val="000000" w:themeColor="text1"/>
          <w:szCs w:val="24"/>
        </w:rPr>
        <w:t xml:space="preserve">, consultation has taken place with </w:t>
      </w:r>
      <w:r w:rsidR="00776864">
        <w:rPr>
          <w:color w:val="000000" w:themeColor="text1"/>
          <w:szCs w:val="24"/>
        </w:rPr>
        <w:t xml:space="preserve">the </w:t>
      </w:r>
      <w:r>
        <w:rPr>
          <w:color w:val="000000" w:themeColor="text1"/>
          <w:szCs w:val="24"/>
        </w:rPr>
        <w:t>relevant Departments</w:t>
      </w:r>
      <w:r w:rsidR="005C7253">
        <w:rPr>
          <w:color w:val="000000" w:themeColor="text1"/>
          <w:szCs w:val="24"/>
        </w:rPr>
        <w:t>.</w:t>
      </w:r>
      <w:r>
        <w:rPr>
          <w:color w:val="000000" w:themeColor="text1"/>
          <w:szCs w:val="24"/>
        </w:rPr>
        <w:t xml:space="preserve">  </w:t>
      </w:r>
      <w:r w:rsidRPr="003C7301">
        <w:rPr>
          <w:color w:val="000000" w:themeColor="text1"/>
          <w:szCs w:val="24"/>
        </w:rPr>
        <w:t>The Australian Government Solicitor also p</w:t>
      </w:r>
      <w:r>
        <w:rPr>
          <w:color w:val="000000" w:themeColor="text1"/>
          <w:szCs w:val="24"/>
        </w:rPr>
        <w:t>rovided advice on the amendments</w:t>
      </w:r>
      <w:r w:rsidRPr="003C7301">
        <w:rPr>
          <w:color w:val="000000" w:themeColor="text1"/>
          <w:szCs w:val="24"/>
        </w:rPr>
        <w:t xml:space="preserve"> to Schedule</w:t>
      </w:r>
      <w:r>
        <w:rPr>
          <w:color w:val="000000" w:themeColor="text1"/>
          <w:szCs w:val="24"/>
        </w:rPr>
        <w:t> </w:t>
      </w:r>
      <w:r w:rsidRPr="003C7301">
        <w:rPr>
          <w:color w:val="000000" w:themeColor="text1"/>
          <w:szCs w:val="24"/>
        </w:rPr>
        <w:t xml:space="preserve">1AA </w:t>
      </w:r>
      <w:r w:rsidR="005C7253">
        <w:rPr>
          <w:color w:val="000000" w:themeColor="text1"/>
          <w:szCs w:val="24"/>
        </w:rPr>
        <w:t>to</w:t>
      </w:r>
      <w:r w:rsidRPr="003C7301">
        <w:rPr>
          <w:color w:val="000000" w:themeColor="text1"/>
          <w:szCs w:val="24"/>
        </w:rPr>
        <w:t xml:space="preserve"> the </w:t>
      </w:r>
      <w:r>
        <w:rPr>
          <w:color w:val="000000" w:themeColor="text1"/>
          <w:szCs w:val="24"/>
        </w:rPr>
        <w:t xml:space="preserve">Principal </w:t>
      </w:r>
      <w:r w:rsidRPr="003C7301">
        <w:rPr>
          <w:color w:val="000000" w:themeColor="text1"/>
          <w:szCs w:val="24"/>
        </w:rPr>
        <w:t>Regulation</w:t>
      </w:r>
      <w:r>
        <w:rPr>
          <w:color w:val="000000" w:themeColor="text1"/>
          <w:szCs w:val="24"/>
        </w:rPr>
        <w:t>s</w:t>
      </w:r>
      <w:r w:rsidRPr="003C7301">
        <w:rPr>
          <w:color w:val="000000" w:themeColor="text1"/>
          <w:szCs w:val="24"/>
        </w:rPr>
        <w:t>.</w:t>
      </w:r>
    </w:p>
    <w:p w:rsidR="000E0B9A" w:rsidRDefault="000E0B9A">
      <w:pPr>
        <w:rPr>
          <w:color w:val="000000" w:themeColor="text1"/>
          <w:szCs w:val="24"/>
        </w:rPr>
      </w:pPr>
    </w:p>
    <w:p w:rsidR="000E0B9A" w:rsidRDefault="00D62449">
      <w:pPr>
        <w:pStyle w:val="ParaNumbering"/>
        <w:tabs>
          <w:tab w:val="clear" w:pos="360"/>
          <w:tab w:val="clear" w:pos="567"/>
        </w:tabs>
        <w:spacing w:after="0" w:line="240" w:lineRule="auto"/>
        <w:rPr>
          <w:iCs/>
          <w:szCs w:val="24"/>
        </w:rPr>
      </w:pPr>
      <w:r w:rsidRPr="003C7301">
        <w:rPr>
          <w:iCs/>
          <w:szCs w:val="24"/>
        </w:rPr>
        <w:t>A regulation impact statement is not required as the Regulation only applies to FMA</w:t>
      </w:r>
      <w:r>
        <w:rPr>
          <w:iCs/>
          <w:szCs w:val="24"/>
        </w:rPr>
        <w:t> </w:t>
      </w:r>
      <w:r w:rsidRPr="003C7301">
        <w:rPr>
          <w:iCs/>
          <w:szCs w:val="24"/>
        </w:rPr>
        <w:t xml:space="preserve">Act Agencies, and does not </w:t>
      </w:r>
      <w:r>
        <w:rPr>
          <w:iCs/>
          <w:szCs w:val="24"/>
        </w:rPr>
        <w:t xml:space="preserve">adversely </w:t>
      </w:r>
      <w:r w:rsidRPr="003C7301">
        <w:rPr>
          <w:iCs/>
          <w:szCs w:val="24"/>
        </w:rPr>
        <w:t>affect the private sector.</w:t>
      </w:r>
    </w:p>
    <w:p w:rsidR="000E0B9A" w:rsidRDefault="000E0B9A">
      <w:pPr>
        <w:pStyle w:val="ParaNumbering"/>
        <w:tabs>
          <w:tab w:val="clear" w:pos="360"/>
          <w:tab w:val="clear" w:pos="567"/>
        </w:tabs>
        <w:spacing w:after="0" w:line="240" w:lineRule="auto"/>
        <w:rPr>
          <w:iCs/>
          <w:szCs w:val="24"/>
        </w:rPr>
      </w:pPr>
    </w:p>
    <w:p w:rsidR="00675385" w:rsidRDefault="00D62449">
      <w:pPr>
        <w:keepNext/>
        <w:spacing w:after="120"/>
        <w:ind w:right="510"/>
        <w:rPr>
          <w:b/>
          <w:bCs/>
          <w:szCs w:val="24"/>
        </w:rPr>
      </w:pPr>
      <w:r w:rsidRPr="003C7301">
        <w:rPr>
          <w:b/>
          <w:bCs/>
          <w:szCs w:val="24"/>
        </w:rPr>
        <w:t>Statement of Compatibility with Human Rights</w:t>
      </w:r>
    </w:p>
    <w:p w:rsidR="000E0B9A" w:rsidRDefault="00D62449">
      <w:pPr>
        <w:tabs>
          <w:tab w:val="left" w:pos="0"/>
        </w:tabs>
        <w:rPr>
          <w:color w:val="000000" w:themeColor="text1"/>
          <w:szCs w:val="24"/>
        </w:rPr>
      </w:pPr>
      <w:r w:rsidRPr="003C7301">
        <w:rPr>
          <w:color w:val="000000" w:themeColor="text1"/>
          <w:szCs w:val="24"/>
        </w:rPr>
        <w:t>The Regulation is compatible with the human rights and freedoms recognised or declared</w:t>
      </w:r>
      <w:r w:rsidR="00706F2A" w:rsidRPr="00706F2A">
        <w:rPr>
          <w:color w:val="000000" w:themeColor="text1"/>
        </w:rPr>
        <w:t xml:space="preserve"> in the</w:t>
      </w:r>
      <w:r w:rsidR="005C7253">
        <w:rPr>
          <w:color w:val="000000" w:themeColor="text1"/>
        </w:rPr>
        <w:t xml:space="preserve"> </w:t>
      </w:r>
      <w:r w:rsidRPr="003C7301">
        <w:rPr>
          <w:color w:val="000000" w:themeColor="text1"/>
          <w:szCs w:val="24"/>
        </w:rPr>
        <w:t>international instruments listed in section 3 of the</w:t>
      </w:r>
      <w:r w:rsidRPr="003C7301">
        <w:rPr>
          <w:i/>
          <w:iCs/>
          <w:color w:val="000000" w:themeColor="text1"/>
          <w:szCs w:val="24"/>
        </w:rPr>
        <w:t xml:space="preserve"> Human Rights (Parliamentary Scrutiny) Act 2011</w:t>
      </w:r>
      <w:r w:rsidRPr="003C7301">
        <w:rPr>
          <w:color w:val="000000" w:themeColor="text1"/>
          <w:szCs w:val="24"/>
        </w:rPr>
        <w:t xml:space="preserve">. </w:t>
      </w:r>
    </w:p>
    <w:p w:rsidR="000E0B9A" w:rsidRDefault="000E0B9A">
      <w:pPr>
        <w:tabs>
          <w:tab w:val="left" w:pos="0"/>
        </w:tabs>
        <w:rPr>
          <w:color w:val="000000" w:themeColor="text1"/>
          <w:szCs w:val="24"/>
        </w:rPr>
      </w:pPr>
    </w:p>
    <w:p w:rsidR="000E0B9A" w:rsidRDefault="00346E7F">
      <w:pPr>
        <w:tabs>
          <w:tab w:val="left" w:pos="0"/>
        </w:tabs>
        <w:rPr>
          <w:color w:val="000000" w:themeColor="text1"/>
          <w:szCs w:val="24"/>
        </w:rPr>
      </w:pPr>
      <w:r>
        <w:rPr>
          <w:color w:val="000000" w:themeColor="text1"/>
          <w:szCs w:val="24"/>
        </w:rPr>
        <w:t xml:space="preserve">The Regulation </w:t>
      </w:r>
      <w:r w:rsidR="00670426">
        <w:rPr>
          <w:color w:val="000000" w:themeColor="text1"/>
          <w:szCs w:val="24"/>
        </w:rPr>
        <w:t>amends Schedule 1AA to the Principal Regulations to establish</w:t>
      </w:r>
      <w:r>
        <w:rPr>
          <w:color w:val="000000" w:themeColor="text1"/>
          <w:szCs w:val="24"/>
        </w:rPr>
        <w:t xml:space="preserve"> legislative authority for Government spending on a number of </w:t>
      </w:r>
      <w:r w:rsidR="00776864">
        <w:rPr>
          <w:color w:val="000000" w:themeColor="text1"/>
          <w:szCs w:val="24"/>
        </w:rPr>
        <w:t xml:space="preserve">activities, including </w:t>
      </w:r>
      <w:r w:rsidR="00670426">
        <w:rPr>
          <w:color w:val="000000" w:themeColor="text1"/>
          <w:szCs w:val="24"/>
        </w:rPr>
        <w:t>measures</w:t>
      </w:r>
      <w:r w:rsidR="00DA6C37">
        <w:rPr>
          <w:color w:val="000000" w:themeColor="text1"/>
          <w:szCs w:val="24"/>
        </w:rPr>
        <w:t xml:space="preserve"> announced in the 2013</w:t>
      </w:r>
      <w:r w:rsidR="00DA6C37">
        <w:rPr>
          <w:color w:val="000000" w:themeColor="text1"/>
          <w:szCs w:val="24"/>
        </w:rPr>
        <w:noBreakHyphen/>
        <w:t>14 </w:t>
      </w:r>
      <w:r>
        <w:rPr>
          <w:color w:val="000000" w:themeColor="text1"/>
          <w:szCs w:val="24"/>
        </w:rPr>
        <w:t>Budget.</w:t>
      </w:r>
      <w:r w:rsidR="00670426">
        <w:rPr>
          <w:color w:val="000000" w:themeColor="text1"/>
          <w:szCs w:val="24"/>
        </w:rPr>
        <w:t xml:space="preserve">  This is in response to the High Court’s decision in </w:t>
      </w:r>
      <w:r w:rsidR="0078560C">
        <w:rPr>
          <w:i/>
          <w:color w:val="000000" w:themeColor="text1"/>
          <w:szCs w:val="24"/>
        </w:rPr>
        <w:t>Williams </w:t>
      </w:r>
      <w:r w:rsidR="00BD4717" w:rsidRPr="00BD4717">
        <w:rPr>
          <w:i/>
          <w:color w:val="000000" w:themeColor="text1"/>
          <w:szCs w:val="24"/>
        </w:rPr>
        <w:t>v</w:t>
      </w:r>
      <w:r w:rsidR="0078560C">
        <w:rPr>
          <w:color w:val="000000" w:themeColor="text1"/>
          <w:szCs w:val="24"/>
        </w:rPr>
        <w:t> </w:t>
      </w:r>
      <w:r w:rsidR="00BD4717" w:rsidRPr="00BD4717">
        <w:rPr>
          <w:i/>
          <w:color w:val="000000" w:themeColor="text1"/>
          <w:szCs w:val="24"/>
        </w:rPr>
        <w:t>Commonwealth</w:t>
      </w:r>
      <w:r w:rsidR="00670426">
        <w:rPr>
          <w:color w:val="000000" w:themeColor="text1"/>
          <w:szCs w:val="24"/>
        </w:rPr>
        <w:t xml:space="preserve"> in June 2012.</w:t>
      </w:r>
    </w:p>
    <w:p w:rsidR="000E0B9A" w:rsidRDefault="000E0B9A">
      <w:pPr>
        <w:tabs>
          <w:tab w:val="left" w:pos="0"/>
        </w:tabs>
        <w:rPr>
          <w:color w:val="000000" w:themeColor="text1"/>
          <w:szCs w:val="24"/>
        </w:rPr>
      </w:pPr>
    </w:p>
    <w:p w:rsidR="000E0B9A" w:rsidRDefault="00380CA4">
      <w:pPr>
        <w:tabs>
          <w:tab w:val="left" w:pos="0"/>
        </w:tabs>
        <w:rPr>
          <w:color w:val="000000" w:themeColor="text1"/>
          <w:szCs w:val="24"/>
        </w:rPr>
      </w:pPr>
      <w:r>
        <w:rPr>
          <w:color w:val="000000" w:themeColor="text1"/>
          <w:szCs w:val="24"/>
        </w:rPr>
        <w:t>The spending activities specified in Schedule 1AA are the responsibility of the relevant Minister</w:t>
      </w:r>
      <w:r w:rsidR="0001211F">
        <w:rPr>
          <w:color w:val="000000" w:themeColor="text1"/>
          <w:szCs w:val="24"/>
        </w:rPr>
        <w:t>s who have</w:t>
      </w:r>
      <w:r>
        <w:rPr>
          <w:color w:val="000000" w:themeColor="text1"/>
          <w:szCs w:val="24"/>
        </w:rPr>
        <w:t xml:space="preserve"> portfolio responsibility for those matters.</w:t>
      </w:r>
    </w:p>
    <w:p w:rsidR="000E0B9A" w:rsidRDefault="000E0B9A">
      <w:pPr>
        <w:tabs>
          <w:tab w:val="left" w:pos="0"/>
        </w:tabs>
        <w:rPr>
          <w:color w:val="000000" w:themeColor="text1"/>
          <w:szCs w:val="24"/>
        </w:rPr>
      </w:pPr>
    </w:p>
    <w:p w:rsidR="00723C1F" w:rsidRDefault="00723C1F" w:rsidP="00723C1F">
      <w:pPr>
        <w:tabs>
          <w:tab w:val="left" w:pos="0"/>
        </w:tabs>
        <w:rPr>
          <w:color w:val="000000" w:themeColor="text1"/>
          <w:szCs w:val="24"/>
        </w:rPr>
      </w:pPr>
      <w:r>
        <w:rPr>
          <w:color w:val="000000" w:themeColor="text1"/>
          <w:szCs w:val="24"/>
        </w:rPr>
        <w:t xml:space="preserve">Schedule 1 to the Principal Regulations prescribes agencies for the purposes of the FMA Act.  </w:t>
      </w:r>
    </w:p>
    <w:p w:rsidR="00504D01" w:rsidRDefault="00504D01" w:rsidP="00723C1F">
      <w:pPr>
        <w:tabs>
          <w:tab w:val="left" w:pos="0"/>
        </w:tabs>
        <w:rPr>
          <w:color w:val="000000" w:themeColor="text1"/>
          <w:szCs w:val="24"/>
        </w:rPr>
      </w:pPr>
    </w:p>
    <w:p w:rsidR="00723C1F" w:rsidRDefault="00723C1F" w:rsidP="00723C1F">
      <w:pPr>
        <w:tabs>
          <w:tab w:val="left" w:pos="0"/>
        </w:tabs>
        <w:rPr>
          <w:color w:val="000000" w:themeColor="text1"/>
          <w:szCs w:val="24"/>
        </w:rPr>
      </w:pPr>
      <w:r>
        <w:rPr>
          <w:color w:val="000000" w:themeColor="text1"/>
          <w:szCs w:val="24"/>
        </w:rPr>
        <w:t xml:space="preserve">The Regulation adds the </w:t>
      </w:r>
      <w:r w:rsidR="00776864">
        <w:rPr>
          <w:color w:val="000000" w:themeColor="text1"/>
          <w:szCs w:val="24"/>
        </w:rPr>
        <w:t xml:space="preserve">Asbestos Safety and Eradication Agency as </w:t>
      </w:r>
      <w:r>
        <w:rPr>
          <w:color w:val="000000" w:themeColor="text1"/>
          <w:szCs w:val="24"/>
        </w:rPr>
        <w:t xml:space="preserve">a prescribed agency in Schedule 1 to the Principal Regulations.  </w:t>
      </w:r>
      <w:r w:rsidR="00776864">
        <w:rPr>
          <w:color w:val="000000" w:themeColor="text1"/>
          <w:szCs w:val="24"/>
        </w:rPr>
        <w:t xml:space="preserve">This agency </w:t>
      </w:r>
      <w:r>
        <w:rPr>
          <w:color w:val="000000" w:themeColor="text1"/>
          <w:szCs w:val="24"/>
        </w:rPr>
        <w:t xml:space="preserve">will be subject to the requirements of the FMA Act.  </w:t>
      </w:r>
      <w:r w:rsidR="00776864">
        <w:rPr>
          <w:color w:val="000000" w:themeColor="text1"/>
          <w:szCs w:val="24"/>
        </w:rPr>
        <w:t>The agency is</w:t>
      </w:r>
      <w:r>
        <w:rPr>
          <w:color w:val="000000" w:themeColor="text1"/>
          <w:szCs w:val="24"/>
        </w:rPr>
        <w:t xml:space="preserve"> </w:t>
      </w:r>
      <w:r w:rsidR="00576528">
        <w:rPr>
          <w:color w:val="000000" w:themeColor="text1"/>
          <w:szCs w:val="24"/>
        </w:rPr>
        <w:t xml:space="preserve">in </w:t>
      </w:r>
      <w:r>
        <w:rPr>
          <w:color w:val="000000" w:themeColor="text1"/>
          <w:szCs w:val="24"/>
        </w:rPr>
        <w:t xml:space="preserve">the </w:t>
      </w:r>
      <w:r w:rsidR="00576528">
        <w:rPr>
          <w:color w:val="000000" w:themeColor="text1"/>
          <w:szCs w:val="24"/>
        </w:rPr>
        <w:t>Education, Employment and Workplace Relations</w:t>
      </w:r>
      <w:r w:rsidR="00776864">
        <w:rPr>
          <w:color w:val="000000" w:themeColor="text1"/>
          <w:szCs w:val="24"/>
        </w:rPr>
        <w:t xml:space="preserve"> </w:t>
      </w:r>
      <w:r>
        <w:rPr>
          <w:color w:val="000000" w:themeColor="text1"/>
          <w:szCs w:val="24"/>
        </w:rPr>
        <w:t>portfolio.</w:t>
      </w:r>
    </w:p>
    <w:p w:rsidR="00723C1F" w:rsidRDefault="00723C1F">
      <w:pPr>
        <w:tabs>
          <w:tab w:val="left" w:pos="0"/>
        </w:tabs>
        <w:rPr>
          <w:color w:val="000000" w:themeColor="text1"/>
          <w:szCs w:val="24"/>
        </w:rPr>
      </w:pPr>
    </w:p>
    <w:p w:rsidR="0001211F" w:rsidRDefault="0001211F" w:rsidP="00A371F5">
      <w:pPr>
        <w:tabs>
          <w:tab w:val="left" w:pos="0"/>
        </w:tabs>
        <w:rPr>
          <w:color w:val="000000" w:themeColor="text1"/>
          <w:szCs w:val="24"/>
        </w:rPr>
      </w:pPr>
      <w:r w:rsidRPr="003C7301">
        <w:rPr>
          <w:color w:val="000000" w:themeColor="text1"/>
          <w:szCs w:val="24"/>
        </w:rPr>
        <w:t xml:space="preserve">The </w:t>
      </w:r>
      <w:r w:rsidR="00D93251">
        <w:rPr>
          <w:color w:val="000000" w:themeColor="text1"/>
          <w:szCs w:val="24"/>
        </w:rPr>
        <w:t>Regulation does</w:t>
      </w:r>
      <w:r w:rsidRPr="003C7301">
        <w:rPr>
          <w:color w:val="000000" w:themeColor="text1"/>
          <w:szCs w:val="24"/>
        </w:rPr>
        <w:t xml:space="preserve"> not limit any human rights, nor establish any new offences or penalties.</w:t>
      </w:r>
    </w:p>
    <w:p w:rsidR="000E0B9A" w:rsidRDefault="000E0B9A">
      <w:pPr>
        <w:tabs>
          <w:tab w:val="left" w:pos="0"/>
        </w:tabs>
        <w:rPr>
          <w:color w:val="000000" w:themeColor="text1"/>
          <w:szCs w:val="24"/>
        </w:rPr>
      </w:pPr>
    </w:p>
    <w:p w:rsidR="00AE6A54" w:rsidRDefault="00AE6A54">
      <w:pPr>
        <w:spacing w:after="200" w:line="276" w:lineRule="auto"/>
        <w:rPr>
          <w:color w:val="000000" w:themeColor="text1"/>
        </w:rPr>
        <w:sectPr w:rsidR="00AE6A54" w:rsidSect="00AF1F51">
          <w:headerReference w:type="default" r:id="rId9"/>
          <w:headerReference w:type="first" r:id="rId10"/>
          <w:pgSz w:w="11906" w:h="16838"/>
          <w:pgMar w:top="1418" w:right="1440" w:bottom="1332" w:left="1440" w:header="709" w:footer="709" w:gutter="0"/>
          <w:pgNumType w:start="1"/>
          <w:cols w:space="708"/>
          <w:titlePg/>
          <w:docGrid w:linePitch="360"/>
        </w:sectPr>
      </w:pPr>
    </w:p>
    <w:p w:rsidR="00705C97" w:rsidRDefault="00741F92">
      <w:pPr>
        <w:pStyle w:val="ParaNumbering"/>
        <w:tabs>
          <w:tab w:val="clear" w:pos="360"/>
          <w:tab w:val="clear" w:pos="567"/>
        </w:tabs>
        <w:spacing w:after="0" w:line="240" w:lineRule="auto"/>
        <w:jc w:val="right"/>
        <w:rPr>
          <w:b/>
          <w:color w:val="000000" w:themeColor="text1"/>
          <w:szCs w:val="24"/>
          <w:u w:val="single"/>
        </w:rPr>
      </w:pPr>
      <w:r w:rsidRPr="000E39BF">
        <w:rPr>
          <w:b/>
          <w:color w:val="000000" w:themeColor="text1"/>
          <w:szCs w:val="24"/>
          <w:u w:val="single"/>
        </w:rPr>
        <w:lastRenderedPageBreak/>
        <w:t>ATTACHMENT</w:t>
      </w:r>
    </w:p>
    <w:p w:rsidR="005C7253" w:rsidRDefault="005C7253" w:rsidP="00A371F5">
      <w:pPr>
        <w:pStyle w:val="Heading1"/>
        <w:keepNext w:val="0"/>
        <w:numPr>
          <w:ilvl w:val="0"/>
          <w:numId w:val="0"/>
        </w:numPr>
        <w:rPr>
          <w:bCs/>
          <w:caps w:val="0"/>
          <w:color w:val="000000" w:themeColor="text1"/>
          <w:szCs w:val="24"/>
          <w:u w:val="single"/>
        </w:rPr>
      </w:pPr>
    </w:p>
    <w:p w:rsidR="00B12B81" w:rsidRDefault="00741F92" w:rsidP="00A371F5">
      <w:pPr>
        <w:pStyle w:val="Heading1"/>
        <w:keepNext w:val="0"/>
        <w:numPr>
          <w:ilvl w:val="0"/>
          <w:numId w:val="0"/>
        </w:numPr>
        <w:rPr>
          <w:bCs/>
          <w:i/>
          <w:caps w:val="0"/>
          <w:color w:val="000000" w:themeColor="text1"/>
          <w:szCs w:val="24"/>
          <w:u w:val="single"/>
        </w:rPr>
      </w:pPr>
      <w:r w:rsidRPr="000E39BF">
        <w:rPr>
          <w:bCs/>
          <w:caps w:val="0"/>
          <w:color w:val="000000" w:themeColor="text1"/>
          <w:szCs w:val="24"/>
          <w:u w:val="single"/>
        </w:rPr>
        <w:t xml:space="preserve">Details of the </w:t>
      </w:r>
      <w:r w:rsidRPr="000E39BF">
        <w:rPr>
          <w:bCs/>
          <w:i/>
          <w:caps w:val="0"/>
          <w:color w:val="000000" w:themeColor="text1"/>
          <w:szCs w:val="24"/>
          <w:u w:val="single"/>
        </w:rPr>
        <w:t>Financial Management and Accountability Amendment</w:t>
      </w:r>
      <w:r w:rsidR="0027595A">
        <w:rPr>
          <w:bCs/>
          <w:i/>
          <w:caps w:val="0"/>
          <w:color w:val="000000" w:themeColor="text1"/>
          <w:szCs w:val="24"/>
          <w:u w:val="single"/>
        </w:rPr>
        <w:t xml:space="preserve"> Regulation 2013 (No. 5</w:t>
      </w:r>
      <w:r w:rsidRPr="000E39BF">
        <w:rPr>
          <w:bCs/>
          <w:i/>
          <w:caps w:val="0"/>
          <w:color w:val="000000" w:themeColor="text1"/>
          <w:szCs w:val="24"/>
          <w:u w:val="single"/>
        </w:rPr>
        <w:t>)</w:t>
      </w:r>
    </w:p>
    <w:p w:rsidR="00B12B81" w:rsidRDefault="00B12B81" w:rsidP="00A371F5">
      <w:pPr>
        <w:rPr>
          <w:color w:val="000000" w:themeColor="text1"/>
          <w:szCs w:val="24"/>
          <w:u w:val="single"/>
        </w:rPr>
      </w:pPr>
    </w:p>
    <w:p w:rsidR="000E0B9A" w:rsidRDefault="00404FED" w:rsidP="00A371F5">
      <w:pPr>
        <w:rPr>
          <w:b/>
          <w:color w:val="000000" w:themeColor="text1"/>
        </w:rPr>
      </w:pPr>
      <w:r>
        <w:rPr>
          <w:b/>
          <w:color w:val="000000" w:themeColor="text1"/>
        </w:rPr>
        <w:t>Section 1 – Name of Regulation</w:t>
      </w:r>
    </w:p>
    <w:p w:rsidR="000E0B9A" w:rsidRDefault="000E0B9A" w:rsidP="00A371F5">
      <w:pPr>
        <w:rPr>
          <w:b/>
          <w:color w:val="000000" w:themeColor="text1"/>
        </w:rPr>
      </w:pPr>
    </w:p>
    <w:p w:rsidR="000E0B9A" w:rsidRDefault="00706F2A" w:rsidP="00A371F5">
      <w:pPr>
        <w:rPr>
          <w:color w:val="000000" w:themeColor="text1"/>
        </w:rPr>
      </w:pPr>
      <w:r w:rsidRPr="00706F2A">
        <w:rPr>
          <w:color w:val="000000" w:themeColor="text1"/>
        </w:rPr>
        <w:t>This section provides that</w:t>
      </w:r>
      <w:r w:rsidR="00095EE4">
        <w:rPr>
          <w:color w:val="000000" w:themeColor="text1"/>
        </w:rPr>
        <w:t xml:space="preserve"> the</w:t>
      </w:r>
      <w:r w:rsidR="000D0ABE" w:rsidRPr="000D0ABE">
        <w:rPr>
          <w:color w:val="000000" w:themeColor="text1"/>
        </w:rPr>
        <w:t xml:space="preserve"> </w:t>
      </w:r>
      <w:r w:rsidRPr="00706F2A">
        <w:rPr>
          <w:color w:val="000000" w:themeColor="text1"/>
        </w:rPr>
        <w:t xml:space="preserve">title of the Regulation </w:t>
      </w:r>
      <w:r w:rsidR="005C7253">
        <w:t>is</w:t>
      </w:r>
      <w:r w:rsidRPr="00706F2A">
        <w:rPr>
          <w:color w:val="000000" w:themeColor="text1"/>
        </w:rPr>
        <w:t xml:space="preserve"> the </w:t>
      </w:r>
      <w:r w:rsidRPr="00706F2A">
        <w:rPr>
          <w:i/>
          <w:color w:val="000000" w:themeColor="text1"/>
        </w:rPr>
        <w:t>Financial Management and Accountability</w:t>
      </w:r>
      <w:r w:rsidR="0027595A">
        <w:rPr>
          <w:i/>
          <w:color w:val="000000" w:themeColor="text1"/>
        </w:rPr>
        <w:t xml:space="preserve"> Amendment Regulation 2013 (No. 5</w:t>
      </w:r>
      <w:bookmarkStart w:id="0" w:name="_GoBack"/>
      <w:bookmarkEnd w:id="0"/>
      <w:r w:rsidR="005C7253">
        <w:rPr>
          <w:i/>
        </w:rPr>
        <w:t>)</w:t>
      </w:r>
      <w:r w:rsidRPr="00706F2A">
        <w:rPr>
          <w:color w:val="000000" w:themeColor="text1"/>
        </w:rPr>
        <w:t>.</w:t>
      </w:r>
    </w:p>
    <w:p w:rsidR="000E0B9A" w:rsidRDefault="000E0B9A" w:rsidP="00A371F5">
      <w:pPr>
        <w:rPr>
          <w:color w:val="000000" w:themeColor="text1"/>
        </w:rPr>
      </w:pPr>
    </w:p>
    <w:p w:rsidR="000E0B9A" w:rsidRDefault="00404FED" w:rsidP="00A371F5">
      <w:pPr>
        <w:rPr>
          <w:b/>
          <w:color w:val="000000" w:themeColor="text1"/>
        </w:rPr>
      </w:pPr>
      <w:r>
        <w:rPr>
          <w:b/>
          <w:color w:val="000000" w:themeColor="text1"/>
        </w:rPr>
        <w:t xml:space="preserve">Section 2 – Commencement </w:t>
      </w:r>
    </w:p>
    <w:p w:rsidR="000E0B9A" w:rsidRDefault="000E0B9A" w:rsidP="00A371F5">
      <w:pPr>
        <w:rPr>
          <w:b/>
          <w:color w:val="000000" w:themeColor="text1"/>
        </w:rPr>
      </w:pPr>
    </w:p>
    <w:p w:rsidR="00576528" w:rsidRDefault="00576528" w:rsidP="00A371F5">
      <w:pPr>
        <w:rPr>
          <w:color w:val="000000" w:themeColor="text1"/>
          <w:szCs w:val="24"/>
        </w:rPr>
      </w:pPr>
      <w:r w:rsidRPr="00632DE3">
        <w:rPr>
          <w:color w:val="000000" w:themeColor="text1"/>
          <w:szCs w:val="24"/>
        </w:rPr>
        <w:t xml:space="preserve">This section provides that the </w:t>
      </w:r>
      <w:r w:rsidR="0066156E">
        <w:rPr>
          <w:color w:val="000000" w:themeColor="text1"/>
          <w:szCs w:val="24"/>
        </w:rPr>
        <w:t>Schedules to</w:t>
      </w:r>
      <w:r w:rsidRPr="00632DE3">
        <w:rPr>
          <w:color w:val="000000" w:themeColor="text1"/>
          <w:szCs w:val="24"/>
        </w:rPr>
        <w:t xml:space="preserve"> the Regulation c</w:t>
      </w:r>
      <w:r w:rsidR="008F6582">
        <w:rPr>
          <w:color w:val="000000" w:themeColor="text1"/>
          <w:szCs w:val="24"/>
        </w:rPr>
        <w:t>ommence on two dates.  Schedule </w:t>
      </w:r>
      <w:r w:rsidRPr="00632DE3">
        <w:rPr>
          <w:color w:val="000000" w:themeColor="text1"/>
          <w:szCs w:val="24"/>
        </w:rPr>
        <w:t>1 commence</w:t>
      </w:r>
      <w:r w:rsidR="0066156E">
        <w:rPr>
          <w:color w:val="000000" w:themeColor="text1"/>
          <w:szCs w:val="24"/>
        </w:rPr>
        <w:t>s</w:t>
      </w:r>
      <w:r w:rsidRPr="00632DE3">
        <w:rPr>
          <w:color w:val="000000" w:themeColor="text1"/>
          <w:szCs w:val="24"/>
        </w:rPr>
        <w:t xml:space="preserve"> on the day after the Regulation is registered on the Federal Register of Legislative Instruments.</w:t>
      </w:r>
      <w:r w:rsidRPr="008D25E2">
        <w:rPr>
          <w:color w:val="000000" w:themeColor="text1"/>
          <w:szCs w:val="24"/>
        </w:rPr>
        <w:t xml:space="preserve">  </w:t>
      </w:r>
      <w:r w:rsidRPr="00632DE3">
        <w:rPr>
          <w:color w:val="000000" w:themeColor="text1"/>
          <w:szCs w:val="24"/>
        </w:rPr>
        <w:t>Schedule 2 commence</w:t>
      </w:r>
      <w:r>
        <w:rPr>
          <w:color w:val="000000" w:themeColor="text1"/>
          <w:szCs w:val="24"/>
        </w:rPr>
        <w:t>s</w:t>
      </w:r>
      <w:r w:rsidRPr="00632DE3">
        <w:rPr>
          <w:color w:val="000000" w:themeColor="text1"/>
          <w:szCs w:val="24"/>
        </w:rPr>
        <w:t xml:space="preserve"> on </w:t>
      </w:r>
      <w:r>
        <w:rPr>
          <w:color w:val="000000" w:themeColor="text1"/>
          <w:szCs w:val="24"/>
        </w:rPr>
        <w:t>1 August 2013.</w:t>
      </w:r>
    </w:p>
    <w:p w:rsidR="000E0B9A" w:rsidRDefault="00D26AB5" w:rsidP="00A371F5">
      <w:pPr>
        <w:rPr>
          <w:color w:val="000000" w:themeColor="text1"/>
          <w:szCs w:val="24"/>
        </w:rPr>
      </w:pPr>
      <w:r>
        <w:rPr>
          <w:color w:val="000000" w:themeColor="text1"/>
          <w:szCs w:val="24"/>
        </w:rPr>
        <w:t xml:space="preserve"> </w:t>
      </w:r>
    </w:p>
    <w:p w:rsidR="000E0B9A" w:rsidRDefault="00404FED" w:rsidP="00A371F5">
      <w:pPr>
        <w:rPr>
          <w:b/>
          <w:i/>
          <w:color w:val="000000" w:themeColor="text1"/>
        </w:rPr>
      </w:pPr>
      <w:r>
        <w:rPr>
          <w:b/>
          <w:color w:val="000000" w:themeColor="text1"/>
        </w:rPr>
        <w:t>Section 3 – Authority</w:t>
      </w:r>
      <w:r>
        <w:rPr>
          <w:b/>
          <w:i/>
          <w:color w:val="000000" w:themeColor="text1"/>
        </w:rPr>
        <w:t xml:space="preserve"> </w:t>
      </w:r>
    </w:p>
    <w:p w:rsidR="000E0B9A" w:rsidRPr="0078560C" w:rsidRDefault="000E0B9A" w:rsidP="00A371F5">
      <w:pPr>
        <w:rPr>
          <w:color w:val="000000" w:themeColor="text1"/>
        </w:rPr>
      </w:pPr>
    </w:p>
    <w:p w:rsidR="000E0B9A" w:rsidRDefault="00741F92" w:rsidP="00A371F5">
      <w:pPr>
        <w:rPr>
          <w:color w:val="000000" w:themeColor="text1"/>
          <w:szCs w:val="24"/>
        </w:rPr>
      </w:pPr>
      <w:r w:rsidRPr="000E39BF">
        <w:rPr>
          <w:color w:val="000000" w:themeColor="text1"/>
          <w:szCs w:val="24"/>
        </w:rPr>
        <w:t xml:space="preserve">This section provides that the Regulation </w:t>
      </w:r>
      <w:r w:rsidR="00D26AB5">
        <w:rPr>
          <w:color w:val="000000" w:themeColor="text1"/>
          <w:szCs w:val="24"/>
        </w:rPr>
        <w:t>is</w:t>
      </w:r>
      <w:r w:rsidRPr="000E39BF">
        <w:rPr>
          <w:color w:val="000000" w:themeColor="text1"/>
          <w:szCs w:val="24"/>
        </w:rPr>
        <w:t xml:space="preserve"> made under the </w:t>
      </w:r>
      <w:r w:rsidR="009939C6" w:rsidRPr="00632DE3">
        <w:rPr>
          <w:i/>
          <w:color w:val="000000" w:themeColor="text1"/>
          <w:szCs w:val="24"/>
        </w:rPr>
        <w:t>Financial Management and Accountability Act 1997</w:t>
      </w:r>
      <w:r w:rsidR="00D70A96">
        <w:rPr>
          <w:color w:val="000000" w:themeColor="text1"/>
          <w:szCs w:val="24"/>
        </w:rPr>
        <w:t xml:space="preserve"> (</w:t>
      </w:r>
      <w:r w:rsidRPr="000E39BF">
        <w:rPr>
          <w:color w:val="000000" w:themeColor="text1"/>
          <w:szCs w:val="24"/>
        </w:rPr>
        <w:t>FMA Act</w:t>
      </w:r>
      <w:r w:rsidR="00D70A96">
        <w:rPr>
          <w:color w:val="000000" w:themeColor="text1"/>
          <w:szCs w:val="24"/>
        </w:rPr>
        <w:t>)</w:t>
      </w:r>
      <w:r w:rsidRPr="00632DE3">
        <w:rPr>
          <w:color w:val="000000" w:themeColor="text1"/>
          <w:szCs w:val="24"/>
        </w:rPr>
        <w:t>.</w:t>
      </w:r>
    </w:p>
    <w:p w:rsidR="000E0B9A" w:rsidRDefault="000E0B9A" w:rsidP="00A371F5">
      <w:pPr>
        <w:rPr>
          <w:color w:val="000000" w:themeColor="text1"/>
          <w:szCs w:val="24"/>
        </w:rPr>
      </w:pPr>
    </w:p>
    <w:p w:rsidR="000E0B9A" w:rsidRDefault="00404FED" w:rsidP="00A371F5">
      <w:pPr>
        <w:rPr>
          <w:b/>
          <w:i/>
          <w:color w:val="000000" w:themeColor="text1"/>
        </w:rPr>
      </w:pPr>
      <w:r>
        <w:rPr>
          <w:b/>
          <w:color w:val="000000" w:themeColor="text1"/>
        </w:rPr>
        <w:t>Section 4 – Schedule(s)</w:t>
      </w:r>
      <w:r>
        <w:rPr>
          <w:b/>
          <w:i/>
          <w:color w:val="000000" w:themeColor="text1"/>
        </w:rPr>
        <w:t xml:space="preserve"> </w:t>
      </w:r>
    </w:p>
    <w:p w:rsidR="000E0B9A" w:rsidRPr="0078560C" w:rsidRDefault="000E0B9A" w:rsidP="00A371F5">
      <w:pPr>
        <w:rPr>
          <w:i/>
          <w:color w:val="000000" w:themeColor="text1"/>
        </w:rPr>
      </w:pPr>
    </w:p>
    <w:p w:rsidR="000E0B9A" w:rsidRDefault="00741F92" w:rsidP="00A371F5">
      <w:pPr>
        <w:rPr>
          <w:color w:val="000000" w:themeColor="text1"/>
          <w:szCs w:val="24"/>
        </w:rPr>
      </w:pPr>
      <w:r w:rsidRPr="000E39BF">
        <w:rPr>
          <w:color w:val="000000" w:themeColor="text1"/>
          <w:szCs w:val="24"/>
        </w:rPr>
        <w:t xml:space="preserve">This section provides that the </w:t>
      </w:r>
      <w:r w:rsidRPr="000E39BF">
        <w:rPr>
          <w:i/>
          <w:color w:val="000000" w:themeColor="text1"/>
          <w:szCs w:val="24"/>
        </w:rPr>
        <w:t>Financial Management and Accountability Regulations 1997</w:t>
      </w:r>
      <w:r w:rsidRPr="000E39BF">
        <w:rPr>
          <w:color w:val="000000" w:themeColor="text1"/>
          <w:szCs w:val="24"/>
        </w:rPr>
        <w:t xml:space="preserve"> (the Principal Regulations) </w:t>
      </w:r>
      <w:r w:rsidR="00D26AB5">
        <w:rPr>
          <w:color w:val="000000" w:themeColor="text1"/>
          <w:szCs w:val="24"/>
        </w:rPr>
        <w:t>are</w:t>
      </w:r>
      <w:r w:rsidR="004E1E29">
        <w:rPr>
          <w:color w:val="000000" w:themeColor="text1"/>
          <w:szCs w:val="24"/>
        </w:rPr>
        <w:t xml:space="preserve"> amended as set out in Schedule</w:t>
      </w:r>
      <w:r w:rsidR="00576528">
        <w:rPr>
          <w:color w:val="000000" w:themeColor="text1"/>
          <w:szCs w:val="24"/>
        </w:rPr>
        <w:t>s</w:t>
      </w:r>
      <w:r w:rsidR="004B13C0">
        <w:rPr>
          <w:color w:val="000000" w:themeColor="text1"/>
          <w:szCs w:val="24"/>
        </w:rPr>
        <w:t> </w:t>
      </w:r>
      <w:r w:rsidRPr="000E39BF">
        <w:rPr>
          <w:color w:val="000000" w:themeColor="text1"/>
          <w:szCs w:val="24"/>
        </w:rPr>
        <w:t xml:space="preserve">1 </w:t>
      </w:r>
      <w:r w:rsidR="00576528">
        <w:rPr>
          <w:color w:val="000000" w:themeColor="text1"/>
          <w:szCs w:val="24"/>
        </w:rPr>
        <w:t xml:space="preserve">and 2 </w:t>
      </w:r>
      <w:r w:rsidRPr="000E39BF">
        <w:rPr>
          <w:color w:val="000000" w:themeColor="text1"/>
          <w:szCs w:val="24"/>
        </w:rPr>
        <w:t>to the Regulation.</w:t>
      </w:r>
    </w:p>
    <w:p w:rsidR="000E0B9A" w:rsidRDefault="000E0B9A" w:rsidP="00A371F5">
      <w:pPr>
        <w:rPr>
          <w:color w:val="000000" w:themeColor="text1"/>
          <w:szCs w:val="24"/>
        </w:rPr>
      </w:pPr>
    </w:p>
    <w:p w:rsidR="000E0B9A" w:rsidRDefault="004E1E29" w:rsidP="00A371F5">
      <w:pPr>
        <w:rPr>
          <w:b/>
          <w:color w:val="000000" w:themeColor="text1"/>
        </w:rPr>
      </w:pPr>
      <w:r>
        <w:rPr>
          <w:b/>
          <w:color w:val="000000" w:themeColor="text1"/>
        </w:rPr>
        <w:t>Schedule 1 – Amendments</w:t>
      </w:r>
    </w:p>
    <w:p w:rsidR="000E0B9A" w:rsidRPr="0078560C" w:rsidRDefault="000E0B9A" w:rsidP="00A371F5">
      <w:pPr>
        <w:rPr>
          <w:color w:val="000000" w:themeColor="text1"/>
        </w:rPr>
      </w:pPr>
    </w:p>
    <w:p w:rsidR="000E0B9A" w:rsidRDefault="009939C6" w:rsidP="00A371F5">
      <w:pPr>
        <w:rPr>
          <w:color w:val="000000" w:themeColor="text1"/>
          <w:szCs w:val="24"/>
        </w:rPr>
      </w:pPr>
      <w:r w:rsidRPr="00632DE3">
        <w:rPr>
          <w:color w:val="000000" w:themeColor="text1"/>
          <w:szCs w:val="24"/>
        </w:rPr>
        <w:t>Schedule</w:t>
      </w:r>
      <w:r w:rsidR="004B13C0">
        <w:rPr>
          <w:color w:val="000000" w:themeColor="text1"/>
          <w:szCs w:val="24"/>
        </w:rPr>
        <w:t> </w:t>
      </w:r>
      <w:r w:rsidRPr="00632DE3">
        <w:rPr>
          <w:color w:val="000000" w:themeColor="text1"/>
          <w:szCs w:val="24"/>
        </w:rPr>
        <w:t>1 amend</w:t>
      </w:r>
      <w:r w:rsidR="006B651A">
        <w:rPr>
          <w:color w:val="000000" w:themeColor="text1"/>
          <w:szCs w:val="24"/>
        </w:rPr>
        <w:t>s</w:t>
      </w:r>
      <w:r w:rsidRPr="00632DE3">
        <w:rPr>
          <w:color w:val="000000" w:themeColor="text1"/>
          <w:szCs w:val="24"/>
        </w:rPr>
        <w:t xml:space="preserve"> Schedule</w:t>
      </w:r>
      <w:r w:rsidR="004B13C0">
        <w:rPr>
          <w:color w:val="000000" w:themeColor="text1"/>
          <w:szCs w:val="24"/>
        </w:rPr>
        <w:t> </w:t>
      </w:r>
      <w:r w:rsidRPr="00632DE3">
        <w:rPr>
          <w:color w:val="000000" w:themeColor="text1"/>
          <w:szCs w:val="24"/>
        </w:rPr>
        <w:t xml:space="preserve">1AA to the Principal Regulations to establish legislative authority for the Government to spend on the </w:t>
      </w:r>
      <w:r w:rsidR="00632DE3">
        <w:rPr>
          <w:color w:val="000000" w:themeColor="text1"/>
          <w:szCs w:val="24"/>
        </w:rPr>
        <w:t xml:space="preserve">specified </w:t>
      </w:r>
      <w:r w:rsidRPr="00632DE3">
        <w:rPr>
          <w:color w:val="000000" w:themeColor="text1"/>
          <w:szCs w:val="24"/>
        </w:rPr>
        <w:t>programs and activities in Schedule 1AA.</w:t>
      </w:r>
    </w:p>
    <w:p w:rsidR="000E0B9A" w:rsidRDefault="000E0B9A" w:rsidP="00A371F5">
      <w:pPr>
        <w:rPr>
          <w:color w:val="000000" w:themeColor="text1"/>
          <w:szCs w:val="24"/>
        </w:rPr>
      </w:pPr>
    </w:p>
    <w:p w:rsidR="000E0B9A" w:rsidRDefault="00741F92" w:rsidP="00A371F5">
      <w:pPr>
        <w:pStyle w:val="paranumbering0"/>
        <w:spacing w:before="0" w:beforeAutospacing="0" w:after="0" w:afterAutospacing="0"/>
        <w:rPr>
          <w:b/>
          <w:color w:val="000000" w:themeColor="text1"/>
        </w:rPr>
      </w:pPr>
      <w:r w:rsidRPr="000E39BF">
        <w:rPr>
          <w:b/>
          <w:color w:val="000000" w:themeColor="text1"/>
        </w:rPr>
        <w:t xml:space="preserve">Item 1 – </w:t>
      </w:r>
      <w:r w:rsidR="00CA68D9" w:rsidRPr="00632DE3">
        <w:rPr>
          <w:b/>
          <w:color w:val="000000" w:themeColor="text1"/>
        </w:rPr>
        <w:t>After item 401.</w:t>
      </w:r>
      <w:r w:rsidR="00CA68D9">
        <w:rPr>
          <w:b/>
          <w:color w:val="000000" w:themeColor="text1"/>
        </w:rPr>
        <w:t>0</w:t>
      </w:r>
      <w:r w:rsidR="00CA68D9" w:rsidRPr="00632DE3">
        <w:rPr>
          <w:b/>
          <w:color w:val="000000" w:themeColor="text1"/>
        </w:rPr>
        <w:t xml:space="preserve">23 of Schedule 1AA </w:t>
      </w:r>
    </w:p>
    <w:p w:rsidR="000E0B9A" w:rsidRDefault="000E0B9A" w:rsidP="00A371F5">
      <w:pPr>
        <w:pStyle w:val="paranumbering0"/>
        <w:spacing w:before="0" w:beforeAutospacing="0" w:after="0" w:afterAutospacing="0"/>
        <w:rPr>
          <w:color w:val="000000"/>
          <w:highlight w:val="yellow"/>
        </w:rPr>
      </w:pPr>
    </w:p>
    <w:p w:rsidR="000E0B9A" w:rsidRDefault="00010368" w:rsidP="00A371F5">
      <w:pPr>
        <w:rPr>
          <w:szCs w:val="24"/>
        </w:rPr>
      </w:pPr>
      <w:r w:rsidRPr="000E39BF">
        <w:t xml:space="preserve">This item </w:t>
      </w:r>
      <w:r w:rsidR="00312E6A">
        <w:t>establishes legislative authority for</w:t>
      </w:r>
      <w:r w:rsidR="00312E6A" w:rsidRPr="000E39BF">
        <w:t xml:space="preserve"> </w:t>
      </w:r>
      <w:r w:rsidR="00576528">
        <w:t xml:space="preserve">six </w:t>
      </w:r>
      <w:r w:rsidRPr="000E39BF">
        <w:t xml:space="preserve">new </w:t>
      </w:r>
      <w:r w:rsidR="00312E6A">
        <w:t xml:space="preserve">programs or </w:t>
      </w:r>
      <w:r w:rsidR="00780EBF" w:rsidRPr="00632DE3">
        <w:rPr>
          <w:szCs w:val="24"/>
        </w:rPr>
        <w:t>spending activities</w:t>
      </w:r>
      <w:r w:rsidR="008F0B39">
        <w:rPr>
          <w:szCs w:val="24"/>
        </w:rPr>
        <w:t xml:space="preserve"> </w:t>
      </w:r>
      <w:r w:rsidR="002E7793">
        <w:t>of</w:t>
      </w:r>
      <w:r w:rsidR="002E7793" w:rsidRPr="000E39BF">
        <w:t xml:space="preserve"> </w:t>
      </w:r>
      <w:r w:rsidR="00AC269B">
        <w:t xml:space="preserve">the </w:t>
      </w:r>
      <w:r w:rsidRPr="000E39BF">
        <w:t>D</w:t>
      </w:r>
      <w:r w:rsidR="00AC269B">
        <w:t xml:space="preserve">epartment of </w:t>
      </w:r>
      <w:r w:rsidRPr="000E39BF">
        <w:t>A</w:t>
      </w:r>
      <w:r w:rsidR="00AC269B">
        <w:t xml:space="preserve">griculture, </w:t>
      </w:r>
      <w:r w:rsidRPr="000E39BF">
        <w:t>F</w:t>
      </w:r>
      <w:r w:rsidR="00AC269B">
        <w:t xml:space="preserve">isheries and </w:t>
      </w:r>
      <w:r w:rsidRPr="000E39BF">
        <w:t>F</w:t>
      </w:r>
      <w:r w:rsidR="00AC269B">
        <w:t>orestry (DAFF</w:t>
      </w:r>
      <w:r w:rsidR="001517FE">
        <w:t>)</w:t>
      </w:r>
      <w:r w:rsidR="002E7793">
        <w:t xml:space="preserve"> by adding </w:t>
      </w:r>
      <w:r w:rsidR="00576528">
        <w:t xml:space="preserve">six </w:t>
      </w:r>
      <w:r w:rsidR="002E7793">
        <w:t>new items to Schedule </w:t>
      </w:r>
      <w:r w:rsidR="002E7793" w:rsidRPr="000E39BF">
        <w:t xml:space="preserve">1AA to </w:t>
      </w:r>
      <w:r w:rsidR="002E7793">
        <w:rPr>
          <w:szCs w:val="24"/>
        </w:rPr>
        <w:t xml:space="preserve">the Principal Regulations to </w:t>
      </w:r>
      <w:r w:rsidR="002E7793" w:rsidRPr="000E39BF">
        <w:t>establish legislative authority</w:t>
      </w:r>
      <w:r w:rsidR="008F0B39">
        <w:rPr>
          <w:szCs w:val="24"/>
        </w:rPr>
        <w:t>.</w:t>
      </w:r>
    </w:p>
    <w:p w:rsidR="000E0B9A" w:rsidRDefault="000E0B9A">
      <w:pPr>
        <w:rPr>
          <w:szCs w:val="24"/>
        </w:rPr>
      </w:pPr>
    </w:p>
    <w:p w:rsidR="0067104A" w:rsidRPr="0001211F" w:rsidRDefault="008F0B39" w:rsidP="0067104A">
      <w:r>
        <w:rPr>
          <w:szCs w:val="24"/>
        </w:rPr>
        <w:t xml:space="preserve">New </w:t>
      </w:r>
      <w:r w:rsidR="00706F2A" w:rsidRPr="00706F2A">
        <w:rPr>
          <w:b/>
          <w:szCs w:val="24"/>
        </w:rPr>
        <w:t>item 401.024</w:t>
      </w:r>
      <w:r>
        <w:rPr>
          <w:szCs w:val="24"/>
        </w:rPr>
        <w:t xml:space="preserve"> </w:t>
      </w:r>
      <w:r>
        <w:t xml:space="preserve">establishes legislative authority for the Government to fund </w:t>
      </w:r>
      <w:r w:rsidR="00010368" w:rsidRPr="000E39BF">
        <w:t>the Asian Food Markets Research Fund</w:t>
      </w:r>
      <w:r w:rsidR="00C258D8" w:rsidRPr="00632DE3">
        <w:rPr>
          <w:szCs w:val="24"/>
        </w:rPr>
        <w:t>,</w:t>
      </w:r>
      <w:r w:rsidR="00523BB8" w:rsidRPr="00632DE3">
        <w:rPr>
          <w:szCs w:val="24"/>
        </w:rPr>
        <w:t xml:space="preserve"> </w:t>
      </w:r>
      <w:r w:rsidR="00C258D8" w:rsidRPr="00632DE3">
        <w:rPr>
          <w:szCs w:val="24"/>
        </w:rPr>
        <w:t xml:space="preserve">an initiative </w:t>
      </w:r>
      <w:r w:rsidR="00423588" w:rsidRPr="00632DE3">
        <w:rPr>
          <w:szCs w:val="24"/>
        </w:rPr>
        <w:t>supporting</w:t>
      </w:r>
      <w:r w:rsidR="00523BB8" w:rsidRPr="00632DE3">
        <w:rPr>
          <w:szCs w:val="24"/>
        </w:rPr>
        <w:t xml:space="preserve"> the National Food Plan.</w:t>
      </w:r>
      <w:r w:rsidR="0067104A" w:rsidRPr="0001211F">
        <w:t xml:space="preserve">  The </w:t>
      </w:r>
      <w:r w:rsidR="00576528">
        <w:t xml:space="preserve">former </w:t>
      </w:r>
      <w:r w:rsidR="0067104A" w:rsidRPr="0001211F">
        <w:t>Minister for Agriculture, Fisheries and Forestry</w:t>
      </w:r>
      <w:r w:rsidR="006F6BE2">
        <w:t>, Senator the Hon Joe Ludwig,</w:t>
      </w:r>
      <w:r w:rsidR="0067104A" w:rsidRPr="0001211F">
        <w:t xml:space="preserve"> launched the National Food Plan on 25 May 2013.</w:t>
      </w:r>
    </w:p>
    <w:p w:rsidR="000E0B9A" w:rsidRDefault="000E0B9A"/>
    <w:p w:rsidR="000E0B9A" w:rsidRDefault="00010368">
      <w:pPr>
        <w:pStyle w:val="CABNETParagraphAtt"/>
        <w:spacing w:before="0" w:after="0"/>
        <w:rPr>
          <w:rFonts w:ascii="Times New Roman" w:hAnsi="Times New Roman"/>
          <w:sz w:val="24"/>
        </w:rPr>
      </w:pPr>
      <w:r w:rsidRPr="000E39BF">
        <w:rPr>
          <w:rFonts w:ascii="Times New Roman" w:hAnsi="Times New Roman"/>
          <w:sz w:val="24"/>
        </w:rPr>
        <w:t>The $</w:t>
      </w:r>
      <w:r w:rsidRPr="00632DE3">
        <w:rPr>
          <w:rFonts w:ascii="Times New Roman" w:hAnsi="Times New Roman"/>
          <w:sz w:val="24"/>
        </w:rPr>
        <w:t>2</w:t>
      </w:r>
      <w:r w:rsidR="00C258D8" w:rsidRPr="00632DE3">
        <w:rPr>
          <w:rFonts w:ascii="Times New Roman" w:hAnsi="Times New Roman"/>
          <w:sz w:val="24"/>
        </w:rPr>
        <w:t>8.5</w:t>
      </w:r>
      <w:r w:rsidRPr="000E39BF">
        <w:rPr>
          <w:rFonts w:ascii="Times New Roman" w:hAnsi="Times New Roman"/>
          <w:sz w:val="24"/>
        </w:rPr>
        <w:t xml:space="preserve"> million Asian Food Markets Research Fund will provide grants for research and development projects </w:t>
      </w:r>
      <w:r w:rsidR="0001211F">
        <w:rPr>
          <w:rFonts w:ascii="Times New Roman" w:hAnsi="Times New Roman"/>
          <w:sz w:val="24"/>
        </w:rPr>
        <w:t>to support</w:t>
      </w:r>
      <w:r w:rsidRPr="000E39BF">
        <w:rPr>
          <w:rFonts w:ascii="Times New Roman" w:hAnsi="Times New Roman"/>
          <w:sz w:val="24"/>
        </w:rPr>
        <w:t xml:space="preserve"> agriculture and food industries </w:t>
      </w:r>
      <w:r w:rsidR="0001211F">
        <w:rPr>
          <w:rFonts w:ascii="Times New Roman" w:hAnsi="Times New Roman"/>
          <w:sz w:val="24"/>
        </w:rPr>
        <w:t>to capitalise</w:t>
      </w:r>
      <w:r w:rsidRPr="000E39BF">
        <w:rPr>
          <w:rFonts w:ascii="Times New Roman" w:hAnsi="Times New Roman"/>
          <w:sz w:val="24"/>
        </w:rPr>
        <w:t xml:space="preserve"> </w:t>
      </w:r>
      <w:r w:rsidR="0001211F">
        <w:rPr>
          <w:rFonts w:ascii="Times New Roman" w:hAnsi="Times New Roman"/>
          <w:sz w:val="24"/>
        </w:rPr>
        <w:t>on</w:t>
      </w:r>
      <w:r w:rsidRPr="000E39BF">
        <w:rPr>
          <w:rFonts w:ascii="Times New Roman" w:hAnsi="Times New Roman"/>
          <w:sz w:val="24"/>
        </w:rPr>
        <w:t xml:space="preserve"> commercial export opportunities provided by </w:t>
      </w:r>
      <w:r w:rsidR="00E77E98" w:rsidRPr="00632DE3">
        <w:rPr>
          <w:rFonts w:ascii="Times New Roman" w:hAnsi="Times New Roman"/>
          <w:sz w:val="24"/>
        </w:rPr>
        <w:t>the increasing</w:t>
      </w:r>
      <w:r w:rsidRPr="00632DE3">
        <w:rPr>
          <w:rFonts w:ascii="Times New Roman" w:hAnsi="Times New Roman"/>
          <w:sz w:val="24"/>
        </w:rPr>
        <w:t xml:space="preserve"> </w:t>
      </w:r>
      <w:r w:rsidRPr="000E39BF">
        <w:rPr>
          <w:rFonts w:ascii="Times New Roman" w:hAnsi="Times New Roman"/>
          <w:sz w:val="24"/>
        </w:rPr>
        <w:t>Asian food demand.</w:t>
      </w:r>
      <w:r w:rsidRPr="00632DE3">
        <w:rPr>
          <w:rFonts w:ascii="Times New Roman" w:hAnsi="Times New Roman"/>
          <w:sz w:val="24"/>
        </w:rPr>
        <w:t xml:space="preserve"> </w:t>
      </w:r>
      <w:r w:rsidRPr="000E39BF">
        <w:rPr>
          <w:rFonts w:ascii="Times New Roman" w:hAnsi="Times New Roman"/>
          <w:sz w:val="24"/>
        </w:rPr>
        <w:t xml:space="preserve"> Grants will be available from 2013-14 to 2016-17.</w:t>
      </w:r>
    </w:p>
    <w:p w:rsidR="000E0B9A" w:rsidRDefault="000E0B9A">
      <w:pPr>
        <w:pStyle w:val="CABNETParagraphAtt"/>
        <w:spacing w:before="0" w:after="0"/>
        <w:rPr>
          <w:rFonts w:ascii="Times New Roman" w:hAnsi="Times New Roman"/>
          <w:sz w:val="24"/>
        </w:rPr>
      </w:pPr>
    </w:p>
    <w:p w:rsidR="00D74726" w:rsidRDefault="00D74726">
      <w:pPr>
        <w:spacing w:after="200" w:line="276" w:lineRule="auto"/>
        <w:rPr>
          <w:szCs w:val="24"/>
        </w:rPr>
      </w:pPr>
      <w:r>
        <w:br w:type="page"/>
      </w:r>
    </w:p>
    <w:p w:rsidR="000E0B9A" w:rsidRDefault="00010368">
      <w:pPr>
        <w:pStyle w:val="CABNETParagraphAtt"/>
        <w:spacing w:before="0" w:after="0"/>
        <w:rPr>
          <w:rFonts w:ascii="Times New Roman" w:hAnsi="Times New Roman"/>
          <w:sz w:val="24"/>
        </w:rPr>
      </w:pPr>
      <w:r w:rsidRPr="000E39BF">
        <w:rPr>
          <w:rFonts w:ascii="Times New Roman" w:hAnsi="Times New Roman"/>
          <w:sz w:val="24"/>
        </w:rPr>
        <w:lastRenderedPageBreak/>
        <w:t xml:space="preserve">Grants will be administered over a number of funding rounds, and targeted to priority markets or sectors determined by the Minister for Agriculture, Fisheries and Forestry in consultation with industry and Australian government representatives based in key Asian markets. </w:t>
      </w:r>
      <w:r w:rsidR="00A4115A">
        <w:rPr>
          <w:rFonts w:ascii="Times New Roman" w:hAnsi="Times New Roman"/>
          <w:sz w:val="24"/>
        </w:rPr>
        <w:t xml:space="preserve"> </w:t>
      </w:r>
      <w:r w:rsidRPr="000E39BF">
        <w:rPr>
          <w:rFonts w:ascii="Times New Roman" w:hAnsi="Times New Roman"/>
          <w:sz w:val="24"/>
        </w:rPr>
        <w:t xml:space="preserve">The </w:t>
      </w:r>
      <w:r w:rsidR="00C15C80">
        <w:rPr>
          <w:rFonts w:ascii="Times New Roman" w:hAnsi="Times New Roman"/>
          <w:sz w:val="24"/>
        </w:rPr>
        <w:t>decision-maker</w:t>
      </w:r>
      <w:r w:rsidRPr="000E39BF">
        <w:rPr>
          <w:rFonts w:ascii="Times New Roman" w:hAnsi="Times New Roman"/>
          <w:sz w:val="24"/>
        </w:rPr>
        <w:t xml:space="preserve"> for grants under the Asian Food Markets Research Fund will be the Minister or his delegate.</w:t>
      </w:r>
    </w:p>
    <w:p w:rsidR="000E0B9A" w:rsidRDefault="000E0B9A">
      <w:pPr>
        <w:pStyle w:val="CABNETParagraphAtt"/>
        <w:spacing w:before="0" w:after="0"/>
        <w:rPr>
          <w:rFonts w:ascii="Times New Roman" w:hAnsi="Times New Roman"/>
          <w:sz w:val="24"/>
        </w:rPr>
      </w:pPr>
    </w:p>
    <w:p w:rsidR="000E0B9A" w:rsidRDefault="00010368">
      <w:pPr>
        <w:pStyle w:val="CABNETParagraphAtt"/>
        <w:spacing w:before="0" w:after="0"/>
        <w:rPr>
          <w:rFonts w:ascii="Times New Roman" w:hAnsi="Times New Roman"/>
          <w:sz w:val="24"/>
        </w:rPr>
      </w:pPr>
      <w:r w:rsidRPr="000E39BF">
        <w:rPr>
          <w:rFonts w:ascii="Times New Roman" w:hAnsi="Times New Roman"/>
          <w:sz w:val="24"/>
        </w:rPr>
        <w:t>The Asian Food Markets Research Fund will also fund research conducted by DAFF</w:t>
      </w:r>
      <w:r w:rsidR="0067104A">
        <w:rPr>
          <w:rFonts w:ascii="Times New Roman" w:hAnsi="Times New Roman"/>
          <w:sz w:val="24"/>
        </w:rPr>
        <w:t xml:space="preserve"> and</w:t>
      </w:r>
      <w:r w:rsidRPr="000E39BF">
        <w:rPr>
          <w:rFonts w:ascii="Times New Roman" w:hAnsi="Times New Roman"/>
          <w:sz w:val="24"/>
        </w:rPr>
        <w:t xml:space="preserve"> the Australian Bureau of Agricultural and Resource Economics</w:t>
      </w:r>
      <w:r w:rsidR="009D5067">
        <w:rPr>
          <w:rFonts w:ascii="Times New Roman" w:hAnsi="Times New Roman"/>
          <w:sz w:val="24"/>
        </w:rPr>
        <w:t xml:space="preserve"> and Sciences</w:t>
      </w:r>
      <w:r w:rsidR="001517FE">
        <w:rPr>
          <w:rFonts w:ascii="Times New Roman" w:hAnsi="Times New Roman"/>
          <w:sz w:val="24"/>
        </w:rPr>
        <w:t xml:space="preserve">. </w:t>
      </w:r>
      <w:r w:rsidR="004B13C0">
        <w:rPr>
          <w:rFonts w:ascii="Times New Roman" w:hAnsi="Times New Roman"/>
          <w:sz w:val="24"/>
        </w:rPr>
        <w:t xml:space="preserve"> </w:t>
      </w:r>
      <w:r w:rsidR="001517FE">
        <w:rPr>
          <w:rFonts w:ascii="Times New Roman" w:hAnsi="Times New Roman"/>
          <w:sz w:val="24"/>
        </w:rPr>
        <w:t>Research will focus</w:t>
      </w:r>
      <w:r w:rsidRPr="000E39BF">
        <w:rPr>
          <w:rFonts w:ascii="Times New Roman" w:hAnsi="Times New Roman"/>
          <w:sz w:val="24"/>
        </w:rPr>
        <w:t xml:space="preserve"> on understanding future Asian </w:t>
      </w:r>
      <w:r w:rsidR="0001211F" w:rsidRPr="000E39BF">
        <w:rPr>
          <w:rFonts w:ascii="Times New Roman" w:hAnsi="Times New Roman"/>
          <w:sz w:val="24"/>
        </w:rPr>
        <w:t xml:space="preserve">food </w:t>
      </w:r>
      <w:r w:rsidRPr="000E39BF">
        <w:rPr>
          <w:rFonts w:ascii="Times New Roman" w:hAnsi="Times New Roman"/>
          <w:sz w:val="24"/>
        </w:rPr>
        <w:t xml:space="preserve">demand; </w:t>
      </w:r>
      <w:r w:rsidR="006F6BE2">
        <w:rPr>
          <w:rFonts w:ascii="Times New Roman" w:hAnsi="Times New Roman"/>
          <w:sz w:val="24"/>
        </w:rPr>
        <w:t xml:space="preserve">and </w:t>
      </w:r>
      <w:r w:rsidRPr="000E39BF">
        <w:rPr>
          <w:rFonts w:ascii="Times New Roman" w:hAnsi="Times New Roman"/>
          <w:sz w:val="24"/>
        </w:rPr>
        <w:t>assessing future infrastructure needs and strategic market access opportunities to increase exports to Asia.</w:t>
      </w:r>
    </w:p>
    <w:p w:rsidR="000E0B9A" w:rsidRDefault="000E0B9A">
      <w:pPr>
        <w:pStyle w:val="CABNETParagraphAtt"/>
        <w:spacing w:before="0" w:after="0"/>
        <w:rPr>
          <w:rFonts w:ascii="Times New Roman" w:hAnsi="Times New Roman"/>
          <w:sz w:val="24"/>
        </w:rPr>
      </w:pPr>
    </w:p>
    <w:p w:rsidR="000E0B9A" w:rsidRDefault="00295658">
      <w:r w:rsidRPr="008313C3">
        <w:t xml:space="preserve">Payments will be made as </w:t>
      </w:r>
      <w:r w:rsidR="008313C3" w:rsidRPr="008313C3">
        <w:t xml:space="preserve">part of </w:t>
      </w:r>
      <w:r w:rsidR="000962DB">
        <w:t>‘</w:t>
      </w:r>
      <w:r w:rsidR="008313C3" w:rsidRPr="008313C3">
        <w:t>decisions taken but not yet announced</w:t>
      </w:r>
      <w:r w:rsidR="000962DB">
        <w:t>’</w:t>
      </w:r>
      <w:r w:rsidR="00C023D4">
        <w:t>,</w:t>
      </w:r>
      <w:r w:rsidR="008313C3" w:rsidRPr="008313C3">
        <w:t xml:space="preserve"> </w:t>
      </w:r>
      <w:r w:rsidRPr="008313C3">
        <w:t xml:space="preserve">described in the </w:t>
      </w:r>
      <w:r w:rsidRPr="008313C3">
        <w:rPr>
          <w:i/>
        </w:rPr>
        <w:t>Portfolio Budget Statements 2013-14, Budget Related Paper No. 1.1</w:t>
      </w:r>
      <w:r w:rsidR="00576528">
        <w:rPr>
          <w:i/>
        </w:rPr>
        <w:t xml:space="preserve">, </w:t>
      </w:r>
      <w:r w:rsidR="00246150" w:rsidRPr="00246150">
        <w:rPr>
          <w:i/>
        </w:rPr>
        <w:t>Agriculture, Fisheries and Forestry Portfolio</w:t>
      </w:r>
      <w:r w:rsidRPr="008313C3">
        <w:rPr>
          <w:i/>
        </w:rPr>
        <w:t xml:space="preserve"> </w:t>
      </w:r>
      <w:r w:rsidR="00010368" w:rsidRPr="008313C3">
        <w:t>at page</w:t>
      </w:r>
      <w:r w:rsidR="00A96EFD" w:rsidRPr="008313C3">
        <w:t> </w:t>
      </w:r>
      <w:r w:rsidR="00010368" w:rsidRPr="008313C3">
        <w:t>19</w:t>
      </w:r>
      <w:r w:rsidRPr="0001211F">
        <w:t>.</w:t>
      </w:r>
    </w:p>
    <w:p w:rsidR="000E0B9A" w:rsidRDefault="000E0B9A"/>
    <w:p w:rsidR="000E0B9A" w:rsidRDefault="00706F2A" w:rsidP="00A371F5">
      <w:pPr>
        <w:pStyle w:val="paranumbering0"/>
        <w:spacing w:before="0" w:beforeAutospacing="0" w:after="0" w:afterAutospacing="0"/>
      </w:pPr>
      <w:r w:rsidRPr="00706F2A">
        <w:rPr>
          <w:color w:val="000000" w:themeColor="text1"/>
        </w:rPr>
        <w:t>New</w:t>
      </w:r>
      <w:r w:rsidR="00CD3752">
        <w:rPr>
          <w:b/>
          <w:color w:val="000000" w:themeColor="text1"/>
        </w:rPr>
        <w:t xml:space="preserve"> i</w:t>
      </w:r>
      <w:r w:rsidR="00730B1E">
        <w:rPr>
          <w:b/>
          <w:color w:val="000000" w:themeColor="text1"/>
        </w:rPr>
        <w:t xml:space="preserve">tem </w:t>
      </w:r>
      <w:r w:rsidRPr="00706F2A">
        <w:rPr>
          <w:b/>
          <w:color w:val="000000" w:themeColor="text1"/>
        </w:rPr>
        <w:t>401.</w:t>
      </w:r>
      <w:r w:rsidR="007974BA">
        <w:rPr>
          <w:b/>
          <w:color w:val="000000" w:themeColor="text1"/>
        </w:rPr>
        <w:t>0</w:t>
      </w:r>
      <w:r w:rsidR="007974BA" w:rsidRPr="00632DE3">
        <w:rPr>
          <w:b/>
          <w:color w:val="000000" w:themeColor="text1"/>
        </w:rPr>
        <w:t>2</w:t>
      </w:r>
      <w:r w:rsidR="00CD3752">
        <w:rPr>
          <w:b/>
          <w:color w:val="000000" w:themeColor="text1"/>
        </w:rPr>
        <w:t xml:space="preserve">5 </w:t>
      </w:r>
      <w:r w:rsidR="00CD3752">
        <w:t>e</w:t>
      </w:r>
      <w:r w:rsidR="00CD3752" w:rsidRPr="000E39BF">
        <w:t>stablishes</w:t>
      </w:r>
      <w:r w:rsidR="00010368" w:rsidRPr="000E39BF">
        <w:t xml:space="preserve"> legislative authority for </w:t>
      </w:r>
      <w:r w:rsidR="00AC269B">
        <w:t xml:space="preserve">the </w:t>
      </w:r>
      <w:r w:rsidR="00CD3752">
        <w:t xml:space="preserve">Government </w:t>
      </w:r>
      <w:r w:rsidR="00010368" w:rsidRPr="000E39BF">
        <w:t>to fund a Brand Australia Global Food Strategy</w:t>
      </w:r>
      <w:r w:rsidR="00772E05">
        <w:t>, an initiative supporting the National Food Plan</w:t>
      </w:r>
      <w:r w:rsidR="00010368" w:rsidRPr="000E39BF">
        <w:t>.</w:t>
      </w:r>
    </w:p>
    <w:p w:rsidR="000E0B9A" w:rsidRDefault="000E0B9A" w:rsidP="00A371F5">
      <w:pPr>
        <w:pStyle w:val="paranumbering0"/>
        <w:spacing w:before="0" w:beforeAutospacing="0" w:after="0" w:afterAutospacing="0"/>
      </w:pPr>
    </w:p>
    <w:p w:rsidR="000E0B9A" w:rsidRDefault="00010368">
      <w:r w:rsidRPr="000E39BF">
        <w:t xml:space="preserve">The $2 million Brand Australia Global Food Strategy will develop a brand identity for Australia’s food industry. </w:t>
      </w:r>
      <w:r w:rsidR="00E77E98" w:rsidRPr="00632DE3">
        <w:rPr>
          <w:szCs w:val="24"/>
        </w:rPr>
        <w:t xml:space="preserve"> </w:t>
      </w:r>
      <w:r w:rsidRPr="000E39BF">
        <w:t xml:space="preserve">It will build on Australia’s clean and green reputation as a leader in the production of premium, safe and competitive food products; </w:t>
      </w:r>
      <w:r w:rsidR="00E77E98" w:rsidRPr="00632DE3">
        <w:rPr>
          <w:szCs w:val="24"/>
        </w:rPr>
        <w:t>expand</w:t>
      </w:r>
      <w:r w:rsidRPr="000E39BF">
        <w:t xml:space="preserve"> export opportunities; and </w:t>
      </w:r>
      <w:r w:rsidR="00632DE3">
        <w:rPr>
          <w:szCs w:val="24"/>
        </w:rPr>
        <w:t>position</w:t>
      </w:r>
      <w:r w:rsidRPr="000E39BF">
        <w:t xml:space="preserve"> Australia to attract foreign investment in food innovation.</w:t>
      </w:r>
      <w:r w:rsidR="00730B1E">
        <w:rPr>
          <w:szCs w:val="24"/>
        </w:rPr>
        <w:t xml:space="preserve">  </w:t>
      </w:r>
      <w:r w:rsidRPr="000E39BF">
        <w:t>The initiative will leverage and build on the knowledge and assets created under the Australian Government’s Australia Unlimited campaign.</w:t>
      </w:r>
    </w:p>
    <w:p w:rsidR="000E0B9A" w:rsidRDefault="000E0B9A"/>
    <w:p w:rsidR="00675385" w:rsidRDefault="00010368" w:rsidP="00D93251">
      <w:pPr>
        <w:keepNext/>
        <w:shd w:val="clear" w:color="auto" w:fill="FFFFFF" w:themeFill="background1"/>
        <w:tabs>
          <w:tab w:val="num" w:pos="426"/>
        </w:tabs>
        <w:spacing w:after="120"/>
      </w:pPr>
      <w:r w:rsidRPr="000E39BF">
        <w:t xml:space="preserve">The key features of </w:t>
      </w:r>
      <w:r w:rsidR="00A86882">
        <w:t>the Strategy</w:t>
      </w:r>
      <w:r w:rsidR="00A86882" w:rsidRPr="000E39BF">
        <w:t xml:space="preserve"> </w:t>
      </w:r>
      <w:r w:rsidRPr="000E39BF">
        <w:t>include:</w:t>
      </w:r>
    </w:p>
    <w:p w:rsidR="00705C97" w:rsidRDefault="00CA0603" w:rsidP="00D93251">
      <w:pPr>
        <w:numPr>
          <w:ilvl w:val="0"/>
          <w:numId w:val="42"/>
        </w:numPr>
        <w:spacing w:after="120"/>
        <w:ind w:left="714" w:hanging="357"/>
      </w:pPr>
      <w:r w:rsidRPr="00632DE3">
        <w:rPr>
          <w:szCs w:val="24"/>
        </w:rPr>
        <w:t>a</w:t>
      </w:r>
      <w:r w:rsidR="00010368" w:rsidRPr="00632DE3">
        <w:rPr>
          <w:szCs w:val="24"/>
        </w:rPr>
        <w:t>n</w:t>
      </w:r>
      <w:r w:rsidR="00010368" w:rsidRPr="000E39BF">
        <w:t xml:space="preserve"> international study to develop a clear understanding of how Australia’s food production and manufacturing industry is perceived internationally</w:t>
      </w:r>
      <w:r w:rsidRPr="00632DE3">
        <w:rPr>
          <w:szCs w:val="24"/>
        </w:rPr>
        <w:t>;</w:t>
      </w:r>
    </w:p>
    <w:p w:rsidR="00705C97" w:rsidRDefault="00CA0603" w:rsidP="00D93251">
      <w:pPr>
        <w:numPr>
          <w:ilvl w:val="0"/>
          <w:numId w:val="42"/>
        </w:numPr>
        <w:spacing w:after="120"/>
        <w:ind w:left="714" w:hanging="357"/>
      </w:pPr>
      <w:r w:rsidRPr="00632DE3">
        <w:rPr>
          <w:szCs w:val="24"/>
        </w:rPr>
        <w:t>c</w:t>
      </w:r>
      <w:r w:rsidR="00010368" w:rsidRPr="00632DE3">
        <w:rPr>
          <w:szCs w:val="24"/>
        </w:rPr>
        <w:t>reating</w:t>
      </w:r>
      <w:r w:rsidR="00010368" w:rsidRPr="000E39BF">
        <w:t xml:space="preserve"> a brand identity that represents Australian food industry as ambitious, confident and engaged</w:t>
      </w:r>
      <w:r w:rsidRPr="00632DE3">
        <w:rPr>
          <w:szCs w:val="24"/>
        </w:rPr>
        <w:t>;</w:t>
      </w:r>
      <w:r w:rsidR="00010368" w:rsidRPr="000E39BF">
        <w:t xml:space="preserve"> </w:t>
      </w:r>
    </w:p>
    <w:p w:rsidR="00705C97" w:rsidRDefault="00CA0603" w:rsidP="00D93251">
      <w:pPr>
        <w:numPr>
          <w:ilvl w:val="0"/>
          <w:numId w:val="42"/>
        </w:numPr>
        <w:spacing w:after="120"/>
        <w:ind w:left="714" w:hanging="357"/>
      </w:pPr>
      <w:r w:rsidRPr="00632DE3">
        <w:rPr>
          <w:szCs w:val="24"/>
        </w:rPr>
        <w:t>u</w:t>
      </w:r>
      <w:r w:rsidR="00010368" w:rsidRPr="00632DE3">
        <w:rPr>
          <w:szCs w:val="24"/>
        </w:rPr>
        <w:t>sing</w:t>
      </w:r>
      <w:r w:rsidR="00010368" w:rsidRPr="000E39BF">
        <w:t xml:space="preserve"> existing Australia Unlimited digital channels to share content that demonstrates Australia’s expertise in food production</w:t>
      </w:r>
      <w:r w:rsidRPr="00632DE3">
        <w:rPr>
          <w:szCs w:val="24"/>
        </w:rPr>
        <w:t>;</w:t>
      </w:r>
    </w:p>
    <w:p w:rsidR="00705C97" w:rsidRDefault="00CA0603" w:rsidP="00D93251">
      <w:pPr>
        <w:numPr>
          <w:ilvl w:val="0"/>
          <w:numId w:val="42"/>
        </w:numPr>
        <w:spacing w:after="120"/>
        <w:ind w:left="714" w:hanging="357"/>
      </w:pPr>
      <w:r w:rsidRPr="00632DE3">
        <w:rPr>
          <w:szCs w:val="24"/>
        </w:rPr>
        <w:t>a</w:t>
      </w:r>
      <w:r w:rsidR="00010368" w:rsidRPr="00632DE3">
        <w:rPr>
          <w:szCs w:val="24"/>
        </w:rPr>
        <w:t>n</w:t>
      </w:r>
      <w:r w:rsidR="00010368" w:rsidRPr="000E39BF">
        <w:t xml:space="preserve"> international media tour to raise awareness of Australia’s food production, research and development and manufacturing capabilities</w:t>
      </w:r>
      <w:r w:rsidRPr="00632DE3">
        <w:rPr>
          <w:szCs w:val="24"/>
        </w:rPr>
        <w:t>;</w:t>
      </w:r>
    </w:p>
    <w:p w:rsidR="00705C97" w:rsidRDefault="00CA0603" w:rsidP="00D93251">
      <w:pPr>
        <w:numPr>
          <w:ilvl w:val="0"/>
          <w:numId w:val="42"/>
        </w:numPr>
        <w:spacing w:after="120"/>
        <w:ind w:left="714" w:hanging="357"/>
      </w:pPr>
      <w:r w:rsidRPr="00632DE3">
        <w:rPr>
          <w:szCs w:val="24"/>
        </w:rPr>
        <w:t>e</w:t>
      </w:r>
      <w:r w:rsidR="00010368" w:rsidRPr="00632DE3">
        <w:rPr>
          <w:szCs w:val="24"/>
        </w:rPr>
        <w:t>ngagement</w:t>
      </w:r>
      <w:r w:rsidR="00010368" w:rsidRPr="000E39BF">
        <w:t xml:space="preserve"> with industry stakeholders in the development of the brand and to encourage take up of the brand through public education</w:t>
      </w:r>
      <w:r w:rsidRPr="00632DE3">
        <w:rPr>
          <w:szCs w:val="24"/>
        </w:rPr>
        <w:t>; and</w:t>
      </w:r>
      <w:r w:rsidR="00010368" w:rsidRPr="000E39BF">
        <w:t xml:space="preserve">  </w:t>
      </w:r>
    </w:p>
    <w:p w:rsidR="00705C97" w:rsidRDefault="00CA0603" w:rsidP="00D93251">
      <w:pPr>
        <w:numPr>
          <w:ilvl w:val="0"/>
          <w:numId w:val="42"/>
        </w:numPr>
        <w:ind w:left="714" w:hanging="357"/>
      </w:pPr>
      <w:r w:rsidRPr="00632DE3">
        <w:rPr>
          <w:szCs w:val="24"/>
        </w:rPr>
        <w:t>t</w:t>
      </w:r>
      <w:r w:rsidR="00010368" w:rsidRPr="00632DE3">
        <w:rPr>
          <w:szCs w:val="24"/>
        </w:rPr>
        <w:t>he</w:t>
      </w:r>
      <w:r w:rsidR="00010368" w:rsidRPr="000E39BF">
        <w:t xml:space="preserve"> brand </w:t>
      </w:r>
      <w:r w:rsidR="00010368" w:rsidRPr="00632DE3">
        <w:rPr>
          <w:szCs w:val="24"/>
        </w:rPr>
        <w:t>be</w:t>
      </w:r>
      <w:r w:rsidRPr="00632DE3">
        <w:rPr>
          <w:szCs w:val="24"/>
        </w:rPr>
        <w:t>ing</w:t>
      </w:r>
      <w:r w:rsidR="00010368" w:rsidRPr="000E39BF">
        <w:t xml:space="preserve"> freely available to all food-related businesses. </w:t>
      </w:r>
    </w:p>
    <w:p w:rsidR="000E0B9A" w:rsidRDefault="000E0B9A"/>
    <w:p w:rsidR="00010368" w:rsidRDefault="00295658" w:rsidP="00010368">
      <w:r w:rsidRPr="008313C3">
        <w:t xml:space="preserve">Payments will be made as </w:t>
      </w:r>
      <w:r w:rsidR="008313C3" w:rsidRPr="008313C3">
        <w:t xml:space="preserve">part of </w:t>
      </w:r>
      <w:r w:rsidR="00C023D4">
        <w:t>‘</w:t>
      </w:r>
      <w:r w:rsidR="008313C3" w:rsidRPr="008313C3">
        <w:t>decisions taken but not yet announced</w:t>
      </w:r>
      <w:r w:rsidR="00C023D4">
        <w:t>’,</w:t>
      </w:r>
      <w:r w:rsidR="002A596C">
        <w:t xml:space="preserve"> </w:t>
      </w:r>
      <w:r w:rsidRPr="008313C3">
        <w:t xml:space="preserve">described in the </w:t>
      </w:r>
      <w:r w:rsidRPr="008313C3">
        <w:rPr>
          <w:i/>
        </w:rPr>
        <w:t>Portfolio Budget Statements 2013-14, Budget Related Paper No. 1.1</w:t>
      </w:r>
      <w:r w:rsidR="00576528">
        <w:rPr>
          <w:i/>
        </w:rPr>
        <w:t xml:space="preserve">, </w:t>
      </w:r>
      <w:r w:rsidR="00246150" w:rsidRPr="00246150">
        <w:rPr>
          <w:i/>
        </w:rPr>
        <w:t>Agriculture, Fisheries and Forestry Portfolio</w:t>
      </w:r>
      <w:r w:rsidRPr="008313C3">
        <w:rPr>
          <w:i/>
        </w:rPr>
        <w:t xml:space="preserve"> </w:t>
      </w:r>
      <w:r w:rsidRPr="008313C3">
        <w:t>at page 19</w:t>
      </w:r>
      <w:r w:rsidR="00010368" w:rsidRPr="008313C3">
        <w:t>.</w:t>
      </w:r>
    </w:p>
    <w:p w:rsidR="000E0B9A" w:rsidRDefault="000E0B9A"/>
    <w:p w:rsidR="000E0B9A" w:rsidRDefault="00706F2A" w:rsidP="00763C3B">
      <w:pPr>
        <w:pStyle w:val="paranumbering0"/>
        <w:spacing w:before="0" w:beforeAutospacing="0" w:after="0" w:afterAutospacing="0"/>
      </w:pPr>
      <w:r w:rsidRPr="00706F2A">
        <w:rPr>
          <w:color w:val="000000" w:themeColor="text1"/>
        </w:rPr>
        <w:t>New</w:t>
      </w:r>
      <w:r w:rsidR="00CD3752">
        <w:rPr>
          <w:b/>
          <w:color w:val="000000" w:themeColor="text1"/>
        </w:rPr>
        <w:t xml:space="preserve"> i</w:t>
      </w:r>
      <w:r w:rsidR="00730B1E">
        <w:rPr>
          <w:b/>
          <w:color w:val="000000" w:themeColor="text1"/>
        </w:rPr>
        <w:t xml:space="preserve">tem </w:t>
      </w:r>
      <w:r w:rsidR="00404FED" w:rsidRPr="00404FED">
        <w:rPr>
          <w:b/>
          <w:color w:val="000000" w:themeColor="text1"/>
        </w:rPr>
        <w:t>401.</w:t>
      </w:r>
      <w:r w:rsidR="007974BA">
        <w:rPr>
          <w:b/>
          <w:color w:val="000000" w:themeColor="text1"/>
        </w:rPr>
        <w:t>0</w:t>
      </w:r>
      <w:r w:rsidR="007974BA" w:rsidRPr="00632DE3">
        <w:rPr>
          <w:b/>
          <w:color w:val="000000" w:themeColor="text1"/>
        </w:rPr>
        <w:t>2</w:t>
      </w:r>
      <w:r w:rsidR="00CD3752">
        <w:rPr>
          <w:b/>
          <w:color w:val="000000" w:themeColor="text1"/>
        </w:rPr>
        <w:t>6</w:t>
      </w:r>
      <w:r w:rsidR="007974BA">
        <w:rPr>
          <w:b/>
          <w:color w:val="000000" w:themeColor="text1"/>
        </w:rPr>
        <w:t xml:space="preserve"> </w:t>
      </w:r>
      <w:r w:rsidR="00010368" w:rsidRPr="000E39BF">
        <w:t>establish</w:t>
      </w:r>
      <w:r w:rsidR="00CD3752">
        <w:t>es</w:t>
      </w:r>
      <w:r w:rsidR="00010368" w:rsidRPr="000E39BF">
        <w:t xml:space="preserve"> legislative authority </w:t>
      </w:r>
      <w:r w:rsidR="00AC269B" w:rsidRPr="000E39BF">
        <w:t xml:space="preserve">for </w:t>
      </w:r>
      <w:r w:rsidR="00AC269B">
        <w:t xml:space="preserve">the </w:t>
      </w:r>
      <w:r w:rsidR="00CD3752">
        <w:t>Government</w:t>
      </w:r>
      <w:r w:rsidR="00AC269B">
        <w:t xml:space="preserve"> </w:t>
      </w:r>
      <w:r w:rsidR="00010368" w:rsidRPr="000E39BF">
        <w:t xml:space="preserve">to fund </w:t>
      </w:r>
      <w:r w:rsidR="006F6BE2">
        <w:t>‘</w:t>
      </w:r>
      <w:r w:rsidR="00010368" w:rsidRPr="000E39BF">
        <w:t>Food in the National Curriculum</w:t>
      </w:r>
      <w:r w:rsidR="006F6BE2">
        <w:t>’</w:t>
      </w:r>
      <w:r w:rsidR="00772E05">
        <w:t>, an initiative supporting the National Food Plan</w:t>
      </w:r>
      <w:r w:rsidR="00010368" w:rsidRPr="000E39BF">
        <w:t>.</w:t>
      </w:r>
      <w:r w:rsidR="00763C3B">
        <w:t xml:space="preserve">  </w:t>
      </w:r>
      <w:r w:rsidR="00010368" w:rsidRPr="000E39BF">
        <w:t xml:space="preserve">The $1.5 million initiative will create new food and agriculture related education resources linked to the Australian curriculum. </w:t>
      </w:r>
      <w:r w:rsidR="00423588" w:rsidRPr="00632DE3">
        <w:t xml:space="preserve"> </w:t>
      </w:r>
      <w:r w:rsidR="00010368" w:rsidRPr="000E39BF">
        <w:t>Resources will cover primary and secondary subjects, including science, geography, technologies</w:t>
      </w:r>
      <w:r w:rsidR="001C68BF">
        <w:t>,</w:t>
      </w:r>
      <w:r w:rsidR="00010368" w:rsidRPr="000E39BF">
        <w:t xml:space="preserve"> health and physical education. </w:t>
      </w:r>
      <w:r w:rsidR="00423588" w:rsidRPr="00632DE3">
        <w:t xml:space="preserve"> The Department of Education</w:t>
      </w:r>
      <w:r w:rsidR="002C2D51">
        <w:t>, Employment</w:t>
      </w:r>
      <w:r w:rsidR="00423588" w:rsidRPr="00632DE3">
        <w:t xml:space="preserve"> and Workplace Relations</w:t>
      </w:r>
      <w:r w:rsidR="00730B1E">
        <w:t xml:space="preserve"> </w:t>
      </w:r>
      <w:r w:rsidR="000962DB">
        <w:t xml:space="preserve">(DEEWR) </w:t>
      </w:r>
      <w:r w:rsidR="00010368" w:rsidRPr="000E39BF">
        <w:t>will lead this component.</w:t>
      </w:r>
    </w:p>
    <w:p w:rsidR="000E0B9A" w:rsidRDefault="000E0B9A"/>
    <w:p w:rsidR="000E0B9A" w:rsidRDefault="00010368">
      <w:r w:rsidRPr="000E39BF">
        <w:t xml:space="preserve">The initiative will also fund professional development opportunities for primary and secondary teachers that build teacher knowledge and networks in the area of food and agriculture. </w:t>
      </w:r>
      <w:r w:rsidR="00423588" w:rsidRPr="00632DE3">
        <w:t xml:space="preserve"> </w:t>
      </w:r>
      <w:r w:rsidRPr="000E39BF">
        <w:t xml:space="preserve">This will maximise opportunities to teach children about food and agriculture through the Australian curriculum. </w:t>
      </w:r>
    </w:p>
    <w:p w:rsidR="000E0B9A" w:rsidRDefault="000E0B9A"/>
    <w:p w:rsidR="000E0B9A" w:rsidRDefault="00010368">
      <w:r w:rsidRPr="000E39BF">
        <w:t xml:space="preserve">In addition, the initiative will fund career advice and resources, including through the use of electronic communication services, that help build young Australians’ knowledge of food and agriculture and encourage interested students to consider the wide range of careers in the industry. </w:t>
      </w:r>
      <w:r w:rsidR="00730B1E">
        <w:t xml:space="preserve"> </w:t>
      </w:r>
      <w:r w:rsidR="00730B1E" w:rsidRPr="000E39BF">
        <w:t>DAFF will lead both these components.</w:t>
      </w:r>
    </w:p>
    <w:p w:rsidR="000E0B9A" w:rsidRDefault="000E0B9A"/>
    <w:p w:rsidR="000E0B9A" w:rsidRDefault="00295658">
      <w:r w:rsidRPr="008313C3">
        <w:t xml:space="preserve">Payment will be made by DAFF ($1 million) and DEEWR ($0.5 million) from 2012-13 appropriations as </w:t>
      </w:r>
      <w:r w:rsidR="008313C3" w:rsidRPr="008313C3">
        <w:t xml:space="preserve">part of </w:t>
      </w:r>
      <w:r w:rsidR="000962DB">
        <w:t>‘</w:t>
      </w:r>
      <w:r w:rsidR="008313C3" w:rsidRPr="008313C3">
        <w:t>decisions taken but not yet announced</w:t>
      </w:r>
      <w:r w:rsidR="000962DB">
        <w:t>’</w:t>
      </w:r>
      <w:r w:rsidR="00C023D4">
        <w:t>,</w:t>
      </w:r>
      <w:r w:rsidR="008313C3" w:rsidRPr="008313C3">
        <w:t xml:space="preserve"> </w:t>
      </w:r>
      <w:r w:rsidRPr="008313C3">
        <w:t xml:space="preserve">described in the </w:t>
      </w:r>
      <w:r w:rsidRPr="008313C3">
        <w:rPr>
          <w:i/>
        </w:rPr>
        <w:t>Portfolio Budget Statements 2013-14, Budget Related Paper</w:t>
      </w:r>
      <w:r w:rsidR="002A596C">
        <w:t xml:space="preserve"> </w:t>
      </w:r>
      <w:r w:rsidR="002A596C">
        <w:rPr>
          <w:i/>
        </w:rPr>
        <w:t>No. 1.1</w:t>
      </w:r>
      <w:r w:rsidR="00576528">
        <w:rPr>
          <w:i/>
        </w:rPr>
        <w:t xml:space="preserve">, </w:t>
      </w:r>
      <w:r w:rsidR="00246150" w:rsidRPr="00246150">
        <w:rPr>
          <w:i/>
        </w:rPr>
        <w:t>Agriculture, Fisheries, and Forestry Portfolio</w:t>
      </w:r>
      <w:r w:rsidR="002A596C">
        <w:rPr>
          <w:i/>
        </w:rPr>
        <w:t xml:space="preserve"> </w:t>
      </w:r>
      <w:r w:rsidR="002A596C">
        <w:t>at page 19</w:t>
      </w:r>
      <w:r w:rsidR="00470DE4" w:rsidRPr="000E39BF">
        <w:t>.</w:t>
      </w:r>
    </w:p>
    <w:p w:rsidR="000E0B9A" w:rsidRDefault="000E0B9A"/>
    <w:p w:rsidR="000E0B9A" w:rsidRDefault="00706F2A" w:rsidP="00A371F5">
      <w:pPr>
        <w:pStyle w:val="paranumbering0"/>
        <w:spacing w:before="0" w:beforeAutospacing="0" w:after="0" w:afterAutospacing="0"/>
      </w:pPr>
      <w:r w:rsidRPr="00706F2A">
        <w:rPr>
          <w:color w:val="000000" w:themeColor="text1"/>
        </w:rPr>
        <w:t>New</w:t>
      </w:r>
      <w:r w:rsidR="009C3CC2">
        <w:rPr>
          <w:b/>
          <w:color w:val="000000" w:themeColor="text1"/>
        </w:rPr>
        <w:t xml:space="preserve"> </w:t>
      </w:r>
      <w:r w:rsidR="00CD3752">
        <w:rPr>
          <w:b/>
          <w:color w:val="000000" w:themeColor="text1"/>
        </w:rPr>
        <w:t>i</w:t>
      </w:r>
      <w:r w:rsidR="009C3CC2">
        <w:rPr>
          <w:b/>
          <w:color w:val="000000" w:themeColor="text1"/>
        </w:rPr>
        <w:t xml:space="preserve">tem </w:t>
      </w:r>
      <w:r w:rsidRPr="00706F2A">
        <w:rPr>
          <w:b/>
          <w:color w:val="000000" w:themeColor="text1"/>
        </w:rPr>
        <w:t>401.</w:t>
      </w:r>
      <w:r w:rsidR="00CC5E1A">
        <w:rPr>
          <w:b/>
          <w:color w:val="000000" w:themeColor="text1"/>
        </w:rPr>
        <w:t>0</w:t>
      </w:r>
      <w:r w:rsidR="00CC5E1A" w:rsidRPr="00632DE3">
        <w:rPr>
          <w:b/>
          <w:color w:val="000000" w:themeColor="text1"/>
        </w:rPr>
        <w:t>2</w:t>
      </w:r>
      <w:r w:rsidR="00CC5E1A">
        <w:rPr>
          <w:b/>
          <w:color w:val="000000" w:themeColor="text1"/>
        </w:rPr>
        <w:t xml:space="preserve">7 </w:t>
      </w:r>
      <w:r w:rsidR="002C1FB3" w:rsidRPr="000E39BF">
        <w:t>establish</w:t>
      </w:r>
      <w:r w:rsidR="00772E05">
        <w:t>es</w:t>
      </w:r>
      <w:r w:rsidR="002C1FB3" w:rsidRPr="000E39BF">
        <w:t xml:space="preserve"> legislative authority for </w:t>
      </w:r>
      <w:r w:rsidR="00AC269B">
        <w:t xml:space="preserve">the </w:t>
      </w:r>
      <w:r w:rsidR="00772E05">
        <w:t>Government</w:t>
      </w:r>
      <w:r w:rsidR="002C1FB3" w:rsidRPr="000E39BF">
        <w:t xml:space="preserve"> to </w:t>
      </w:r>
      <w:r w:rsidR="00772E05">
        <w:t xml:space="preserve">fund the Community </w:t>
      </w:r>
      <w:r w:rsidR="002C1FB3" w:rsidRPr="000E39BF">
        <w:t>Food Initiatives</w:t>
      </w:r>
      <w:r w:rsidR="00772E05">
        <w:t>, an initiative supporting the National Food Plan</w:t>
      </w:r>
      <w:r w:rsidR="002C1FB3" w:rsidRPr="000E39BF">
        <w:t>.</w:t>
      </w:r>
    </w:p>
    <w:p w:rsidR="000E0B9A" w:rsidRDefault="000E0B9A" w:rsidP="00A371F5">
      <w:pPr>
        <w:pStyle w:val="paranumbering0"/>
        <w:spacing w:before="0" w:beforeAutospacing="0" w:after="0" w:afterAutospacing="0"/>
      </w:pPr>
    </w:p>
    <w:p w:rsidR="000E0B9A" w:rsidRDefault="002C1FB3" w:rsidP="00A371F5">
      <w:r w:rsidRPr="000E39BF">
        <w:t xml:space="preserve">The Community Food Initiatives program will provide funding of $1.5 million in 2013-14 to provide small grants to support the establishment or improvement of community food initiatives such as farmers markets, food cooperatives, food hubs, community gardens, city farms and initiatives that will address food insecurity such as food rescue services. </w:t>
      </w:r>
      <w:r w:rsidR="00423588" w:rsidRPr="00632DE3">
        <w:t xml:space="preserve"> </w:t>
      </w:r>
      <w:r w:rsidRPr="000E39BF">
        <w:t xml:space="preserve">Many communities and community groups face barriers to the establishment and improvement of community food projects, especially in lower socio-economic areas. </w:t>
      </w:r>
      <w:r w:rsidR="00423588" w:rsidRPr="00632DE3">
        <w:t xml:space="preserve"> </w:t>
      </w:r>
      <w:r w:rsidRPr="000E39BF">
        <w:t>These grants will help reduce these barriers.</w:t>
      </w:r>
    </w:p>
    <w:p w:rsidR="000E0B9A" w:rsidRDefault="000E0B9A"/>
    <w:p w:rsidR="00705C97" w:rsidRDefault="002C1FB3" w:rsidP="00D93251">
      <w:pPr>
        <w:spacing w:after="120"/>
      </w:pPr>
      <w:r w:rsidRPr="000E39BF">
        <w:t>The objectives of the program are to</w:t>
      </w:r>
      <w:r w:rsidR="006F6BE2">
        <w:t>:</w:t>
      </w:r>
    </w:p>
    <w:p w:rsidR="00705C97" w:rsidRDefault="008A4ECF" w:rsidP="00D93251">
      <w:pPr>
        <w:numPr>
          <w:ilvl w:val="0"/>
          <w:numId w:val="36"/>
        </w:numPr>
        <w:spacing w:after="120"/>
        <w:ind w:left="714" w:hanging="357"/>
        <w:rPr>
          <w:szCs w:val="24"/>
        </w:rPr>
      </w:pPr>
      <w:r w:rsidRPr="008A4ECF">
        <w:rPr>
          <w:szCs w:val="24"/>
        </w:rPr>
        <w:t xml:space="preserve">build social networks, community cohesion and resilience, and connect farmers and consumers; </w:t>
      </w:r>
    </w:p>
    <w:p w:rsidR="00705C97" w:rsidRDefault="008A4ECF" w:rsidP="00D93251">
      <w:pPr>
        <w:numPr>
          <w:ilvl w:val="0"/>
          <w:numId w:val="36"/>
        </w:numPr>
        <w:spacing w:after="120"/>
        <w:ind w:left="714" w:hanging="357"/>
        <w:rPr>
          <w:szCs w:val="24"/>
        </w:rPr>
      </w:pPr>
      <w:r w:rsidRPr="008A4ECF">
        <w:rPr>
          <w:szCs w:val="24"/>
        </w:rPr>
        <w:t xml:space="preserve">improve people’s knowledge about food production and preparation to encourage the adoption of healthy diets; and </w:t>
      </w:r>
    </w:p>
    <w:p w:rsidR="00705C97" w:rsidRDefault="008A4ECF" w:rsidP="00D93251">
      <w:pPr>
        <w:numPr>
          <w:ilvl w:val="0"/>
          <w:numId w:val="36"/>
        </w:numPr>
        <w:ind w:left="714" w:hanging="357"/>
        <w:rPr>
          <w:szCs w:val="24"/>
        </w:rPr>
      </w:pPr>
      <w:r w:rsidRPr="008A4ECF">
        <w:rPr>
          <w:szCs w:val="24"/>
        </w:rPr>
        <w:t>help provide surplus safe and nutritious food to disadvantaged groups.</w:t>
      </w:r>
    </w:p>
    <w:p w:rsidR="000E0B9A" w:rsidRDefault="000E0B9A"/>
    <w:p w:rsidR="000E0B9A" w:rsidRDefault="002C1FB3">
      <w:r w:rsidRPr="000E39BF">
        <w:t xml:space="preserve">The Community Food </w:t>
      </w:r>
      <w:r w:rsidR="0067104A">
        <w:t>I</w:t>
      </w:r>
      <w:r w:rsidRPr="000E39BF">
        <w:t>nitiatives will be administered as a competitive grants program, with one round in 2013-14.</w:t>
      </w:r>
      <w:r w:rsidR="002C2D51">
        <w:t xml:space="preserve"> </w:t>
      </w:r>
      <w:r w:rsidRPr="000E39BF">
        <w:t xml:space="preserve"> The </w:t>
      </w:r>
      <w:r w:rsidR="00C15C80">
        <w:t>decision-maker</w:t>
      </w:r>
      <w:r w:rsidRPr="000E39BF">
        <w:t xml:space="preserve"> for successful grants under the program will be the Minister or his delegate.</w:t>
      </w:r>
    </w:p>
    <w:p w:rsidR="000E0B9A" w:rsidRDefault="000E0B9A"/>
    <w:p w:rsidR="000E0B9A" w:rsidRDefault="00295658">
      <w:r w:rsidRPr="00077469">
        <w:t xml:space="preserve">Payments will be made as </w:t>
      </w:r>
      <w:r w:rsidR="002A596C">
        <w:t xml:space="preserve">part of </w:t>
      </w:r>
      <w:r w:rsidR="000962DB">
        <w:t>‘</w:t>
      </w:r>
      <w:r w:rsidR="002A596C">
        <w:t>decisions taken but not yet announced</w:t>
      </w:r>
      <w:r w:rsidR="000962DB">
        <w:t>’</w:t>
      </w:r>
      <w:r w:rsidR="00C023D4">
        <w:t>,</w:t>
      </w:r>
      <w:r w:rsidR="002A596C">
        <w:t xml:space="preserve"> described in the </w:t>
      </w:r>
      <w:r w:rsidR="002A596C">
        <w:rPr>
          <w:i/>
        </w:rPr>
        <w:t>Portfolio Budget Statements 2013-14, Budget Related Paper</w:t>
      </w:r>
      <w:r w:rsidR="002A596C">
        <w:t xml:space="preserve"> </w:t>
      </w:r>
      <w:r w:rsidR="002A596C">
        <w:rPr>
          <w:i/>
        </w:rPr>
        <w:t>No. 1.1</w:t>
      </w:r>
      <w:r w:rsidR="00576528">
        <w:rPr>
          <w:i/>
        </w:rPr>
        <w:t xml:space="preserve">, </w:t>
      </w:r>
      <w:r w:rsidR="00246150" w:rsidRPr="00246150">
        <w:rPr>
          <w:i/>
        </w:rPr>
        <w:t>Agriculture, Fisheries and Forestry Portfolio</w:t>
      </w:r>
      <w:r w:rsidR="002A596C">
        <w:rPr>
          <w:i/>
        </w:rPr>
        <w:t xml:space="preserve"> </w:t>
      </w:r>
      <w:r w:rsidR="002A596C">
        <w:t>at page 19</w:t>
      </w:r>
      <w:r w:rsidR="002C1FB3" w:rsidRPr="000E39BF">
        <w:t>.</w:t>
      </w:r>
    </w:p>
    <w:p w:rsidR="000E0B9A" w:rsidRDefault="000E0B9A"/>
    <w:p w:rsidR="000E0B9A" w:rsidRDefault="000D0ABE">
      <w:r w:rsidRPr="000D0ABE">
        <w:rPr>
          <w:color w:val="000000" w:themeColor="text1"/>
        </w:rPr>
        <w:t>New</w:t>
      </w:r>
      <w:r w:rsidR="00E91F0C">
        <w:rPr>
          <w:b/>
          <w:color w:val="000000" w:themeColor="text1"/>
        </w:rPr>
        <w:t xml:space="preserve"> i</w:t>
      </w:r>
      <w:r w:rsidR="007974BA" w:rsidRPr="000E39BF">
        <w:rPr>
          <w:b/>
          <w:color w:val="000000" w:themeColor="text1"/>
        </w:rPr>
        <w:t xml:space="preserve">tem </w:t>
      </w:r>
      <w:r w:rsidR="00404FED" w:rsidRPr="00404FED">
        <w:rPr>
          <w:b/>
          <w:color w:val="000000" w:themeColor="text1"/>
        </w:rPr>
        <w:t>401.</w:t>
      </w:r>
      <w:r w:rsidR="006448F3">
        <w:rPr>
          <w:b/>
          <w:color w:val="000000" w:themeColor="text1"/>
        </w:rPr>
        <w:t>0</w:t>
      </w:r>
      <w:r w:rsidR="006448F3" w:rsidRPr="00632DE3">
        <w:rPr>
          <w:b/>
          <w:color w:val="000000" w:themeColor="text1"/>
        </w:rPr>
        <w:t>2</w:t>
      </w:r>
      <w:r w:rsidR="003251ED">
        <w:rPr>
          <w:b/>
          <w:color w:val="000000" w:themeColor="text1"/>
        </w:rPr>
        <w:t>8</w:t>
      </w:r>
      <w:r w:rsidR="006448F3">
        <w:rPr>
          <w:b/>
          <w:color w:val="000000" w:themeColor="text1"/>
        </w:rPr>
        <w:t xml:space="preserve"> </w:t>
      </w:r>
      <w:r w:rsidR="00E91F0C">
        <w:rPr>
          <w:color w:val="000000"/>
        </w:rPr>
        <w:t>establish</w:t>
      </w:r>
      <w:r w:rsidR="00127660" w:rsidRPr="000E39BF">
        <w:rPr>
          <w:color w:val="000000"/>
        </w:rPr>
        <w:t>e</w:t>
      </w:r>
      <w:r w:rsidR="00E91F0C">
        <w:rPr>
          <w:color w:val="000000"/>
        </w:rPr>
        <w:t>s</w:t>
      </w:r>
      <w:r w:rsidRPr="000D0ABE">
        <w:rPr>
          <w:color w:val="000000"/>
        </w:rPr>
        <w:t xml:space="preserve"> legislative authority </w:t>
      </w:r>
      <w:r w:rsidR="00E91F0C">
        <w:rPr>
          <w:color w:val="000000"/>
        </w:rPr>
        <w:t xml:space="preserve">for the Government </w:t>
      </w:r>
      <w:r w:rsidRPr="000D0ABE">
        <w:rPr>
          <w:color w:val="000000"/>
        </w:rPr>
        <w:t xml:space="preserve">to provide </w:t>
      </w:r>
      <w:r w:rsidR="00E91F0C">
        <w:rPr>
          <w:color w:val="000000"/>
        </w:rPr>
        <w:t>support for the forest industry.</w:t>
      </w:r>
      <w:r w:rsidR="00EC52D4">
        <w:rPr>
          <w:color w:val="000000"/>
        </w:rPr>
        <w:t xml:space="preserve">  </w:t>
      </w:r>
      <w:r w:rsidR="00E83403" w:rsidRPr="00632DE3">
        <w:rPr>
          <w:color w:val="000000"/>
        </w:rPr>
        <w:t>Funding of</w:t>
      </w:r>
      <w:r w:rsidR="00127660" w:rsidRPr="00632DE3">
        <w:rPr>
          <w:color w:val="000000"/>
        </w:rPr>
        <w:t xml:space="preserve"> </w:t>
      </w:r>
      <w:r w:rsidR="00127660" w:rsidRPr="000E39BF">
        <w:rPr>
          <w:color w:val="000000"/>
        </w:rPr>
        <w:t xml:space="preserve">$0.5 million </w:t>
      </w:r>
      <w:r w:rsidR="00E91F0C">
        <w:rPr>
          <w:color w:val="000000"/>
        </w:rPr>
        <w:t xml:space="preserve">will be provided </w:t>
      </w:r>
      <w:r w:rsidR="00127660" w:rsidRPr="000E39BF">
        <w:rPr>
          <w:color w:val="000000"/>
        </w:rPr>
        <w:t>to the Forest Stewardship</w:t>
      </w:r>
      <w:r w:rsidR="00127660" w:rsidRPr="000E39BF">
        <w:t xml:space="preserve"> Council of Australia to assist it</w:t>
      </w:r>
      <w:r w:rsidR="00127660" w:rsidRPr="000E39BF">
        <w:rPr>
          <w:color w:val="000000"/>
        </w:rPr>
        <w:t xml:space="preserve"> to progress the development of a national certification standard for the forestry industry</w:t>
      </w:r>
      <w:r w:rsidR="00127660" w:rsidRPr="000E39BF">
        <w:t>.</w:t>
      </w:r>
    </w:p>
    <w:p w:rsidR="000E0B9A" w:rsidRDefault="000E0B9A">
      <w:pPr>
        <w:rPr>
          <w:color w:val="000000"/>
        </w:rPr>
      </w:pPr>
    </w:p>
    <w:p w:rsidR="000E0B9A" w:rsidRDefault="00127660">
      <w:pPr>
        <w:rPr>
          <w:color w:val="000000"/>
        </w:rPr>
      </w:pPr>
      <w:r w:rsidRPr="000E39BF">
        <w:rPr>
          <w:color w:val="000000"/>
        </w:rPr>
        <w:lastRenderedPageBreak/>
        <w:t>Payments will be made as part of Program 1.3 Forestry Industry</w:t>
      </w:r>
      <w:r w:rsidR="00C023D4">
        <w:rPr>
          <w:color w:val="000000"/>
        </w:rPr>
        <w:t>,</w:t>
      </w:r>
      <w:r w:rsidRPr="000E39BF">
        <w:rPr>
          <w:color w:val="000000"/>
        </w:rPr>
        <w:t xml:space="preserve"> described in the </w:t>
      </w:r>
      <w:r w:rsidRPr="000E39BF">
        <w:rPr>
          <w:i/>
          <w:iCs/>
          <w:color w:val="000000"/>
        </w:rPr>
        <w:t>Portfolio Budget Statements 2013</w:t>
      </w:r>
      <w:r w:rsidRPr="000E39BF">
        <w:rPr>
          <w:i/>
          <w:iCs/>
          <w:color w:val="000000"/>
        </w:rPr>
        <w:noBreakHyphen/>
        <w:t>14, Budget Related Paper No</w:t>
      </w:r>
      <w:r w:rsidR="00F66DB9">
        <w:rPr>
          <w:i/>
          <w:iCs/>
          <w:color w:val="000000"/>
        </w:rPr>
        <w:t>.</w:t>
      </w:r>
      <w:r w:rsidRPr="000E39BF">
        <w:rPr>
          <w:i/>
          <w:iCs/>
          <w:color w:val="000000"/>
        </w:rPr>
        <w:t> 1.1</w:t>
      </w:r>
      <w:r w:rsidR="00576528">
        <w:rPr>
          <w:i/>
          <w:iCs/>
          <w:color w:val="000000"/>
        </w:rPr>
        <w:t xml:space="preserve">, </w:t>
      </w:r>
      <w:r w:rsidR="00246150" w:rsidRPr="00246150">
        <w:rPr>
          <w:i/>
          <w:color w:val="000000"/>
        </w:rPr>
        <w:t>Agriculture, Fisheries</w:t>
      </w:r>
      <w:r w:rsidR="00246150" w:rsidRPr="00246150">
        <w:rPr>
          <w:i/>
          <w:color w:val="1F497D"/>
        </w:rPr>
        <w:t xml:space="preserve"> </w:t>
      </w:r>
      <w:r w:rsidR="00246150" w:rsidRPr="00246150">
        <w:rPr>
          <w:i/>
          <w:color w:val="000000"/>
        </w:rPr>
        <w:t>and Forestry Portfolio</w:t>
      </w:r>
      <w:r w:rsidRPr="000E39BF">
        <w:rPr>
          <w:i/>
          <w:iCs/>
          <w:color w:val="000000"/>
        </w:rPr>
        <w:t xml:space="preserve"> </w:t>
      </w:r>
      <w:r w:rsidR="000D0ABE" w:rsidRPr="000D0ABE">
        <w:rPr>
          <w:color w:val="000000"/>
        </w:rPr>
        <w:t>at page 38</w:t>
      </w:r>
      <w:r w:rsidRPr="000E39BF">
        <w:rPr>
          <w:color w:val="000000"/>
        </w:rPr>
        <w:t>.</w:t>
      </w:r>
    </w:p>
    <w:p w:rsidR="000E0B9A" w:rsidRDefault="000E0B9A">
      <w:pPr>
        <w:rPr>
          <w:color w:val="000000"/>
        </w:rPr>
      </w:pPr>
    </w:p>
    <w:p w:rsidR="006448F3" w:rsidRPr="006448F3" w:rsidRDefault="008A4ECF" w:rsidP="006448F3">
      <w:pPr>
        <w:pStyle w:val="paranumbering0"/>
        <w:spacing w:before="0" w:beforeAutospacing="0" w:after="0" w:afterAutospacing="0"/>
        <w:rPr>
          <w:color w:val="000000"/>
        </w:rPr>
      </w:pPr>
      <w:r w:rsidRPr="008A4ECF">
        <w:rPr>
          <w:color w:val="000000"/>
        </w:rPr>
        <w:t xml:space="preserve">New </w:t>
      </w:r>
      <w:r w:rsidRPr="008A4ECF">
        <w:rPr>
          <w:b/>
          <w:bCs/>
          <w:color w:val="000000"/>
        </w:rPr>
        <w:t>item</w:t>
      </w:r>
      <w:r w:rsidRPr="008A4ECF">
        <w:rPr>
          <w:color w:val="000000"/>
        </w:rPr>
        <w:t xml:space="preserve"> </w:t>
      </w:r>
      <w:r w:rsidRPr="008A4ECF">
        <w:rPr>
          <w:b/>
          <w:bCs/>
          <w:color w:val="000000"/>
        </w:rPr>
        <w:t>401.</w:t>
      </w:r>
      <w:r w:rsidR="003251ED" w:rsidRPr="008A4ECF">
        <w:rPr>
          <w:b/>
          <w:bCs/>
          <w:color w:val="000000"/>
        </w:rPr>
        <w:t>0</w:t>
      </w:r>
      <w:r w:rsidR="003251ED">
        <w:rPr>
          <w:b/>
          <w:bCs/>
          <w:color w:val="000000"/>
        </w:rPr>
        <w:t>29</w:t>
      </w:r>
      <w:r w:rsidR="003251ED" w:rsidRPr="008A4ECF">
        <w:rPr>
          <w:b/>
          <w:bCs/>
          <w:color w:val="000000"/>
        </w:rPr>
        <w:t xml:space="preserve"> </w:t>
      </w:r>
      <w:r w:rsidRPr="008A4ECF">
        <w:rPr>
          <w:color w:val="000000"/>
        </w:rPr>
        <w:t>establishes</w:t>
      </w:r>
      <w:r w:rsidRPr="008A4ECF">
        <w:rPr>
          <w:b/>
          <w:bCs/>
          <w:color w:val="000000"/>
        </w:rPr>
        <w:t xml:space="preserve"> </w:t>
      </w:r>
      <w:r w:rsidRPr="008A4ECF">
        <w:rPr>
          <w:color w:val="000000"/>
        </w:rPr>
        <w:t>legislative authority for the Government to provide grants of financial assistance to a State or the Northern Territory for the purposes of establishing and funding a scheme by which loans are provided to eligible farm businesses that are experiencing financial pressures.</w:t>
      </w:r>
    </w:p>
    <w:p w:rsidR="006448F3" w:rsidRPr="006448F3" w:rsidRDefault="006448F3" w:rsidP="006448F3">
      <w:pPr>
        <w:pStyle w:val="paranumbering0"/>
        <w:spacing w:before="0" w:beforeAutospacing="0" w:after="0" w:afterAutospacing="0"/>
        <w:rPr>
          <w:color w:val="000000"/>
        </w:rPr>
      </w:pPr>
    </w:p>
    <w:p w:rsidR="006448F3" w:rsidRPr="006448F3" w:rsidRDefault="008A4ECF" w:rsidP="006448F3">
      <w:pPr>
        <w:pStyle w:val="paranumbering0"/>
        <w:spacing w:before="0" w:beforeAutospacing="0" w:after="0" w:afterAutospacing="0"/>
        <w:rPr>
          <w:color w:val="000000"/>
        </w:rPr>
      </w:pPr>
      <w:r w:rsidRPr="008A4ECF">
        <w:rPr>
          <w:color w:val="000000"/>
        </w:rPr>
        <w:t xml:space="preserve">The Commonwealth </w:t>
      </w:r>
      <w:r w:rsidR="002F39B5">
        <w:rPr>
          <w:color w:val="000000"/>
        </w:rPr>
        <w:t xml:space="preserve">has </w:t>
      </w:r>
      <w:r w:rsidRPr="008A4ECF">
        <w:rPr>
          <w:color w:val="000000"/>
        </w:rPr>
        <w:t xml:space="preserve">allocated $420 million to the Concessional Loans measure over 2013-14 and 2014-15 for grants of </w:t>
      </w:r>
      <w:r w:rsidR="002F39B5">
        <w:rPr>
          <w:color w:val="000000"/>
        </w:rPr>
        <w:t xml:space="preserve">financial </w:t>
      </w:r>
      <w:r w:rsidRPr="008A4ECF">
        <w:rPr>
          <w:color w:val="000000"/>
        </w:rPr>
        <w:t xml:space="preserve">assistance to the States and the Northern Territory. </w:t>
      </w:r>
      <w:r w:rsidR="006F6BE2">
        <w:rPr>
          <w:color w:val="000000"/>
        </w:rPr>
        <w:t xml:space="preserve"> </w:t>
      </w:r>
      <w:r w:rsidRPr="008A4ECF">
        <w:rPr>
          <w:color w:val="000000"/>
        </w:rPr>
        <w:t>These grants will be made on conditions imposed under section 32C of the</w:t>
      </w:r>
      <w:r w:rsidR="007045A3">
        <w:rPr>
          <w:color w:val="000000"/>
        </w:rPr>
        <w:t> </w:t>
      </w:r>
      <w:r w:rsidR="007045A3" w:rsidRPr="007045A3">
        <w:rPr>
          <w:iCs/>
          <w:color w:val="000000"/>
        </w:rPr>
        <w:t>FMA Act</w:t>
      </w:r>
      <w:r w:rsidRPr="007045A3">
        <w:rPr>
          <w:iCs/>
          <w:color w:val="000000"/>
        </w:rPr>
        <w:t xml:space="preserve"> </w:t>
      </w:r>
      <w:r w:rsidRPr="008A4ECF">
        <w:rPr>
          <w:iCs/>
          <w:color w:val="000000"/>
        </w:rPr>
        <w:t>(terms and conditions for grants)</w:t>
      </w:r>
      <w:r w:rsidRPr="008A4ECF">
        <w:rPr>
          <w:color w:val="000000"/>
        </w:rPr>
        <w:t xml:space="preserve">. </w:t>
      </w:r>
      <w:r w:rsidR="006F6BE2">
        <w:rPr>
          <w:color w:val="000000"/>
        </w:rPr>
        <w:t xml:space="preserve"> </w:t>
      </w:r>
      <w:r w:rsidRPr="008A4ECF">
        <w:rPr>
          <w:color w:val="000000"/>
        </w:rPr>
        <w:t xml:space="preserve">The conditions imposed on the grants will establish the framework under which the </w:t>
      </w:r>
      <w:r w:rsidRPr="008A4ECF">
        <w:rPr>
          <w:color w:val="000000"/>
          <w:lang w:val="en-US"/>
        </w:rPr>
        <w:t>States and the Northern Territory (or their delivery agencies) will be able to provide loans to eligible farm businesses.</w:t>
      </w:r>
    </w:p>
    <w:p w:rsidR="006448F3" w:rsidRPr="006448F3" w:rsidRDefault="006448F3" w:rsidP="006448F3">
      <w:pPr>
        <w:rPr>
          <w:color w:val="000000"/>
          <w:szCs w:val="24"/>
          <w:highlight w:val="yellow"/>
          <w:lang w:val="en-US"/>
        </w:rPr>
      </w:pPr>
    </w:p>
    <w:p w:rsidR="006448F3" w:rsidRPr="006448F3" w:rsidRDefault="006448F3" w:rsidP="006448F3">
      <w:pPr>
        <w:rPr>
          <w:color w:val="000000"/>
          <w:szCs w:val="24"/>
          <w:lang w:val="en-US"/>
        </w:rPr>
      </w:pPr>
      <w:r w:rsidRPr="006448F3">
        <w:rPr>
          <w:color w:val="000000"/>
          <w:szCs w:val="24"/>
          <w:lang w:val="en-US"/>
        </w:rPr>
        <w:t>Under this framework, loan guidelines will be publicly</w:t>
      </w:r>
      <w:r w:rsidR="00505641" w:rsidRPr="00505641">
        <w:rPr>
          <w:color w:val="000000"/>
          <w:szCs w:val="24"/>
          <w:lang w:val="en-US"/>
        </w:rPr>
        <w:t xml:space="preserve"> available. </w:t>
      </w:r>
      <w:r w:rsidR="00306D4B">
        <w:rPr>
          <w:color w:val="000000"/>
          <w:szCs w:val="24"/>
          <w:lang w:val="en-US"/>
        </w:rPr>
        <w:t xml:space="preserve"> </w:t>
      </w:r>
      <w:r w:rsidR="00505641" w:rsidRPr="00505641">
        <w:rPr>
          <w:color w:val="000000"/>
          <w:szCs w:val="24"/>
          <w:lang w:val="en-US"/>
        </w:rPr>
        <w:t xml:space="preserve">Prospective loan applicants will be able to use these guidelines </w:t>
      </w:r>
      <w:r w:rsidR="00306D4B">
        <w:rPr>
          <w:color w:val="000000"/>
          <w:szCs w:val="24"/>
          <w:lang w:val="en-US"/>
        </w:rPr>
        <w:t>to</w:t>
      </w:r>
      <w:r w:rsidR="00505641" w:rsidRPr="00505641">
        <w:rPr>
          <w:color w:val="000000"/>
          <w:szCs w:val="24"/>
          <w:lang w:val="en-US"/>
        </w:rPr>
        <w:t xml:space="preserve"> </w:t>
      </w:r>
      <w:r w:rsidR="00306D4B">
        <w:rPr>
          <w:color w:val="000000"/>
          <w:szCs w:val="24"/>
          <w:lang w:val="en-US"/>
        </w:rPr>
        <w:t>apply for a loan</w:t>
      </w:r>
      <w:r w:rsidR="00505641" w:rsidRPr="00505641">
        <w:rPr>
          <w:color w:val="000000"/>
          <w:szCs w:val="24"/>
          <w:lang w:val="en-US"/>
        </w:rPr>
        <w:t xml:space="preserve">. </w:t>
      </w:r>
      <w:r w:rsidR="00306D4B">
        <w:rPr>
          <w:color w:val="000000"/>
          <w:szCs w:val="24"/>
          <w:lang w:val="en-US"/>
        </w:rPr>
        <w:t xml:space="preserve"> </w:t>
      </w:r>
      <w:r w:rsidR="00505641" w:rsidRPr="00505641">
        <w:rPr>
          <w:color w:val="000000"/>
          <w:szCs w:val="24"/>
          <w:lang w:val="en-US"/>
        </w:rPr>
        <w:t>Individual loan details will not be publicly available</w:t>
      </w:r>
      <w:r w:rsidR="000962DB">
        <w:rPr>
          <w:color w:val="000000"/>
          <w:szCs w:val="24"/>
          <w:lang w:val="en-US"/>
        </w:rPr>
        <w:t>;</w:t>
      </w:r>
      <w:r w:rsidR="00505641" w:rsidRPr="00505641">
        <w:rPr>
          <w:color w:val="000000"/>
          <w:szCs w:val="24"/>
          <w:lang w:val="en-US"/>
        </w:rPr>
        <w:t xml:space="preserve"> however actual expenditure for the purposes of the grants of financial assistance will be publicly available. </w:t>
      </w:r>
    </w:p>
    <w:p w:rsidR="006448F3" w:rsidRPr="006448F3" w:rsidRDefault="006448F3" w:rsidP="006448F3">
      <w:pPr>
        <w:rPr>
          <w:color w:val="000000"/>
          <w:szCs w:val="24"/>
          <w:highlight w:val="yellow"/>
          <w:lang w:val="en-US"/>
        </w:rPr>
      </w:pPr>
    </w:p>
    <w:p w:rsidR="006448F3" w:rsidRPr="006448F3" w:rsidRDefault="008A4ECF" w:rsidP="006448F3">
      <w:pPr>
        <w:rPr>
          <w:color w:val="000000"/>
          <w:szCs w:val="24"/>
          <w:lang w:val="en-US"/>
        </w:rPr>
      </w:pPr>
      <w:r w:rsidRPr="008A4ECF">
        <w:rPr>
          <w:color w:val="000000"/>
          <w:szCs w:val="24"/>
          <w:lang w:val="en-US"/>
        </w:rPr>
        <w:t xml:space="preserve">It </w:t>
      </w:r>
      <w:r w:rsidR="00306D4B">
        <w:rPr>
          <w:color w:val="000000"/>
          <w:szCs w:val="24"/>
          <w:lang w:val="en-US"/>
        </w:rPr>
        <w:t>will be</w:t>
      </w:r>
      <w:r w:rsidRPr="008A4ECF">
        <w:rPr>
          <w:color w:val="000000"/>
          <w:szCs w:val="24"/>
          <w:lang w:val="en-US"/>
        </w:rPr>
        <w:t xml:space="preserve"> the responsibility of the delivery agencies in each jurisdiction to assess and make decisions about individual loan applications in accordance with the loan guidelines</w:t>
      </w:r>
      <w:r w:rsidR="007045A3">
        <w:rPr>
          <w:color w:val="000000"/>
          <w:szCs w:val="24"/>
          <w:lang w:val="en-US"/>
        </w:rPr>
        <w:t>,</w:t>
      </w:r>
      <w:r w:rsidRPr="008A4ECF">
        <w:rPr>
          <w:color w:val="000000"/>
          <w:szCs w:val="24"/>
          <w:lang w:val="en-US"/>
        </w:rPr>
        <w:t xml:space="preserve"> on a case</w:t>
      </w:r>
      <w:r w:rsidR="006F6BE2">
        <w:rPr>
          <w:color w:val="000000"/>
          <w:szCs w:val="24"/>
          <w:lang w:val="en-US"/>
        </w:rPr>
        <w:noBreakHyphen/>
      </w:r>
      <w:r w:rsidRPr="008A4ECF">
        <w:rPr>
          <w:color w:val="000000"/>
          <w:szCs w:val="24"/>
          <w:lang w:val="en-US"/>
        </w:rPr>
        <w:t>by</w:t>
      </w:r>
      <w:r w:rsidR="006F6BE2">
        <w:rPr>
          <w:color w:val="000000"/>
          <w:szCs w:val="24"/>
          <w:lang w:val="en-US"/>
        </w:rPr>
        <w:noBreakHyphen/>
      </w:r>
      <w:r w:rsidRPr="008A4ECF">
        <w:rPr>
          <w:color w:val="000000"/>
          <w:szCs w:val="24"/>
          <w:lang w:val="en-US"/>
        </w:rPr>
        <w:t xml:space="preserve">case basis. </w:t>
      </w:r>
    </w:p>
    <w:p w:rsidR="006448F3" w:rsidRPr="00504D01" w:rsidRDefault="006448F3" w:rsidP="00A371F5">
      <w:pPr>
        <w:pStyle w:val="paranumbering0"/>
        <w:spacing w:before="0" w:beforeAutospacing="0" w:after="0" w:afterAutospacing="0"/>
        <w:rPr>
          <w:color w:val="000000" w:themeColor="text1"/>
        </w:rPr>
      </w:pPr>
    </w:p>
    <w:p w:rsidR="006448F3" w:rsidRPr="006448F3" w:rsidRDefault="00505641" w:rsidP="006448F3">
      <w:pPr>
        <w:rPr>
          <w:szCs w:val="24"/>
        </w:rPr>
      </w:pPr>
      <w:r w:rsidRPr="00505641">
        <w:rPr>
          <w:color w:val="000000"/>
          <w:szCs w:val="24"/>
          <w:lang w:val="en-US"/>
        </w:rPr>
        <w:t>The spending activity will be part of</w:t>
      </w:r>
      <w:r w:rsidRPr="00505641">
        <w:rPr>
          <w:szCs w:val="24"/>
          <w:lang w:val="en-US"/>
        </w:rPr>
        <w:t xml:space="preserve"> </w:t>
      </w:r>
      <w:r w:rsidRPr="00505641">
        <w:rPr>
          <w:szCs w:val="24"/>
        </w:rPr>
        <w:t>‘</w:t>
      </w:r>
      <w:r w:rsidR="0015593A">
        <w:rPr>
          <w:szCs w:val="24"/>
        </w:rPr>
        <w:t>Farm Finance – support for farmers’ under Program</w:t>
      </w:r>
      <w:r w:rsidR="000B0E3E">
        <w:rPr>
          <w:szCs w:val="24"/>
        </w:rPr>
        <w:t> </w:t>
      </w:r>
      <w:r w:rsidR="0015593A">
        <w:rPr>
          <w:szCs w:val="24"/>
        </w:rPr>
        <w:t>1.12 Rural Programs</w:t>
      </w:r>
      <w:r w:rsidR="007045A3">
        <w:rPr>
          <w:szCs w:val="24"/>
        </w:rPr>
        <w:t>,</w:t>
      </w:r>
      <w:r w:rsidRPr="00505641">
        <w:rPr>
          <w:szCs w:val="24"/>
        </w:rPr>
        <w:t xml:space="preserve"> described in the </w:t>
      </w:r>
      <w:r w:rsidRPr="00505641">
        <w:rPr>
          <w:i/>
          <w:iCs/>
          <w:szCs w:val="24"/>
        </w:rPr>
        <w:t>Portfolio Budget Statements 2013–14, Budget Related Paper No. 1.1</w:t>
      </w:r>
      <w:r w:rsidR="00576528">
        <w:rPr>
          <w:i/>
          <w:iCs/>
          <w:szCs w:val="24"/>
        </w:rPr>
        <w:t xml:space="preserve">, </w:t>
      </w:r>
      <w:r w:rsidR="00246150" w:rsidRPr="00246150">
        <w:rPr>
          <w:i/>
          <w:szCs w:val="24"/>
        </w:rPr>
        <w:t>Agriculture, Fisheries and Forestry Portfolio</w:t>
      </w:r>
      <w:r w:rsidRPr="00505641">
        <w:rPr>
          <w:i/>
          <w:iCs/>
          <w:szCs w:val="24"/>
        </w:rPr>
        <w:t xml:space="preserve"> </w:t>
      </w:r>
      <w:r w:rsidRPr="00505641">
        <w:rPr>
          <w:szCs w:val="24"/>
        </w:rPr>
        <w:t>at page 20.</w:t>
      </w:r>
    </w:p>
    <w:p w:rsidR="006448F3" w:rsidRPr="00504D01" w:rsidRDefault="006448F3" w:rsidP="00A371F5">
      <w:pPr>
        <w:pStyle w:val="paranumbering0"/>
        <w:spacing w:before="0" w:beforeAutospacing="0" w:after="0" w:afterAutospacing="0"/>
        <w:rPr>
          <w:color w:val="000000" w:themeColor="text1"/>
        </w:rPr>
      </w:pPr>
    </w:p>
    <w:p w:rsidR="000E0B9A" w:rsidRDefault="007974BA" w:rsidP="00A371F5">
      <w:pPr>
        <w:pStyle w:val="paranumbering0"/>
        <w:spacing w:before="0" w:beforeAutospacing="0" w:after="0" w:afterAutospacing="0"/>
        <w:rPr>
          <w:b/>
          <w:color w:val="000000" w:themeColor="text1"/>
        </w:rPr>
      </w:pPr>
      <w:r w:rsidRPr="000E39BF">
        <w:rPr>
          <w:b/>
          <w:color w:val="000000" w:themeColor="text1"/>
        </w:rPr>
        <w:t xml:space="preserve">Item </w:t>
      </w:r>
      <w:r w:rsidR="00E91F0C">
        <w:rPr>
          <w:b/>
          <w:color w:val="000000" w:themeColor="text1"/>
        </w:rPr>
        <w:t>2</w:t>
      </w:r>
      <w:r w:rsidRPr="000E39BF">
        <w:rPr>
          <w:b/>
          <w:color w:val="000000" w:themeColor="text1"/>
        </w:rPr>
        <w:t xml:space="preserve"> – </w:t>
      </w:r>
      <w:r w:rsidRPr="00632DE3">
        <w:rPr>
          <w:b/>
          <w:color w:val="000000" w:themeColor="text1"/>
        </w:rPr>
        <w:t>After i</w:t>
      </w:r>
      <w:r w:rsidR="000D0ABE" w:rsidRPr="000D0ABE">
        <w:rPr>
          <w:b/>
          <w:color w:val="000000" w:themeColor="text1"/>
        </w:rPr>
        <w:t>tem 402.027 of Schedule 1AA</w:t>
      </w:r>
      <w:r w:rsidRPr="00632DE3">
        <w:rPr>
          <w:b/>
          <w:color w:val="000000" w:themeColor="text1"/>
        </w:rPr>
        <w:t xml:space="preserve"> </w:t>
      </w:r>
    </w:p>
    <w:p w:rsidR="000E0B9A" w:rsidRDefault="000E0B9A" w:rsidP="00A371F5">
      <w:pPr>
        <w:pStyle w:val="paranumbering0"/>
        <w:spacing w:before="0" w:beforeAutospacing="0" w:after="0" w:afterAutospacing="0"/>
        <w:rPr>
          <w:color w:val="000000"/>
          <w:highlight w:val="yellow"/>
        </w:rPr>
      </w:pPr>
    </w:p>
    <w:p w:rsidR="000E0B9A" w:rsidRDefault="00741F92">
      <w:r w:rsidRPr="000E39BF">
        <w:t>This item add</w:t>
      </w:r>
      <w:r w:rsidR="00E91F0C">
        <w:t>s</w:t>
      </w:r>
      <w:r w:rsidRPr="000E39BF">
        <w:t xml:space="preserve"> new </w:t>
      </w:r>
      <w:r w:rsidR="008A4ECF" w:rsidRPr="008A4ECF">
        <w:rPr>
          <w:b/>
          <w:szCs w:val="24"/>
        </w:rPr>
        <w:t>item 402.027A</w:t>
      </w:r>
      <w:r w:rsidRPr="000E39BF">
        <w:t xml:space="preserve"> to Schedule 1AA </w:t>
      </w:r>
      <w:r w:rsidR="00E91F0C">
        <w:t>t</w:t>
      </w:r>
      <w:r w:rsidRPr="000E39BF">
        <w:t xml:space="preserve">o the Principal Regulations for the Attorney-General’s Department to </w:t>
      </w:r>
      <w:r w:rsidR="00E91F0C">
        <w:rPr>
          <w:szCs w:val="24"/>
        </w:rPr>
        <w:t>establish</w:t>
      </w:r>
      <w:r w:rsidRPr="000E39BF">
        <w:t xml:space="preserve"> legislative authority for the Government to make available </w:t>
      </w:r>
      <w:r w:rsidR="00404FED" w:rsidRPr="00E91F0C">
        <w:rPr>
          <w:i/>
        </w:rPr>
        <w:t>ex gratia</w:t>
      </w:r>
      <w:r w:rsidRPr="000E39BF">
        <w:t xml:space="preserve"> disaster recovery assistance to individuals as required. </w:t>
      </w:r>
      <w:r w:rsidR="00057F57">
        <w:t xml:space="preserve"> </w:t>
      </w:r>
      <w:r w:rsidRPr="000E39BF">
        <w:t xml:space="preserve">Following a major disaster, there may be situations where the unique recovery needs of the community are beyond the standard arrangements under the Natural Disaster Relief and Recovery Arrangements or normal provisions for Commonwealth-only payments such as the Australian Government Disaster Recovery Payment. </w:t>
      </w:r>
    </w:p>
    <w:p w:rsidR="000E0B9A" w:rsidRDefault="000E0B9A"/>
    <w:p w:rsidR="000E0B9A" w:rsidRDefault="00741F92">
      <w:r w:rsidRPr="000E39BF">
        <w:t xml:space="preserve">In such cases, either for onshore or offshore events, the Government may wish to provide </w:t>
      </w:r>
      <w:r w:rsidR="000D0ABE" w:rsidRPr="000D0ABE">
        <w:rPr>
          <w:i/>
        </w:rPr>
        <w:t>e</w:t>
      </w:r>
      <w:r w:rsidR="00E91F0C">
        <w:rPr>
          <w:i/>
        </w:rPr>
        <w:t>x</w:t>
      </w:r>
      <w:r w:rsidR="00057F57">
        <w:rPr>
          <w:i/>
        </w:rPr>
        <w:t> </w:t>
      </w:r>
      <w:r w:rsidR="000D0ABE" w:rsidRPr="000D0ABE">
        <w:rPr>
          <w:i/>
        </w:rPr>
        <w:t>gratia</w:t>
      </w:r>
      <w:r w:rsidRPr="000E39BF">
        <w:t xml:space="preserve"> recovery assistance payments to meet a particular community recovery need.  There are numerous examples of the provision of tailored </w:t>
      </w:r>
      <w:r w:rsidR="000D0ABE" w:rsidRPr="000D0ABE">
        <w:rPr>
          <w:i/>
        </w:rPr>
        <w:t>ex</w:t>
      </w:r>
      <w:r w:rsidR="00057F57">
        <w:rPr>
          <w:i/>
        </w:rPr>
        <w:t> </w:t>
      </w:r>
      <w:r w:rsidR="000D0ABE" w:rsidRPr="000D0ABE">
        <w:rPr>
          <w:i/>
        </w:rPr>
        <w:t>gratia</w:t>
      </w:r>
      <w:r w:rsidRPr="000E39BF">
        <w:t xml:space="preserve"> recovery assistance such as the assistance provided for funerals and memorials following the Victorian bushfires in</w:t>
      </w:r>
      <w:r w:rsidR="00057F57">
        <w:t> </w:t>
      </w:r>
      <w:r w:rsidRPr="000E39BF">
        <w:t xml:space="preserve">2009.  Similarly, in the aftermath of the Bali and London bombings </w:t>
      </w:r>
      <w:r w:rsidR="000D0ABE" w:rsidRPr="000D0ABE">
        <w:rPr>
          <w:i/>
        </w:rPr>
        <w:t>ex</w:t>
      </w:r>
      <w:r w:rsidR="00057F57">
        <w:rPr>
          <w:i/>
        </w:rPr>
        <w:t> </w:t>
      </w:r>
      <w:r w:rsidR="000D0ABE" w:rsidRPr="000D0ABE">
        <w:rPr>
          <w:i/>
        </w:rPr>
        <w:t>gratia</w:t>
      </w:r>
      <w:r w:rsidRPr="000E39BF">
        <w:t xml:space="preserve"> assistance was provided to assist seriously injured Australians return home. </w:t>
      </w:r>
    </w:p>
    <w:p w:rsidR="000E0B9A" w:rsidRDefault="000E0B9A"/>
    <w:p w:rsidR="00504D01" w:rsidRDefault="00504D01">
      <w:pPr>
        <w:spacing w:after="200" w:line="276" w:lineRule="auto"/>
        <w:rPr>
          <w:b/>
          <w:color w:val="000000"/>
        </w:rPr>
      </w:pPr>
      <w:r>
        <w:rPr>
          <w:b/>
          <w:color w:val="000000"/>
        </w:rPr>
        <w:br w:type="page"/>
      </w:r>
    </w:p>
    <w:p w:rsidR="00F0416E" w:rsidRPr="00531334" w:rsidRDefault="00F0416E" w:rsidP="00F0416E">
      <w:pPr>
        <w:rPr>
          <w:b/>
          <w:color w:val="000000"/>
        </w:rPr>
      </w:pPr>
      <w:r w:rsidRPr="008D25E2">
        <w:rPr>
          <w:b/>
          <w:color w:val="000000"/>
        </w:rPr>
        <w:lastRenderedPageBreak/>
        <w:t>Item 3 – After item 402.028 of Schedule 1AA</w:t>
      </w:r>
    </w:p>
    <w:p w:rsidR="00F0416E" w:rsidRDefault="00F0416E" w:rsidP="00F0416E">
      <w:pPr>
        <w:rPr>
          <w:color w:val="000000"/>
        </w:rPr>
      </w:pPr>
    </w:p>
    <w:p w:rsidR="00F0416E" w:rsidRDefault="00F0416E" w:rsidP="00F0416E">
      <w:pPr>
        <w:rPr>
          <w:szCs w:val="24"/>
        </w:rPr>
      </w:pPr>
      <w:r>
        <w:rPr>
          <w:color w:val="000000"/>
        </w:rPr>
        <w:t>This item add</w:t>
      </w:r>
      <w:r w:rsidR="0066156E">
        <w:rPr>
          <w:color w:val="000000"/>
        </w:rPr>
        <w:t>s</w:t>
      </w:r>
      <w:r>
        <w:rPr>
          <w:color w:val="000000"/>
        </w:rPr>
        <w:t xml:space="preserve"> a new spending activity to </w:t>
      </w:r>
      <w:r>
        <w:rPr>
          <w:szCs w:val="24"/>
        </w:rPr>
        <w:t xml:space="preserve">Schedule 1AA to the Principal Regulations for </w:t>
      </w:r>
      <w:r w:rsidRPr="00632DE3">
        <w:rPr>
          <w:szCs w:val="24"/>
        </w:rPr>
        <w:t>the Attorney-General’s Department</w:t>
      </w:r>
      <w:r>
        <w:rPr>
          <w:szCs w:val="24"/>
        </w:rPr>
        <w:t xml:space="preserve">.  New </w:t>
      </w:r>
      <w:r w:rsidRPr="00BA0192">
        <w:rPr>
          <w:b/>
          <w:szCs w:val="24"/>
        </w:rPr>
        <w:t>item 402</w:t>
      </w:r>
      <w:r>
        <w:rPr>
          <w:b/>
          <w:szCs w:val="24"/>
        </w:rPr>
        <w:t>.029</w:t>
      </w:r>
      <w:r>
        <w:rPr>
          <w:szCs w:val="24"/>
        </w:rPr>
        <w:t xml:space="preserve"> establish</w:t>
      </w:r>
      <w:r w:rsidR="0066156E">
        <w:rPr>
          <w:szCs w:val="24"/>
        </w:rPr>
        <w:t>es</w:t>
      </w:r>
      <w:r>
        <w:rPr>
          <w:szCs w:val="24"/>
        </w:rPr>
        <w:t xml:space="preserve"> legislative authority for the Government to provide funding for certain legal support mechanisms relating to the Royal Commission into Institutional Responses to Child Sexual Abuse.</w:t>
      </w:r>
    </w:p>
    <w:p w:rsidR="00F0416E" w:rsidRDefault="00F0416E" w:rsidP="00F0416E">
      <w:pPr>
        <w:rPr>
          <w:szCs w:val="24"/>
        </w:rPr>
      </w:pPr>
    </w:p>
    <w:p w:rsidR="00F0416E" w:rsidRDefault="00F0416E" w:rsidP="00F0416E">
      <w:pPr>
        <w:spacing w:after="120"/>
        <w:rPr>
          <w:szCs w:val="24"/>
        </w:rPr>
      </w:pPr>
      <w:r>
        <w:rPr>
          <w:szCs w:val="24"/>
        </w:rPr>
        <w:t>The support mechanisms will include:</w:t>
      </w:r>
    </w:p>
    <w:p w:rsidR="00F0416E" w:rsidRDefault="00F0416E" w:rsidP="00F0416E">
      <w:pPr>
        <w:pStyle w:val="ListParagraph"/>
        <w:numPr>
          <w:ilvl w:val="0"/>
          <w:numId w:val="44"/>
        </w:numPr>
        <w:spacing w:after="120" w:line="240" w:lineRule="auto"/>
        <w:contextualSpacing w:val="0"/>
        <w:rPr>
          <w:szCs w:val="24"/>
        </w:rPr>
      </w:pPr>
      <w:r w:rsidRPr="008D25E2">
        <w:rPr>
          <w:szCs w:val="24"/>
        </w:rPr>
        <w:t>a legal financial assistance scheme under which the costs of legal representation of witnesses appearing before the Royal Commission will be met;</w:t>
      </w:r>
    </w:p>
    <w:p w:rsidR="00F0416E" w:rsidRDefault="00F0416E" w:rsidP="00F0416E">
      <w:pPr>
        <w:pStyle w:val="ListParagraph"/>
        <w:numPr>
          <w:ilvl w:val="0"/>
          <w:numId w:val="44"/>
        </w:numPr>
        <w:spacing w:after="120" w:line="240" w:lineRule="auto"/>
        <w:contextualSpacing w:val="0"/>
        <w:rPr>
          <w:szCs w:val="24"/>
        </w:rPr>
      </w:pPr>
      <w:r w:rsidRPr="008D25E2">
        <w:rPr>
          <w:szCs w:val="24"/>
        </w:rPr>
        <w:t>payment of the expenses</w:t>
      </w:r>
      <w:r>
        <w:rPr>
          <w:szCs w:val="24"/>
        </w:rPr>
        <w:t xml:space="preserve">, </w:t>
      </w:r>
      <w:r w:rsidRPr="00CA5C7A">
        <w:rPr>
          <w:szCs w:val="24"/>
        </w:rPr>
        <w:t>including travel and attendance fees</w:t>
      </w:r>
      <w:r>
        <w:rPr>
          <w:szCs w:val="24"/>
        </w:rPr>
        <w:t>,</w:t>
      </w:r>
      <w:r w:rsidRPr="008D25E2">
        <w:rPr>
          <w:szCs w:val="24"/>
        </w:rPr>
        <w:t xml:space="preserve"> for witnesses appearing before the Royal Commission; and</w:t>
      </w:r>
    </w:p>
    <w:p w:rsidR="00F0416E" w:rsidRDefault="00F0416E" w:rsidP="00F0416E">
      <w:pPr>
        <w:pStyle w:val="ListParagraph"/>
        <w:numPr>
          <w:ilvl w:val="0"/>
          <w:numId w:val="44"/>
        </w:numPr>
        <w:spacing w:after="0" w:line="240" w:lineRule="auto"/>
        <w:contextualSpacing w:val="0"/>
        <w:rPr>
          <w:szCs w:val="24"/>
        </w:rPr>
      </w:pPr>
      <w:r>
        <w:rPr>
          <w:szCs w:val="24"/>
        </w:rPr>
        <w:t>the provision of legal advice services to people engaging, or seeking to engage, with the Royal Commission.</w:t>
      </w:r>
    </w:p>
    <w:p w:rsidR="00F0416E" w:rsidRDefault="00F0416E" w:rsidP="00F0416E">
      <w:pPr>
        <w:rPr>
          <w:color w:val="000000"/>
        </w:rPr>
      </w:pPr>
    </w:p>
    <w:p w:rsidR="00576528" w:rsidRPr="00576528" w:rsidRDefault="00576528" w:rsidP="00576528">
      <w:pPr>
        <w:rPr>
          <w:color w:val="000000"/>
        </w:rPr>
      </w:pPr>
      <w:r w:rsidRPr="00576528">
        <w:rPr>
          <w:color w:val="000000"/>
        </w:rPr>
        <w:t>The Attorn</w:t>
      </w:r>
      <w:r>
        <w:rPr>
          <w:color w:val="000000"/>
        </w:rPr>
        <w:t>ey-General’s Department will administer</w:t>
      </w:r>
      <w:r w:rsidRPr="00576528">
        <w:rPr>
          <w:color w:val="000000"/>
        </w:rPr>
        <w:t xml:space="preserve"> </w:t>
      </w:r>
      <w:r>
        <w:rPr>
          <w:color w:val="000000"/>
        </w:rPr>
        <w:t>these</w:t>
      </w:r>
      <w:r w:rsidRPr="00576528">
        <w:rPr>
          <w:color w:val="000000"/>
        </w:rPr>
        <w:t xml:space="preserve"> legal support mechanisms for people engaging with the Royal Commission </w:t>
      </w:r>
      <w:r w:rsidR="0066156E">
        <w:rPr>
          <w:color w:val="000000"/>
        </w:rPr>
        <w:t>and</w:t>
      </w:r>
      <w:r w:rsidRPr="00576528">
        <w:rPr>
          <w:color w:val="000000"/>
        </w:rPr>
        <w:t xml:space="preserve"> will administer payme</w:t>
      </w:r>
      <w:r w:rsidR="0066156E">
        <w:rPr>
          <w:color w:val="000000"/>
        </w:rPr>
        <w:t>nts for witness expenses under R</w:t>
      </w:r>
      <w:r w:rsidRPr="00576528">
        <w:rPr>
          <w:color w:val="000000"/>
        </w:rPr>
        <w:t xml:space="preserve">egulation 7 of the </w:t>
      </w:r>
      <w:r w:rsidR="00246150" w:rsidRPr="00246150">
        <w:rPr>
          <w:i/>
          <w:color w:val="000000"/>
        </w:rPr>
        <w:t>Royal Commission Regulations 2001</w:t>
      </w:r>
      <w:r w:rsidRPr="00576528">
        <w:rPr>
          <w:color w:val="000000"/>
        </w:rPr>
        <w:t xml:space="preserve">.  The Department will also administer non-statutory grants for legal financial assistance for individuals called to appear as witnesses at a hearing of the Royal Commission.  Legal financial assistance will cover reasonable costs for legal representation at hearings and associated costs.  </w:t>
      </w:r>
    </w:p>
    <w:p w:rsidR="00576528" w:rsidRPr="00576528" w:rsidRDefault="00576528" w:rsidP="00576528">
      <w:pPr>
        <w:rPr>
          <w:color w:val="000000"/>
        </w:rPr>
      </w:pPr>
    </w:p>
    <w:p w:rsidR="00576528" w:rsidRPr="00576528" w:rsidRDefault="00576528" w:rsidP="00576528">
      <w:pPr>
        <w:rPr>
          <w:color w:val="000000"/>
        </w:rPr>
      </w:pPr>
      <w:r w:rsidRPr="00576528">
        <w:rPr>
          <w:color w:val="000000"/>
        </w:rPr>
        <w:t xml:space="preserve">People engaging, or seeking to engage with the Royal Commission will be able to access a free independent legal advice service being established by the Department.  This will ensure that people can access the legal advice they need on various issues relating to the Royal Commission including legal implications of telling their story to the Royal Commission. </w:t>
      </w:r>
      <w:r>
        <w:rPr>
          <w:color w:val="000000"/>
        </w:rPr>
        <w:t xml:space="preserve"> </w:t>
      </w:r>
      <w:r w:rsidRPr="00576528">
        <w:rPr>
          <w:color w:val="000000"/>
        </w:rPr>
        <w:t>Services will incl</w:t>
      </w:r>
      <w:r w:rsidR="00680C4B">
        <w:rPr>
          <w:color w:val="000000"/>
        </w:rPr>
        <w:t>ude a national phone based advic</w:t>
      </w:r>
      <w:r w:rsidRPr="00576528">
        <w:rPr>
          <w:color w:val="000000"/>
        </w:rPr>
        <w:t>e servic</w:t>
      </w:r>
      <w:r w:rsidR="00680C4B">
        <w:rPr>
          <w:color w:val="000000"/>
        </w:rPr>
        <w:t>e, some face-to-face advic</w:t>
      </w:r>
      <w:r w:rsidRPr="00576528">
        <w:rPr>
          <w:color w:val="000000"/>
        </w:rPr>
        <w:t xml:space="preserve">e and referral to other services. </w:t>
      </w:r>
      <w:r>
        <w:rPr>
          <w:color w:val="000000"/>
        </w:rPr>
        <w:t xml:space="preserve"> </w:t>
      </w:r>
      <w:r w:rsidRPr="00576528">
        <w:rPr>
          <w:color w:val="000000"/>
        </w:rPr>
        <w:t xml:space="preserve">The service will not provide representation at hearings. </w:t>
      </w:r>
      <w:r>
        <w:rPr>
          <w:color w:val="000000"/>
        </w:rPr>
        <w:t xml:space="preserve"> </w:t>
      </w:r>
      <w:r w:rsidRPr="00576528">
        <w:rPr>
          <w:color w:val="000000"/>
        </w:rPr>
        <w:t>The service will work closely with other service providers including the Aboriginal and Torres Strait Islander Legal Services and non-legal support services funded by the Department of Families, Housing, Community Services and Indigenous Affairs.</w:t>
      </w:r>
    </w:p>
    <w:p w:rsidR="00576528" w:rsidRPr="00576528" w:rsidRDefault="00576528" w:rsidP="00576528">
      <w:pPr>
        <w:rPr>
          <w:color w:val="000000"/>
        </w:rPr>
      </w:pPr>
    </w:p>
    <w:p w:rsidR="00576528" w:rsidRPr="00576528" w:rsidRDefault="00576528" w:rsidP="00576528">
      <w:pPr>
        <w:rPr>
          <w:color w:val="000000"/>
        </w:rPr>
      </w:pPr>
      <w:r w:rsidRPr="00576528">
        <w:rPr>
          <w:color w:val="000000"/>
        </w:rPr>
        <w:t>Payments will</w:t>
      </w:r>
      <w:r w:rsidR="008F6582">
        <w:rPr>
          <w:color w:val="000000"/>
        </w:rPr>
        <w:t xml:space="preserve"> be made as part of Program 1.3 Justice Services,</w:t>
      </w:r>
      <w:r w:rsidRPr="00576528">
        <w:rPr>
          <w:color w:val="000000"/>
        </w:rPr>
        <w:t xml:space="preserve"> described in the </w:t>
      </w:r>
      <w:r w:rsidRPr="00576528">
        <w:rPr>
          <w:i/>
          <w:iCs/>
          <w:color w:val="000000"/>
        </w:rPr>
        <w:t>Portfolio Budget Statements 2013-14, Budget Related Paper No. 1.2</w:t>
      </w:r>
      <w:r>
        <w:rPr>
          <w:i/>
          <w:iCs/>
          <w:color w:val="000000"/>
        </w:rPr>
        <w:t xml:space="preserve">, </w:t>
      </w:r>
      <w:r w:rsidR="00246150" w:rsidRPr="00246150">
        <w:rPr>
          <w:i/>
          <w:color w:val="000000"/>
        </w:rPr>
        <w:t>Attorney-General’s Portfolio</w:t>
      </w:r>
      <w:r w:rsidRPr="00576528">
        <w:rPr>
          <w:i/>
          <w:iCs/>
          <w:color w:val="000000"/>
        </w:rPr>
        <w:t xml:space="preserve"> </w:t>
      </w:r>
      <w:r w:rsidRPr="00576528">
        <w:rPr>
          <w:color w:val="000000"/>
        </w:rPr>
        <w:t xml:space="preserve">at page 28. </w:t>
      </w:r>
    </w:p>
    <w:p w:rsidR="00576528" w:rsidRPr="00632DE3" w:rsidRDefault="00576528" w:rsidP="00F0416E">
      <w:pPr>
        <w:rPr>
          <w:color w:val="000000"/>
        </w:rPr>
      </w:pPr>
    </w:p>
    <w:p w:rsidR="00CD243E" w:rsidRDefault="000D0ABE">
      <w:pPr>
        <w:rPr>
          <w:b/>
          <w:color w:val="000000" w:themeColor="text1"/>
        </w:rPr>
      </w:pPr>
      <w:r w:rsidRPr="000D0ABE">
        <w:rPr>
          <w:b/>
          <w:color w:val="000000" w:themeColor="text1"/>
        </w:rPr>
        <w:t xml:space="preserve">Item </w:t>
      </w:r>
      <w:r w:rsidR="00680C4B">
        <w:rPr>
          <w:b/>
          <w:color w:val="000000"/>
        </w:rPr>
        <w:t>4</w:t>
      </w:r>
      <w:r w:rsidRPr="000D0ABE">
        <w:rPr>
          <w:b/>
          <w:color w:val="000000" w:themeColor="text1"/>
        </w:rPr>
        <w:t xml:space="preserve"> – After item 405.011 of Schedule 1AA</w:t>
      </w:r>
      <w:r w:rsidR="007974BA" w:rsidRPr="00632DE3">
        <w:rPr>
          <w:b/>
          <w:color w:val="000000" w:themeColor="text1"/>
        </w:rPr>
        <w:t xml:space="preserve"> </w:t>
      </w:r>
    </w:p>
    <w:p w:rsidR="000E0B9A" w:rsidRDefault="000E0B9A" w:rsidP="00A371F5">
      <w:pPr>
        <w:pStyle w:val="paranumbering0"/>
        <w:spacing w:before="0" w:beforeAutospacing="0" w:after="0" w:afterAutospacing="0"/>
        <w:rPr>
          <w:color w:val="000000"/>
          <w:highlight w:val="yellow"/>
        </w:rPr>
      </w:pPr>
    </w:p>
    <w:p w:rsidR="000E0B9A" w:rsidRDefault="005C5E89">
      <w:r w:rsidRPr="000E39BF">
        <w:t xml:space="preserve">This item </w:t>
      </w:r>
      <w:r w:rsidR="00312E6A">
        <w:t xml:space="preserve">establishes legislative authority for </w:t>
      </w:r>
      <w:r w:rsidR="003251ED">
        <w:t>four</w:t>
      </w:r>
      <w:r w:rsidR="003251ED" w:rsidRPr="000E39BF">
        <w:t xml:space="preserve"> </w:t>
      </w:r>
      <w:r w:rsidRPr="000E39BF">
        <w:t xml:space="preserve">new </w:t>
      </w:r>
      <w:r w:rsidR="00C54188">
        <w:t xml:space="preserve">programs or </w:t>
      </w:r>
      <w:r w:rsidR="00895EA2">
        <w:rPr>
          <w:szCs w:val="24"/>
        </w:rPr>
        <w:t>spending activities</w:t>
      </w:r>
      <w:r w:rsidR="00312E6A">
        <w:t xml:space="preserve"> of </w:t>
      </w:r>
      <w:r w:rsidRPr="000E39BF">
        <w:t>the Department of Broadband</w:t>
      </w:r>
      <w:r w:rsidR="00622BC9">
        <w:t>,</w:t>
      </w:r>
      <w:r w:rsidRPr="000E39BF">
        <w:t xml:space="preserve"> Communications and the Digital Economy</w:t>
      </w:r>
      <w:r w:rsidR="00895EA2">
        <w:t xml:space="preserve"> (DBCDE)</w:t>
      </w:r>
      <w:r w:rsidR="00312E6A">
        <w:t xml:space="preserve"> by adding </w:t>
      </w:r>
      <w:r w:rsidR="003251ED">
        <w:t xml:space="preserve">four </w:t>
      </w:r>
      <w:r w:rsidR="00312E6A">
        <w:t xml:space="preserve">items </w:t>
      </w:r>
      <w:r w:rsidR="00312E6A" w:rsidRPr="000E39BF">
        <w:t xml:space="preserve">to Schedule 1AA </w:t>
      </w:r>
      <w:r w:rsidR="00312E6A">
        <w:t>to</w:t>
      </w:r>
      <w:r w:rsidR="00312E6A" w:rsidRPr="000E39BF">
        <w:t xml:space="preserve"> the Principal Regulations</w:t>
      </w:r>
      <w:r w:rsidR="00895EA2">
        <w:t>.</w:t>
      </w:r>
      <w:r w:rsidR="00312E6A" w:rsidRPr="00312E6A">
        <w:t xml:space="preserve"> </w:t>
      </w:r>
    </w:p>
    <w:p w:rsidR="000E0B9A" w:rsidRDefault="000E0B9A">
      <w:pPr>
        <w:rPr>
          <w:szCs w:val="24"/>
        </w:rPr>
      </w:pPr>
    </w:p>
    <w:p w:rsidR="000E0B9A" w:rsidRDefault="00377A79">
      <w:r w:rsidRPr="00632DE3">
        <w:rPr>
          <w:szCs w:val="24"/>
        </w:rPr>
        <w:t xml:space="preserve">New </w:t>
      </w:r>
      <w:r w:rsidRPr="00632DE3">
        <w:rPr>
          <w:b/>
          <w:szCs w:val="24"/>
        </w:rPr>
        <w:t>item 405.012</w:t>
      </w:r>
      <w:r w:rsidRPr="00632DE3">
        <w:rPr>
          <w:szCs w:val="24"/>
        </w:rPr>
        <w:t xml:space="preserve"> </w:t>
      </w:r>
      <w:r w:rsidR="00632DE3">
        <w:rPr>
          <w:szCs w:val="24"/>
        </w:rPr>
        <w:t>establish</w:t>
      </w:r>
      <w:r w:rsidR="00895EA2">
        <w:rPr>
          <w:szCs w:val="24"/>
        </w:rPr>
        <w:t>es</w:t>
      </w:r>
      <w:r w:rsidR="005C5E89" w:rsidRPr="000E39BF">
        <w:t xml:space="preserve"> legislative authority for the Government to develop and promote the use of guidance materials to assist businesses to take advantage of the digital economy and the National Broadband Network (NBN) opportunities Australia-wide.</w:t>
      </w:r>
    </w:p>
    <w:p w:rsidR="000E0B9A" w:rsidRDefault="000E0B9A"/>
    <w:p w:rsidR="000E0B9A" w:rsidRDefault="005C5E89">
      <w:r w:rsidRPr="000E39BF">
        <w:t xml:space="preserve">Competitive grant funding will be provided to national industry peak bodies. </w:t>
      </w:r>
      <w:r w:rsidR="006B5ED9">
        <w:t xml:space="preserve"> </w:t>
      </w:r>
      <w:r w:rsidRPr="000E39BF">
        <w:t xml:space="preserve">Payments will be made based on the achievement of milestones under a grant funding agreement to be agreed with individual peak bodies. </w:t>
      </w:r>
      <w:r w:rsidR="006B5ED9">
        <w:t xml:space="preserve"> </w:t>
      </w:r>
      <w:r w:rsidRPr="000E39BF">
        <w:t xml:space="preserve">The Minister for Broadband, Communications and the </w:t>
      </w:r>
      <w:r w:rsidRPr="000E39BF">
        <w:lastRenderedPageBreak/>
        <w:t xml:space="preserve">Digital Economy will approve the spending proposal associated with the program. </w:t>
      </w:r>
      <w:r w:rsidR="006B5ED9">
        <w:t xml:space="preserve"> </w:t>
      </w:r>
      <w:r w:rsidRPr="000E39BF">
        <w:t xml:space="preserve">The grant funding agreement will be executed on behalf of the </w:t>
      </w:r>
      <w:r w:rsidR="005C2BF1">
        <w:t>Government</w:t>
      </w:r>
      <w:r w:rsidR="005C2BF1" w:rsidRPr="000E39BF">
        <w:t xml:space="preserve"> </w:t>
      </w:r>
      <w:r w:rsidRPr="000E39BF">
        <w:t xml:space="preserve">and payments under the agreement will be administered by DBCDE. </w:t>
      </w:r>
      <w:r w:rsidR="006B5ED9">
        <w:t xml:space="preserve"> </w:t>
      </w:r>
      <w:r w:rsidRPr="000E39BF">
        <w:t>Program guidelines will be available on the Department’s website.</w:t>
      </w:r>
    </w:p>
    <w:p w:rsidR="000E0B9A" w:rsidRDefault="000E0B9A"/>
    <w:p w:rsidR="000E0B9A" w:rsidRDefault="005C5E89" w:rsidP="00A371F5">
      <w:r w:rsidRPr="000E39BF">
        <w:t>Payments will be made as part of Program 1.2 Digital Economy and Postal Services</w:t>
      </w:r>
      <w:r w:rsidR="009941BD">
        <w:t>,</w:t>
      </w:r>
      <w:r w:rsidRPr="000E39BF">
        <w:t xml:space="preserve"> described in the </w:t>
      </w:r>
      <w:r w:rsidRPr="000E39BF">
        <w:rPr>
          <w:i/>
          <w:iCs/>
        </w:rPr>
        <w:t>Portfolio Budget Statements 2013</w:t>
      </w:r>
      <w:r w:rsidRPr="000E39BF">
        <w:rPr>
          <w:i/>
          <w:iCs/>
        </w:rPr>
        <w:noBreakHyphen/>
        <w:t>14, Budget Related Paper No. 1.</w:t>
      </w:r>
      <w:r w:rsidRPr="004921C5">
        <w:rPr>
          <w:i/>
          <w:iCs/>
        </w:rPr>
        <w:t>3</w:t>
      </w:r>
      <w:r w:rsidR="00680C4B">
        <w:rPr>
          <w:i/>
          <w:iCs/>
        </w:rPr>
        <w:t xml:space="preserve">, </w:t>
      </w:r>
      <w:r w:rsidR="00246150" w:rsidRPr="00246150">
        <w:rPr>
          <w:i/>
        </w:rPr>
        <w:t>Broadband, Communications and the Digital Economy Portfolio</w:t>
      </w:r>
      <w:r w:rsidR="00680C4B" w:rsidRPr="000E39BF">
        <w:rPr>
          <w:i/>
          <w:iCs/>
        </w:rPr>
        <w:t xml:space="preserve"> </w:t>
      </w:r>
      <w:r w:rsidR="000D0ABE" w:rsidRPr="000D0ABE">
        <w:t>at page 28</w:t>
      </w:r>
      <w:r w:rsidRPr="000E39BF">
        <w:t>.</w:t>
      </w:r>
    </w:p>
    <w:p w:rsidR="000E0B9A" w:rsidRDefault="000E0B9A" w:rsidP="00A371F5"/>
    <w:p w:rsidR="000E0B9A" w:rsidRDefault="000D0ABE" w:rsidP="00A371F5">
      <w:pPr>
        <w:pStyle w:val="paranumbering0"/>
        <w:spacing w:before="0" w:beforeAutospacing="0" w:after="0" w:afterAutospacing="0"/>
      </w:pPr>
      <w:r w:rsidRPr="000D0ABE">
        <w:rPr>
          <w:color w:val="000000" w:themeColor="text1"/>
        </w:rPr>
        <w:t>New</w:t>
      </w:r>
      <w:r w:rsidR="006F6854">
        <w:rPr>
          <w:color w:val="000000" w:themeColor="text1"/>
        </w:rPr>
        <w:t xml:space="preserve"> </w:t>
      </w:r>
      <w:r w:rsidR="007974BA" w:rsidRPr="00895EA2">
        <w:rPr>
          <w:b/>
          <w:color w:val="000000" w:themeColor="text1"/>
        </w:rPr>
        <w:t>item</w:t>
      </w:r>
      <w:r w:rsidR="007974BA" w:rsidRPr="00632DE3">
        <w:rPr>
          <w:b/>
          <w:color w:val="000000" w:themeColor="text1"/>
        </w:rPr>
        <w:t xml:space="preserve"> </w:t>
      </w:r>
      <w:r w:rsidRPr="000D0ABE">
        <w:rPr>
          <w:b/>
          <w:color w:val="000000" w:themeColor="text1"/>
        </w:rPr>
        <w:t>405.</w:t>
      </w:r>
      <w:r w:rsidR="007974BA">
        <w:rPr>
          <w:b/>
          <w:color w:val="000000" w:themeColor="text1"/>
        </w:rPr>
        <w:t>01</w:t>
      </w:r>
      <w:r w:rsidR="00895EA2">
        <w:rPr>
          <w:b/>
          <w:color w:val="000000" w:themeColor="text1"/>
        </w:rPr>
        <w:t>3</w:t>
      </w:r>
      <w:r w:rsidR="007974BA">
        <w:rPr>
          <w:b/>
          <w:color w:val="000000" w:themeColor="text1"/>
        </w:rPr>
        <w:t xml:space="preserve"> </w:t>
      </w:r>
      <w:r w:rsidR="006F6854" w:rsidRPr="00895EA2">
        <w:rPr>
          <w:color w:val="000000" w:themeColor="text1"/>
        </w:rPr>
        <w:t>establishes</w:t>
      </w:r>
      <w:r w:rsidR="006F6854">
        <w:t xml:space="preserve"> legislative</w:t>
      </w:r>
      <w:r w:rsidR="007C25EF">
        <w:t xml:space="preserve"> authority for the Government to make payments to foster and promote digital productivity. </w:t>
      </w:r>
      <w:r w:rsidR="00895EA2">
        <w:t xml:space="preserve"> </w:t>
      </w:r>
      <w:r w:rsidR="007C25EF" w:rsidRPr="007C25EF">
        <w:t xml:space="preserve">National ICT Australia </w:t>
      </w:r>
      <w:r w:rsidR="004A4134">
        <w:t>(NICTA)</w:t>
      </w:r>
      <w:r w:rsidR="007C25EF" w:rsidRPr="007C25EF">
        <w:t xml:space="preserve"> will be funded to deliver online resources and interactive activities designed to boost primary and secondary school student interest in ICT careers</w:t>
      </w:r>
      <w:r w:rsidR="00C54188">
        <w:t>,</w:t>
      </w:r>
      <w:r w:rsidR="007C25EF" w:rsidRPr="007C25EF">
        <w:t xml:space="preserve"> with a view to increasing applications and enrolment in tertiary ICT studies and ultimately addressing the growing ICT skills shortage</w:t>
      </w:r>
      <w:r w:rsidR="007C25EF">
        <w:t xml:space="preserve">. </w:t>
      </w:r>
      <w:r w:rsidR="006B5ED9">
        <w:t xml:space="preserve"> </w:t>
      </w:r>
      <w:r w:rsidR="007C25EF">
        <w:t xml:space="preserve">The funding under this program is broader in scope to the expenditure supported by existing item 405.005 (ICT Centre of Excellence), and includes developing a program to facilitate student engagement in ICT and incorporates broader objectives such as promoting ICT </w:t>
      </w:r>
      <w:r w:rsidR="00E76725" w:rsidRPr="00632DE3">
        <w:t>careers</w:t>
      </w:r>
      <w:r w:rsidR="007C25EF">
        <w:t xml:space="preserve"> and </w:t>
      </w:r>
      <w:r w:rsidR="006E0C7E">
        <w:t>i</w:t>
      </w:r>
      <w:r w:rsidR="007C25EF">
        <w:t xml:space="preserve">ncreasing the quality of ICT </w:t>
      </w:r>
      <w:r w:rsidR="00E76725" w:rsidRPr="00632DE3">
        <w:t>graduates.</w:t>
      </w:r>
    </w:p>
    <w:p w:rsidR="000E0B9A" w:rsidRDefault="000E0B9A" w:rsidP="00A371F5">
      <w:pPr>
        <w:pStyle w:val="paranumbering0"/>
        <w:spacing w:before="0" w:beforeAutospacing="0" w:after="0" w:afterAutospacing="0"/>
        <w:rPr>
          <w:color w:val="000000"/>
          <w:highlight w:val="yellow"/>
        </w:rPr>
      </w:pPr>
    </w:p>
    <w:p w:rsidR="000E0B9A" w:rsidRDefault="007C25EF">
      <w:r>
        <w:t xml:space="preserve">Targeted grant funding will be provided to </w:t>
      </w:r>
      <w:r w:rsidR="00BD4717" w:rsidRPr="00BD4717">
        <w:t>NICTA</w:t>
      </w:r>
      <w:r>
        <w:t xml:space="preserve">. </w:t>
      </w:r>
      <w:r w:rsidR="006B5ED9">
        <w:t xml:space="preserve"> </w:t>
      </w:r>
      <w:r>
        <w:t xml:space="preserve">Payments will be made based on the achievement of milestones under a grant funding agreement to be agreed with </w:t>
      </w:r>
      <w:r w:rsidR="00BD4717" w:rsidRPr="00BD4717">
        <w:t>NICTA</w:t>
      </w:r>
      <w:r>
        <w:t xml:space="preserve">. </w:t>
      </w:r>
      <w:r w:rsidR="006B5ED9">
        <w:t xml:space="preserve"> </w:t>
      </w:r>
      <w:r>
        <w:t xml:space="preserve">The Minister for Broadband, Communications and the Digital Economy will approve the spending associated with the program. </w:t>
      </w:r>
      <w:r w:rsidR="006B5ED9">
        <w:t xml:space="preserve"> </w:t>
      </w:r>
      <w:r>
        <w:t xml:space="preserve">The grant funding agreement will be executed on behalf of the </w:t>
      </w:r>
      <w:r w:rsidR="005C2BF1">
        <w:t xml:space="preserve">Government </w:t>
      </w:r>
      <w:r>
        <w:t xml:space="preserve">and payments under the agreement will be administered by DBCDE. </w:t>
      </w:r>
      <w:r w:rsidR="006B5ED9">
        <w:t xml:space="preserve"> </w:t>
      </w:r>
      <w:r>
        <w:t>Program guidelines will be made available on the Department’s website.</w:t>
      </w:r>
    </w:p>
    <w:p w:rsidR="000E0B9A" w:rsidRDefault="000E0B9A"/>
    <w:p w:rsidR="000E0B9A" w:rsidRDefault="007C25EF">
      <w:r>
        <w:t>Payments will be made as part of Program 1.2 Digital Economy and Postal Services</w:t>
      </w:r>
      <w:r w:rsidR="00C023D4">
        <w:t>,</w:t>
      </w:r>
      <w:r>
        <w:t xml:space="preserve"> </w:t>
      </w:r>
      <w:r w:rsidR="00C54188">
        <w:t xml:space="preserve"> </w:t>
      </w:r>
      <w:r>
        <w:t xml:space="preserve">described in the </w:t>
      </w:r>
      <w:r>
        <w:rPr>
          <w:i/>
          <w:iCs/>
        </w:rPr>
        <w:t>Portfolio Budget Statements 2013</w:t>
      </w:r>
      <w:r>
        <w:rPr>
          <w:i/>
          <w:iCs/>
        </w:rPr>
        <w:noBreakHyphen/>
        <w:t>14, Budget Related Paper No.</w:t>
      </w:r>
      <w:r w:rsidR="00F66DB9">
        <w:rPr>
          <w:i/>
          <w:iCs/>
        </w:rPr>
        <w:t> </w:t>
      </w:r>
      <w:r>
        <w:rPr>
          <w:i/>
          <w:iCs/>
        </w:rPr>
        <w:t>1.3</w:t>
      </w:r>
      <w:r w:rsidR="00680C4B">
        <w:rPr>
          <w:i/>
          <w:iCs/>
        </w:rPr>
        <w:t xml:space="preserve">, </w:t>
      </w:r>
      <w:r w:rsidR="00246150" w:rsidRPr="00246150">
        <w:rPr>
          <w:i/>
        </w:rPr>
        <w:t>Broadband, Communications and the Digital Economy Portfolio</w:t>
      </w:r>
      <w:r>
        <w:t xml:space="preserve"> </w:t>
      </w:r>
      <w:r w:rsidRPr="0067416C">
        <w:t>at page 28</w:t>
      </w:r>
      <w:r>
        <w:t>.</w:t>
      </w:r>
    </w:p>
    <w:p w:rsidR="000E0B9A" w:rsidRDefault="000E0B9A"/>
    <w:p w:rsidR="00705C97" w:rsidRDefault="006F6854">
      <w:pPr>
        <w:pStyle w:val="paranumbering0"/>
        <w:spacing w:before="0" w:beforeAutospacing="0" w:after="120" w:afterAutospacing="0"/>
      </w:pPr>
      <w:r w:rsidRPr="004712F3">
        <w:rPr>
          <w:color w:val="000000" w:themeColor="text1"/>
        </w:rPr>
        <w:t>New</w:t>
      </w:r>
      <w:r>
        <w:rPr>
          <w:b/>
          <w:color w:val="000000" w:themeColor="text1"/>
        </w:rPr>
        <w:t xml:space="preserve"> i</w:t>
      </w:r>
      <w:r w:rsidR="007974BA" w:rsidRPr="000E39BF">
        <w:rPr>
          <w:b/>
          <w:color w:val="000000" w:themeColor="text1"/>
        </w:rPr>
        <w:t xml:space="preserve">tem </w:t>
      </w:r>
      <w:r w:rsidR="000D0ABE" w:rsidRPr="000D0ABE">
        <w:rPr>
          <w:b/>
          <w:color w:val="000000" w:themeColor="text1"/>
        </w:rPr>
        <w:t>405.</w:t>
      </w:r>
      <w:r w:rsidR="007974BA">
        <w:rPr>
          <w:b/>
          <w:color w:val="000000" w:themeColor="text1"/>
        </w:rPr>
        <w:t>01</w:t>
      </w:r>
      <w:r w:rsidR="00E23047">
        <w:rPr>
          <w:b/>
          <w:color w:val="000000" w:themeColor="text1"/>
        </w:rPr>
        <w:t>4</w:t>
      </w:r>
      <w:r w:rsidR="007974BA">
        <w:rPr>
          <w:b/>
          <w:color w:val="000000" w:themeColor="text1"/>
        </w:rPr>
        <w:t xml:space="preserve"> </w:t>
      </w:r>
      <w:r>
        <w:t xml:space="preserve">establishes </w:t>
      </w:r>
      <w:r w:rsidR="00DC33C1">
        <w:t xml:space="preserve">legislative authority for the Government to </w:t>
      </w:r>
      <w:r w:rsidR="00434E7C">
        <w:t>make payments for the NBN Demonstrators program and for</w:t>
      </w:r>
      <w:r w:rsidR="00DC33C1">
        <w:t xml:space="preserve"> two projects under the proposed program:</w:t>
      </w:r>
    </w:p>
    <w:p w:rsidR="00705C97" w:rsidRDefault="00DC33C1">
      <w:pPr>
        <w:numPr>
          <w:ilvl w:val="0"/>
          <w:numId w:val="37"/>
        </w:numPr>
      </w:pPr>
      <w:r w:rsidRPr="003438E4">
        <w:t>the 3D Online Education project;</w:t>
      </w:r>
      <w:r w:rsidR="000D0ABE" w:rsidRPr="000D0ABE">
        <w:t xml:space="preserve"> and</w:t>
      </w:r>
    </w:p>
    <w:p w:rsidR="00705C97" w:rsidRDefault="000D0ABE">
      <w:pPr>
        <w:numPr>
          <w:ilvl w:val="0"/>
          <w:numId w:val="37"/>
        </w:numPr>
      </w:pPr>
      <w:r w:rsidRPr="000D0ABE">
        <w:t xml:space="preserve">the Creative </w:t>
      </w:r>
      <w:r w:rsidR="00C54188">
        <w:t>D</w:t>
      </w:r>
      <w:r w:rsidRPr="000D0ABE">
        <w:t xml:space="preserve">igital </w:t>
      </w:r>
      <w:r w:rsidR="00C54188">
        <w:t>C</w:t>
      </w:r>
      <w:r w:rsidRPr="000D0ABE">
        <w:t>ulture project.</w:t>
      </w:r>
    </w:p>
    <w:p w:rsidR="00312E6A" w:rsidRDefault="00312E6A" w:rsidP="00312E6A"/>
    <w:p w:rsidR="000E0B9A" w:rsidRDefault="00DC33C1">
      <w:r w:rsidRPr="00DC33C1">
        <w:t>The two year NBN Demonstrators program will support NBN-enabled projects demonstrating innovative uses of high speed broadband and digital technologies in the areas of online education and creative and cultural industries</w:t>
      </w:r>
      <w:r w:rsidR="00434E7C">
        <w:t>.</w:t>
      </w:r>
      <w:r w:rsidR="00587557">
        <w:t xml:space="preserve"> </w:t>
      </w:r>
    </w:p>
    <w:p w:rsidR="000E0B9A" w:rsidRDefault="000E0B9A"/>
    <w:p w:rsidR="000E0B9A" w:rsidRDefault="00DC33C1">
      <w:r>
        <w:t xml:space="preserve">The 3D Online Education project will leverage the rollout of the NBN to transform the way education services are delivered and enhance the learning experience of students. </w:t>
      </w:r>
      <w:r w:rsidR="00BD4BAE">
        <w:t xml:space="preserve"> </w:t>
      </w:r>
      <w:r>
        <w:t xml:space="preserve">The </w:t>
      </w:r>
      <w:r w:rsidRPr="00434E7C">
        <w:t xml:space="preserve">3D </w:t>
      </w:r>
      <w:r>
        <w:t xml:space="preserve">project will provide a 3D immersed learning experience to students across Australia. Incorporating a 3D experience into remote learning has the potential to significantly enhance the effectiveness of online education. </w:t>
      </w:r>
      <w:r w:rsidR="006B5ED9">
        <w:t xml:space="preserve"> </w:t>
      </w:r>
      <w:r>
        <w:t xml:space="preserve">The project will demonstrate an innovative approach to delivering education services through the NBN and broadband applications. </w:t>
      </w:r>
      <w:r w:rsidR="009941BD">
        <w:t xml:space="preserve"> </w:t>
      </w:r>
      <w:r>
        <w:t>The outcomes of the project will be transferred to the Australian education industry to enhance the science,</w:t>
      </w:r>
      <w:r w:rsidR="005C2BF1">
        <w:t xml:space="preserve"> </w:t>
      </w:r>
      <w:r>
        <w:t xml:space="preserve">depth and breadth of its education products. </w:t>
      </w:r>
      <w:r w:rsidR="006B5ED9">
        <w:t xml:space="preserve"> </w:t>
      </w:r>
      <w:r>
        <w:t xml:space="preserve">Students and teachers will be able to take part in virtual education experiences, </w:t>
      </w:r>
      <w:r w:rsidR="006B3AD7" w:rsidRPr="00632DE3">
        <w:rPr>
          <w:szCs w:val="24"/>
        </w:rPr>
        <w:t>utilis</w:t>
      </w:r>
      <w:r w:rsidR="000931EB" w:rsidRPr="00632DE3">
        <w:rPr>
          <w:szCs w:val="24"/>
        </w:rPr>
        <w:t>ing</w:t>
      </w:r>
      <w:r>
        <w:t xml:space="preserve"> such enhanced products, to complement the teaching and learning experience.</w:t>
      </w:r>
    </w:p>
    <w:p w:rsidR="000E0B9A" w:rsidRDefault="000E0B9A"/>
    <w:p w:rsidR="000E0B9A" w:rsidRDefault="00DC33C1">
      <w:r>
        <w:lastRenderedPageBreak/>
        <w:t>Payments will be made based on the achievement of milestones under a grant funding agreement to be agreed with the C</w:t>
      </w:r>
      <w:r w:rsidR="000962DB">
        <w:t xml:space="preserve">ommonwealth Scientific and Industrial </w:t>
      </w:r>
      <w:r w:rsidR="007045A3">
        <w:t xml:space="preserve">Research </w:t>
      </w:r>
      <w:r w:rsidR="000962DB">
        <w:t>Organisation</w:t>
      </w:r>
      <w:r>
        <w:t xml:space="preserve">. </w:t>
      </w:r>
      <w:r w:rsidR="000962DB">
        <w:t xml:space="preserve"> </w:t>
      </w:r>
      <w:r>
        <w:t xml:space="preserve">The Minister for Broadband, Communications and the Digital Economy will approve the spending proposal associated with the program. </w:t>
      </w:r>
      <w:r w:rsidR="006B5ED9">
        <w:t xml:space="preserve"> </w:t>
      </w:r>
      <w:r>
        <w:t xml:space="preserve">The grant funding agreement will be executed on behalf of the </w:t>
      </w:r>
      <w:r w:rsidR="005C2BF1">
        <w:t xml:space="preserve">Government </w:t>
      </w:r>
      <w:r>
        <w:t xml:space="preserve">and payments under the agreement will be administered by </w:t>
      </w:r>
      <w:r w:rsidR="005C2BF1">
        <w:t>DBCDE</w:t>
      </w:r>
      <w:r>
        <w:t xml:space="preserve">. </w:t>
      </w:r>
      <w:r w:rsidR="005C2BF1">
        <w:t xml:space="preserve"> </w:t>
      </w:r>
      <w:r>
        <w:t>Program guidelines will be available on the Department’s website.</w:t>
      </w:r>
    </w:p>
    <w:p w:rsidR="000E0B9A" w:rsidRDefault="000E0B9A"/>
    <w:p w:rsidR="000E0B9A" w:rsidRDefault="00DC33C1">
      <w:r>
        <w:t xml:space="preserve">The Creative </w:t>
      </w:r>
      <w:r w:rsidR="00C54188">
        <w:t>D</w:t>
      </w:r>
      <w:r>
        <w:t xml:space="preserve">igital </w:t>
      </w:r>
      <w:r w:rsidR="00C54188">
        <w:t>C</w:t>
      </w:r>
      <w:r>
        <w:t xml:space="preserve">ulture project will encourage the development of new digital economy business </w:t>
      </w:r>
      <w:r w:rsidR="00632DE3">
        <w:rPr>
          <w:szCs w:val="24"/>
        </w:rPr>
        <w:t>models</w:t>
      </w:r>
      <w:r>
        <w:t xml:space="preserve"> for performing arts organisations to use the NBN. </w:t>
      </w:r>
      <w:r w:rsidR="006B5ED9">
        <w:t xml:space="preserve"> </w:t>
      </w:r>
      <w:r>
        <w:t>This project will harness the NBN to bring high quality, real time performances and interactive master classes in the major performing arts into Australian homes and other suitable locations.</w:t>
      </w:r>
    </w:p>
    <w:p w:rsidR="000E0B9A" w:rsidRDefault="000E0B9A">
      <w:pPr>
        <w:rPr>
          <w:rFonts w:ascii="Calibri" w:hAnsi="Calibri"/>
          <w:sz w:val="22"/>
          <w:szCs w:val="22"/>
        </w:rPr>
      </w:pPr>
    </w:p>
    <w:p w:rsidR="00DC33C1" w:rsidRDefault="00DC33C1" w:rsidP="00DC33C1">
      <w:r>
        <w:t xml:space="preserve">DBCDE will receive funding for NBN Demonstrators to fund organisations to undertake the Creative </w:t>
      </w:r>
      <w:r w:rsidR="00C54188">
        <w:t>D</w:t>
      </w:r>
      <w:r>
        <w:t xml:space="preserve">igital </w:t>
      </w:r>
      <w:r w:rsidR="00C54188">
        <w:t>C</w:t>
      </w:r>
      <w:r>
        <w:t>ulture project.</w:t>
      </w:r>
      <w:r w:rsidR="006B5ED9">
        <w:t xml:space="preserve"> </w:t>
      </w:r>
      <w:r>
        <w:t xml:space="preserve"> Grants to funding recipients will be allocated under funding agreements governed by program guidelines, and the agreements will be structured with funding reci</w:t>
      </w:r>
      <w:r w:rsidR="0023491D">
        <w:t>pients in order to realise the ‘digital productivity outcome’</w:t>
      </w:r>
      <w:r>
        <w:t xml:space="preserve"> that this project will seek to achieve.</w:t>
      </w:r>
      <w:r w:rsidR="00BD4BAE">
        <w:t xml:space="preserve">  </w:t>
      </w:r>
      <w:r>
        <w:t>Payments will be made based on the achievement of milestone</w:t>
      </w:r>
      <w:r w:rsidR="0023491D">
        <w:t xml:space="preserve">s under </w:t>
      </w:r>
      <w:r w:rsidR="007045A3">
        <w:t xml:space="preserve">the </w:t>
      </w:r>
      <w:r w:rsidR="0023491D">
        <w:t>grant funding agreement</w:t>
      </w:r>
      <w:r>
        <w:t xml:space="preserve">s. </w:t>
      </w:r>
      <w:r w:rsidR="006B5ED9">
        <w:t xml:space="preserve"> </w:t>
      </w:r>
      <w:r>
        <w:t xml:space="preserve">The Minister for Broadband, Communications and the Digital Economy will approve the spending proposal associated with the program. </w:t>
      </w:r>
      <w:r w:rsidR="006B5ED9">
        <w:t xml:space="preserve"> </w:t>
      </w:r>
      <w:r>
        <w:t xml:space="preserve">The grant funding agreement will be executed on behalf of the </w:t>
      </w:r>
      <w:r w:rsidR="005C2BF1">
        <w:t xml:space="preserve">Government </w:t>
      </w:r>
      <w:r>
        <w:t xml:space="preserve">and payments under the agreement will be administered by DBCDE. </w:t>
      </w:r>
      <w:r w:rsidR="006B5ED9">
        <w:t xml:space="preserve"> </w:t>
      </w:r>
      <w:r>
        <w:t>Program guidelines will be available on the Department’s website.</w:t>
      </w:r>
    </w:p>
    <w:p w:rsidR="000E0B9A" w:rsidRDefault="000E0B9A"/>
    <w:p w:rsidR="000E0B9A" w:rsidRDefault="00DC33C1">
      <w:r>
        <w:t>Payments will be made as part of Program 1.2 Digital Economy and Postal Services</w:t>
      </w:r>
      <w:r w:rsidR="00C023D4">
        <w:t>,</w:t>
      </w:r>
      <w:r>
        <w:t xml:space="preserve"> described in the </w:t>
      </w:r>
      <w:r>
        <w:rPr>
          <w:i/>
          <w:iCs/>
        </w:rPr>
        <w:t>Portfolio Budget Statements 2013</w:t>
      </w:r>
      <w:r>
        <w:rPr>
          <w:i/>
          <w:iCs/>
        </w:rPr>
        <w:noBreakHyphen/>
        <w:t>14, Budget Related Paper No. 1</w:t>
      </w:r>
      <w:r w:rsidR="004A4134">
        <w:rPr>
          <w:i/>
          <w:iCs/>
        </w:rPr>
        <w:t>.3</w:t>
      </w:r>
      <w:r w:rsidR="00D85244">
        <w:rPr>
          <w:i/>
          <w:iCs/>
        </w:rPr>
        <w:t xml:space="preserve">, </w:t>
      </w:r>
      <w:r w:rsidR="00246150" w:rsidRPr="00246150">
        <w:rPr>
          <w:i/>
        </w:rPr>
        <w:t>Broadband, Communications and the Digital Economy Portfolio</w:t>
      </w:r>
      <w:r w:rsidRPr="00DC33C1">
        <w:rPr>
          <w:iCs/>
        </w:rPr>
        <w:t xml:space="preserve"> </w:t>
      </w:r>
      <w:r w:rsidRPr="0023491D">
        <w:t>at page 28</w:t>
      </w:r>
      <w:r>
        <w:t>.</w:t>
      </w:r>
    </w:p>
    <w:p w:rsidR="008F6582" w:rsidRDefault="008F6582" w:rsidP="00680C4B">
      <w:pPr>
        <w:rPr>
          <w:szCs w:val="24"/>
        </w:rPr>
      </w:pPr>
    </w:p>
    <w:p w:rsidR="00680C4B" w:rsidRDefault="00680C4B" w:rsidP="00680C4B">
      <w:pPr>
        <w:rPr>
          <w:szCs w:val="24"/>
        </w:rPr>
      </w:pPr>
      <w:r>
        <w:rPr>
          <w:szCs w:val="24"/>
        </w:rPr>
        <w:t xml:space="preserve">New </w:t>
      </w:r>
      <w:r w:rsidRPr="008D25E2">
        <w:rPr>
          <w:b/>
          <w:szCs w:val="24"/>
        </w:rPr>
        <w:t>item 405.015</w:t>
      </w:r>
      <w:r>
        <w:rPr>
          <w:szCs w:val="24"/>
        </w:rPr>
        <w:t xml:space="preserve"> establishes</w:t>
      </w:r>
      <w:r w:rsidRPr="00531334">
        <w:rPr>
          <w:szCs w:val="24"/>
        </w:rPr>
        <w:t xml:space="preserve"> legislative authority for the Government to </w:t>
      </w:r>
      <w:r>
        <w:rPr>
          <w:szCs w:val="24"/>
        </w:rPr>
        <w:t xml:space="preserve">provide </w:t>
      </w:r>
      <w:r w:rsidRPr="00531334">
        <w:rPr>
          <w:szCs w:val="24"/>
        </w:rPr>
        <w:t>fund</w:t>
      </w:r>
      <w:r>
        <w:rPr>
          <w:szCs w:val="24"/>
        </w:rPr>
        <w:t xml:space="preserve">ing to the </w:t>
      </w:r>
      <w:r w:rsidRPr="00531334">
        <w:rPr>
          <w:szCs w:val="24"/>
        </w:rPr>
        <w:t xml:space="preserve">Townsville-Mackay Medicare Local </w:t>
      </w:r>
      <w:r>
        <w:rPr>
          <w:szCs w:val="24"/>
        </w:rPr>
        <w:t xml:space="preserve">for </w:t>
      </w:r>
      <w:r w:rsidRPr="00531334">
        <w:rPr>
          <w:szCs w:val="24"/>
        </w:rPr>
        <w:t xml:space="preserve">the Townsville </w:t>
      </w:r>
      <w:proofErr w:type="spellStart"/>
      <w:r w:rsidRPr="00531334">
        <w:rPr>
          <w:szCs w:val="24"/>
        </w:rPr>
        <w:t>NBN</w:t>
      </w:r>
      <w:proofErr w:type="spellEnd"/>
      <w:r w:rsidRPr="00531334">
        <w:rPr>
          <w:szCs w:val="24"/>
        </w:rPr>
        <w:t xml:space="preserve">-enabled Diabetes </w:t>
      </w:r>
      <w:proofErr w:type="spellStart"/>
      <w:r w:rsidRPr="00531334">
        <w:rPr>
          <w:szCs w:val="24"/>
        </w:rPr>
        <w:t>Telehealth</w:t>
      </w:r>
      <w:proofErr w:type="spellEnd"/>
      <w:r w:rsidRPr="00531334">
        <w:rPr>
          <w:szCs w:val="24"/>
        </w:rPr>
        <w:t xml:space="preserve"> Trial</w:t>
      </w:r>
      <w:r>
        <w:rPr>
          <w:szCs w:val="24"/>
        </w:rPr>
        <w:t xml:space="preserve">.  </w:t>
      </w:r>
      <w:r w:rsidR="0066156E">
        <w:rPr>
          <w:szCs w:val="24"/>
        </w:rPr>
        <w:t>In the trial, t</w:t>
      </w:r>
      <w:r>
        <w:rPr>
          <w:szCs w:val="24"/>
        </w:rPr>
        <w:t xml:space="preserve">he </w:t>
      </w:r>
      <w:r w:rsidRPr="00531334">
        <w:rPr>
          <w:szCs w:val="24"/>
        </w:rPr>
        <w:t xml:space="preserve">Townsville-Mackay Medicare Local </w:t>
      </w:r>
      <w:r>
        <w:rPr>
          <w:szCs w:val="24"/>
        </w:rPr>
        <w:t>would use</w:t>
      </w:r>
      <w:r w:rsidRPr="00531334">
        <w:rPr>
          <w:szCs w:val="24"/>
        </w:rPr>
        <w:t xml:space="preserve"> the </w:t>
      </w:r>
      <w:proofErr w:type="spellStart"/>
      <w:r>
        <w:rPr>
          <w:szCs w:val="24"/>
        </w:rPr>
        <w:t>NBN</w:t>
      </w:r>
      <w:proofErr w:type="spellEnd"/>
      <w:r w:rsidRPr="00531334">
        <w:rPr>
          <w:szCs w:val="24"/>
        </w:rPr>
        <w:t xml:space="preserve"> to deliver </w:t>
      </w:r>
      <w:proofErr w:type="spellStart"/>
      <w:r w:rsidRPr="00531334">
        <w:rPr>
          <w:szCs w:val="24"/>
        </w:rPr>
        <w:t>telehealth</w:t>
      </w:r>
      <w:proofErr w:type="spellEnd"/>
      <w:r w:rsidRPr="00531334">
        <w:rPr>
          <w:szCs w:val="24"/>
        </w:rPr>
        <w:t xml:space="preserve"> services to the homes of patients living with type 2 diabetes in Townsville, and to develop a delivery model with a view to it being adopted Australia-wide.</w:t>
      </w:r>
    </w:p>
    <w:p w:rsidR="00680C4B" w:rsidRPr="00531334" w:rsidRDefault="00680C4B" w:rsidP="00680C4B">
      <w:pPr>
        <w:rPr>
          <w:szCs w:val="24"/>
        </w:rPr>
      </w:pPr>
    </w:p>
    <w:p w:rsidR="00133D36" w:rsidRDefault="0066156E">
      <w:pPr>
        <w:rPr>
          <w:szCs w:val="24"/>
        </w:rPr>
      </w:pPr>
      <w:r w:rsidRPr="00D85244">
        <w:rPr>
          <w:color w:val="000000" w:themeColor="text1"/>
        </w:rPr>
        <w:t xml:space="preserve">Targeted grant funding will be provided to the Townsville-Mackay Medicare Local to continue the Townsville </w:t>
      </w:r>
      <w:proofErr w:type="spellStart"/>
      <w:r w:rsidRPr="00D85244">
        <w:rPr>
          <w:color w:val="000000" w:themeColor="text1"/>
        </w:rPr>
        <w:t>NBN</w:t>
      </w:r>
      <w:proofErr w:type="spellEnd"/>
      <w:r w:rsidRPr="00D85244">
        <w:rPr>
          <w:color w:val="000000" w:themeColor="text1"/>
        </w:rPr>
        <w:t xml:space="preserve">-enabled Diabetes </w:t>
      </w:r>
      <w:proofErr w:type="spellStart"/>
      <w:r w:rsidRPr="00D85244">
        <w:rPr>
          <w:color w:val="000000" w:themeColor="text1"/>
        </w:rPr>
        <w:t>Telehealth</w:t>
      </w:r>
      <w:proofErr w:type="spellEnd"/>
      <w:r w:rsidRPr="00D85244">
        <w:rPr>
          <w:color w:val="000000" w:themeColor="text1"/>
        </w:rPr>
        <w:t xml:space="preserve"> Trial. </w:t>
      </w:r>
      <w:r>
        <w:rPr>
          <w:color w:val="000000" w:themeColor="text1"/>
        </w:rPr>
        <w:t xml:space="preserve"> </w:t>
      </w:r>
      <w:r w:rsidR="00680C4B" w:rsidRPr="00531334">
        <w:rPr>
          <w:szCs w:val="24"/>
        </w:rPr>
        <w:t>The trial examine</w:t>
      </w:r>
      <w:r>
        <w:rPr>
          <w:szCs w:val="24"/>
        </w:rPr>
        <w:t>s</w:t>
      </w:r>
      <w:r w:rsidR="00680C4B" w:rsidRPr="00531334">
        <w:rPr>
          <w:szCs w:val="24"/>
        </w:rPr>
        <w:t xml:space="preserve"> the impacts, outcomes, benefits and costs of </w:t>
      </w:r>
      <w:proofErr w:type="spellStart"/>
      <w:r w:rsidR="00680C4B" w:rsidRPr="00531334">
        <w:rPr>
          <w:szCs w:val="24"/>
        </w:rPr>
        <w:t>NBN</w:t>
      </w:r>
      <w:proofErr w:type="spellEnd"/>
      <w:r w:rsidR="00680C4B" w:rsidRPr="00531334">
        <w:rPr>
          <w:szCs w:val="24"/>
        </w:rPr>
        <w:t xml:space="preserve">-enabled </w:t>
      </w:r>
      <w:proofErr w:type="spellStart"/>
      <w:r w:rsidR="00680C4B" w:rsidRPr="00531334">
        <w:rPr>
          <w:szCs w:val="24"/>
        </w:rPr>
        <w:t>telehealth</w:t>
      </w:r>
      <w:proofErr w:type="spellEnd"/>
      <w:r>
        <w:rPr>
          <w:szCs w:val="24"/>
        </w:rPr>
        <w:t xml:space="preserve"> and </w:t>
      </w:r>
      <w:r w:rsidR="00680C4B">
        <w:rPr>
          <w:szCs w:val="24"/>
        </w:rPr>
        <w:t>assess</w:t>
      </w:r>
      <w:r>
        <w:rPr>
          <w:szCs w:val="24"/>
        </w:rPr>
        <w:t>es</w:t>
      </w:r>
      <w:r w:rsidR="00680C4B">
        <w:rPr>
          <w:szCs w:val="24"/>
        </w:rPr>
        <w:t xml:space="preserve"> the delivery of </w:t>
      </w:r>
      <w:proofErr w:type="spellStart"/>
      <w:r w:rsidR="00680C4B">
        <w:rPr>
          <w:szCs w:val="24"/>
        </w:rPr>
        <w:t>NBN</w:t>
      </w:r>
      <w:proofErr w:type="spellEnd"/>
      <w:r w:rsidR="00680C4B">
        <w:rPr>
          <w:szCs w:val="24"/>
        </w:rPr>
        <w:noBreakHyphen/>
      </w:r>
      <w:r w:rsidR="00680C4B" w:rsidRPr="00531334">
        <w:rPr>
          <w:szCs w:val="24"/>
        </w:rPr>
        <w:t xml:space="preserve">enabled </w:t>
      </w:r>
      <w:proofErr w:type="spellStart"/>
      <w:r w:rsidR="00680C4B" w:rsidRPr="00531334">
        <w:rPr>
          <w:szCs w:val="24"/>
        </w:rPr>
        <w:t>telehealth</w:t>
      </w:r>
      <w:proofErr w:type="spellEnd"/>
      <w:r w:rsidR="00680C4B" w:rsidRPr="00531334">
        <w:rPr>
          <w:szCs w:val="24"/>
        </w:rPr>
        <w:t xml:space="preserve"> within a fully integrated case management model for patients with diabetes. </w:t>
      </w:r>
      <w:r w:rsidR="00680C4B">
        <w:rPr>
          <w:szCs w:val="24"/>
        </w:rPr>
        <w:t xml:space="preserve"> </w:t>
      </w:r>
      <w:r w:rsidR="00680C4B" w:rsidRPr="00531334">
        <w:rPr>
          <w:szCs w:val="24"/>
        </w:rPr>
        <w:t xml:space="preserve">The model includes </w:t>
      </w:r>
      <w:proofErr w:type="spellStart"/>
      <w:r w:rsidR="00680C4B" w:rsidRPr="00531334">
        <w:rPr>
          <w:szCs w:val="24"/>
        </w:rPr>
        <w:t>telehealth</w:t>
      </w:r>
      <w:proofErr w:type="spellEnd"/>
      <w:r w:rsidR="00680C4B" w:rsidRPr="00531334">
        <w:rPr>
          <w:szCs w:val="24"/>
        </w:rPr>
        <w:t xml:space="preserve"> monitoring, home management, education and support, utilising the additional broadband capacity and speed </w:t>
      </w:r>
      <w:r w:rsidR="00680C4B">
        <w:rPr>
          <w:szCs w:val="24"/>
        </w:rPr>
        <w:t>of</w:t>
      </w:r>
      <w:r w:rsidR="00680C4B" w:rsidRPr="00531334">
        <w:rPr>
          <w:szCs w:val="24"/>
        </w:rPr>
        <w:t xml:space="preserve"> the NBN. </w:t>
      </w:r>
    </w:p>
    <w:p w:rsidR="00133D36" w:rsidRDefault="00133D36">
      <w:pPr>
        <w:rPr>
          <w:szCs w:val="24"/>
        </w:rPr>
      </w:pPr>
    </w:p>
    <w:p w:rsidR="00CD243E" w:rsidRDefault="00246150">
      <w:pPr>
        <w:pStyle w:val="paranumbering0"/>
        <w:spacing w:before="0" w:beforeAutospacing="0" w:after="0" w:afterAutospacing="0"/>
        <w:rPr>
          <w:color w:val="000000" w:themeColor="text1"/>
        </w:rPr>
      </w:pPr>
      <w:r w:rsidRPr="00246150">
        <w:rPr>
          <w:color w:val="000000" w:themeColor="text1"/>
        </w:rPr>
        <w:t xml:space="preserve">Payments will be made based on the achievement of milestones under a grant funding arrangement to be agreed with the Townsville-Mackay Medicare Local. </w:t>
      </w:r>
      <w:r w:rsidR="00680C4B">
        <w:rPr>
          <w:color w:val="000000" w:themeColor="text1"/>
        </w:rPr>
        <w:t xml:space="preserve"> </w:t>
      </w:r>
      <w:r w:rsidRPr="00246150">
        <w:rPr>
          <w:color w:val="000000" w:themeColor="text1"/>
        </w:rPr>
        <w:t xml:space="preserve">The Minister for Broadband, Communications and the Digital Economy will approve the spending proposal associated with the program. </w:t>
      </w:r>
      <w:r w:rsidR="00680C4B">
        <w:rPr>
          <w:color w:val="000000" w:themeColor="text1"/>
        </w:rPr>
        <w:t xml:space="preserve"> </w:t>
      </w:r>
      <w:r w:rsidRPr="00246150">
        <w:rPr>
          <w:color w:val="000000" w:themeColor="text1"/>
        </w:rPr>
        <w:t xml:space="preserve">The grant funding agreement will be executed on behalf of the Commonwealth and payments under the agreement will be administered by the Department of Broadband, Communications and the Digital Economy. </w:t>
      </w:r>
    </w:p>
    <w:p w:rsidR="00CD243E" w:rsidRDefault="00CD243E">
      <w:pPr>
        <w:pStyle w:val="paranumbering0"/>
        <w:spacing w:before="0" w:beforeAutospacing="0" w:after="0" w:afterAutospacing="0"/>
        <w:rPr>
          <w:color w:val="000000" w:themeColor="text1"/>
        </w:rPr>
      </w:pPr>
    </w:p>
    <w:p w:rsidR="00CD243E" w:rsidRDefault="00246150">
      <w:pPr>
        <w:pStyle w:val="paranumbering0"/>
        <w:spacing w:before="0" w:beforeAutospacing="0" w:after="0" w:afterAutospacing="0"/>
        <w:rPr>
          <w:bCs/>
          <w:color w:val="000000" w:themeColor="text1"/>
        </w:rPr>
      </w:pPr>
      <w:r w:rsidRPr="00246150">
        <w:rPr>
          <w:color w:val="000000" w:themeColor="text1"/>
        </w:rPr>
        <w:t>Payments will be made as part of Program 1.2 Digital Economy and Postal Services</w:t>
      </w:r>
      <w:r w:rsidR="008F6582">
        <w:rPr>
          <w:color w:val="000000" w:themeColor="text1"/>
        </w:rPr>
        <w:t xml:space="preserve">, </w:t>
      </w:r>
      <w:r w:rsidR="008F6582">
        <w:t xml:space="preserve">described in the </w:t>
      </w:r>
      <w:r w:rsidR="008F6582">
        <w:rPr>
          <w:i/>
          <w:iCs/>
        </w:rPr>
        <w:t>Portfolio Budget Statements 2013</w:t>
      </w:r>
      <w:r w:rsidR="008F6582">
        <w:rPr>
          <w:i/>
          <w:iCs/>
        </w:rPr>
        <w:noBreakHyphen/>
        <w:t xml:space="preserve">14, Budget Related Paper No. 1.3, </w:t>
      </w:r>
      <w:r w:rsidR="008F6582" w:rsidRPr="00246150">
        <w:rPr>
          <w:i/>
        </w:rPr>
        <w:t>Broadband, Communications and the Digital Economy Portfolio</w:t>
      </w:r>
      <w:r w:rsidR="008F6582" w:rsidRPr="00DC33C1">
        <w:rPr>
          <w:iCs/>
        </w:rPr>
        <w:t xml:space="preserve"> </w:t>
      </w:r>
      <w:r w:rsidR="008F6582" w:rsidRPr="0023491D">
        <w:t>at page 28</w:t>
      </w:r>
      <w:r w:rsidR="008F6582">
        <w:t>.</w:t>
      </w:r>
      <w:r w:rsidRPr="00246150">
        <w:rPr>
          <w:color w:val="000000" w:themeColor="text1"/>
        </w:rPr>
        <w:t xml:space="preserve"> </w:t>
      </w:r>
    </w:p>
    <w:p w:rsidR="00886F43" w:rsidRPr="00504D01" w:rsidRDefault="00886F43" w:rsidP="00A371F5">
      <w:pPr>
        <w:pStyle w:val="paranumbering0"/>
        <w:spacing w:before="0" w:beforeAutospacing="0" w:after="0" w:afterAutospacing="0"/>
        <w:rPr>
          <w:color w:val="000000" w:themeColor="text1"/>
        </w:rPr>
      </w:pPr>
    </w:p>
    <w:p w:rsidR="000E0B9A" w:rsidRDefault="007974BA" w:rsidP="00A371F5">
      <w:pPr>
        <w:pStyle w:val="paranumbering0"/>
        <w:spacing w:before="0" w:beforeAutospacing="0" w:after="0" w:afterAutospacing="0"/>
        <w:rPr>
          <w:b/>
          <w:color w:val="000000" w:themeColor="text1"/>
        </w:rPr>
      </w:pPr>
      <w:r w:rsidRPr="000E39BF">
        <w:rPr>
          <w:b/>
          <w:color w:val="000000" w:themeColor="text1"/>
        </w:rPr>
        <w:lastRenderedPageBreak/>
        <w:t>Item</w:t>
      </w:r>
      <w:r w:rsidR="00135E6D">
        <w:rPr>
          <w:b/>
          <w:color w:val="000000" w:themeColor="text1"/>
        </w:rPr>
        <w:t xml:space="preserve"> </w:t>
      </w:r>
      <w:r w:rsidR="00680C4B">
        <w:rPr>
          <w:b/>
          <w:color w:val="000000" w:themeColor="text1"/>
        </w:rPr>
        <w:t>5</w:t>
      </w:r>
      <w:r w:rsidRPr="000E39BF">
        <w:rPr>
          <w:b/>
          <w:color w:val="000000" w:themeColor="text1"/>
        </w:rPr>
        <w:t xml:space="preserve"> – </w:t>
      </w:r>
      <w:r w:rsidRPr="00632DE3">
        <w:rPr>
          <w:b/>
          <w:color w:val="000000" w:themeColor="text1"/>
        </w:rPr>
        <w:t>After item 40</w:t>
      </w:r>
      <w:r>
        <w:rPr>
          <w:b/>
          <w:color w:val="000000" w:themeColor="text1"/>
        </w:rPr>
        <w:t>7</w:t>
      </w:r>
      <w:r w:rsidRPr="00632DE3">
        <w:rPr>
          <w:b/>
          <w:color w:val="000000" w:themeColor="text1"/>
        </w:rPr>
        <w:t>.</w:t>
      </w:r>
      <w:r>
        <w:rPr>
          <w:b/>
          <w:color w:val="000000" w:themeColor="text1"/>
        </w:rPr>
        <w:t xml:space="preserve">071 </w:t>
      </w:r>
      <w:r w:rsidRPr="00632DE3">
        <w:rPr>
          <w:b/>
          <w:color w:val="000000" w:themeColor="text1"/>
        </w:rPr>
        <w:t xml:space="preserve">of Schedule 1AA </w:t>
      </w:r>
    </w:p>
    <w:p w:rsidR="000E0B9A" w:rsidRDefault="000E0B9A" w:rsidP="00A371F5">
      <w:pPr>
        <w:pStyle w:val="paranumbering0"/>
        <w:spacing w:before="0" w:beforeAutospacing="0" w:after="0" w:afterAutospacing="0"/>
        <w:rPr>
          <w:color w:val="000000"/>
          <w:highlight w:val="yellow"/>
        </w:rPr>
      </w:pPr>
    </w:p>
    <w:p w:rsidR="000E0B9A" w:rsidRDefault="002A1213" w:rsidP="00A371F5">
      <w:r w:rsidRPr="000E39BF">
        <w:t xml:space="preserve">This item </w:t>
      </w:r>
      <w:r w:rsidR="0023491D">
        <w:t>establishes legislative authority for 11 programs or spending activities</w:t>
      </w:r>
      <w:r w:rsidRPr="000E39BF">
        <w:t xml:space="preserve"> of the Department of Education, Employment and Workplace Relations </w:t>
      </w:r>
      <w:r w:rsidR="00816CFA">
        <w:t xml:space="preserve">(DEEWR) </w:t>
      </w:r>
      <w:r w:rsidR="009B5D8E">
        <w:t xml:space="preserve">by adding </w:t>
      </w:r>
      <w:r w:rsidR="00312E6A">
        <w:t xml:space="preserve">11 items </w:t>
      </w:r>
      <w:r w:rsidR="009B5D8E">
        <w:t>to Schedule 1AA to the Principal Regulations</w:t>
      </w:r>
      <w:r w:rsidR="003D7963" w:rsidRPr="00632DE3">
        <w:t>.</w:t>
      </w:r>
    </w:p>
    <w:p w:rsidR="000E0B9A" w:rsidRDefault="000E0B9A" w:rsidP="00A371F5"/>
    <w:p w:rsidR="000E0B9A" w:rsidRDefault="003D7963" w:rsidP="00A371F5">
      <w:pPr>
        <w:pStyle w:val="paranumbering0"/>
        <w:spacing w:before="0" w:beforeAutospacing="0" w:after="0" w:afterAutospacing="0"/>
      </w:pPr>
      <w:r w:rsidRPr="00632DE3">
        <w:t xml:space="preserve">New </w:t>
      </w:r>
      <w:r w:rsidRPr="00632DE3">
        <w:rPr>
          <w:b/>
        </w:rPr>
        <w:t>item 407.072</w:t>
      </w:r>
      <w:r w:rsidRPr="00632DE3">
        <w:t xml:space="preserve"> </w:t>
      </w:r>
      <w:r w:rsidR="00006B55" w:rsidRPr="00632DE3">
        <w:t>establish</w:t>
      </w:r>
      <w:r w:rsidR="0023491D">
        <w:t>es</w:t>
      </w:r>
      <w:r w:rsidR="002A1213" w:rsidRPr="000E39BF">
        <w:t xml:space="preserve"> legislative authority for the Government to spend on the early childhood development population measure currently known as the Aus</w:t>
      </w:r>
      <w:r w:rsidR="00601BEB">
        <w:t>tralian Early Development Index</w:t>
      </w:r>
      <w:r w:rsidR="0023491D">
        <w:t>.</w:t>
      </w:r>
      <w:r w:rsidR="002A1213" w:rsidRPr="000E39BF">
        <w:t xml:space="preserve"> </w:t>
      </w:r>
    </w:p>
    <w:p w:rsidR="000E0B9A" w:rsidRDefault="000E0B9A" w:rsidP="00A371F5">
      <w:pPr>
        <w:pStyle w:val="paranumbering0"/>
        <w:spacing w:before="0" w:beforeAutospacing="0" w:after="0" w:afterAutospacing="0"/>
      </w:pPr>
    </w:p>
    <w:p w:rsidR="000E0B9A" w:rsidRDefault="002A1213">
      <w:pPr>
        <w:rPr>
          <w:color w:val="000000" w:themeColor="text1"/>
          <w:szCs w:val="24"/>
        </w:rPr>
      </w:pPr>
      <w:r w:rsidRPr="000E39BF">
        <w:rPr>
          <w:color w:val="000000" w:themeColor="text1"/>
          <w:szCs w:val="24"/>
        </w:rPr>
        <w:t xml:space="preserve">The </w:t>
      </w:r>
      <w:r w:rsidRPr="000E39BF">
        <w:t xml:space="preserve">early childhood development population measure </w:t>
      </w:r>
      <w:r w:rsidRPr="000E39BF">
        <w:rPr>
          <w:color w:val="000000" w:themeColor="text1"/>
          <w:szCs w:val="24"/>
        </w:rPr>
        <w:t xml:space="preserve">is an existing initiative and can help governments and communities across Australia understand what works well and what needs to be improved or developed to better support children and their families. </w:t>
      </w:r>
    </w:p>
    <w:p w:rsidR="000E0B9A" w:rsidRDefault="000E0B9A">
      <w:pPr>
        <w:rPr>
          <w:color w:val="000000" w:themeColor="text1"/>
          <w:szCs w:val="24"/>
        </w:rPr>
      </w:pPr>
    </w:p>
    <w:p w:rsidR="000E0B9A" w:rsidRDefault="002A1213">
      <w:pPr>
        <w:rPr>
          <w:color w:val="000000" w:themeColor="text1"/>
          <w:szCs w:val="24"/>
        </w:rPr>
      </w:pPr>
      <w:r w:rsidRPr="000E39BF">
        <w:rPr>
          <w:color w:val="000000" w:themeColor="text1"/>
          <w:szCs w:val="24"/>
        </w:rPr>
        <w:t>Expenditure on the measure includes data collection, management and data release every</w:t>
      </w:r>
      <w:r w:rsidR="000368EC">
        <w:rPr>
          <w:color w:val="000000" w:themeColor="text1"/>
          <w:szCs w:val="24"/>
        </w:rPr>
        <w:t xml:space="preserve"> three </w:t>
      </w:r>
      <w:r w:rsidRPr="000E39BF">
        <w:rPr>
          <w:color w:val="000000" w:themeColor="text1"/>
          <w:szCs w:val="24"/>
        </w:rPr>
        <w:t>years, data linkage and research activities</w:t>
      </w:r>
      <w:r w:rsidR="003A736A">
        <w:rPr>
          <w:color w:val="000000" w:themeColor="text1"/>
          <w:szCs w:val="24"/>
        </w:rPr>
        <w:t>;</w:t>
      </w:r>
      <w:r w:rsidRPr="000E39BF">
        <w:rPr>
          <w:color w:val="000000" w:themeColor="text1"/>
          <w:szCs w:val="24"/>
        </w:rPr>
        <w:t xml:space="preserve"> </w:t>
      </w:r>
      <w:r w:rsidR="00286D04">
        <w:rPr>
          <w:color w:val="000000" w:themeColor="text1"/>
          <w:szCs w:val="24"/>
        </w:rPr>
        <w:t xml:space="preserve">and </w:t>
      </w:r>
      <w:r w:rsidRPr="000E39BF">
        <w:rPr>
          <w:color w:val="000000" w:themeColor="text1"/>
          <w:szCs w:val="24"/>
        </w:rPr>
        <w:t xml:space="preserve">funding to support communities to access, interpret and address developmental vulnerabilities identified in data results, including support to State and Territory governments to employ State and Territory Coordinators.  </w:t>
      </w:r>
    </w:p>
    <w:p w:rsidR="000E0B9A" w:rsidRDefault="000E0B9A">
      <w:pPr>
        <w:rPr>
          <w:color w:val="000000" w:themeColor="text1"/>
          <w:szCs w:val="24"/>
        </w:rPr>
      </w:pPr>
    </w:p>
    <w:p w:rsidR="000E0B9A" w:rsidRDefault="002A1213">
      <w:pPr>
        <w:autoSpaceDE w:val="0"/>
        <w:autoSpaceDN w:val="0"/>
        <w:adjustRightInd w:val="0"/>
        <w:rPr>
          <w:color w:val="000000" w:themeColor="text1"/>
          <w:szCs w:val="24"/>
        </w:rPr>
      </w:pPr>
      <w:r w:rsidRPr="000E39BF">
        <w:rPr>
          <w:color w:val="000000" w:themeColor="text1"/>
          <w:szCs w:val="24"/>
        </w:rPr>
        <w:t xml:space="preserve">Contracts for the procurement of any services will be made in accordance with the Commonwealth Procurement Rules. </w:t>
      </w:r>
      <w:r w:rsidR="0023491D">
        <w:rPr>
          <w:color w:val="000000" w:themeColor="text1"/>
          <w:szCs w:val="24"/>
        </w:rPr>
        <w:t xml:space="preserve"> </w:t>
      </w:r>
      <w:r w:rsidRPr="000E39BF">
        <w:rPr>
          <w:color w:val="000000" w:themeColor="text1"/>
          <w:szCs w:val="24"/>
        </w:rPr>
        <w:t xml:space="preserve">Grant programs to be established under the measure will be undertaken in accordance with Commonwealth Grant Guidelines </w:t>
      </w:r>
      <w:r w:rsidR="00816CFA">
        <w:rPr>
          <w:color w:val="000000" w:themeColor="text1"/>
          <w:szCs w:val="24"/>
        </w:rPr>
        <w:t xml:space="preserve">(CGGs) </w:t>
      </w:r>
      <w:r w:rsidRPr="000E39BF">
        <w:rPr>
          <w:color w:val="000000" w:themeColor="text1"/>
          <w:szCs w:val="24"/>
        </w:rPr>
        <w:t>and will include seeking appropriate approval of program guidelines and reporting in accordance with the CGGs.</w:t>
      </w:r>
    </w:p>
    <w:p w:rsidR="000E0B9A" w:rsidRDefault="000E0B9A">
      <w:pPr>
        <w:autoSpaceDE w:val="0"/>
        <w:autoSpaceDN w:val="0"/>
        <w:adjustRightInd w:val="0"/>
        <w:rPr>
          <w:color w:val="000000" w:themeColor="text1"/>
          <w:szCs w:val="24"/>
        </w:rPr>
      </w:pPr>
    </w:p>
    <w:p w:rsidR="000E0B9A" w:rsidRDefault="002A1213">
      <w:pPr>
        <w:rPr>
          <w:color w:val="000000" w:themeColor="text1"/>
          <w:szCs w:val="24"/>
        </w:rPr>
      </w:pPr>
      <w:r w:rsidRPr="000E39BF">
        <w:rPr>
          <w:color w:val="000000" w:themeColor="text1"/>
          <w:szCs w:val="24"/>
        </w:rPr>
        <w:t xml:space="preserve">Decisions will be made in accordance with DEEWR’s Chief Executive’s Instructions and delegations on the expenditure of public monies as authorised under the </w:t>
      </w:r>
      <w:r w:rsidRPr="0023491D">
        <w:rPr>
          <w:iCs/>
          <w:color w:val="000000" w:themeColor="text1"/>
          <w:szCs w:val="24"/>
        </w:rPr>
        <w:t>FMA Act</w:t>
      </w:r>
      <w:r w:rsidRPr="000E39BF">
        <w:rPr>
          <w:color w:val="000000" w:themeColor="text1"/>
          <w:szCs w:val="24"/>
        </w:rPr>
        <w:t>.</w:t>
      </w:r>
    </w:p>
    <w:p w:rsidR="000E0B9A" w:rsidRDefault="000E0B9A">
      <w:pPr>
        <w:rPr>
          <w:color w:val="000000" w:themeColor="text1"/>
          <w:szCs w:val="24"/>
        </w:rPr>
      </w:pPr>
    </w:p>
    <w:p w:rsidR="00DA3D1E" w:rsidRDefault="002A1213" w:rsidP="004921C5">
      <w:pPr>
        <w:pStyle w:val="Default"/>
      </w:pPr>
      <w:r w:rsidRPr="000E39BF">
        <w:t xml:space="preserve">The early childhood development population measure </w:t>
      </w:r>
      <w:r w:rsidR="00DA3D1E">
        <w:t>fits within Outcome 1</w:t>
      </w:r>
      <w:r w:rsidRPr="000E39BF">
        <w:t xml:space="preserve"> Child Care Services Support Program</w:t>
      </w:r>
      <w:r w:rsidR="00DA3D1E">
        <w:t xml:space="preserve"> -</w:t>
      </w:r>
      <w:r w:rsidRPr="000E39BF">
        <w:t xml:space="preserve"> </w:t>
      </w:r>
      <w:r w:rsidR="00DA3D1E" w:rsidRPr="00DA3D1E">
        <w:rPr>
          <w:i/>
        </w:rPr>
        <w:t>i</w:t>
      </w:r>
      <w:r w:rsidRPr="000E39BF">
        <w:rPr>
          <w:i/>
        </w:rPr>
        <w:t>mproved access to quality services that support early childhood learning and care for children through a national quality framework, agreed national standards, investment in infrastructure, and support for parents, carers, services and the workforce</w:t>
      </w:r>
      <w:r w:rsidR="008F6582">
        <w:t>.  This Outcome is</w:t>
      </w:r>
      <w:r w:rsidR="004921C5">
        <w:rPr>
          <w:i/>
        </w:rPr>
        <w:t xml:space="preserve"> </w:t>
      </w:r>
      <w:r w:rsidR="00DA3D1E" w:rsidRPr="00DA3D1E">
        <w:t xml:space="preserve">described in the </w:t>
      </w:r>
      <w:r w:rsidR="00DA3D1E">
        <w:rPr>
          <w:i/>
        </w:rPr>
        <w:t xml:space="preserve">Portfolio Budget Statements 2013–14, Budget Related Paper </w:t>
      </w:r>
      <w:r w:rsidR="00DA3D1E" w:rsidRPr="00601BEB">
        <w:rPr>
          <w:i/>
        </w:rPr>
        <w:t>No</w:t>
      </w:r>
      <w:r w:rsidR="0023491D">
        <w:rPr>
          <w:i/>
        </w:rPr>
        <w:t>.</w:t>
      </w:r>
      <w:r w:rsidR="00DA3D1E" w:rsidRPr="00601BEB">
        <w:rPr>
          <w:i/>
        </w:rPr>
        <w:t> 1.5</w:t>
      </w:r>
      <w:r w:rsidR="00680C4B">
        <w:rPr>
          <w:i/>
        </w:rPr>
        <w:t xml:space="preserve">, </w:t>
      </w:r>
      <w:r w:rsidR="00246150" w:rsidRPr="00246150">
        <w:rPr>
          <w:i/>
        </w:rPr>
        <w:t>Education, Employment and Workplace Relations Portfolio</w:t>
      </w:r>
      <w:r w:rsidR="00DA3D1E">
        <w:rPr>
          <w:i/>
        </w:rPr>
        <w:t xml:space="preserve"> </w:t>
      </w:r>
      <w:r w:rsidR="004921C5" w:rsidRPr="0023491D">
        <w:t>at page 32</w:t>
      </w:r>
      <w:r w:rsidRPr="000E39BF">
        <w:t>.</w:t>
      </w:r>
    </w:p>
    <w:p w:rsidR="00D6235B" w:rsidRPr="00DA3D1E" w:rsidRDefault="00D6235B" w:rsidP="004921C5">
      <w:pPr>
        <w:pStyle w:val="Default"/>
      </w:pPr>
    </w:p>
    <w:p w:rsidR="000E0B9A" w:rsidRDefault="00E50438">
      <w:r w:rsidRPr="00E50438">
        <w:rPr>
          <w:color w:val="000000" w:themeColor="text1"/>
        </w:rPr>
        <w:t>New</w:t>
      </w:r>
      <w:r>
        <w:rPr>
          <w:b/>
          <w:color w:val="000000" w:themeColor="text1"/>
        </w:rPr>
        <w:t xml:space="preserve"> i</w:t>
      </w:r>
      <w:r w:rsidR="007974BA" w:rsidRPr="000E39BF">
        <w:rPr>
          <w:b/>
          <w:color w:val="000000" w:themeColor="text1"/>
        </w:rPr>
        <w:t>tem</w:t>
      </w:r>
      <w:r>
        <w:rPr>
          <w:b/>
          <w:color w:val="000000" w:themeColor="text1"/>
        </w:rPr>
        <w:t xml:space="preserve"> 4</w:t>
      </w:r>
      <w:r w:rsidR="00404FED" w:rsidRPr="00404FED">
        <w:rPr>
          <w:b/>
          <w:color w:val="000000" w:themeColor="text1"/>
        </w:rPr>
        <w:t>07.</w:t>
      </w:r>
      <w:r w:rsidR="00A42868">
        <w:rPr>
          <w:b/>
          <w:color w:val="000000" w:themeColor="text1"/>
        </w:rPr>
        <w:t>073</w:t>
      </w:r>
      <w:r w:rsidR="00F97FED" w:rsidRPr="00F97FED">
        <w:rPr>
          <w:color w:val="000000" w:themeColor="text1"/>
        </w:rPr>
        <w:t xml:space="preserve"> establishes</w:t>
      </w:r>
      <w:r w:rsidR="0013073D">
        <w:t xml:space="preserve"> </w:t>
      </w:r>
      <w:r w:rsidR="000368EC">
        <w:t>legislative authority for the Government</w:t>
      </w:r>
      <w:r w:rsidR="00F00CA6">
        <w:t xml:space="preserve"> </w:t>
      </w:r>
      <w:r w:rsidR="000368EC" w:rsidRPr="000E39BF">
        <w:t xml:space="preserve">to commit to an extension in spending </w:t>
      </w:r>
      <w:r w:rsidR="000368EC" w:rsidRPr="00632DE3">
        <w:t>for</w:t>
      </w:r>
      <w:r w:rsidR="000368EC" w:rsidRPr="000E39BF">
        <w:t xml:space="preserve"> the Priority Employment Area Initiative</w:t>
      </w:r>
      <w:r w:rsidR="000368EC" w:rsidRPr="00632DE3">
        <w:t>.  This Initiative includes Local Employment Coordinators (LEC), Jobs and Skills Expos and the LEC Flexible</w:t>
      </w:r>
      <w:r w:rsidR="000368EC">
        <w:t xml:space="preserve"> Funding</w:t>
      </w:r>
      <w:r w:rsidR="000368EC" w:rsidRPr="00632DE3">
        <w:t xml:space="preserve"> Pool</w:t>
      </w:r>
      <w:r w:rsidR="00286D04">
        <w:t xml:space="preserve"> (FFP)</w:t>
      </w:r>
      <w:r w:rsidR="00B83BB6" w:rsidRPr="00632DE3">
        <w:t>.</w:t>
      </w:r>
    </w:p>
    <w:p w:rsidR="000E0B9A" w:rsidRDefault="000E0B9A">
      <w:pPr>
        <w:rPr>
          <w:highlight w:val="yellow"/>
        </w:rPr>
      </w:pPr>
    </w:p>
    <w:p w:rsidR="000E0B9A" w:rsidRDefault="002A1213">
      <w:pPr>
        <w:rPr>
          <w:color w:val="000000" w:themeColor="text1"/>
          <w:szCs w:val="24"/>
        </w:rPr>
      </w:pPr>
      <w:r w:rsidRPr="000E39BF">
        <w:rPr>
          <w:szCs w:val="24"/>
        </w:rPr>
        <w:t>LECs have coordination roles in relation to employment in specific local areas.</w:t>
      </w:r>
      <w:r w:rsidRPr="00632DE3">
        <w:rPr>
          <w:szCs w:val="24"/>
        </w:rPr>
        <w:t xml:space="preserve"> </w:t>
      </w:r>
      <w:r w:rsidRPr="000E39BF">
        <w:rPr>
          <w:szCs w:val="24"/>
        </w:rPr>
        <w:t xml:space="preserve"> The role includes providing assistance to retrenched workers, developing employment and training related projects and initiating and contributing to labour market related activities.</w:t>
      </w:r>
      <w:r w:rsidRPr="000E39BF">
        <w:rPr>
          <w:color w:val="000000" w:themeColor="text1"/>
          <w:szCs w:val="24"/>
        </w:rPr>
        <w:t xml:space="preserve"> </w:t>
      </w:r>
    </w:p>
    <w:p w:rsidR="000E0B9A" w:rsidRDefault="000E0B9A">
      <w:pPr>
        <w:rPr>
          <w:color w:val="000000" w:themeColor="text1"/>
          <w:szCs w:val="24"/>
        </w:rPr>
      </w:pPr>
    </w:p>
    <w:p w:rsidR="000E0B9A" w:rsidRDefault="002A1213">
      <w:pPr>
        <w:rPr>
          <w:szCs w:val="24"/>
        </w:rPr>
      </w:pPr>
      <w:r w:rsidRPr="000E39BF">
        <w:rPr>
          <w:color w:val="000000" w:themeColor="text1"/>
          <w:szCs w:val="24"/>
        </w:rPr>
        <w:t xml:space="preserve">Jobs and Skills Expos are forums in which job seekers can be connected with potential employers. </w:t>
      </w:r>
      <w:r w:rsidR="003155EB" w:rsidRPr="00632DE3">
        <w:rPr>
          <w:color w:val="000000" w:themeColor="text1"/>
          <w:szCs w:val="24"/>
        </w:rPr>
        <w:t xml:space="preserve"> </w:t>
      </w:r>
      <w:r w:rsidRPr="000E39BF">
        <w:rPr>
          <w:szCs w:val="24"/>
        </w:rPr>
        <w:t>Locations for Jobs and Skills Expos are publicly available through the DEEWR website (</w:t>
      </w:r>
      <w:hyperlink r:id="rId11" w:history="1">
        <w:r w:rsidRPr="000E39BF">
          <w:rPr>
            <w:rStyle w:val="Hyperlink"/>
            <w:szCs w:val="24"/>
          </w:rPr>
          <w:t>http://deewr.gov.au/australian-government-jobs-and-skills-expos</w:t>
        </w:r>
      </w:hyperlink>
      <w:r w:rsidRPr="000E39BF">
        <w:rPr>
          <w:szCs w:val="24"/>
        </w:rPr>
        <w:t>).  It is likely that, as for previous measures, the majority of Jobs and Skills Expos funded under the</w:t>
      </w:r>
      <w:r w:rsidR="00942205">
        <w:rPr>
          <w:szCs w:val="24"/>
        </w:rPr>
        <w:t xml:space="preserve"> extension</w:t>
      </w:r>
      <w:r w:rsidRPr="000E39BF">
        <w:rPr>
          <w:szCs w:val="24"/>
        </w:rPr>
        <w:t xml:space="preserve"> of the Priority Employment Area Initiative will be delivered by the Department of Human </w:t>
      </w:r>
      <w:r w:rsidRPr="000E39BF">
        <w:rPr>
          <w:szCs w:val="24"/>
        </w:rPr>
        <w:lastRenderedPageBreak/>
        <w:t>Services.</w:t>
      </w:r>
      <w:r w:rsidRPr="00632DE3">
        <w:rPr>
          <w:szCs w:val="24"/>
        </w:rPr>
        <w:t xml:space="preserve"> </w:t>
      </w:r>
      <w:r w:rsidRPr="000E39BF">
        <w:rPr>
          <w:szCs w:val="24"/>
        </w:rPr>
        <w:t xml:space="preserve"> Any Jobs and Skills Expos that are contracted to and delivered by non</w:t>
      </w:r>
      <w:r w:rsidR="00286D04">
        <w:rPr>
          <w:szCs w:val="24"/>
        </w:rPr>
        <w:noBreakHyphen/>
        <w:t>Government</w:t>
      </w:r>
      <w:r w:rsidR="00286D04" w:rsidRPr="000E39BF">
        <w:rPr>
          <w:szCs w:val="24"/>
        </w:rPr>
        <w:t xml:space="preserve"> </w:t>
      </w:r>
      <w:r w:rsidRPr="000E39BF">
        <w:rPr>
          <w:szCs w:val="24"/>
        </w:rPr>
        <w:t xml:space="preserve">entities will be published on </w:t>
      </w:r>
      <w:proofErr w:type="spellStart"/>
      <w:r w:rsidRPr="000E39BF">
        <w:rPr>
          <w:szCs w:val="24"/>
        </w:rPr>
        <w:t>AusTender</w:t>
      </w:r>
      <w:proofErr w:type="spellEnd"/>
      <w:r w:rsidRPr="000E39BF">
        <w:rPr>
          <w:szCs w:val="24"/>
        </w:rPr>
        <w:t xml:space="preserve">. </w:t>
      </w:r>
    </w:p>
    <w:p w:rsidR="000E0B9A" w:rsidRDefault="000E0B9A">
      <w:pPr>
        <w:rPr>
          <w:szCs w:val="24"/>
        </w:rPr>
      </w:pPr>
    </w:p>
    <w:p w:rsidR="000E0B9A" w:rsidRDefault="002A1213">
      <w:pPr>
        <w:rPr>
          <w:szCs w:val="24"/>
        </w:rPr>
      </w:pPr>
      <w:r w:rsidRPr="000E39BF">
        <w:rPr>
          <w:szCs w:val="24"/>
        </w:rPr>
        <w:t>In relation to the LEC Flexible Funding Pool, projects or activities deliver employment and skills development outcomes in priority employment areas.</w:t>
      </w:r>
      <w:r w:rsidR="006B5ED9">
        <w:rPr>
          <w:szCs w:val="24"/>
        </w:rPr>
        <w:t xml:space="preserve"> </w:t>
      </w:r>
      <w:r w:rsidRPr="000E39BF">
        <w:rPr>
          <w:szCs w:val="24"/>
        </w:rPr>
        <w:t xml:space="preserve"> </w:t>
      </w:r>
      <w:r w:rsidR="00286D04" w:rsidRPr="000E39BF">
        <w:rPr>
          <w:szCs w:val="24"/>
        </w:rPr>
        <w:t>Projects or activities funded through the FFP are expected to have direct links to the broad goals and specific strategies outlined in the Regional Employment Plan for the relevant priority employment area.</w:t>
      </w:r>
      <w:r w:rsidR="00286D04">
        <w:rPr>
          <w:szCs w:val="24"/>
        </w:rPr>
        <w:t xml:space="preserve">  </w:t>
      </w:r>
      <w:r w:rsidRPr="000E39BF">
        <w:rPr>
          <w:szCs w:val="24"/>
        </w:rPr>
        <w:t>The</w:t>
      </w:r>
      <w:r w:rsidR="00286D04">
        <w:rPr>
          <w:szCs w:val="24"/>
        </w:rPr>
        <w:t> </w:t>
      </w:r>
      <w:r w:rsidRPr="000E39BF">
        <w:rPr>
          <w:szCs w:val="24"/>
        </w:rPr>
        <w:t>FFP guidelines are available on the DEEWR website (</w:t>
      </w:r>
      <w:hyperlink r:id="rId12" w:history="1">
        <w:r w:rsidRPr="000E39BF">
          <w:rPr>
            <w:rStyle w:val="Hyperlink"/>
            <w:szCs w:val="24"/>
          </w:rPr>
          <w:t>http://foi.deewr.gov.au/node/6914</w:t>
        </w:r>
      </w:hyperlink>
      <w:r w:rsidRPr="000E39BF">
        <w:rPr>
          <w:color w:val="000000" w:themeColor="text1"/>
          <w:szCs w:val="24"/>
        </w:rPr>
        <w:t>)</w:t>
      </w:r>
      <w:r w:rsidRPr="000E39BF">
        <w:rPr>
          <w:szCs w:val="24"/>
        </w:rPr>
        <w:t>.  All grants under the FFP will be published on the DEEWR website under Senate Order 95 (Minchin Order) Tabling of List of Grants.</w:t>
      </w:r>
    </w:p>
    <w:p w:rsidR="000E0B9A" w:rsidRDefault="000E0B9A">
      <w:pPr>
        <w:rPr>
          <w:szCs w:val="24"/>
        </w:rPr>
      </w:pPr>
    </w:p>
    <w:p w:rsidR="000E0B9A" w:rsidRDefault="002A1213">
      <w:pPr>
        <w:rPr>
          <w:color w:val="000000" w:themeColor="text1"/>
          <w:szCs w:val="24"/>
        </w:rPr>
      </w:pPr>
      <w:r w:rsidRPr="000E39BF">
        <w:rPr>
          <w:szCs w:val="24"/>
        </w:rPr>
        <w:t xml:space="preserve">All decisions for these measures will be </w:t>
      </w:r>
      <w:r w:rsidR="00286D04">
        <w:rPr>
          <w:szCs w:val="24"/>
        </w:rPr>
        <w:t xml:space="preserve">made </w:t>
      </w:r>
      <w:r w:rsidRPr="000E39BF">
        <w:rPr>
          <w:szCs w:val="24"/>
        </w:rPr>
        <w:t xml:space="preserve">in accordance with </w:t>
      </w:r>
      <w:r w:rsidRPr="000E39BF">
        <w:rPr>
          <w:color w:val="000000" w:themeColor="text1"/>
          <w:szCs w:val="24"/>
        </w:rPr>
        <w:t>DEEWR’s Chief Executive’s Instructions and delegations on the expenditure of public monies as authorised under the</w:t>
      </w:r>
      <w:r w:rsidR="007F0C7D">
        <w:rPr>
          <w:color w:val="000000" w:themeColor="text1"/>
          <w:szCs w:val="24"/>
        </w:rPr>
        <w:t xml:space="preserve"> FMA Act</w:t>
      </w:r>
      <w:r w:rsidRPr="000E39BF">
        <w:rPr>
          <w:color w:val="000000" w:themeColor="text1"/>
          <w:szCs w:val="24"/>
        </w:rPr>
        <w:t>.</w:t>
      </w:r>
    </w:p>
    <w:p w:rsidR="000E0B9A" w:rsidRDefault="000E0B9A">
      <w:pPr>
        <w:rPr>
          <w:color w:val="000000" w:themeColor="text1"/>
          <w:szCs w:val="24"/>
        </w:rPr>
      </w:pPr>
    </w:p>
    <w:p w:rsidR="000E0B9A" w:rsidRDefault="002A1213" w:rsidP="00A371F5">
      <w:pPr>
        <w:pStyle w:val="paranumbering0"/>
        <w:spacing w:before="0" w:beforeAutospacing="0" w:after="0" w:afterAutospacing="0"/>
      </w:pPr>
      <w:r w:rsidRPr="000E39BF">
        <w:t>The program fits within Outcome 3 Employment Services - e</w:t>
      </w:r>
      <w:r w:rsidRPr="000E39BF">
        <w:rPr>
          <w:i/>
        </w:rPr>
        <w:t>nhanced employability and acquisition of labour market skills and knowledge and participation in society through direct financial support and funding of employment and training services</w:t>
      </w:r>
      <w:r w:rsidR="008F6582">
        <w:t>.  This Outcome is</w:t>
      </w:r>
      <w:r w:rsidRPr="000E39BF">
        <w:rPr>
          <w:i/>
        </w:rPr>
        <w:t xml:space="preserve"> </w:t>
      </w:r>
      <w:r w:rsidRPr="000E39BF">
        <w:rPr>
          <w:color w:val="000000"/>
        </w:rPr>
        <w:t xml:space="preserve">described in the </w:t>
      </w:r>
      <w:r w:rsidRPr="000E39BF">
        <w:rPr>
          <w:i/>
          <w:iCs/>
          <w:color w:val="000000"/>
        </w:rPr>
        <w:t>Portfolio Budget Statements 2013</w:t>
      </w:r>
      <w:r w:rsidRPr="000E39BF">
        <w:rPr>
          <w:i/>
          <w:iCs/>
          <w:color w:val="000000"/>
        </w:rPr>
        <w:noBreakHyphen/>
        <w:t>14, Budget Related Paper No</w:t>
      </w:r>
      <w:r w:rsidR="007F0C7D">
        <w:rPr>
          <w:i/>
          <w:iCs/>
          <w:color w:val="000000"/>
        </w:rPr>
        <w:t>.</w:t>
      </w:r>
      <w:r w:rsidRPr="000E39BF">
        <w:rPr>
          <w:i/>
          <w:iCs/>
          <w:color w:val="000000"/>
        </w:rPr>
        <w:t> 1.5</w:t>
      </w:r>
      <w:r w:rsidR="00680C4B">
        <w:rPr>
          <w:i/>
          <w:iCs/>
          <w:color w:val="000000"/>
        </w:rPr>
        <w:t xml:space="preserve">, </w:t>
      </w:r>
      <w:r w:rsidR="00246150" w:rsidRPr="00246150">
        <w:rPr>
          <w:i/>
          <w:color w:val="000000"/>
        </w:rPr>
        <w:t>Education, Employment and Workplace Relations Portfolio</w:t>
      </w:r>
      <w:r w:rsidRPr="000E39BF">
        <w:rPr>
          <w:color w:val="000000"/>
        </w:rPr>
        <w:t xml:space="preserve"> </w:t>
      </w:r>
      <w:r w:rsidRPr="007F0C7D">
        <w:rPr>
          <w:color w:val="000000"/>
        </w:rPr>
        <w:t>at page 7</w:t>
      </w:r>
      <w:r w:rsidR="00DA3D1E" w:rsidRPr="007F0C7D">
        <w:rPr>
          <w:color w:val="000000"/>
        </w:rPr>
        <w:t>2</w:t>
      </w:r>
      <w:r w:rsidR="00741F92" w:rsidRPr="000E39BF">
        <w:t>.</w:t>
      </w:r>
    </w:p>
    <w:p w:rsidR="000E0B9A" w:rsidRDefault="000E0B9A" w:rsidP="00A371F5">
      <w:pPr>
        <w:pStyle w:val="paranumbering0"/>
        <w:spacing w:before="0" w:beforeAutospacing="0" w:after="0" w:afterAutospacing="0"/>
        <w:rPr>
          <w:rFonts w:eastAsia="Times New Roman"/>
          <w:szCs w:val="20"/>
        </w:rPr>
      </w:pPr>
    </w:p>
    <w:p w:rsidR="000E0B9A" w:rsidRDefault="007F0C7D" w:rsidP="00A371F5">
      <w:pPr>
        <w:pStyle w:val="paranumbering0"/>
        <w:spacing w:before="0" w:beforeAutospacing="0" w:after="0" w:afterAutospacing="0"/>
      </w:pPr>
      <w:r w:rsidRPr="007F0C7D">
        <w:rPr>
          <w:color w:val="000000" w:themeColor="text1"/>
        </w:rPr>
        <w:t>New</w:t>
      </w:r>
      <w:r w:rsidRPr="000E39BF">
        <w:rPr>
          <w:b/>
          <w:color w:val="000000" w:themeColor="text1"/>
        </w:rPr>
        <w:t xml:space="preserve"> </w:t>
      </w:r>
      <w:r w:rsidR="007974BA" w:rsidRPr="00632DE3">
        <w:rPr>
          <w:b/>
          <w:color w:val="000000" w:themeColor="text1"/>
        </w:rPr>
        <w:t xml:space="preserve">item </w:t>
      </w:r>
      <w:r w:rsidR="000D0ABE" w:rsidRPr="000D0ABE">
        <w:rPr>
          <w:b/>
          <w:color w:val="000000" w:themeColor="text1"/>
        </w:rPr>
        <w:t>407.</w:t>
      </w:r>
      <w:r w:rsidR="00A42868">
        <w:rPr>
          <w:b/>
          <w:color w:val="000000" w:themeColor="text1"/>
        </w:rPr>
        <w:t>074</w:t>
      </w:r>
      <w:r w:rsidR="00A42868" w:rsidRPr="00632DE3">
        <w:rPr>
          <w:b/>
          <w:color w:val="000000" w:themeColor="text1"/>
        </w:rPr>
        <w:t xml:space="preserve"> </w:t>
      </w:r>
      <w:r w:rsidRPr="007F0C7D">
        <w:rPr>
          <w:color w:val="000000" w:themeColor="text1"/>
        </w:rPr>
        <w:t>establishes</w:t>
      </w:r>
      <w:r w:rsidR="00C23AC9" w:rsidRPr="000E39BF">
        <w:t xml:space="preserve"> legislative authority for Government spending on providing travel subsidies to schools </w:t>
      </w:r>
      <w:r w:rsidR="00C23AC9" w:rsidRPr="00632DE3">
        <w:t>wh</w:t>
      </w:r>
      <w:r w:rsidR="00B83BB6" w:rsidRPr="00632DE3">
        <w:t>ich</w:t>
      </w:r>
      <w:r w:rsidR="00C23AC9" w:rsidRPr="00632DE3">
        <w:t xml:space="preserve"> </w:t>
      </w:r>
      <w:r w:rsidR="00B83BB6" w:rsidRPr="00632DE3">
        <w:t>bring students</w:t>
      </w:r>
      <w:r w:rsidR="008747FF">
        <w:t xml:space="preserve"> </w:t>
      </w:r>
      <w:r w:rsidR="00C23AC9" w:rsidRPr="000E39BF">
        <w:t xml:space="preserve">more than 150 kilometres to visit particular national institutions in Canberra. </w:t>
      </w:r>
    </w:p>
    <w:p w:rsidR="000E0B9A" w:rsidRDefault="000E0B9A" w:rsidP="00A371F5">
      <w:pPr>
        <w:pStyle w:val="paranumbering0"/>
        <w:spacing w:before="0" w:beforeAutospacing="0" w:after="0" w:afterAutospacing="0"/>
      </w:pPr>
    </w:p>
    <w:p w:rsidR="000E0B9A" w:rsidRDefault="00C23AC9" w:rsidP="00A371F5">
      <w:pPr>
        <w:rPr>
          <w:szCs w:val="24"/>
        </w:rPr>
      </w:pPr>
      <w:r w:rsidRPr="000E39BF">
        <w:rPr>
          <w:szCs w:val="24"/>
        </w:rPr>
        <w:t>The Government provides funding for the Parliament and Civics Education Rebate (PACER) program, which supports students taking part in school excursions to Canberra for civics and citizenship education.  Program funding is primarily for rebates paid to</w:t>
      </w:r>
      <w:r w:rsidRPr="000E39BF">
        <w:rPr>
          <w:rFonts w:eastAsia="Calibri"/>
          <w:szCs w:val="24"/>
          <w:lang w:eastAsia="en-US"/>
        </w:rPr>
        <w:t xml:space="preserve"> schools by </w:t>
      </w:r>
      <w:r w:rsidRPr="000E39BF">
        <w:rPr>
          <w:szCs w:val="24"/>
        </w:rPr>
        <w:t xml:space="preserve">a service provider. </w:t>
      </w:r>
      <w:r w:rsidR="00B83BB6" w:rsidRPr="00632DE3">
        <w:t xml:space="preserve"> </w:t>
      </w:r>
      <w:r w:rsidRPr="000E39BF">
        <w:rPr>
          <w:szCs w:val="24"/>
        </w:rPr>
        <w:t>A small proportion of the total allocation goes to an administrative service fee paid to the service provider.</w:t>
      </w:r>
    </w:p>
    <w:p w:rsidR="000E0B9A" w:rsidRDefault="000E0B9A">
      <w:pPr>
        <w:autoSpaceDE w:val="0"/>
        <w:autoSpaceDN w:val="0"/>
        <w:adjustRightInd w:val="0"/>
        <w:rPr>
          <w:szCs w:val="24"/>
        </w:rPr>
      </w:pPr>
    </w:p>
    <w:p w:rsidR="000E0B9A" w:rsidRDefault="00C23AC9">
      <w:pPr>
        <w:rPr>
          <w:szCs w:val="24"/>
        </w:rPr>
      </w:pPr>
      <w:r w:rsidRPr="000E39BF">
        <w:rPr>
          <w:szCs w:val="24"/>
        </w:rPr>
        <w:t xml:space="preserve">The service provider is selected by </w:t>
      </w:r>
      <w:r w:rsidR="00286D04">
        <w:rPr>
          <w:szCs w:val="24"/>
        </w:rPr>
        <w:t>DEEWR,</w:t>
      </w:r>
      <w:r w:rsidRPr="000E39BF">
        <w:rPr>
          <w:szCs w:val="24"/>
        </w:rPr>
        <w:t xml:space="preserve"> based on an open tender in accordance with the Commonwealth Procurement Rules. </w:t>
      </w:r>
      <w:r w:rsidR="00286D04">
        <w:rPr>
          <w:szCs w:val="24"/>
        </w:rPr>
        <w:t xml:space="preserve"> </w:t>
      </w:r>
      <w:r w:rsidRPr="000E39BF">
        <w:rPr>
          <w:szCs w:val="24"/>
        </w:rPr>
        <w:t xml:space="preserve">The service provider pays the rebate to schools according to the PACER program guidelines, which </w:t>
      </w:r>
      <w:r w:rsidR="00286D04">
        <w:rPr>
          <w:szCs w:val="24"/>
        </w:rPr>
        <w:t>are</w:t>
      </w:r>
      <w:r w:rsidRPr="000E39BF">
        <w:rPr>
          <w:szCs w:val="24"/>
        </w:rPr>
        <w:t xml:space="preserve"> publicly available.</w:t>
      </w:r>
    </w:p>
    <w:p w:rsidR="000E0B9A" w:rsidRDefault="000E0B9A">
      <w:pPr>
        <w:rPr>
          <w:szCs w:val="24"/>
        </w:rPr>
      </w:pPr>
    </w:p>
    <w:p w:rsidR="000E0B9A" w:rsidRDefault="00C23AC9">
      <w:pPr>
        <w:rPr>
          <w:szCs w:val="24"/>
        </w:rPr>
      </w:pPr>
      <w:r w:rsidRPr="000E39BF">
        <w:rPr>
          <w:szCs w:val="24"/>
        </w:rPr>
        <w:t xml:space="preserve">The </w:t>
      </w:r>
      <w:r w:rsidR="005E29DF">
        <w:rPr>
          <w:szCs w:val="24"/>
        </w:rPr>
        <w:t>D</w:t>
      </w:r>
      <w:r w:rsidRPr="000E39BF">
        <w:rPr>
          <w:szCs w:val="24"/>
        </w:rPr>
        <w:t xml:space="preserve">epartment makes the decision in relation to the tender for the selection of the service provider.  The service provider makes decisions about whether schools have met the criteria in the PACER guidelines to receive a payment. </w:t>
      </w:r>
      <w:r w:rsidR="00286D04">
        <w:rPr>
          <w:szCs w:val="24"/>
        </w:rPr>
        <w:t xml:space="preserve"> </w:t>
      </w:r>
      <w:r w:rsidRPr="000E39BF">
        <w:rPr>
          <w:szCs w:val="24"/>
        </w:rPr>
        <w:t xml:space="preserve">The service provider must provide reasons to schools </w:t>
      </w:r>
      <w:r w:rsidR="00BD4BAE">
        <w:rPr>
          <w:szCs w:val="24"/>
        </w:rPr>
        <w:t xml:space="preserve">where </w:t>
      </w:r>
      <w:r w:rsidRPr="000E39BF">
        <w:rPr>
          <w:szCs w:val="24"/>
        </w:rPr>
        <w:t xml:space="preserve">applications </w:t>
      </w:r>
      <w:r w:rsidR="00286D04">
        <w:rPr>
          <w:szCs w:val="24"/>
        </w:rPr>
        <w:t>are</w:t>
      </w:r>
      <w:r w:rsidRPr="000E39BF">
        <w:rPr>
          <w:szCs w:val="24"/>
        </w:rPr>
        <w:t xml:space="preserve"> reject</w:t>
      </w:r>
      <w:r w:rsidR="00286D04">
        <w:rPr>
          <w:szCs w:val="24"/>
        </w:rPr>
        <w:t>ed</w:t>
      </w:r>
      <w:r w:rsidRPr="000E39BF">
        <w:rPr>
          <w:szCs w:val="24"/>
        </w:rPr>
        <w:t xml:space="preserve"> and advise them that they can ask </w:t>
      </w:r>
      <w:r w:rsidR="00286D04">
        <w:rPr>
          <w:szCs w:val="24"/>
        </w:rPr>
        <w:t>DEEWR</w:t>
      </w:r>
      <w:r w:rsidRPr="000E39BF">
        <w:rPr>
          <w:szCs w:val="24"/>
        </w:rPr>
        <w:t xml:space="preserve"> to review such rejections.</w:t>
      </w:r>
    </w:p>
    <w:p w:rsidR="000E0B9A" w:rsidRDefault="000E0B9A">
      <w:pPr>
        <w:rPr>
          <w:szCs w:val="24"/>
        </w:rPr>
      </w:pPr>
    </w:p>
    <w:p w:rsidR="000E0B9A" w:rsidRDefault="00C23AC9">
      <w:pPr>
        <w:rPr>
          <w:szCs w:val="24"/>
        </w:rPr>
      </w:pPr>
      <w:r w:rsidRPr="000E39BF">
        <w:rPr>
          <w:szCs w:val="24"/>
        </w:rPr>
        <w:t xml:space="preserve">The outcomes of the tender will be published </w:t>
      </w:r>
      <w:r w:rsidR="009B0E46">
        <w:rPr>
          <w:szCs w:val="24"/>
        </w:rPr>
        <w:t>o</w:t>
      </w:r>
      <w:r w:rsidRPr="000E39BF">
        <w:rPr>
          <w:szCs w:val="24"/>
        </w:rPr>
        <w:t xml:space="preserve">n </w:t>
      </w:r>
      <w:proofErr w:type="spellStart"/>
      <w:r w:rsidRPr="000E39BF">
        <w:rPr>
          <w:szCs w:val="24"/>
        </w:rPr>
        <w:t>AusTender</w:t>
      </w:r>
      <w:proofErr w:type="spellEnd"/>
      <w:r w:rsidRPr="000E39BF">
        <w:rPr>
          <w:szCs w:val="24"/>
        </w:rPr>
        <w:t xml:space="preserve"> in accordance with Commonwealth procurement requirements. </w:t>
      </w:r>
      <w:r w:rsidR="00286D04">
        <w:rPr>
          <w:szCs w:val="24"/>
        </w:rPr>
        <w:t xml:space="preserve"> </w:t>
      </w:r>
      <w:r w:rsidRPr="000E39BF">
        <w:rPr>
          <w:szCs w:val="24"/>
        </w:rPr>
        <w:t>The lists of schools which receive the rebate are not published.</w:t>
      </w:r>
    </w:p>
    <w:p w:rsidR="000E0B9A" w:rsidRDefault="000E0B9A">
      <w:pPr>
        <w:rPr>
          <w:szCs w:val="24"/>
        </w:rPr>
      </w:pPr>
    </w:p>
    <w:p w:rsidR="000E0B9A" w:rsidRDefault="00C23AC9">
      <w:pPr>
        <w:rPr>
          <w:color w:val="000000"/>
        </w:rPr>
      </w:pPr>
      <w:r w:rsidRPr="0097569F">
        <w:rPr>
          <w:szCs w:val="24"/>
        </w:rPr>
        <w:t xml:space="preserve">The PACER program </w:t>
      </w:r>
      <w:r w:rsidR="00DA3D1E">
        <w:rPr>
          <w:szCs w:val="24"/>
        </w:rPr>
        <w:t>fits within</w:t>
      </w:r>
      <w:r w:rsidRPr="0097569F">
        <w:rPr>
          <w:szCs w:val="24"/>
        </w:rPr>
        <w:t xml:space="preserve"> </w:t>
      </w:r>
      <w:r w:rsidR="00DA3D1E" w:rsidRPr="0097569F">
        <w:rPr>
          <w:szCs w:val="24"/>
        </w:rPr>
        <w:t>Outcome 2.3</w:t>
      </w:r>
      <w:r w:rsidR="00DA3D1E">
        <w:rPr>
          <w:szCs w:val="24"/>
        </w:rPr>
        <w:t xml:space="preserve"> </w:t>
      </w:r>
      <w:r w:rsidRPr="0097569F">
        <w:rPr>
          <w:szCs w:val="24"/>
        </w:rPr>
        <w:t>Quality Outcomes Program</w:t>
      </w:r>
      <w:r w:rsidR="00286D04">
        <w:rPr>
          <w:szCs w:val="24"/>
        </w:rPr>
        <w:t xml:space="preserve"> </w:t>
      </w:r>
      <w:r w:rsidR="00DA3D1E">
        <w:rPr>
          <w:szCs w:val="24"/>
        </w:rPr>
        <w:t>-</w:t>
      </w:r>
      <w:r w:rsidRPr="0097569F">
        <w:rPr>
          <w:szCs w:val="24"/>
        </w:rPr>
        <w:t xml:space="preserve"> School Support</w:t>
      </w:r>
      <w:r w:rsidR="009941BD">
        <w:rPr>
          <w:szCs w:val="24"/>
        </w:rPr>
        <w:t>,</w:t>
      </w:r>
      <w:r w:rsidRPr="000E39BF">
        <w:rPr>
          <w:szCs w:val="24"/>
        </w:rPr>
        <w:t xml:space="preserve"> </w:t>
      </w:r>
      <w:r w:rsidRPr="000E39BF">
        <w:rPr>
          <w:color w:val="000000"/>
        </w:rPr>
        <w:t xml:space="preserve">described in the </w:t>
      </w:r>
      <w:r w:rsidRPr="000E39BF">
        <w:rPr>
          <w:i/>
          <w:iCs/>
          <w:color w:val="000000"/>
        </w:rPr>
        <w:t>Portfolio Budget Statements 2013</w:t>
      </w:r>
      <w:r w:rsidRPr="000E39BF">
        <w:rPr>
          <w:i/>
          <w:iCs/>
          <w:color w:val="000000"/>
        </w:rPr>
        <w:noBreakHyphen/>
        <w:t>14, Budget Related Paper No</w:t>
      </w:r>
      <w:r w:rsidR="006B5ED9">
        <w:rPr>
          <w:i/>
          <w:iCs/>
          <w:color w:val="000000"/>
        </w:rPr>
        <w:t>.</w:t>
      </w:r>
      <w:r w:rsidRPr="000E39BF">
        <w:rPr>
          <w:i/>
          <w:iCs/>
          <w:color w:val="000000"/>
        </w:rPr>
        <w:t> 1.5</w:t>
      </w:r>
      <w:r w:rsidR="00680C4B">
        <w:rPr>
          <w:i/>
          <w:iCs/>
          <w:color w:val="000000"/>
        </w:rPr>
        <w:t xml:space="preserve">, </w:t>
      </w:r>
      <w:r w:rsidR="00246150" w:rsidRPr="00246150">
        <w:rPr>
          <w:i/>
          <w:color w:val="000000"/>
        </w:rPr>
        <w:t>Education, Employment and Workplace Relations Portfolio</w:t>
      </w:r>
      <w:r w:rsidRPr="000E39BF">
        <w:rPr>
          <w:color w:val="000000"/>
        </w:rPr>
        <w:t xml:space="preserve"> </w:t>
      </w:r>
      <w:r w:rsidRPr="00692AD2">
        <w:rPr>
          <w:color w:val="000000"/>
        </w:rPr>
        <w:t>at page 5</w:t>
      </w:r>
      <w:r w:rsidRPr="004C7695">
        <w:rPr>
          <w:color w:val="000000"/>
        </w:rPr>
        <w:t>2</w:t>
      </w:r>
      <w:r w:rsidRPr="000E39BF">
        <w:rPr>
          <w:color w:val="000000"/>
        </w:rPr>
        <w:t>.</w:t>
      </w:r>
    </w:p>
    <w:p w:rsidR="000E0B9A" w:rsidRDefault="000E0B9A">
      <w:pPr>
        <w:rPr>
          <w:color w:val="000000"/>
        </w:rPr>
      </w:pPr>
    </w:p>
    <w:p w:rsidR="000E0B9A" w:rsidRDefault="009B0E46" w:rsidP="00A371F5">
      <w:pPr>
        <w:pStyle w:val="paranumbering0"/>
        <w:spacing w:before="0" w:beforeAutospacing="0" w:after="0" w:afterAutospacing="0"/>
      </w:pPr>
      <w:r w:rsidRPr="009B0E46">
        <w:rPr>
          <w:color w:val="000000" w:themeColor="text1"/>
        </w:rPr>
        <w:lastRenderedPageBreak/>
        <w:t>New</w:t>
      </w:r>
      <w:r>
        <w:rPr>
          <w:b/>
          <w:color w:val="000000" w:themeColor="text1"/>
        </w:rPr>
        <w:t xml:space="preserve"> i</w:t>
      </w:r>
      <w:r w:rsidR="007974BA" w:rsidRPr="000E39BF">
        <w:rPr>
          <w:b/>
          <w:color w:val="000000" w:themeColor="text1"/>
        </w:rPr>
        <w:t xml:space="preserve">tem </w:t>
      </w:r>
      <w:r w:rsidR="000D0ABE" w:rsidRPr="000D0ABE">
        <w:rPr>
          <w:b/>
          <w:color w:val="000000" w:themeColor="text1"/>
        </w:rPr>
        <w:t>407.</w:t>
      </w:r>
      <w:r w:rsidR="00A42868">
        <w:rPr>
          <w:b/>
          <w:color w:val="000000" w:themeColor="text1"/>
        </w:rPr>
        <w:t xml:space="preserve">075 </w:t>
      </w:r>
      <w:r w:rsidRPr="009B0E46">
        <w:rPr>
          <w:color w:val="000000" w:themeColor="text1"/>
        </w:rPr>
        <w:t>establishes</w:t>
      </w:r>
      <w:r w:rsidR="00542A7F">
        <w:rPr>
          <w:color w:val="000000" w:themeColor="text1"/>
        </w:rPr>
        <w:t xml:space="preserve"> </w:t>
      </w:r>
      <w:r w:rsidR="00542A7F" w:rsidRPr="000E39BF">
        <w:t>legislative authority for Government spending to encourage, support and celebrate creative, academic and community achievement and participation of students in primary and secondary schools and post-school young people to 25 years</w:t>
      </w:r>
      <w:r w:rsidR="00286D04">
        <w:t xml:space="preserve"> of age</w:t>
      </w:r>
      <w:r w:rsidR="00D33BE9" w:rsidRPr="000E39BF">
        <w:t xml:space="preserve">. </w:t>
      </w:r>
    </w:p>
    <w:p w:rsidR="000E0B9A" w:rsidRDefault="000E0B9A" w:rsidP="00A371F5">
      <w:pPr>
        <w:pStyle w:val="paranumbering0"/>
        <w:spacing w:before="0" w:beforeAutospacing="0" w:after="0" w:afterAutospacing="0"/>
      </w:pPr>
    </w:p>
    <w:p w:rsidR="000E0B9A" w:rsidRDefault="00D33BE9" w:rsidP="00A371F5">
      <w:pPr>
        <w:rPr>
          <w:color w:val="000000"/>
          <w:szCs w:val="24"/>
        </w:rPr>
      </w:pPr>
      <w:r w:rsidRPr="000E39BF">
        <w:rPr>
          <w:color w:val="000000"/>
          <w:szCs w:val="24"/>
        </w:rPr>
        <w:t xml:space="preserve">The Creative Young Stars program will involve providing grants for Federal Members of Parliament to provide financial assistance to meet the costs of participation (travel, accommodation, costumes or equipment) in training, cultural, artistic, </w:t>
      </w:r>
      <w:r w:rsidR="008F6582">
        <w:rPr>
          <w:color w:val="000000"/>
          <w:szCs w:val="24"/>
        </w:rPr>
        <w:t xml:space="preserve">and </w:t>
      </w:r>
      <w:r w:rsidRPr="000E39BF">
        <w:rPr>
          <w:color w:val="000000"/>
          <w:szCs w:val="24"/>
        </w:rPr>
        <w:t>academic or community</w:t>
      </w:r>
      <w:r w:rsidR="00286D04">
        <w:rPr>
          <w:color w:val="000000"/>
          <w:szCs w:val="24"/>
        </w:rPr>
        <w:noBreakHyphen/>
      </w:r>
      <w:r w:rsidRPr="000E39BF">
        <w:rPr>
          <w:color w:val="000000"/>
          <w:szCs w:val="24"/>
        </w:rPr>
        <w:t>based activities</w:t>
      </w:r>
      <w:r w:rsidR="00286D04">
        <w:rPr>
          <w:color w:val="000000"/>
          <w:szCs w:val="24"/>
        </w:rPr>
        <w:t>,</w:t>
      </w:r>
      <w:r w:rsidRPr="000E39BF">
        <w:rPr>
          <w:color w:val="000000"/>
          <w:szCs w:val="24"/>
        </w:rPr>
        <w:t xml:space="preserve"> including significant national, international and state-based events.</w:t>
      </w:r>
    </w:p>
    <w:p w:rsidR="000E0B9A" w:rsidRDefault="000E0B9A">
      <w:pPr>
        <w:autoSpaceDE w:val="0"/>
        <w:autoSpaceDN w:val="0"/>
        <w:rPr>
          <w:color w:val="000000"/>
          <w:szCs w:val="24"/>
        </w:rPr>
      </w:pPr>
    </w:p>
    <w:p w:rsidR="000E0B9A" w:rsidRDefault="00D33BE9">
      <w:pPr>
        <w:autoSpaceDE w:val="0"/>
        <w:autoSpaceDN w:val="0"/>
        <w:rPr>
          <w:color w:val="000000"/>
          <w:szCs w:val="24"/>
        </w:rPr>
      </w:pPr>
      <w:r w:rsidRPr="000E39BF">
        <w:rPr>
          <w:color w:val="000000"/>
          <w:szCs w:val="24"/>
        </w:rPr>
        <w:t>Under the program, grants of $500 for individuals and $3,000 for groups will be awarded to successful applicants.</w:t>
      </w:r>
      <w:r w:rsidRPr="00632DE3">
        <w:rPr>
          <w:color w:val="000000"/>
        </w:rPr>
        <w:t xml:space="preserve"> </w:t>
      </w:r>
      <w:r w:rsidR="00B83BB6" w:rsidRPr="00632DE3">
        <w:rPr>
          <w:color w:val="000000"/>
        </w:rPr>
        <w:t xml:space="preserve"> </w:t>
      </w:r>
      <w:r w:rsidRPr="000E39BF">
        <w:rPr>
          <w:color w:val="000000"/>
          <w:szCs w:val="24"/>
        </w:rPr>
        <w:t>Post-school youth and school students will be invited in 2013</w:t>
      </w:r>
      <w:r w:rsidR="00286D04">
        <w:rPr>
          <w:color w:val="000000"/>
          <w:szCs w:val="24"/>
        </w:rPr>
        <w:t>-</w:t>
      </w:r>
      <w:r w:rsidRPr="000E39BF">
        <w:rPr>
          <w:color w:val="000000"/>
          <w:szCs w:val="24"/>
        </w:rPr>
        <w:t>14 and 2014</w:t>
      </w:r>
      <w:r w:rsidR="00286D04">
        <w:rPr>
          <w:color w:val="000000"/>
          <w:szCs w:val="24"/>
        </w:rPr>
        <w:t>-</w:t>
      </w:r>
      <w:r w:rsidRPr="000E39BF">
        <w:rPr>
          <w:color w:val="000000"/>
          <w:szCs w:val="24"/>
        </w:rPr>
        <w:t xml:space="preserve">15 to submit applications to be assessed against set criteria and other applications received in the local area. </w:t>
      </w:r>
      <w:r w:rsidR="00286D04">
        <w:rPr>
          <w:color w:val="000000"/>
          <w:szCs w:val="24"/>
        </w:rPr>
        <w:t xml:space="preserve"> </w:t>
      </w:r>
      <w:r w:rsidRPr="000E39BF">
        <w:rPr>
          <w:color w:val="000000"/>
          <w:szCs w:val="24"/>
        </w:rPr>
        <w:t>Applications will need to be endorsed by the relevant school, training or community organisation that the applicants are representing in an event or activity.</w:t>
      </w:r>
    </w:p>
    <w:p w:rsidR="000E0B9A" w:rsidRDefault="000E0B9A">
      <w:pPr>
        <w:autoSpaceDE w:val="0"/>
        <w:autoSpaceDN w:val="0"/>
        <w:rPr>
          <w:color w:val="000000"/>
        </w:rPr>
      </w:pPr>
    </w:p>
    <w:p w:rsidR="000E0B9A" w:rsidRDefault="00D33BE9">
      <w:pPr>
        <w:autoSpaceDE w:val="0"/>
        <w:autoSpaceDN w:val="0"/>
        <w:rPr>
          <w:color w:val="000000" w:themeColor="text1"/>
          <w:szCs w:val="24"/>
        </w:rPr>
      </w:pPr>
      <w:r w:rsidRPr="000E39BF">
        <w:rPr>
          <w:color w:val="000000"/>
          <w:szCs w:val="24"/>
        </w:rPr>
        <w:t xml:space="preserve">The decision to spend will be made on the basis of the selection of the successful applicants </w:t>
      </w:r>
      <w:r w:rsidR="00286D04">
        <w:rPr>
          <w:color w:val="000000"/>
          <w:szCs w:val="24"/>
        </w:rPr>
        <w:t xml:space="preserve">by the Members of Parliament </w:t>
      </w:r>
      <w:r w:rsidRPr="000E39BF">
        <w:rPr>
          <w:color w:val="000000"/>
          <w:szCs w:val="24"/>
        </w:rPr>
        <w:t xml:space="preserve">and </w:t>
      </w:r>
      <w:r w:rsidR="00286D04">
        <w:rPr>
          <w:color w:val="000000"/>
          <w:szCs w:val="24"/>
        </w:rPr>
        <w:t>DEEWR</w:t>
      </w:r>
      <w:r w:rsidRPr="000E39BF">
        <w:rPr>
          <w:color w:val="000000"/>
          <w:szCs w:val="24"/>
        </w:rPr>
        <w:t xml:space="preserve"> will then make the relevant financial decisions</w:t>
      </w:r>
      <w:r w:rsidR="00542A7F">
        <w:rPr>
          <w:color w:val="000000"/>
          <w:szCs w:val="24"/>
        </w:rPr>
        <w:t>,</w:t>
      </w:r>
      <w:r w:rsidRPr="000E39BF">
        <w:rPr>
          <w:color w:val="000000"/>
          <w:szCs w:val="24"/>
        </w:rPr>
        <w:t xml:space="preserve"> including making the payments to the students and schools or organisations</w:t>
      </w:r>
      <w:r w:rsidRPr="000E39BF">
        <w:rPr>
          <w:color w:val="000000" w:themeColor="text1"/>
          <w:szCs w:val="24"/>
        </w:rPr>
        <w:t>.</w:t>
      </w:r>
    </w:p>
    <w:p w:rsidR="000E0B9A" w:rsidRDefault="000E0B9A">
      <w:pPr>
        <w:autoSpaceDE w:val="0"/>
        <w:autoSpaceDN w:val="0"/>
        <w:rPr>
          <w:color w:val="000000" w:themeColor="text1"/>
          <w:szCs w:val="24"/>
        </w:rPr>
      </w:pPr>
    </w:p>
    <w:p w:rsidR="000E0B9A" w:rsidRDefault="00D33BE9">
      <w:pPr>
        <w:rPr>
          <w:color w:val="000000"/>
        </w:rPr>
      </w:pPr>
      <w:r w:rsidRPr="000E39BF">
        <w:rPr>
          <w:color w:val="000000"/>
          <w:szCs w:val="24"/>
        </w:rPr>
        <w:t xml:space="preserve">Creative Young Stars </w:t>
      </w:r>
      <w:r w:rsidR="00E17E2B">
        <w:rPr>
          <w:szCs w:val="24"/>
        </w:rPr>
        <w:t>comes</w:t>
      </w:r>
      <w:r w:rsidR="00E17E2B" w:rsidRPr="000E39BF">
        <w:rPr>
          <w:szCs w:val="24"/>
        </w:rPr>
        <w:t xml:space="preserve"> </w:t>
      </w:r>
      <w:r w:rsidRPr="000E39BF">
        <w:rPr>
          <w:szCs w:val="24"/>
        </w:rPr>
        <w:t xml:space="preserve">within Outcome 2.3 </w:t>
      </w:r>
      <w:r w:rsidR="00E0681B">
        <w:rPr>
          <w:szCs w:val="24"/>
        </w:rPr>
        <w:t xml:space="preserve">Quality Outcome Program - </w:t>
      </w:r>
      <w:r w:rsidRPr="000E39BF">
        <w:rPr>
          <w:szCs w:val="24"/>
        </w:rPr>
        <w:t>School Support</w:t>
      </w:r>
      <w:r w:rsidR="00C023D4">
        <w:rPr>
          <w:szCs w:val="24"/>
        </w:rPr>
        <w:t>,</w:t>
      </w:r>
      <w:r w:rsidRPr="000E39BF">
        <w:rPr>
          <w:szCs w:val="24"/>
        </w:rPr>
        <w:t xml:space="preserve"> </w:t>
      </w:r>
      <w:r w:rsidRPr="000E39BF">
        <w:rPr>
          <w:color w:val="000000"/>
        </w:rPr>
        <w:t xml:space="preserve">described in the </w:t>
      </w:r>
      <w:r w:rsidRPr="000E39BF">
        <w:rPr>
          <w:i/>
          <w:iCs/>
          <w:color w:val="000000"/>
        </w:rPr>
        <w:t>Portfolio Budget Statements 2013</w:t>
      </w:r>
      <w:r w:rsidRPr="000E39BF">
        <w:rPr>
          <w:i/>
          <w:iCs/>
          <w:color w:val="000000"/>
        </w:rPr>
        <w:noBreakHyphen/>
        <w:t>14, Budget Related Paper No</w:t>
      </w:r>
      <w:r w:rsidR="00542A7F">
        <w:rPr>
          <w:i/>
          <w:iCs/>
          <w:color w:val="000000"/>
        </w:rPr>
        <w:t>.</w:t>
      </w:r>
      <w:r w:rsidRPr="000E39BF">
        <w:rPr>
          <w:i/>
          <w:iCs/>
          <w:color w:val="000000"/>
        </w:rPr>
        <w:t> 1.5</w:t>
      </w:r>
      <w:r w:rsidR="00246150" w:rsidRPr="00246150">
        <w:rPr>
          <w:iCs/>
          <w:color w:val="000000"/>
        </w:rPr>
        <w:t xml:space="preserve">, </w:t>
      </w:r>
      <w:r w:rsidR="00D85244" w:rsidRPr="008F6582">
        <w:rPr>
          <w:i/>
          <w:color w:val="000000"/>
        </w:rPr>
        <w:t>Education, Employment and Workplace Relations Portfolio</w:t>
      </w:r>
      <w:r w:rsidRPr="00542A7F">
        <w:rPr>
          <w:color w:val="000000"/>
        </w:rPr>
        <w:t xml:space="preserve"> at page 52</w:t>
      </w:r>
      <w:r w:rsidR="00E0681B">
        <w:rPr>
          <w:i/>
          <w:color w:val="000000"/>
        </w:rPr>
        <w:t>.</w:t>
      </w:r>
    </w:p>
    <w:p w:rsidR="000E0B9A" w:rsidRDefault="000E0B9A"/>
    <w:p w:rsidR="000E0B9A" w:rsidRDefault="00542A7F" w:rsidP="00A371F5">
      <w:pPr>
        <w:pStyle w:val="paranumbering0"/>
        <w:spacing w:before="0" w:beforeAutospacing="0" w:after="0" w:afterAutospacing="0"/>
      </w:pPr>
      <w:r w:rsidRPr="00542A7F">
        <w:rPr>
          <w:color w:val="000000" w:themeColor="text1"/>
        </w:rPr>
        <w:t>New</w:t>
      </w:r>
      <w:r>
        <w:rPr>
          <w:b/>
          <w:color w:val="000000" w:themeColor="text1"/>
        </w:rPr>
        <w:t xml:space="preserve"> i</w:t>
      </w:r>
      <w:r w:rsidR="007974BA" w:rsidRPr="000E39BF">
        <w:rPr>
          <w:b/>
          <w:color w:val="000000" w:themeColor="text1"/>
        </w:rPr>
        <w:t>tem</w:t>
      </w:r>
      <w:r w:rsidR="007974BA" w:rsidRPr="00632DE3">
        <w:rPr>
          <w:b/>
          <w:color w:val="000000" w:themeColor="text1"/>
        </w:rPr>
        <w:t xml:space="preserve"> </w:t>
      </w:r>
      <w:r w:rsidR="000D0ABE" w:rsidRPr="000D0ABE">
        <w:rPr>
          <w:b/>
          <w:color w:val="000000" w:themeColor="text1"/>
        </w:rPr>
        <w:t>407.</w:t>
      </w:r>
      <w:r w:rsidR="00A42868">
        <w:rPr>
          <w:b/>
          <w:color w:val="000000" w:themeColor="text1"/>
        </w:rPr>
        <w:t>076</w:t>
      </w:r>
      <w:r w:rsidR="00A42868" w:rsidDel="00542A7F">
        <w:rPr>
          <w:b/>
          <w:color w:val="000000" w:themeColor="text1"/>
        </w:rPr>
        <w:t xml:space="preserve"> </w:t>
      </w:r>
      <w:r>
        <w:t>establishes</w:t>
      </w:r>
      <w:r w:rsidR="00A062E0" w:rsidRPr="000E39BF">
        <w:t xml:space="preserve"> legislative authority for </w:t>
      </w:r>
      <w:r w:rsidR="0082525F">
        <w:t xml:space="preserve">the </w:t>
      </w:r>
      <w:r w:rsidR="00A062E0" w:rsidRPr="000E39BF">
        <w:t>Government to provide funding to the Fair Work Ombudsman (FWO) as part of the Community Based Employment Advice Services (CBEAS) program</w:t>
      </w:r>
      <w:r w:rsidR="00E17E2B">
        <w:t>,</w:t>
      </w:r>
      <w:r w:rsidR="00A062E0" w:rsidRPr="000E39BF">
        <w:t xml:space="preserve"> including additional funding to the Queensland</w:t>
      </w:r>
      <w:r w:rsidR="0097569F">
        <w:t xml:space="preserve"> Working Women’s Service (QWWS)</w:t>
      </w:r>
      <w:r w:rsidR="00A062E0" w:rsidRPr="000E39BF">
        <w:t>.</w:t>
      </w:r>
    </w:p>
    <w:p w:rsidR="000E0B9A" w:rsidRDefault="000E0B9A" w:rsidP="00A371F5">
      <w:pPr>
        <w:pStyle w:val="paranumbering0"/>
        <w:spacing w:before="0" w:beforeAutospacing="0" w:after="0" w:afterAutospacing="0"/>
      </w:pPr>
    </w:p>
    <w:p w:rsidR="000E0B9A" w:rsidRDefault="00A062E0">
      <w:pPr>
        <w:rPr>
          <w:szCs w:val="24"/>
        </w:rPr>
      </w:pPr>
      <w:r w:rsidRPr="000E39BF">
        <w:rPr>
          <w:szCs w:val="24"/>
        </w:rPr>
        <w:t>The QWWS is a not-for-profit, community organisation with specialist workplace relations expertise</w:t>
      </w:r>
      <w:r w:rsidR="00E17E2B">
        <w:rPr>
          <w:szCs w:val="24"/>
        </w:rPr>
        <w:t xml:space="preserve"> and is </w:t>
      </w:r>
      <w:r w:rsidR="00E17E2B" w:rsidRPr="000E39BF">
        <w:t>one of five organisations covered under the CBEAS program</w:t>
      </w:r>
      <w:r w:rsidRPr="000E39BF">
        <w:rPr>
          <w:szCs w:val="24"/>
        </w:rPr>
        <w:t xml:space="preserve">. </w:t>
      </w:r>
      <w:r w:rsidR="00B83BB6" w:rsidRPr="00632DE3">
        <w:t xml:space="preserve"> </w:t>
      </w:r>
      <w:r w:rsidR="00E17E2B">
        <w:rPr>
          <w:szCs w:val="24"/>
        </w:rPr>
        <w:t>The QWWS</w:t>
      </w:r>
      <w:r w:rsidRPr="000E39BF">
        <w:rPr>
          <w:szCs w:val="24"/>
        </w:rPr>
        <w:t xml:space="preserve"> provides employees with practical assistance about work related issues such as pay and conditions, unfair dismissal, discrimination, sexual harassment and workplace bullying.  </w:t>
      </w:r>
      <w:r w:rsidR="00E17E2B" w:rsidRPr="000E39BF">
        <w:t>The QWWS operates a telephone advice line and runs self-help information sessions for women representing themselves before the Fair Work Commission, evening legal advice services, and a variety of other community legal education and research services.</w:t>
      </w:r>
      <w:r w:rsidR="00E17E2B">
        <w:t xml:space="preserve">  </w:t>
      </w:r>
      <w:r w:rsidRPr="000E39BF">
        <w:rPr>
          <w:szCs w:val="24"/>
        </w:rPr>
        <w:t xml:space="preserve">The additional funding will ensure that existing services provided by QWWS </w:t>
      </w:r>
      <w:r w:rsidRPr="00632DE3">
        <w:t>continue</w:t>
      </w:r>
      <w:r w:rsidRPr="000E39BF">
        <w:rPr>
          <w:szCs w:val="24"/>
        </w:rPr>
        <w:t xml:space="preserve"> until 30</w:t>
      </w:r>
      <w:r w:rsidR="005F0501">
        <w:rPr>
          <w:szCs w:val="24"/>
        </w:rPr>
        <w:t> </w:t>
      </w:r>
      <w:r w:rsidRPr="000E39BF">
        <w:rPr>
          <w:szCs w:val="24"/>
        </w:rPr>
        <w:t xml:space="preserve">June 2016.  </w:t>
      </w:r>
    </w:p>
    <w:p w:rsidR="000E0B9A" w:rsidRDefault="000E0B9A" w:rsidP="00A371F5">
      <w:pPr>
        <w:pStyle w:val="paranumbering0"/>
        <w:spacing w:before="0" w:beforeAutospacing="0" w:after="0" w:afterAutospacing="0"/>
      </w:pPr>
    </w:p>
    <w:p w:rsidR="000E0B9A" w:rsidRDefault="00A062E0" w:rsidP="00A371F5">
      <w:pPr>
        <w:pStyle w:val="paranumbering0"/>
        <w:spacing w:before="0" w:beforeAutospacing="0" w:after="0" w:afterAutospacing="0"/>
      </w:pPr>
      <w:r w:rsidRPr="000E39BF">
        <w:t>The funding for CBEAS</w:t>
      </w:r>
      <w:r w:rsidR="00E23644">
        <w:t>,</w:t>
      </w:r>
      <w:r w:rsidRPr="000E39BF">
        <w:t xml:space="preserve"> including the additional funding provided to the QWWS</w:t>
      </w:r>
      <w:r w:rsidR="00E17E2B">
        <w:t>,</w:t>
      </w:r>
      <w:r w:rsidRPr="000E39BF">
        <w:t xml:space="preserve"> will be administered by the FWO in accordance with the CGGs.</w:t>
      </w:r>
    </w:p>
    <w:p w:rsidR="000E0B9A" w:rsidRDefault="000E0B9A">
      <w:pPr>
        <w:rPr>
          <w:color w:val="000000" w:themeColor="text1"/>
          <w:szCs w:val="24"/>
        </w:rPr>
      </w:pPr>
    </w:p>
    <w:p w:rsidR="000E0B9A" w:rsidRDefault="00A062E0" w:rsidP="00A371F5">
      <w:pPr>
        <w:pStyle w:val="paranumbering0"/>
        <w:spacing w:before="0" w:beforeAutospacing="0" w:after="0" w:afterAutospacing="0"/>
        <w:rPr>
          <w:color w:val="000000"/>
        </w:rPr>
      </w:pPr>
      <w:r w:rsidRPr="000E39BF">
        <w:rPr>
          <w:color w:val="000000"/>
        </w:rPr>
        <w:t xml:space="preserve">Education services and compliance activities </w:t>
      </w:r>
      <w:r w:rsidR="00E17E2B">
        <w:t>come</w:t>
      </w:r>
      <w:r w:rsidR="00E17E2B" w:rsidRPr="000E39BF">
        <w:t xml:space="preserve"> </w:t>
      </w:r>
      <w:r w:rsidRPr="000E39BF">
        <w:t>within Outcome 1 Education Services and Compliance Activities of the FWO program</w:t>
      </w:r>
      <w:r w:rsidR="00C023D4">
        <w:t>,</w:t>
      </w:r>
      <w:r w:rsidRPr="000E39BF">
        <w:t xml:space="preserve"> </w:t>
      </w:r>
      <w:r w:rsidRPr="000E39BF">
        <w:rPr>
          <w:color w:val="000000"/>
        </w:rPr>
        <w:t xml:space="preserve">described in the </w:t>
      </w:r>
      <w:r w:rsidRPr="000E39BF">
        <w:rPr>
          <w:i/>
          <w:iCs/>
          <w:color w:val="000000"/>
        </w:rPr>
        <w:t>Portfolio Budget Statements 2013</w:t>
      </w:r>
      <w:r w:rsidRPr="000E39BF">
        <w:rPr>
          <w:i/>
          <w:iCs/>
          <w:color w:val="000000"/>
        </w:rPr>
        <w:noBreakHyphen/>
        <w:t>14, Budget Related Paper No</w:t>
      </w:r>
      <w:r w:rsidR="00E17E2B">
        <w:rPr>
          <w:i/>
          <w:iCs/>
          <w:color w:val="000000"/>
        </w:rPr>
        <w:t>.</w:t>
      </w:r>
      <w:r w:rsidRPr="000E39BF">
        <w:rPr>
          <w:i/>
          <w:iCs/>
          <w:color w:val="000000"/>
        </w:rPr>
        <w:t> 1.5</w:t>
      </w:r>
      <w:r w:rsidR="00680C4B">
        <w:rPr>
          <w:i/>
          <w:iCs/>
          <w:color w:val="000000"/>
        </w:rPr>
        <w:t xml:space="preserve">, </w:t>
      </w:r>
      <w:r w:rsidR="00246150" w:rsidRPr="00246150">
        <w:rPr>
          <w:i/>
          <w:color w:val="000000"/>
        </w:rPr>
        <w:t>Education, Employment and Workplace Relations Portfolio</w:t>
      </w:r>
      <w:r w:rsidRPr="000E39BF">
        <w:rPr>
          <w:color w:val="000000"/>
        </w:rPr>
        <w:t xml:space="preserve"> </w:t>
      </w:r>
      <w:r w:rsidRPr="00E23644">
        <w:rPr>
          <w:color w:val="000000"/>
        </w:rPr>
        <w:t>at page 216</w:t>
      </w:r>
      <w:r w:rsidR="00E0681B">
        <w:rPr>
          <w:color w:val="000000"/>
        </w:rPr>
        <w:t>.</w:t>
      </w:r>
    </w:p>
    <w:p w:rsidR="000E0B9A" w:rsidRDefault="000E0B9A" w:rsidP="00A371F5">
      <w:pPr>
        <w:pStyle w:val="paranumbering0"/>
        <w:spacing w:before="0" w:beforeAutospacing="0" w:after="0" w:afterAutospacing="0"/>
        <w:rPr>
          <w:color w:val="000000"/>
        </w:rPr>
      </w:pPr>
    </w:p>
    <w:p w:rsidR="000E0B9A" w:rsidRDefault="00E23644" w:rsidP="00A371F5">
      <w:pPr>
        <w:rPr>
          <w:i/>
          <w:szCs w:val="24"/>
        </w:rPr>
      </w:pPr>
      <w:r w:rsidRPr="00E23644">
        <w:rPr>
          <w:color w:val="000000" w:themeColor="text1"/>
        </w:rPr>
        <w:t>New</w:t>
      </w:r>
      <w:r>
        <w:rPr>
          <w:b/>
          <w:color w:val="000000" w:themeColor="text1"/>
        </w:rPr>
        <w:t xml:space="preserve"> i</w:t>
      </w:r>
      <w:r w:rsidR="007974BA" w:rsidRPr="000E39BF">
        <w:rPr>
          <w:b/>
          <w:color w:val="000000" w:themeColor="text1"/>
        </w:rPr>
        <w:t xml:space="preserve">tem </w:t>
      </w:r>
      <w:r w:rsidR="000D0ABE" w:rsidRPr="000D0ABE">
        <w:rPr>
          <w:b/>
          <w:color w:val="000000" w:themeColor="text1"/>
        </w:rPr>
        <w:t>407.</w:t>
      </w:r>
      <w:r w:rsidR="00A42868">
        <w:rPr>
          <w:b/>
          <w:color w:val="000000" w:themeColor="text1"/>
        </w:rPr>
        <w:t xml:space="preserve">077 </w:t>
      </w:r>
      <w:r>
        <w:rPr>
          <w:color w:val="000000" w:themeColor="text1"/>
        </w:rPr>
        <w:t>establishes</w:t>
      </w:r>
      <w:r w:rsidR="007974BA" w:rsidRPr="00632DE3">
        <w:rPr>
          <w:b/>
          <w:color w:val="000000" w:themeColor="text1"/>
        </w:rPr>
        <w:t xml:space="preserve"> </w:t>
      </w:r>
      <w:r w:rsidRPr="000E39BF">
        <w:rPr>
          <w:szCs w:val="24"/>
        </w:rPr>
        <w:t xml:space="preserve">legislative authority for </w:t>
      </w:r>
      <w:r w:rsidR="0082525F">
        <w:rPr>
          <w:szCs w:val="24"/>
        </w:rPr>
        <w:t xml:space="preserve">the </w:t>
      </w:r>
      <w:r w:rsidRPr="000E39BF">
        <w:rPr>
          <w:szCs w:val="24"/>
        </w:rPr>
        <w:t>Government to</w:t>
      </w:r>
      <w:r w:rsidR="00B12B81">
        <w:rPr>
          <w:szCs w:val="24"/>
        </w:rPr>
        <w:t xml:space="preserve"> provide relocation assistance to</w:t>
      </w:r>
      <w:r w:rsidRPr="000E39BF">
        <w:rPr>
          <w:szCs w:val="24"/>
        </w:rPr>
        <w:t xml:space="preserve"> job seekers who relocate to take up employment or an apprenticeship</w:t>
      </w:r>
      <w:r w:rsidRPr="000E39BF">
        <w:rPr>
          <w:i/>
          <w:szCs w:val="24"/>
        </w:rPr>
        <w:t>.</w:t>
      </w:r>
    </w:p>
    <w:p w:rsidR="000E0B9A" w:rsidRDefault="000E0B9A" w:rsidP="00A371F5">
      <w:pPr>
        <w:rPr>
          <w:szCs w:val="24"/>
        </w:rPr>
      </w:pPr>
    </w:p>
    <w:p w:rsidR="000E0B9A" w:rsidRDefault="00F5694F">
      <w:pPr>
        <w:rPr>
          <w:color w:val="000000" w:themeColor="text1"/>
          <w:szCs w:val="24"/>
        </w:rPr>
      </w:pPr>
      <w:r w:rsidRPr="000E39BF">
        <w:rPr>
          <w:szCs w:val="24"/>
        </w:rPr>
        <w:t xml:space="preserve">The Labour Mobility and Relocation Assistance </w:t>
      </w:r>
      <w:r w:rsidR="00FD2C7D">
        <w:t>I</w:t>
      </w:r>
      <w:r w:rsidRPr="00632DE3">
        <w:t>nitiative</w:t>
      </w:r>
      <w:r w:rsidR="009C2970">
        <w:t xml:space="preserve"> </w:t>
      </w:r>
      <w:r w:rsidRPr="000E39BF">
        <w:rPr>
          <w:szCs w:val="24"/>
        </w:rPr>
        <w:t xml:space="preserve">provides practical assistance to participants who relocate for permanent ongoing work or </w:t>
      </w:r>
      <w:r w:rsidR="00614D5F" w:rsidRPr="00632DE3">
        <w:t xml:space="preserve">an </w:t>
      </w:r>
      <w:r w:rsidRPr="000E39BF">
        <w:rPr>
          <w:szCs w:val="24"/>
        </w:rPr>
        <w:t>apprenticeship.</w:t>
      </w:r>
      <w:r w:rsidRPr="00632DE3">
        <w:t xml:space="preserve"> </w:t>
      </w:r>
      <w:r w:rsidRPr="000E39BF">
        <w:rPr>
          <w:szCs w:val="24"/>
        </w:rPr>
        <w:t xml:space="preserve"> Under the </w:t>
      </w:r>
      <w:r w:rsidRPr="000E39BF">
        <w:rPr>
          <w:szCs w:val="24"/>
        </w:rPr>
        <w:lastRenderedPageBreak/>
        <w:t>initiative, eligible participants will be reimbursed up to $6,500 (with dependants) or $4,500 (no dependants) for expenses incurred to relocate.</w:t>
      </w:r>
      <w:r w:rsidRPr="00632DE3">
        <w:t xml:space="preserve"> </w:t>
      </w:r>
      <w:r w:rsidRPr="000E39BF">
        <w:rPr>
          <w:szCs w:val="24"/>
        </w:rPr>
        <w:t xml:space="preserve"> Eligible expenses could include </w:t>
      </w:r>
      <w:r w:rsidR="00791B8E">
        <w:rPr>
          <w:szCs w:val="24"/>
        </w:rPr>
        <w:t xml:space="preserve">costs for </w:t>
      </w:r>
      <w:r w:rsidRPr="000E39BF">
        <w:rPr>
          <w:szCs w:val="24"/>
        </w:rPr>
        <w:t>removalist</w:t>
      </w:r>
      <w:r w:rsidR="00E17E2B">
        <w:rPr>
          <w:szCs w:val="24"/>
        </w:rPr>
        <w:t xml:space="preserve">s, </w:t>
      </w:r>
      <w:r w:rsidRPr="000E39BF">
        <w:rPr>
          <w:szCs w:val="24"/>
        </w:rPr>
        <w:t xml:space="preserve">travel, accommodation assistance, and some employment related costs. </w:t>
      </w:r>
      <w:r w:rsidR="00614D5F" w:rsidRPr="00632DE3">
        <w:t xml:space="preserve"> </w:t>
      </w:r>
      <w:r w:rsidRPr="000E39BF">
        <w:rPr>
          <w:szCs w:val="24"/>
        </w:rPr>
        <w:t xml:space="preserve">The participant’s employment service provider or disability employment service provider will reimburse, based on receipts, either the participant or a third party </w:t>
      </w:r>
      <w:r w:rsidR="00347BDB">
        <w:rPr>
          <w:szCs w:val="24"/>
        </w:rPr>
        <w:t>who</w:t>
      </w:r>
      <w:r w:rsidR="003D44C0">
        <w:rPr>
          <w:szCs w:val="24"/>
        </w:rPr>
        <w:t xml:space="preserve"> has</w:t>
      </w:r>
      <w:r w:rsidR="003D44C0" w:rsidRPr="000E39BF">
        <w:rPr>
          <w:szCs w:val="24"/>
        </w:rPr>
        <w:t xml:space="preserve"> </w:t>
      </w:r>
      <w:r w:rsidRPr="000E39BF">
        <w:rPr>
          <w:szCs w:val="24"/>
        </w:rPr>
        <w:t>provided the relocation assistance</w:t>
      </w:r>
      <w:r w:rsidR="003D44C0">
        <w:rPr>
          <w:szCs w:val="24"/>
        </w:rPr>
        <w:t>, for example,</w:t>
      </w:r>
      <w:r w:rsidR="003D44C0" w:rsidRPr="000E39BF">
        <w:rPr>
          <w:szCs w:val="24"/>
        </w:rPr>
        <w:t xml:space="preserve"> a removalist firm</w:t>
      </w:r>
      <w:r w:rsidRPr="000E39BF">
        <w:rPr>
          <w:szCs w:val="24"/>
        </w:rPr>
        <w:t xml:space="preserve">. </w:t>
      </w:r>
      <w:r w:rsidR="00E17E2B">
        <w:rPr>
          <w:szCs w:val="24"/>
        </w:rPr>
        <w:t xml:space="preserve"> </w:t>
      </w:r>
      <w:r w:rsidRPr="000E39BF">
        <w:rPr>
          <w:szCs w:val="24"/>
        </w:rPr>
        <w:t>The provider will then claim these expenses from DEEWR</w:t>
      </w:r>
      <w:r w:rsidRPr="000E39BF">
        <w:rPr>
          <w:color w:val="000000" w:themeColor="text1"/>
          <w:szCs w:val="24"/>
        </w:rPr>
        <w:t>.</w:t>
      </w:r>
    </w:p>
    <w:p w:rsidR="000E0B9A" w:rsidRDefault="000E0B9A">
      <w:pPr>
        <w:rPr>
          <w:color w:val="000000" w:themeColor="text1"/>
        </w:rPr>
      </w:pPr>
    </w:p>
    <w:p w:rsidR="000E0B9A" w:rsidRDefault="00F5694F" w:rsidP="00A371F5">
      <w:pPr>
        <w:rPr>
          <w:szCs w:val="24"/>
        </w:rPr>
      </w:pPr>
      <w:r w:rsidRPr="000E39BF">
        <w:rPr>
          <w:szCs w:val="24"/>
        </w:rPr>
        <w:t>Guidelines</w:t>
      </w:r>
      <w:r w:rsidR="003D44C0">
        <w:rPr>
          <w:szCs w:val="24"/>
        </w:rPr>
        <w:t>,</w:t>
      </w:r>
      <w:r w:rsidRPr="000E39BF">
        <w:rPr>
          <w:szCs w:val="24"/>
        </w:rPr>
        <w:t xml:space="preserve"> including eligibility and the criteria for making spending decisions</w:t>
      </w:r>
      <w:r w:rsidR="003D44C0">
        <w:rPr>
          <w:szCs w:val="24"/>
        </w:rPr>
        <w:t>,</w:t>
      </w:r>
      <w:r w:rsidRPr="000E39BF">
        <w:rPr>
          <w:szCs w:val="24"/>
        </w:rPr>
        <w:t xml:space="preserve"> will be available to employment service providers and disability employment service providers who are contracted to provide services under contract with DEEWR. </w:t>
      </w:r>
      <w:r w:rsidR="00E17E2B">
        <w:rPr>
          <w:szCs w:val="24"/>
        </w:rPr>
        <w:t xml:space="preserve"> </w:t>
      </w:r>
      <w:r w:rsidR="00347BDB">
        <w:rPr>
          <w:szCs w:val="24"/>
        </w:rPr>
        <w:t>These Guidelines will</w:t>
      </w:r>
      <w:r w:rsidRPr="000E39BF">
        <w:rPr>
          <w:szCs w:val="24"/>
        </w:rPr>
        <w:t xml:space="preserve"> be publicly available on the DEEWR </w:t>
      </w:r>
      <w:r w:rsidR="00B12B81">
        <w:rPr>
          <w:szCs w:val="24"/>
        </w:rPr>
        <w:t>web</w:t>
      </w:r>
      <w:r w:rsidR="00E17E2B">
        <w:rPr>
          <w:szCs w:val="24"/>
        </w:rPr>
        <w:t>site</w:t>
      </w:r>
      <w:r w:rsidRPr="000E39BF">
        <w:rPr>
          <w:szCs w:val="24"/>
        </w:rPr>
        <w:t xml:space="preserve"> </w:t>
      </w:r>
      <w:r w:rsidR="00A86882">
        <w:rPr>
          <w:szCs w:val="24"/>
        </w:rPr>
        <w:t>(</w:t>
      </w:r>
      <w:hyperlink r:id="rId13" w:history="1">
        <w:r w:rsidR="00A86882" w:rsidRPr="00C02AE9">
          <w:rPr>
            <w:rStyle w:val="Hyperlink"/>
            <w:szCs w:val="24"/>
          </w:rPr>
          <w:t>www.deewr.gov.au</w:t>
        </w:r>
      </w:hyperlink>
      <w:r w:rsidR="00A86882">
        <w:rPr>
          <w:szCs w:val="24"/>
        </w:rPr>
        <w:t>).</w:t>
      </w:r>
    </w:p>
    <w:p w:rsidR="000E0B9A" w:rsidRDefault="000E0B9A" w:rsidP="00A371F5">
      <w:pPr>
        <w:rPr>
          <w:szCs w:val="24"/>
        </w:rPr>
      </w:pPr>
    </w:p>
    <w:p w:rsidR="000E0B9A" w:rsidRDefault="00F5694F" w:rsidP="00A371F5">
      <w:pPr>
        <w:rPr>
          <w:color w:val="000000" w:themeColor="text1"/>
          <w:szCs w:val="24"/>
        </w:rPr>
      </w:pPr>
      <w:r w:rsidRPr="000E39BF">
        <w:rPr>
          <w:szCs w:val="24"/>
        </w:rPr>
        <w:t xml:space="preserve">The </w:t>
      </w:r>
      <w:r w:rsidR="00B12B81">
        <w:rPr>
          <w:szCs w:val="24"/>
        </w:rPr>
        <w:t>D</w:t>
      </w:r>
      <w:r w:rsidRPr="000E39BF">
        <w:rPr>
          <w:szCs w:val="24"/>
        </w:rPr>
        <w:t>epartment makes decision</w:t>
      </w:r>
      <w:r w:rsidR="00E17E2B">
        <w:rPr>
          <w:szCs w:val="24"/>
        </w:rPr>
        <w:t>s</w:t>
      </w:r>
      <w:r w:rsidRPr="000E39BF">
        <w:rPr>
          <w:szCs w:val="24"/>
        </w:rPr>
        <w:t xml:space="preserve"> on the contracting of the employment service and disability employment service providers and the reimbursement of costs to those providers.  Employment service providers and disability employment service providers contracted to DEEWR will determine spending decisions in relation to specific job seekers in line with Guidelines</w:t>
      </w:r>
      <w:r w:rsidRPr="000E39BF">
        <w:rPr>
          <w:color w:val="000000" w:themeColor="text1"/>
          <w:szCs w:val="24"/>
        </w:rPr>
        <w:t>.</w:t>
      </w:r>
    </w:p>
    <w:p w:rsidR="000E0B9A" w:rsidRDefault="000E0B9A" w:rsidP="00A371F5">
      <w:pPr>
        <w:rPr>
          <w:color w:val="000000" w:themeColor="text1"/>
          <w:szCs w:val="24"/>
        </w:rPr>
      </w:pPr>
    </w:p>
    <w:p w:rsidR="000E0B9A" w:rsidRDefault="00F5694F">
      <w:pPr>
        <w:rPr>
          <w:color w:val="000000"/>
        </w:rPr>
      </w:pPr>
      <w:r w:rsidRPr="000E39BF">
        <w:rPr>
          <w:szCs w:val="24"/>
        </w:rPr>
        <w:t>The initiative is included in Outcome 3.1 Employment Services</w:t>
      </w:r>
      <w:r w:rsidR="00C023D4">
        <w:rPr>
          <w:szCs w:val="24"/>
        </w:rPr>
        <w:t>,</w:t>
      </w:r>
      <w:r w:rsidRPr="000E39BF">
        <w:rPr>
          <w:szCs w:val="24"/>
        </w:rPr>
        <w:t xml:space="preserve"> </w:t>
      </w:r>
      <w:r w:rsidRPr="000E39BF">
        <w:rPr>
          <w:color w:val="000000"/>
        </w:rPr>
        <w:t xml:space="preserve">described in the </w:t>
      </w:r>
      <w:r w:rsidRPr="000E39BF">
        <w:rPr>
          <w:i/>
          <w:iCs/>
          <w:color w:val="000000"/>
        </w:rPr>
        <w:t>Portfolio Budget Statements 2013</w:t>
      </w:r>
      <w:r w:rsidRPr="000E39BF">
        <w:rPr>
          <w:i/>
          <w:iCs/>
          <w:color w:val="000000"/>
        </w:rPr>
        <w:noBreakHyphen/>
        <w:t>14, Budget Related Paper No</w:t>
      </w:r>
      <w:r w:rsidR="00A42868">
        <w:rPr>
          <w:i/>
          <w:iCs/>
          <w:color w:val="000000"/>
        </w:rPr>
        <w:t>.</w:t>
      </w:r>
      <w:r w:rsidRPr="000E39BF">
        <w:rPr>
          <w:i/>
          <w:iCs/>
          <w:color w:val="000000"/>
        </w:rPr>
        <w:t> 1.5</w:t>
      </w:r>
      <w:r w:rsidR="00680C4B">
        <w:rPr>
          <w:i/>
          <w:iCs/>
          <w:color w:val="000000"/>
        </w:rPr>
        <w:t xml:space="preserve">, </w:t>
      </w:r>
      <w:r w:rsidR="00246150" w:rsidRPr="00246150">
        <w:rPr>
          <w:i/>
          <w:color w:val="000000"/>
        </w:rPr>
        <w:t>Education, Employment and Workplace Relations Portfolio</w:t>
      </w:r>
      <w:r w:rsidRPr="000E39BF">
        <w:rPr>
          <w:color w:val="000000"/>
        </w:rPr>
        <w:t xml:space="preserve"> </w:t>
      </w:r>
      <w:r w:rsidRPr="00A42868">
        <w:rPr>
          <w:color w:val="000000"/>
        </w:rPr>
        <w:t>at page 75</w:t>
      </w:r>
      <w:r w:rsidRPr="000E39BF">
        <w:rPr>
          <w:color w:val="000000"/>
        </w:rPr>
        <w:t>.</w:t>
      </w:r>
    </w:p>
    <w:p w:rsidR="000E0B9A" w:rsidRDefault="000E0B9A">
      <w:pPr>
        <w:rPr>
          <w:color w:val="000000"/>
        </w:rPr>
      </w:pPr>
    </w:p>
    <w:p w:rsidR="000E0B9A" w:rsidRDefault="00A42868">
      <w:pPr>
        <w:rPr>
          <w:color w:val="000000" w:themeColor="text1"/>
        </w:rPr>
      </w:pPr>
      <w:r w:rsidRPr="004712F3">
        <w:rPr>
          <w:color w:val="000000" w:themeColor="text1"/>
        </w:rPr>
        <w:t>New</w:t>
      </w:r>
      <w:r>
        <w:rPr>
          <w:b/>
          <w:color w:val="000000" w:themeColor="text1"/>
        </w:rPr>
        <w:t xml:space="preserve"> i</w:t>
      </w:r>
      <w:r w:rsidR="007974BA" w:rsidRPr="000E39BF">
        <w:rPr>
          <w:b/>
          <w:color w:val="000000" w:themeColor="text1"/>
        </w:rPr>
        <w:t>tem</w:t>
      </w:r>
      <w:r w:rsidR="00E10F1D">
        <w:rPr>
          <w:b/>
          <w:color w:val="000000" w:themeColor="text1"/>
        </w:rPr>
        <w:t xml:space="preserve"> </w:t>
      </w:r>
      <w:r w:rsidR="00706F2A" w:rsidRPr="00706F2A">
        <w:rPr>
          <w:b/>
          <w:color w:val="000000" w:themeColor="text1"/>
        </w:rPr>
        <w:t>407.</w:t>
      </w:r>
      <w:r w:rsidR="006912E2">
        <w:rPr>
          <w:b/>
          <w:color w:val="000000" w:themeColor="text1"/>
        </w:rPr>
        <w:t xml:space="preserve">078 </w:t>
      </w:r>
      <w:r>
        <w:rPr>
          <w:color w:val="000000" w:themeColor="text1"/>
        </w:rPr>
        <w:t>establishes</w:t>
      </w:r>
      <w:r w:rsidRPr="000E39BF">
        <w:rPr>
          <w:color w:val="000000" w:themeColor="text1"/>
        </w:rPr>
        <w:t xml:space="preserve"> legislative authority for the Commonwealth to provide funding to support better philanthropic engagement with schools</w:t>
      </w:r>
      <w:r w:rsidR="00F62784">
        <w:rPr>
          <w:color w:val="000000" w:themeColor="text1"/>
        </w:rPr>
        <w:t>.</w:t>
      </w:r>
      <w:r w:rsidR="00A96EFD">
        <w:rPr>
          <w:color w:val="000000" w:themeColor="text1"/>
        </w:rPr>
        <w:t xml:space="preserve"> </w:t>
      </w:r>
      <w:r w:rsidR="00E17E2B">
        <w:rPr>
          <w:color w:val="000000" w:themeColor="text1"/>
        </w:rPr>
        <w:t xml:space="preserve"> </w:t>
      </w:r>
      <w:r w:rsidR="00830723" w:rsidRPr="000E39BF">
        <w:rPr>
          <w:color w:val="000000" w:themeColor="text1"/>
        </w:rPr>
        <w:t>It is proposed that a third party (or</w:t>
      </w:r>
      <w:r w:rsidR="00E17E2B">
        <w:rPr>
          <w:color w:val="000000" w:themeColor="text1"/>
        </w:rPr>
        <w:t> </w:t>
      </w:r>
      <w:r w:rsidR="00830723" w:rsidRPr="000E39BF">
        <w:rPr>
          <w:color w:val="000000" w:themeColor="text1"/>
        </w:rPr>
        <w:t>parties), unrelated to the Commonwealth, will establish a fund to attract and direct philanthropic donations toward disadvantaged schools and help improve student outcomes.</w:t>
      </w:r>
      <w:r w:rsidR="00830723" w:rsidRPr="00632DE3">
        <w:rPr>
          <w:color w:val="000000" w:themeColor="text1"/>
        </w:rPr>
        <w:t xml:space="preserve"> </w:t>
      </w:r>
      <w:r w:rsidR="00830723" w:rsidRPr="000E39BF">
        <w:rPr>
          <w:color w:val="000000" w:themeColor="text1"/>
        </w:rPr>
        <w:t xml:space="preserve"> The Commonwealth will provide seed funding to the fund via a grant of financial assistance to a State</w:t>
      </w:r>
      <w:r w:rsidR="00347BDB">
        <w:rPr>
          <w:color w:val="000000" w:themeColor="text1"/>
        </w:rPr>
        <w:t>,</w:t>
      </w:r>
      <w:r w:rsidR="00830723" w:rsidRPr="000E39BF">
        <w:rPr>
          <w:color w:val="000000" w:themeColor="text1"/>
        </w:rPr>
        <w:t xml:space="preserve"> conditional on that State providing the money to the fund.</w:t>
      </w:r>
    </w:p>
    <w:p w:rsidR="000E0B9A" w:rsidRDefault="000E0B9A">
      <w:pPr>
        <w:rPr>
          <w:color w:val="000000" w:themeColor="text1"/>
        </w:rPr>
      </w:pPr>
    </w:p>
    <w:p w:rsidR="000E0B9A" w:rsidRDefault="00830723">
      <w:pPr>
        <w:rPr>
          <w:color w:val="000000" w:themeColor="text1"/>
        </w:rPr>
      </w:pPr>
      <w:r w:rsidRPr="000E39BF">
        <w:rPr>
          <w:color w:val="000000" w:themeColor="text1"/>
        </w:rPr>
        <w:t xml:space="preserve">Decisions related to the Australian Government payments to the fund will be made by the </w:t>
      </w:r>
      <w:r w:rsidR="00CF1C96">
        <w:rPr>
          <w:color w:val="000000"/>
        </w:rPr>
        <w:t>Minister for Education and/or the Minister for Early Childhood, Childcare and Youth and/or the Parliamentary Secretary for Schools.</w:t>
      </w:r>
    </w:p>
    <w:p w:rsidR="000E0B9A" w:rsidRDefault="000E0B9A">
      <w:pPr>
        <w:rPr>
          <w:color w:val="000000" w:themeColor="text1"/>
        </w:rPr>
      </w:pPr>
    </w:p>
    <w:p w:rsidR="000E0B9A" w:rsidRDefault="00830723">
      <w:pPr>
        <w:rPr>
          <w:color w:val="000000" w:themeColor="text1"/>
        </w:rPr>
      </w:pPr>
      <w:r w:rsidRPr="0097569F">
        <w:rPr>
          <w:color w:val="000000" w:themeColor="text1"/>
        </w:rPr>
        <w:t xml:space="preserve">The initiative </w:t>
      </w:r>
      <w:r w:rsidR="00E17E2B">
        <w:rPr>
          <w:color w:val="000000" w:themeColor="text1"/>
        </w:rPr>
        <w:t xml:space="preserve">comes </w:t>
      </w:r>
      <w:r w:rsidR="00FB6915">
        <w:rPr>
          <w:color w:val="000000" w:themeColor="text1"/>
        </w:rPr>
        <w:t>within</w:t>
      </w:r>
      <w:r w:rsidRPr="0097569F">
        <w:rPr>
          <w:color w:val="000000" w:themeColor="text1"/>
        </w:rPr>
        <w:t xml:space="preserve"> Outcome 2:</w:t>
      </w:r>
      <w:r w:rsidRPr="000E39BF">
        <w:rPr>
          <w:color w:val="000000" w:themeColor="text1"/>
        </w:rPr>
        <w:t xml:space="preserve"> </w:t>
      </w:r>
      <w:r w:rsidRPr="000E39BF">
        <w:rPr>
          <w:i/>
        </w:rPr>
        <w:t>Improved learning and literacy, numeracy and educational attainment for school students, through funding for quality teaching and learning environments, workplace learning and career advice</w:t>
      </w:r>
      <w:r w:rsidR="00A42868">
        <w:rPr>
          <w:color w:val="000000" w:themeColor="text1"/>
        </w:rPr>
        <w:t>.</w:t>
      </w:r>
      <w:r w:rsidRPr="000E39BF">
        <w:rPr>
          <w:color w:val="000000" w:themeColor="text1"/>
        </w:rPr>
        <w:t xml:space="preserve"> </w:t>
      </w:r>
    </w:p>
    <w:p w:rsidR="000E0B9A" w:rsidRDefault="000E0B9A">
      <w:pPr>
        <w:rPr>
          <w:color w:val="000000" w:themeColor="text1"/>
        </w:rPr>
      </w:pPr>
    </w:p>
    <w:p w:rsidR="000E0B9A" w:rsidRDefault="00A42868" w:rsidP="00A371F5">
      <w:pPr>
        <w:pStyle w:val="paranumbering0"/>
        <w:spacing w:before="0" w:beforeAutospacing="0" w:after="0" w:afterAutospacing="0"/>
      </w:pPr>
      <w:r>
        <w:rPr>
          <w:rFonts w:eastAsia="Times New Roman"/>
          <w:color w:val="000000" w:themeColor="text1"/>
          <w:szCs w:val="20"/>
        </w:rPr>
        <w:t xml:space="preserve">New </w:t>
      </w:r>
      <w:r w:rsidRPr="00A42868">
        <w:rPr>
          <w:rFonts w:eastAsia="Times New Roman"/>
          <w:b/>
          <w:color w:val="000000" w:themeColor="text1"/>
          <w:szCs w:val="20"/>
        </w:rPr>
        <w:t>i</w:t>
      </w:r>
      <w:r w:rsidR="007974BA" w:rsidRPr="000E39BF">
        <w:rPr>
          <w:b/>
          <w:color w:val="000000" w:themeColor="text1"/>
        </w:rPr>
        <w:t xml:space="preserve">tem </w:t>
      </w:r>
      <w:r w:rsidR="00706F2A" w:rsidRPr="00706F2A">
        <w:rPr>
          <w:b/>
          <w:color w:val="000000" w:themeColor="text1"/>
        </w:rPr>
        <w:t>407.</w:t>
      </w:r>
      <w:r w:rsidR="006912E2">
        <w:rPr>
          <w:b/>
          <w:color w:val="000000" w:themeColor="text1"/>
        </w:rPr>
        <w:t xml:space="preserve">079 </w:t>
      </w:r>
      <w:r>
        <w:t>establishes</w:t>
      </w:r>
      <w:r w:rsidRPr="007827C2">
        <w:t xml:space="preserve"> legislative authority for </w:t>
      </w:r>
      <w:r w:rsidRPr="003C6B6D">
        <w:t>a 12-month extension to the existing Youth Connections program, currently funded by the Commonwealth as part of the National Partnership on Youth Attainment and Transitions</w:t>
      </w:r>
      <w:r w:rsidR="00192EFF">
        <w:t>.</w:t>
      </w:r>
    </w:p>
    <w:p w:rsidR="000E0B9A" w:rsidRDefault="000E0B9A" w:rsidP="00A371F5">
      <w:pPr>
        <w:pStyle w:val="paranumbering0"/>
        <w:spacing w:before="0" w:beforeAutospacing="0" w:after="0" w:afterAutospacing="0"/>
        <w:rPr>
          <w:color w:val="000000"/>
          <w:highlight w:val="yellow"/>
        </w:rPr>
      </w:pPr>
    </w:p>
    <w:p w:rsidR="000E0B9A" w:rsidRPr="00791B8E" w:rsidRDefault="003C6B6D">
      <w:pPr>
        <w:rPr>
          <w:szCs w:val="24"/>
        </w:rPr>
      </w:pPr>
      <w:r w:rsidRPr="007827C2">
        <w:rPr>
          <w:szCs w:val="24"/>
        </w:rPr>
        <w:t xml:space="preserve">The </w:t>
      </w:r>
      <w:r w:rsidRPr="003C6B6D">
        <w:rPr>
          <w:szCs w:val="24"/>
        </w:rPr>
        <w:t xml:space="preserve">program is delivered nationally across 113 service regions and provides a safety net for young people at risk of not attaining a Year 12 or equivalent qualification.  This extension means </w:t>
      </w:r>
      <w:r w:rsidR="00607B10">
        <w:rPr>
          <w:szCs w:val="24"/>
        </w:rPr>
        <w:t>the program</w:t>
      </w:r>
      <w:r>
        <w:rPr>
          <w:szCs w:val="24"/>
        </w:rPr>
        <w:t xml:space="preserve"> </w:t>
      </w:r>
      <w:r w:rsidRPr="007827C2">
        <w:rPr>
          <w:szCs w:val="24"/>
        </w:rPr>
        <w:t xml:space="preserve">will continue to provide flexible and personal support to help young people engage with education and make positive life choices. </w:t>
      </w:r>
      <w:r w:rsidR="00CD3E12" w:rsidRPr="00632DE3">
        <w:t xml:space="preserve"> </w:t>
      </w:r>
    </w:p>
    <w:p w:rsidR="000E0B9A" w:rsidRPr="00791B8E" w:rsidRDefault="000E0B9A">
      <w:pPr>
        <w:rPr>
          <w:szCs w:val="24"/>
        </w:rPr>
      </w:pPr>
    </w:p>
    <w:p w:rsidR="000E0B9A" w:rsidRDefault="00312E6A">
      <w:pPr>
        <w:rPr>
          <w:color w:val="000000" w:themeColor="text1"/>
          <w:szCs w:val="24"/>
        </w:rPr>
      </w:pPr>
      <w:r w:rsidRPr="000E39BF">
        <w:rPr>
          <w:szCs w:val="24"/>
        </w:rPr>
        <w:t xml:space="preserve">The program guidelines and </w:t>
      </w:r>
      <w:r w:rsidR="00F97FED" w:rsidRPr="00F97FED">
        <w:rPr>
          <w:szCs w:val="24"/>
        </w:rPr>
        <w:t xml:space="preserve">a list of all Youth Connections providers </w:t>
      </w:r>
      <w:r w:rsidRPr="000E39BF">
        <w:rPr>
          <w:szCs w:val="24"/>
        </w:rPr>
        <w:t>will be published on the DEEWR website.</w:t>
      </w:r>
      <w:r w:rsidR="003D44C0">
        <w:rPr>
          <w:szCs w:val="24"/>
        </w:rPr>
        <w:t xml:space="preserve">  </w:t>
      </w:r>
      <w:r w:rsidR="003C6B6D">
        <w:rPr>
          <w:szCs w:val="24"/>
        </w:rPr>
        <w:t xml:space="preserve">All decisions for these measures will be made in accordance with </w:t>
      </w:r>
      <w:r w:rsidR="003C6B6D" w:rsidRPr="007827C2">
        <w:rPr>
          <w:color w:val="000000" w:themeColor="text1"/>
          <w:szCs w:val="24"/>
        </w:rPr>
        <w:t>DEEWR</w:t>
      </w:r>
      <w:r w:rsidR="003C6B6D">
        <w:rPr>
          <w:color w:val="000000" w:themeColor="text1"/>
          <w:szCs w:val="24"/>
        </w:rPr>
        <w:t>’</w:t>
      </w:r>
      <w:r w:rsidR="003C6B6D" w:rsidRPr="007827C2">
        <w:rPr>
          <w:color w:val="000000" w:themeColor="text1"/>
          <w:szCs w:val="24"/>
        </w:rPr>
        <w:t>s Chief Executive’s Instructions and delegations on the expenditure of public monies as authorised under the</w:t>
      </w:r>
      <w:r w:rsidR="00192EFF">
        <w:rPr>
          <w:i/>
          <w:iCs/>
          <w:color w:val="000000" w:themeColor="text1"/>
          <w:szCs w:val="24"/>
        </w:rPr>
        <w:t xml:space="preserve"> </w:t>
      </w:r>
      <w:r w:rsidR="00192EFF" w:rsidRPr="00192EFF">
        <w:rPr>
          <w:iCs/>
          <w:color w:val="000000" w:themeColor="text1"/>
          <w:szCs w:val="24"/>
        </w:rPr>
        <w:t>FMA Act</w:t>
      </w:r>
      <w:r w:rsidR="003C6B6D" w:rsidRPr="007827C2">
        <w:rPr>
          <w:color w:val="000000" w:themeColor="text1"/>
          <w:szCs w:val="24"/>
        </w:rPr>
        <w:t>.</w:t>
      </w:r>
    </w:p>
    <w:p w:rsidR="000E0B9A" w:rsidRDefault="000E0B9A">
      <w:pPr>
        <w:rPr>
          <w:color w:val="000000" w:themeColor="text1"/>
          <w:szCs w:val="24"/>
        </w:rPr>
      </w:pPr>
    </w:p>
    <w:p w:rsidR="000E0B9A" w:rsidRDefault="00706F2A">
      <w:pPr>
        <w:rPr>
          <w:color w:val="000000"/>
        </w:rPr>
      </w:pPr>
      <w:r w:rsidRPr="00706F2A">
        <w:rPr>
          <w:color w:val="000000"/>
        </w:rPr>
        <w:t xml:space="preserve">Two other new items (407.080 and 407.081) are being added to Schedule 1AA to describe the different components of the Youth </w:t>
      </w:r>
      <w:r w:rsidR="00EE24E7" w:rsidRPr="005825EB">
        <w:t>Attainment</w:t>
      </w:r>
      <w:r w:rsidRPr="00706F2A">
        <w:rPr>
          <w:color w:val="000000"/>
        </w:rPr>
        <w:t xml:space="preserve"> and </w:t>
      </w:r>
      <w:r w:rsidR="00EE24E7" w:rsidRPr="005825EB">
        <w:t>Transitions</w:t>
      </w:r>
      <w:r w:rsidRPr="00706F2A">
        <w:rPr>
          <w:color w:val="000000"/>
        </w:rPr>
        <w:t xml:space="preserve"> – 12</w:t>
      </w:r>
      <w:r w:rsidR="003C6B6D">
        <w:rPr>
          <w:color w:val="000000"/>
        </w:rPr>
        <w:t>-</w:t>
      </w:r>
      <w:r w:rsidRPr="00706F2A">
        <w:rPr>
          <w:color w:val="000000"/>
        </w:rPr>
        <w:t>month extension program.</w:t>
      </w:r>
      <w:r w:rsidR="00EE24E7" w:rsidRPr="00632DE3">
        <w:t xml:space="preserve"> </w:t>
      </w:r>
      <w:r w:rsidRPr="00706F2A">
        <w:rPr>
          <w:color w:val="000000"/>
        </w:rPr>
        <w:t xml:space="preserve"> Together</w:t>
      </w:r>
      <w:r w:rsidR="00607B10">
        <w:rPr>
          <w:color w:val="000000"/>
        </w:rPr>
        <w:t>,</w:t>
      </w:r>
      <w:r w:rsidRPr="00706F2A">
        <w:rPr>
          <w:color w:val="000000"/>
        </w:rPr>
        <w:t xml:space="preserve"> these </w:t>
      </w:r>
      <w:r w:rsidR="00EE24E7">
        <w:t>three</w:t>
      </w:r>
      <w:r w:rsidRPr="00706F2A">
        <w:rPr>
          <w:color w:val="000000"/>
        </w:rPr>
        <w:t xml:space="preserve"> items are intended to supplement existing item 407.034 in Schedule 1AA (which currently establishes authority for the </w:t>
      </w:r>
      <w:r w:rsidR="005825EB" w:rsidRPr="00632DE3">
        <w:t xml:space="preserve">National Partnership </w:t>
      </w:r>
      <w:r w:rsidR="005825EB">
        <w:t xml:space="preserve">on </w:t>
      </w:r>
      <w:r w:rsidRPr="00706F2A">
        <w:rPr>
          <w:color w:val="000000"/>
        </w:rPr>
        <w:t xml:space="preserve">Youth Attainment and Transitions). </w:t>
      </w:r>
    </w:p>
    <w:p w:rsidR="000E0B9A" w:rsidRDefault="000E0B9A">
      <w:pPr>
        <w:rPr>
          <w:szCs w:val="24"/>
        </w:rPr>
      </w:pPr>
    </w:p>
    <w:p w:rsidR="000E0B9A" w:rsidRDefault="003C6B6D">
      <w:pPr>
        <w:rPr>
          <w:color w:val="000000"/>
        </w:rPr>
      </w:pPr>
      <w:r w:rsidRPr="00F666C1">
        <w:rPr>
          <w:color w:val="000000" w:themeColor="text1"/>
          <w:szCs w:val="24"/>
        </w:rPr>
        <w:t>Youth Connection</w:t>
      </w:r>
      <w:r>
        <w:rPr>
          <w:color w:val="000000" w:themeColor="text1"/>
          <w:szCs w:val="24"/>
        </w:rPr>
        <w:t>s</w:t>
      </w:r>
      <w:r>
        <w:rPr>
          <w:szCs w:val="24"/>
        </w:rPr>
        <w:t xml:space="preserve"> fits within Program 2.8</w:t>
      </w:r>
      <w:r w:rsidRPr="00F666C1">
        <w:rPr>
          <w:szCs w:val="24"/>
        </w:rPr>
        <w:t xml:space="preserve"> </w:t>
      </w:r>
      <w:r>
        <w:rPr>
          <w:szCs w:val="24"/>
        </w:rPr>
        <w:t>Youth Support</w:t>
      </w:r>
      <w:r w:rsidR="00C023D4">
        <w:rPr>
          <w:szCs w:val="24"/>
        </w:rPr>
        <w:t>,</w:t>
      </w:r>
      <w:r w:rsidRPr="00F666C1">
        <w:rPr>
          <w:szCs w:val="24"/>
        </w:rPr>
        <w:t xml:space="preserve"> </w:t>
      </w:r>
      <w:r>
        <w:rPr>
          <w:color w:val="000000"/>
        </w:rPr>
        <w:t xml:space="preserve">described in the </w:t>
      </w:r>
      <w:r>
        <w:rPr>
          <w:i/>
          <w:iCs/>
          <w:color w:val="000000"/>
        </w:rPr>
        <w:t>Portfolio Budget Statements 2013</w:t>
      </w:r>
      <w:r>
        <w:rPr>
          <w:i/>
          <w:iCs/>
          <w:color w:val="000000"/>
        </w:rPr>
        <w:noBreakHyphen/>
        <w:t>14, Budget Related Paper No</w:t>
      </w:r>
      <w:r w:rsidR="00192EFF">
        <w:rPr>
          <w:i/>
          <w:iCs/>
          <w:color w:val="000000"/>
        </w:rPr>
        <w:t>.</w:t>
      </w:r>
      <w:r>
        <w:rPr>
          <w:i/>
          <w:iCs/>
          <w:color w:val="000000"/>
        </w:rPr>
        <w:t> 1.5</w:t>
      </w:r>
      <w:r w:rsidR="00680C4B">
        <w:rPr>
          <w:i/>
          <w:iCs/>
          <w:color w:val="000000"/>
        </w:rPr>
        <w:t xml:space="preserve">, </w:t>
      </w:r>
      <w:r w:rsidR="00246150" w:rsidRPr="00246150">
        <w:rPr>
          <w:i/>
          <w:color w:val="000000"/>
        </w:rPr>
        <w:t>Education, Employment and Workplace Relations Portfolio</w:t>
      </w:r>
      <w:r w:rsidRPr="00F666C1">
        <w:rPr>
          <w:color w:val="000000"/>
        </w:rPr>
        <w:t xml:space="preserve"> </w:t>
      </w:r>
      <w:r w:rsidRPr="00192EFF">
        <w:rPr>
          <w:color w:val="000000"/>
        </w:rPr>
        <w:t>at page 60</w:t>
      </w:r>
      <w:r w:rsidR="00830723" w:rsidRPr="000E39BF">
        <w:rPr>
          <w:color w:val="000000"/>
        </w:rPr>
        <w:t>.</w:t>
      </w:r>
    </w:p>
    <w:p w:rsidR="000E0B9A" w:rsidRDefault="000E0B9A">
      <w:pPr>
        <w:rPr>
          <w:color w:val="000000"/>
        </w:rPr>
      </w:pPr>
    </w:p>
    <w:p w:rsidR="000E0B9A" w:rsidRDefault="00192EFF" w:rsidP="00A371F5">
      <w:pPr>
        <w:pStyle w:val="paranumbering0"/>
        <w:spacing w:before="0" w:beforeAutospacing="0" w:after="0" w:afterAutospacing="0"/>
      </w:pPr>
      <w:r w:rsidRPr="004712F3">
        <w:rPr>
          <w:color w:val="000000" w:themeColor="text1"/>
        </w:rPr>
        <w:t>New</w:t>
      </w:r>
      <w:r>
        <w:rPr>
          <w:b/>
          <w:color w:val="000000" w:themeColor="text1"/>
        </w:rPr>
        <w:t xml:space="preserve"> i</w:t>
      </w:r>
      <w:r w:rsidR="007974BA" w:rsidRPr="000E39BF">
        <w:rPr>
          <w:b/>
          <w:color w:val="000000" w:themeColor="text1"/>
        </w:rPr>
        <w:t>tem</w:t>
      </w:r>
      <w:r w:rsidR="00E10F1D">
        <w:rPr>
          <w:b/>
          <w:color w:val="000000" w:themeColor="text1"/>
        </w:rPr>
        <w:t xml:space="preserve"> </w:t>
      </w:r>
      <w:r w:rsidR="00706F2A" w:rsidRPr="00706F2A">
        <w:rPr>
          <w:b/>
          <w:color w:val="000000" w:themeColor="text1"/>
        </w:rPr>
        <w:t>407.</w:t>
      </w:r>
      <w:r w:rsidR="00994BF1">
        <w:rPr>
          <w:b/>
          <w:color w:val="000000" w:themeColor="text1"/>
        </w:rPr>
        <w:t xml:space="preserve">080 </w:t>
      </w:r>
      <w:r>
        <w:t>establishes</w:t>
      </w:r>
      <w:r w:rsidRPr="007827C2">
        <w:t xml:space="preserve"> legislative authority to extend certain initiatives under the</w:t>
      </w:r>
      <w:r>
        <w:t xml:space="preserve"> </w:t>
      </w:r>
      <w:r w:rsidRPr="00C8124F">
        <w:t xml:space="preserve">National </w:t>
      </w:r>
      <w:r>
        <w:t>Partnership on Youth Attainment and Transitions</w:t>
      </w:r>
      <w:r w:rsidR="00607B10">
        <w:t>,</w:t>
      </w:r>
      <w:r>
        <w:t xml:space="preserve"> including the National </w:t>
      </w:r>
      <w:r w:rsidRPr="00C8124F">
        <w:t xml:space="preserve">Career Development Strategy and the long standing national resources: </w:t>
      </w:r>
      <w:proofErr w:type="spellStart"/>
      <w:r w:rsidRPr="00C8124F">
        <w:t>myfuture</w:t>
      </w:r>
      <w:proofErr w:type="spellEnd"/>
      <w:r w:rsidRPr="00C8124F">
        <w:t xml:space="preserve"> website and Job Guide</w:t>
      </w:r>
      <w:r>
        <w:t>.</w:t>
      </w:r>
    </w:p>
    <w:p w:rsidR="000E0B9A" w:rsidRDefault="000E0B9A" w:rsidP="00A371F5">
      <w:pPr>
        <w:pStyle w:val="paranumbering0"/>
        <w:spacing w:before="0" w:beforeAutospacing="0" w:after="0" w:afterAutospacing="0"/>
        <w:rPr>
          <w:color w:val="000000"/>
          <w:highlight w:val="yellow"/>
        </w:rPr>
      </w:pPr>
    </w:p>
    <w:p w:rsidR="000E0B9A" w:rsidRDefault="00C8124F">
      <w:pPr>
        <w:rPr>
          <w:szCs w:val="24"/>
        </w:rPr>
      </w:pPr>
      <w:r w:rsidRPr="00C8124F">
        <w:rPr>
          <w:szCs w:val="24"/>
        </w:rPr>
        <w:t xml:space="preserve">The </w:t>
      </w:r>
      <w:proofErr w:type="spellStart"/>
      <w:r w:rsidRPr="00C8124F">
        <w:rPr>
          <w:szCs w:val="24"/>
        </w:rPr>
        <w:t>myfuture</w:t>
      </w:r>
      <w:proofErr w:type="spellEnd"/>
      <w:r w:rsidRPr="00C8124F">
        <w:rPr>
          <w:szCs w:val="24"/>
        </w:rPr>
        <w:t xml:space="preserve"> website is Australia’s national online career information and exploration service and is jointly funded by all Australian </w:t>
      </w:r>
      <w:r w:rsidR="00607B10">
        <w:rPr>
          <w:szCs w:val="24"/>
        </w:rPr>
        <w:t>g</w:t>
      </w:r>
      <w:r w:rsidRPr="00C8124F">
        <w:rPr>
          <w:szCs w:val="24"/>
        </w:rPr>
        <w:t>over</w:t>
      </w:r>
      <w:r w:rsidR="00AB0528">
        <w:rPr>
          <w:szCs w:val="24"/>
        </w:rPr>
        <w:t xml:space="preserve">nments.  2012 marked </w:t>
      </w:r>
      <w:proofErr w:type="spellStart"/>
      <w:r w:rsidR="00AB0528">
        <w:rPr>
          <w:szCs w:val="24"/>
        </w:rPr>
        <w:t>myfuture’s</w:t>
      </w:r>
      <w:proofErr w:type="spellEnd"/>
      <w:r w:rsidR="00AB0528">
        <w:rPr>
          <w:szCs w:val="24"/>
        </w:rPr>
        <w:t> </w:t>
      </w:r>
      <w:r w:rsidRPr="00C8124F">
        <w:rPr>
          <w:szCs w:val="24"/>
        </w:rPr>
        <w:t>10</w:t>
      </w:r>
      <w:r w:rsidR="00607B10">
        <w:rPr>
          <w:szCs w:val="24"/>
          <w:vertAlign w:val="superscript"/>
        </w:rPr>
        <w:t> </w:t>
      </w:r>
      <w:r w:rsidRPr="00C8124F">
        <w:rPr>
          <w:szCs w:val="24"/>
        </w:rPr>
        <w:t>year anniversary.</w:t>
      </w:r>
      <w:r w:rsidR="003A736A">
        <w:rPr>
          <w:szCs w:val="24"/>
        </w:rPr>
        <w:t xml:space="preserve">  </w:t>
      </w:r>
    </w:p>
    <w:p w:rsidR="000E0B9A" w:rsidRDefault="000E0B9A">
      <w:pPr>
        <w:rPr>
          <w:highlight w:val="yellow"/>
        </w:rPr>
      </w:pPr>
    </w:p>
    <w:p w:rsidR="000E0B9A" w:rsidRDefault="00C8124F">
      <w:pPr>
        <w:rPr>
          <w:szCs w:val="24"/>
        </w:rPr>
      </w:pPr>
      <w:r w:rsidRPr="00C8124F">
        <w:rPr>
          <w:szCs w:val="24"/>
        </w:rPr>
        <w:t>The Job Guide is a national career information resource that has been managed, funded and produced by the Australian Government since 1995.  The resource is primarily written and produced for a Year 10 audience, providing an in-depth look at a range of occupations and their education and training pathways.</w:t>
      </w:r>
    </w:p>
    <w:p w:rsidR="000E0B9A" w:rsidRDefault="000E0B9A">
      <w:pPr>
        <w:rPr>
          <w:highlight w:val="yellow"/>
        </w:rPr>
      </w:pPr>
    </w:p>
    <w:p w:rsidR="00705C97" w:rsidRDefault="00C8124F">
      <w:pPr>
        <w:spacing w:after="120"/>
        <w:rPr>
          <w:szCs w:val="24"/>
        </w:rPr>
      </w:pPr>
      <w:r w:rsidRPr="00C8124F">
        <w:rPr>
          <w:szCs w:val="24"/>
        </w:rPr>
        <w:t>On 23</w:t>
      </w:r>
      <w:r>
        <w:rPr>
          <w:szCs w:val="24"/>
        </w:rPr>
        <w:t> </w:t>
      </w:r>
      <w:r w:rsidRPr="00C8124F">
        <w:rPr>
          <w:szCs w:val="24"/>
        </w:rPr>
        <w:t>May</w:t>
      </w:r>
      <w:r>
        <w:rPr>
          <w:szCs w:val="24"/>
        </w:rPr>
        <w:t> </w:t>
      </w:r>
      <w:r w:rsidRPr="00C8124F">
        <w:rPr>
          <w:szCs w:val="24"/>
        </w:rPr>
        <w:t>2013</w:t>
      </w:r>
      <w:r w:rsidR="00CD3E12" w:rsidRPr="00632DE3">
        <w:rPr>
          <w:szCs w:val="24"/>
        </w:rPr>
        <w:t>, the</w:t>
      </w:r>
      <w:r w:rsidR="00680C4B">
        <w:rPr>
          <w:szCs w:val="24"/>
        </w:rPr>
        <w:t xml:space="preserve"> former</w:t>
      </w:r>
      <w:r w:rsidRPr="00C8124F">
        <w:rPr>
          <w:szCs w:val="24"/>
        </w:rPr>
        <w:t xml:space="preserve"> Minister </w:t>
      </w:r>
      <w:r w:rsidR="00CD3E12" w:rsidRPr="00632DE3">
        <w:rPr>
          <w:szCs w:val="24"/>
        </w:rPr>
        <w:t xml:space="preserve">for </w:t>
      </w:r>
      <w:r w:rsidR="001A68D8" w:rsidRPr="00632DE3">
        <w:rPr>
          <w:szCs w:val="24"/>
        </w:rPr>
        <w:t>School Education, Early Childhood and Youth, the Hon Peter</w:t>
      </w:r>
      <w:r w:rsidR="00CD3E12" w:rsidRPr="00632DE3">
        <w:rPr>
          <w:szCs w:val="24"/>
        </w:rPr>
        <w:t xml:space="preserve"> </w:t>
      </w:r>
      <w:r w:rsidRPr="00C8124F">
        <w:rPr>
          <w:szCs w:val="24"/>
        </w:rPr>
        <w:t>Garrett</w:t>
      </w:r>
      <w:r w:rsidR="00CD3E12" w:rsidRPr="00632DE3">
        <w:rPr>
          <w:szCs w:val="24"/>
        </w:rPr>
        <w:t xml:space="preserve"> </w:t>
      </w:r>
      <w:r w:rsidR="001A68D8" w:rsidRPr="00632DE3">
        <w:rPr>
          <w:szCs w:val="24"/>
        </w:rPr>
        <w:t>MP,</w:t>
      </w:r>
      <w:r w:rsidRPr="00C8124F">
        <w:rPr>
          <w:szCs w:val="24"/>
        </w:rPr>
        <w:t xml:space="preserve"> announced a National Career Development Strategy, a guiding framework which communicates a vision for career development in Australia to 2020.  To</w:t>
      </w:r>
      <w:r w:rsidR="00347BDB">
        <w:rPr>
          <w:szCs w:val="24"/>
        </w:rPr>
        <w:t> </w:t>
      </w:r>
      <w:r w:rsidRPr="00C8124F">
        <w:rPr>
          <w:szCs w:val="24"/>
        </w:rPr>
        <w:t xml:space="preserve">coincide with the release of the Strategy and support for its four priority areas, a suite of ‘Making Career Connections’ initiatives </w:t>
      </w:r>
      <w:r w:rsidR="00791B8E">
        <w:rPr>
          <w:szCs w:val="24"/>
        </w:rPr>
        <w:t>was</w:t>
      </w:r>
      <w:r w:rsidR="00791B8E" w:rsidRPr="00C8124F">
        <w:rPr>
          <w:szCs w:val="24"/>
        </w:rPr>
        <w:t xml:space="preserve"> </w:t>
      </w:r>
      <w:r w:rsidRPr="00C8124F">
        <w:rPr>
          <w:szCs w:val="24"/>
        </w:rPr>
        <w:t xml:space="preserve">announced.  </w:t>
      </w:r>
      <w:r w:rsidR="003D44C0">
        <w:rPr>
          <w:szCs w:val="24"/>
        </w:rPr>
        <w:t>Four</w:t>
      </w:r>
      <w:r w:rsidRPr="00C8124F">
        <w:rPr>
          <w:szCs w:val="24"/>
        </w:rPr>
        <w:t xml:space="preserve"> priority areas </w:t>
      </w:r>
      <w:r w:rsidR="003D44C0">
        <w:rPr>
          <w:szCs w:val="24"/>
        </w:rPr>
        <w:t xml:space="preserve">were </w:t>
      </w:r>
      <w:r w:rsidRPr="00C8124F">
        <w:rPr>
          <w:szCs w:val="24"/>
        </w:rPr>
        <w:t>identified during the consultations leading to the Strategy</w:t>
      </w:r>
      <w:r w:rsidR="003D44C0">
        <w:rPr>
          <w:szCs w:val="24"/>
        </w:rPr>
        <w:t>, namely</w:t>
      </w:r>
      <w:r w:rsidRPr="00C8124F">
        <w:rPr>
          <w:szCs w:val="24"/>
        </w:rPr>
        <w:t>:</w:t>
      </w:r>
    </w:p>
    <w:p w:rsidR="00705C97" w:rsidRDefault="00C8124F" w:rsidP="00D93251">
      <w:pPr>
        <w:numPr>
          <w:ilvl w:val="0"/>
          <w:numId w:val="38"/>
        </w:numPr>
        <w:spacing w:after="120"/>
        <w:ind w:left="714" w:hanging="357"/>
        <w:rPr>
          <w:szCs w:val="24"/>
        </w:rPr>
      </w:pPr>
      <w:r w:rsidRPr="007827C2">
        <w:rPr>
          <w:szCs w:val="24"/>
        </w:rPr>
        <w:t>involving industry more actively in career development</w:t>
      </w:r>
      <w:r w:rsidR="00607B10">
        <w:rPr>
          <w:szCs w:val="24"/>
        </w:rPr>
        <w:t>;</w:t>
      </w:r>
    </w:p>
    <w:p w:rsidR="00705C97" w:rsidRDefault="00C8124F" w:rsidP="00D93251">
      <w:pPr>
        <w:numPr>
          <w:ilvl w:val="0"/>
          <w:numId w:val="38"/>
        </w:numPr>
        <w:spacing w:after="120"/>
        <w:ind w:left="714" w:hanging="357"/>
        <w:rPr>
          <w:szCs w:val="24"/>
        </w:rPr>
      </w:pPr>
      <w:r w:rsidRPr="007827C2">
        <w:rPr>
          <w:szCs w:val="24"/>
        </w:rPr>
        <w:t>building career development skills in individuals</w:t>
      </w:r>
      <w:r w:rsidR="00607B10">
        <w:rPr>
          <w:szCs w:val="24"/>
        </w:rPr>
        <w:t>;</w:t>
      </w:r>
      <w:r w:rsidRPr="007827C2">
        <w:rPr>
          <w:szCs w:val="24"/>
        </w:rPr>
        <w:t xml:space="preserve"> </w:t>
      </w:r>
    </w:p>
    <w:p w:rsidR="00705C97" w:rsidRDefault="00C8124F" w:rsidP="00D93251">
      <w:pPr>
        <w:numPr>
          <w:ilvl w:val="0"/>
          <w:numId w:val="38"/>
        </w:numPr>
        <w:spacing w:after="120"/>
        <w:ind w:left="714" w:hanging="357"/>
        <w:rPr>
          <w:szCs w:val="24"/>
        </w:rPr>
      </w:pPr>
      <w:r w:rsidRPr="007827C2">
        <w:rPr>
          <w:szCs w:val="24"/>
        </w:rPr>
        <w:t>improving young people’s exposure to the world of work</w:t>
      </w:r>
      <w:r w:rsidR="00607B10">
        <w:rPr>
          <w:szCs w:val="24"/>
        </w:rPr>
        <w:t>; and</w:t>
      </w:r>
      <w:r w:rsidRPr="007827C2">
        <w:rPr>
          <w:szCs w:val="24"/>
        </w:rPr>
        <w:t xml:space="preserve"> </w:t>
      </w:r>
    </w:p>
    <w:p w:rsidR="00705C97" w:rsidRDefault="00C8124F" w:rsidP="00EC52D4">
      <w:pPr>
        <w:numPr>
          <w:ilvl w:val="0"/>
          <w:numId w:val="38"/>
        </w:numPr>
        <w:ind w:left="714" w:hanging="357"/>
        <w:rPr>
          <w:szCs w:val="24"/>
        </w:rPr>
      </w:pPr>
      <w:r w:rsidRPr="007827C2">
        <w:rPr>
          <w:szCs w:val="24"/>
        </w:rPr>
        <w:t>improving the quality and professionalism of the career development industry</w:t>
      </w:r>
      <w:r w:rsidR="00607B10">
        <w:rPr>
          <w:szCs w:val="24"/>
        </w:rPr>
        <w:t>.</w:t>
      </w:r>
    </w:p>
    <w:p w:rsidR="000E0B9A" w:rsidRDefault="000E0B9A">
      <w:pPr>
        <w:rPr>
          <w:szCs w:val="24"/>
        </w:rPr>
      </w:pPr>
    </w:p>
    <w:p w:rsidR="000E0B9A" w:rsidRDefault="00C8124F">
      <w:pPr>
        <w:rPr>
          <w:color w:val="000000" w:themeColor="text1"/>
          <w:szCs w:val="24"/>
        </w:rPr>
      </w:pPr>
      <w:r>
        <w:rPr>
          <w:szCs w:val="24"/>
        </w:rPr>
        <w:t xml:space="preserve">All decisions for these measures will be made in accordance with </w:t>
      </w:r>
      <w:r w:rsidRPr="007827C2">
        <w:rPr>
          <w:color w:val="000000" w:themeColor="text1"/>
          <w:szCs w:val="24"/>
        </w:rPr>
        <w:t>DEEWR</w:t>
      </w:r>
      <w:r>
        <w:rPr>
          <w:color w:val="000000" w:themeColor="text1"/>
          <w:szCs w:val="24"/>
        </w:rPr>
        <w:t>’</w:t>
      </w:r>
      <w:r w:rsidRPr="007827C2">
        <w:rPr>
          <w:color w:val="000000" w:themeColor="text1"/>
          <w:szCs w:val="24"/>
        </w:rPr>
        <w:t>s Chief Executive’s Instructions and delegations on the expenditure of public monies as authorised under the</w:t>
      </w:r>
      <w:r w:rsidR="00377131">
        <w:rPr>
          <w:color w:val="000000" w:themeColor="text1"/>
          <w:szCs w:val="24"/>
        </w:rPr>
        <w:t xml:space="preserve"> FMA Act</w:t>
      </w:r>
      <w:r w:rsidRPr="007827C2">
        <w:rPr>
          <w:color w:val="000000" w:themeColor="text1"/>
          <w:szCs w:val="24"/>
        </w:rPr>
        <w:t>.</w:t>
      </w:r>
    </w:p>
    <w:p w:rsidR="000E0B9A" w:rsidRDefault="000E0B9A">
      <w:pPr>
        <w:rPr>
          <w:color w:val="000000" w:themeColor="text1"/>
          <w:szCs w:val="24"/>
        </w:rPr>
      </w:pPr>
    </w:p>
    <w:p w:rsidR="000E0B9A" w:rsidRDefault="00706F2A">
      <w:pPr>
        <w:rPr>
          <w:color w:val="000000" w:themeColor="text1"/>
        </w:rPr>
      </w:pPr>
      <w:r w:rsidRPr="00706F2A">
        <w:rPr>
          <w:color w:val="000000" w:themeColor="text1"/>
        </w:rPr>
        <w:t xml:space="preserve">Two other new items (407.079 and 407.081) are being added to Schedule 1AA to describe the different components of the Youth </w:t>
      </w:r>
      <w:r w:rsidR="00EE24E7" w:rsidRPr="005825EB">
        <w:t>Attainment</w:t>
      </w:r>
      <w:r w:rsidRPr="00706F2A">
        <w:rPr>
          <w:color w:val="000000" w:themeColor="text1"/>
        </w:rPr>
        <w:t xml:space="preserve"> and </w:t>
      </w:r>
      <w:r w:rsidR="00EE24E7" w:rsidRPr="005825EB">
        <w:t>T</w:t>
      </w:r>
      <w:r w:rsidR="00830723" w:rsidRPr="005825EB">
        <w:t>ransitions</w:t>
      </w:r>
      <w:r w:rsidRPr="00706F2A">
        <w:rPr>
          <w:color w:val="000000" w:themeColor="text1"/>
        </w:rPr>
        <w:t xml:space="preserve"> – 12</w:t>
      </w:r>
      <w:r w:rsidR="00C8124F" w:rsidRPr="00FF24CB">
        <w:rPr>
          <w:color w:val="000000" w:themeColor="text1"/>
          <w:szCs w:val="24"/>
        </w:rPr>
        <w:t>-</w:t>
      </w:r>
      <w:r w:rsidRPr="00706F2A">
        <w:rPr>
          <w:color w:val="000000" w:themeColor="text1"/>
        </w:rPr>
        <w:t>month extension program.</w:t>
      </w:r>
      <w:r w:rsidR="00830723" w:rsidRPr="00632DE3">
        <w:t xml:space="preserve"> </w:t>
      </w:r>
      <w:r w:rsidRPr="00706F2A">
        <w:rPr>
          <w:color w:val="000000" w:themeColor="text1"/>
        </w:rPr>
        <w:t xml:space="preserve"> Together</w:t>
      </w:r>
      <w:r w:rsidR="00607B10">
        <w:rPr>
          <w:color w:val="000000" w:themeColor="text1"/>
        </w:rPr>
        <w:t>,</w:t>
      </w:r>
      <w:r w:rsidRPr="00706F2A">
        <w:rPr>
          <w:color w:val="000000" w:themeColor="text1"/>
        </w:rPr>
        <w:t xml:space="preserve"> these</w:t>
      </w:r>
      <w:r w:rsidR="00EE24E7">
        <w:t xml:space="preserve"> three</w:t>
      </w:r>
      <w:r w:rsidRPr="00706F2A">
        <w:rPr>
          <w:color w:val="000000" w:themeColor="text1"/>
        </w:rPr>
        <w:t xml:space="preserve"> items are intended to supplement existing item 407.034 in Schedule 1AA (which currently establishes authority for the </w:t>
      </w:r>
      <w:r w:rsidR="005825EB" w:rsidRPr="00632DE3">
        <w:t xml:space="preserve">National Partnership </w:t>
      </w:r>
      <w:r w:rsidR="005825EB">
        <w:t xml:space="preserve">on </w:t>
      </w:r>
      <w:r w:rsidRPr="00706F2A">
        <w:rPr>
          <w:color w:val="000000" w:themeColor="text1"/>
        </w:rPr>
        <w:t>Youth Attainment and Transitions</w:t>
      </w:r>
      <w:r w:rsidR="00607B10">
        <w:rPr>
          <w:color w:val="000000" w:themeColor="text1"/>
        </w:rPr>
        <w:t>)</w:t>
      </w:r>
      <w:r w:rsidRPr="00706F2A">
        <w:rPr>
          <w:color w:val="000000" w:themeColor="text1"/>
        </w:rPr>
        <w:t xml:space="preserve">. </w:t>
      </w:r>
    </w:p>
    <w:p w:rsidR="000E0B9A" w:rsidRDefault="000E0B9A">
      <w:pPr>
        <w:rPr>
          <w:color w:val="000000" w:themeColor="text1"/>
        </w:rPr>
      </w:pPr>
    </w:p>
    <w:p w:rsidR="000E0B9A" w:rsidRDefault="00C8124F">
      <w:pPr>
        <w:rPr>
          <w:color w:val="000000"/>
        </w:rPr>
      </w:pPr>
      <w:r w:rsidRPr="00F666C1">
        <w:rPr>
          <w:color w:val="000000" w:themeColor="text1"/>
          <w:szCs w:val="24"/>
        </w:rPr>
        <w:t>The National Career Development Strategy</w:t>
      </w:r>
      <w:r>
        <w:rPr>
          <w:szCs w:val="24"/>
        </w:rPr>
        <w:t xml:space="preserve"> fits within Program 2.8</w:t>
      </w:r>
      <w:r w:rsidRPr="00F666C1">
        <w:rPr>
          <w:szCs w:val="24"/>
        </w:rPr>
        <w:t xml:space="preserve"> Youth Support</w:t>
      </w:r>
      <w:r w:rsidR="00C023D4">
        <w:rPr>
          <w:szCs w:val="24"/>
        </w:rPr>
        <w:t>,</w:t>
      </w:r>
      <w:r w:rsidRPr="00F666C1">
        <w:rPr>
          <w:szCs w:val="24"/>
        </w:rPr>
        <w:t xml:space="preserve"> </w:t>
      </w:r>
      <w:r w:rsidRPr="00F666C1">
        <w:rPr>
          <w:color w:val="000000"/>
        </w:rPr>
        <w:t xml:space="preserve">described in the </w:t>
      </w:r>
      <w:r>
        <w:rPr>
          <w:i/>
          <w:iCs/>
          <w:color w:val="000000"/>
        </w:rPr>
        <w:t>Portfolio Budget Statements 2013</w:t>
      </w:r>
      <w:r>
        <w:rPr>
          <w:i/>
          <w:iCs/>
          <w:color w:val="000000"/>
        </w:rPr>
        <w:noBreakHyphen/>
        <w:t>14, Budget Related Paper No</w:t>
      </w:r>
      <w:r w:rsidR="008B3D0F">
        <w:rPr>
          <w:i/>
          <w:iCs/>
          <w:color w:val="000000"/>
        </w:rPr>
        <w:t>.</w:t>
      </w:r>
      <w:r>
        <w:rPr>
          <w:i/>
          <w:iCs/>
          <w:color w:val="000000"/>
        </w:rPr>
        <w:t> 1.</w:t>
      </w:r>
      <w:r w:rsidRPr="00EE6BD2">
        <w:rPr>
          <w:i/>
          <w:iCs/>
          <w:color w:val="000000"/>
        </w:rPr>
        <w:t>5</w:t>
      </w:r>
      <w:r w:rsidR="00680C4B">
        <w:rPr>
          <w:i/>
          <w:iCs/>
          <w:color w:val="000000"/>
        </w:rPr>
        <w:t xml:space="preserve">, </w:t>
      </w:r>
      <w:r w:rsidR="00246150" w:rsidRPr="00246150">
        <w:rPr>
          <w:i/>
          <w:color w:val="000000"/>
        </w:rPr>
        <w:t>Education, Employment and Workplace Relations Portfolio</w:t>
      </w:r>
      <w:r w:rsidRPr="00EE6BD2">
        <w:rPr>
          <w:i/>
          <w:color w:val="000000"/>
        </w:rPr>
        <w:t xml:space="preserve"> </w:t>
      </w:r>
      <w:r w:rsidRPr="008B3D0F">
        <w:rPr>
          <w:color w:val="000000"/>
        </w:rPr>
        <w:t>at page 60</w:t>
      </w:r>
      <w:r w:rsidR="00830723" w:rsidRPr="000E39BF">
        <w:rPr>
          <w:color w:val="000000"/>
        </w:rPr>
        <w:t>.</w:t>
      </w:r>
    </w:p>
    <w:p w:rsidR="000E0B9A" w:rsidRDefault="000E0B9A">
      <w:pPr>
        <w:rPr>
          <w:color w:val="000000"/>
        </w:rPr>
      </w:pPr>
    </w:p>
    <w:p w:rsidR="000E0B9A" w:rsidRDefault="008B3D0F" w:rsidP="00A371F5">
      <w:pPr>
        <w:pStyle w:val="paranumbering0"/>
        <w:spacing w:before="0" w:beforeAutospacing="0" w:after="0" w:afterAutospacing="0"/>
      </w:pPr>
      <w:r w:rsidRPr="008B3D0F">
        <w:rPr>
          <w:color w:val="000000" w:themeColor="text1"/>
        </w:rPr>
        <w:t>New</w:t>
      </w:r>
      <w:r>
        <w:rPr>
          <w:b/>
          <w:color w:val="000000" w:themeColor="text1"/>
        </w:rPr>
        <w:t xml:space="preserve"> i</w:t>
      </w:r>
      <w:r w:rsidR="007974BA" w:rsidRPr="000E39BF">
        <w:rPr>
          <w:b/>
          <w:color w:val="000000" w:themeColor="text1"/>
        </w:rPr>
        <w:t>tem</w:t>
      </w:r>
      <w:r w:rsidR="006D3E0E">
        <w:rPr>
          <w:b/>
          <w:color w:val="000000" w:themeColor="text1"/>
        </w:rPr>
        <w:t xml:space="preserve"> </w:t>
      </w:r>
      <w:r w:rsidR="00706F2A" w:rsidRPr="00706F2A">
        <w:rPr>
          <w:b/>
          <w:color w:val="000000" w:themeColor="text1"/>
        </w:rPr>
        <w:t>407.</w:t>
      </w:r>
      <w:r w:rsidR="00994BF1">
        <w:rPr>
          <w:b/>
          <w:color w:val="000000" w:themeColor="text1"/>
        </w:rPr>
        <w:t xml:space="preserve">081 </w:t>
      </w:r>
      <w:r>
        <w:t xml:space="preserve">establishes </w:t>
      </w:r>
      <w:r w:rsidRPr="000E39BF">
        <w:t>legislative authority for</w:t>
      </w:r>
      <w:r w:rsidRPr="00632DE3">
        <w:t xml:space="preserve"> </w:t>
      </w:r>
      <w:r>
        <w:t>a 12-month extension to</w:t>
      </w:r>
      <w:r w:rsidRPr="000E39BF">
        <w:t xml:space="preserve"> the existing Schools Business Community Partnership Brokers (Partnership Brokers) program which forms part of the National Partnership on Youth Attainment and Transitions</w:t>
      </w:r>
      <w:r>
        <w:t>.</w:t>
      </w:r>
    </w:p>
    <w:p w:rsidR="000E0B9A" w:rsidRDefault="000E0B9A" w:rsidP="00A371F5">
      <w:pPr>
        <w:pStyle w:val="paranumbering0"/>
        <w:spacing w:before="0" w:beforeAutospacing="0" w:after="0" w:afterAutospacing="0"/>
      </w:pPr>
    </w:p>
    <w:p w:rsidR="000E0B9A" w:rsidRPr="00791B8E" w:rsidRDefault="00830723">
      <w:pPr>
        <w:rPr>
          <w:szCs w:val="24"/>
        </w:rPr>
      </w:pPr>
      <w:r w:rsidRPr="000E39BF">
        <w:rPr>
          <w:szCs w:val="24"/>
        </w:rPr>
        <w:t xml:space="preserve">The program will continue to build partnerships between schools, business and the broader community to help young people to achieve Year 12 or equivalent qualifications, make </w:t>
      </w:r>
      <w:r w:rsidR="00607B10">
        <w:rPr>
          <w:szCs w:val="24"/>
        </w:rPr>
        <w:t xml:space="preserve">a </w:t>
      </w:r>
      <w:r w:rsidRPr="000E39BF">
        <w:rPr>
          <w:szCs w:val="24"/>
        </w:rPr>
        <w:t xml:space="preserve">successful transition to further education, training and employment and reach their full potential. </w:t>
      </w:r>
      <w:r w:rsidR="00EE24E7">
        <w:t xml:space="preserve"> </w:t>
      </w:r>
    </w:p>
    <w:p w:rsidR="000E0B9A" w:rsidRDefault="000E0B9A">
      <w:pPr>
        <w:rPr>
          <w:szCs w:val="24"/>
          <w:highlight w:val="yellow"/>
        </w:rPr>
      </w:pPr>
    </w:p>
    <w:p w:rsidR="000E0B9A" w:rsidRDefault="00830723">
      <w:pPr>
        <w:rPr>
          <w:color w:val="000000" w:themeColor="text1"/>
          <w:szCs w:val="24"/>
        </w:rPr>
      </w:pPr>
      <w:r w:rsidRPr="000E39BF">
        <w:rPr>
          <w:szCs w:val="24"/>
        </w:rPr>
        <w:t>The program guidelines and a list of all Partnership Broker providers will be published on the DEEWR website.</w:t>
      </w:r>
      <w:r w:rsidR="00A86882">
        <w:rPr>
          <w:szCs w:val="24"/>
        </w:rPr>
        <w:t xml:space="preserve">  </w:t>
      </w:r>
      <w:r w:rsidRPr="000E39BF">
        <w:rPr>
          <w:szCs w:val="24"/>
        </w:rPr>
        <w:t xml:space="preserve">All decisions for these measures will be made in accordance with </w:t>
      </w:r>
      <w:r w:rsidRPr="000E39BF">
        <w:rPr>
          <w:color w:val="000000" w:themeColor="text1"/>
          <w:szCs w:val="24"/>
        </w:rPr>
        <w:t>DEEWR’s Chief Executive’s Instructions and delegations on the expenditure of public monies as authorised under the</w:t>
      </w:r>
      <w:r w:rsidR="008B3D0F">
        <w:rPr>
          <w:color w:val="000000" w:themeColor="text1"/>
          <w:szCs w:val="24"/>
        </w:rPr>
        <w:t xml:space="preserve"> FMA Act</w:t>
      </w:r>
      <w:r w:rsidRPr="000E39BF">
        <w:rPr>
          <w:color w:val="000000" w:themeColor="text1"/>
          <w:szCs w:val="24"/>
        </w:rPr>
        <w:t>.</w:t>
      </w:r>
    </w:p>
    <w:p w:rsidR="000E0B9A" w:rsidRDefault="000E0B9A">
      <w:pPr>
        <w:rPr>
          <w:color w:val="000000" w:themeColor="text1"/>
          <w:szCs w:val="24"/>
        </w:rPr>
      </w:pPr>
    </w:p>
    <w:p w:rsidR="000E0B9A" w:rsidRDefault="00706F2A">
      <w:pPr>
        <w:rPr>
          <w:color w:val="000000" w:themeColor="text1"/>
        </w:rPr>
      </w:pPr>
      <w:r w:rsidRPr="00706F2A">
        <w:rPr>
          <w:color w:val="000000" w:themeColor="text1"/>
        </w:rPr>
        <w:t xml:space="preserve">Two other new items (407.079 and 407.080) are being added to Schedule 1AA to describe the different components of the Youth </w:t>
      </w:r>
      <w:r w:rsidR="00EE24E7">
        <w:t>Attainment</w:t>
      </w:r>
      <w:r w:rsidRPr="00706F2A">
        <w:rPr>
          <w:color w:val="000000" w:themeColor="text1"/>
        </w:rPr>
        <w:t xml:space="preserve"> and </w:t>
      </w:r>
      <w:r w:rsidR="00EE24E7">
        <w:t>T</w:t>
      </w:r>
      <w:r w:rsidR="00830723" w:rsidRPr="00632DE3">
        <w:t>ransitions</w:t>
      </w:r>
      <w:r w:rsidR="00347BDB">
        <w:rPr>
          <w:color w:val="000000" w:themeColor="text1"/>
        </w:rPr>
        <w:t xml:space="preserve"> – 12-</w:t>
      </w:r>
      <w:r w:rsidRPr="00706F2A">
        <w:rPr>
          <w:color w:val="000000" w:themeColor="text1"/>
        </w:rPr>
        <w:t>month extension program.</w:t>
      </w:r>
      <w:r w:rsidR="00830723" w:rsidRPr="00632DE3">
        <w:t xml:space="preserve"> </w:t>
      </w:r>
      <w:r w:rsidRPr="00706F2A">
        <w:rPr>
          <w:color w:val="000000" w:themeColor="text1"/>
        </w:rPr>
        <w:t xml:space="preserve"> Together</w:t>
      </w:r>
      <w:r w:rsidR="00607B10">
        <w:rPr>
          <w:color w:val="000000" w:themeColor="text1"/>
        </w:rPr>
        <w:t>,</w:t>
      </w:r>
      <w:r w:rsidRPr="00706F2A">
        <w:rPr>
          <w:color w:val="000000" w:themeColor="text1"/>
        </w:rPr>
        <w:t xml:space="preserve"> these </w:t>
      </w:r>
      <w:r w:rsidR="00EE24E7">
        <w:t>three</w:t>
      </w:r>
      <w:r w:rsidRPr="00706F2A">
        <w:rPr>
          <w:color w:val="000000" w:themeColor="text1"/>
        </w:rPr>
        <w:t xml:space="preserve"> items are intended to supplement existing item 407.034 in Schedule 1AA (which establishes authority for spending on the broader </w:t>
      </w:r>
      <w:r w:rsidR="005825EB" w:rsidRPr="00632DE3">
        <w:t xml:space="preserve">National Partnership </w:t>
      </w:r>
      <w:r w:rsidR="005825EB">
        <w:t xml:space="preserve">on </w:t>
      </w:r>
      <w:r w:rsidRPr="00706F2A">
        <w:rPr>
          <w:color w:val="000000" w:themeColor="text1"/>
        </w:rPr>
        <w:t>Youth Attainment and Transitions</w:t>
      </w:r>
      <w:r w:rsidR="00607B10">
        <w:rPr>
          <w:color w:val="000000" w:themeColor="text1"/>
        </w:rPr>
        <w:t>)</w:t>
      </w:r>
      <w:r w:rsidRPr="00706F2A">
        <w:rPr>
          <w:color w:val="000000" w:themeColor="text1"/>
        </w:rPr>
        <w:t xml:space="preserve">. </w:t>
      </w:r>
    </w:p>
    <w:p w:rsidR="000E0B9A" w:rsidRDefault="000E0B9A">
      <w:pPr>
        <w:rPr>
          <w:color w:val="000000" w:themeColor="text1"/>
        </w:rPr>
      </w:pPr>
    </w:p>
    <w:p w:rsidR="000E0B9A" w:rsidRDefault="003D44C0">
      <w:pPr>
        <w:rPr>
          <w:szCs w:val="24"/>
        </w:rPr>
      </w:pPr>
      <w:r>
        <w:rPr>
          <w:color w:val="000000" w:themeColor="text1"/>
          <w:szCs w:val="24"/>
        </w:rPr>
        <w:t xml:space="preserve">The </w:t>
      </w:r>
      <w:r w:rsidR="008B3D0F" w:rsidRPr="000E39BF">
        <w:rPr>
          <w:color w:val="000000" w:themeColor="text1"/>
          <w:szCs w:val="24"/>
        </w:rPr>
        <w:t>School Business Community Partnership Brokers</w:t>
      </w:r>
      <w:r w:rsidR="008B3D0F" w:rsidRPr="000E39BF">
        <w:rPr>
          <w:szCs w:val="24"/>
        </w:rPr>
        <w:t xml:space="preserve"> </w:t>
      </w:r>
      <w:r>
        <w:rPr>
          <w:szCs w:val="24"/>
        </w:rPr>
        <w:t xml:space="preserve">program </w:t>
      </w:r>
      <w:r w:rsidR="008B3D0F" w:rsidRPr="000E39BF">
        <w:rPr>
          <w:szCs w:val="24"/>
        </w:rPr>
        <w:t>fit</w:t>
      </w:r>
      <w:r>
        <w:rPr>
          <w:szCs w:val="24"/>
        </w:rPr>
        <w:t>s</w:t>
      </w:r>
      <w:r w:rsidR="008B3D0F" w:rsidRPr="000E39BF">
        <w:rPr>
          <w:szCs w:val="24"/>
        </w:rPr>
        <w:t xml:space="preserve"> within Program 2.8</w:t>
      </w:r>
      <w:r w:rsidR="009941BD">
        <w:rPr>
          <w:szCs w:val="24"/>
        </w:rPr>
        <w:t> </w:t>
      </w:r>
      <w:r w:rsidR="008B3D0F" w:rsidRPr="000E39BF">
        <w:rPr>
          <w:szCs w:val="24"/>
        </w:rPr>
        <w:t>Youth Support</w:t>
      </w:r>
      <w:r w:rsidR="00C023D4">
        <w:rPr>
          <w:szCs w:val="24"/>
        </w:rPr>
        <w:t>,</w:t>
      </w:r>
      <w:r w:rsidR="008B3D0F" w:rsidRPr="000E39BF">
        <w:rPr>
          <w:szCs w:val="24"/>
        </w:rPr>
        <w:t xml:space="preserve"> </w:t>
      </w:r>
      <w:r w:rsidR="008B3D0F" w:rsidRPr="000E39BF">
        <w:rPr>
          <w:color w:val="000000"/>
        </w:rPr>
        <w:t xml:space="preserve">described in the </w:t>
      </w:r>
      <w:r w:rsidR="008B3D0F" w:rsidRPr="000E39BF">
        <w:rPr>
          <w:i/>
          <w:iCs/>
          <w:color w:val="000000"/>
        </w:rPr>
        <w:t>Portfolio Budget Statements 2013</w:t>
      </w:r>
      <w:r w:rsidR="008B3D0F" w:rsidRPr="000E39BF">
        <w:rPr>
          <w:i/>
          <w:iCs/>
          <w:color w:val="000000"/>
        </w:rPr>
        <w:noBreakHyphen/>
        <w:t xml:space="preserve">14, Budget Related Paper </w:t>
      </w:r>
      <w:r w:rsidR="008B3D0F" w:rsidRPr="001D789E">
        <w:rPr>
          <w:i/>
          <w:iCs/>
          <w:color w:val="000000"/>
        </w:rPr>
        <w:t>No.</w:t>
      </w:r>
      <w:r w:rsidR="00347BDB">
        <w:rPr>
          <w:i/>
          <w:iCs/>
          <w:color w:val="000000"/>
        </w:rPr>
        <w:t> </w:t>
      </w:r>
      <w:r w:rsidR="008B3D0F" w:rsidRPr="001D789E">
        <w:rPr>
          <w:i/>
          <w:iCs/>
          <w:color w:val="000000"/>
        </w:rPr>
        <w:t>1.5</w:t>
      </w:r>
      <w:r w:rsidR="009D0AC9">
        <w:rPr>
          <w:i/>
          <w:iCs/>
          <w:color w:val="000000"/>
        </w:rPr>
        <w:t xml:space="preserve">, </w:t>
      </w:r>
      <w:r w:rsidR="00246150" w:rsidRPr="00246150">
        <w:rPr>
          <w:i/>
          <w:color w:val="000000"/>
        </w:rPr>
        <w:t>Education, Employment and Workplace Relations Portfolio</w:t>
      </w:r>
      <w:r w:rsidR="008B3D0F" w:rsidRPr="001D789E">
        <w:rPr>
          <w:i/>
          <w:color w:val="000000"/>
        </w:rPr>
        <w:t xml:space="preserve"> </w:t>
      </w:r>
      <w:r w:rsidR="008B3D0F" w:rsidRPr="008B3D0F">
        <w:rPr>
          <w:color w:val="000000"/>
        </w:rPr>
        <w:t>at page 60</w:t>
      </w:r>
      <w:r w:rsidR="008B3D0F" w:rsidRPr="000E39BF">
        <w:rPr>
          <w:color w:val="000000"/>
        </w:rPr>
        <w:t>.</w:t>
      </w:r>
    </w:p>
    <w:p w:rsidR="003D44C0" w:rsidRDefault="003D44C0" w:rsidP="00102B3F"/>
    <w:p w:rsidR="00CB2791" w:rsidRDefault="004B44E0" w:rsidP="00102B3F">
      <w:pPr>
        <w:rPr>
          <w:bCs/>
        </w:rPr>
      </w:pPr>
      <w:r w:rsidRPr="00632DE3">
        <w:t xml:space="preserve">New </w:t>
      </w:r>
      <w:r w:rsidRPr="00632DE3">
        <w:rPr>
          <w:b/>
        </w:rPr>
        <w:t>i</w:t>
      </w:r>
      <w:r w:rsidR="00DF688D" w:rsidRPr="00632DE3">
        <w:rPr>
          <w:b/>
        </w:rPr>
        <w:t xml:space="preserve">tem </w:t>
      </w:r>
      <w:r w:rsidRPr="00632DE3">
        <w:rPr>
          <w:b/>
          <w:bCs/>
        </w:rPr>
        <w:t>407</w:t>
      </w:r>
      <w:r w:rsidR="00DF688D" w:rsidRPr="00632DE3">
        <w:rPr>
          <w:b/>
          <w:bCs/>
        </w:rPr>
        <w:t>.08</w:t>
      </w:r>
      <w:r w:rsidRPr="00632DE3">
        <w:rPr>
          <w:b/>
          <w:bCs/>
        </w:rPr>
        <w:t>2</w:t>
      </w:r>
      <w:r w:rsidRPr="00632DE3">
        <w:rPr>
          <w:bCs/>
        </w:rPr>
        <w:t xml:space="preserve"> </w:t>
      </w:r>
      <w:r w:rsidR="00EE24E7">
        <w:rPr>
          <w:bCs/>
        </w:rPr>
        <w:t>establish</w:t>
      </w:r>
      <w:r w:rsidR="00312E6A">
        <w:rPr>
          <w:bCs/>
        </w:rPr>
        <w:t>e</w:t>
      </w:r>
      <w:r w:rsidR="00B447D1">
        <w:rPr>
          <w:bCs/>
        </w:rPr>
        <w:t>s</w:t>
      </w:r>
      <w:r w:rsidRPr="00632DE3">
        <w:rPr>
          <w:bCs/>
        </w:rPr>
        <w:t xml:space="preserve"> legislative authority for </w:t>
      </w:r>
      <w:r w:rsidR="00EE24E7">
        <w:rPr>
          <w:bCs/>
        </w:rPr>
        <w:t>spending under the Experience + </w:t>
      </w:r>
      <w:r w:rsidRPr="00632DE3">
        <w:rPr>
          <w:bCs/>
        </w:rPr>
        <w:t>Work Ready program to provide tailored services to mature age job seekers.</w:t>
      </w:r>
    </w:p>
    <w:p w:rsidR="000E0B9A" w:rsidRDefault="000E0B9A">
      <w:pPr>
        <w:rPr>
          <w:bCs/>
        </w:rPr>
      </w:pPr>
    </w:p>
    <w:p w:rsidR="00705C97" w:rsidRDefault="00706F2A">
      <w:pPr>
        <w:pStyle w:val="CABNETParagraphAtt"/>
        <w:spacing w:before="0"/>
        <w:rPr>
          <w:rFonts w:ascii="Times New Roman" w:hAnsi="Times New Roman"/>
          <w:sz w:val="24"/>
        </w:rPr>
      </w:pPr>
      <w:r w:rsidRPr="00706F2A">
        <w:rPr>
          <w:rFonts w:ascii="Times New Roman" w:hAnsi="Times New Roman"/>
          <w:sz w:val="24"/>
        </w:rPr>
        <w:t xml:space="preserve">The Experience + Work Ready program is an existing program </w:t>
      </w:r>
      <w:r w:rsidR="00830723" w:rsidRPr="008B3D0F">
        <w:rPr>
          <w:rFonts w:ascii="Times New Roman" w:hAnsi="Times New Roman"/>
        </w:rPr>
        <w:t>that provide</w:t>
      </w:r>
      <w:r w:rsidR="004B44E0" w:rsidRPr="008B3D0F">
        <w:rPr>
          <w:rFonts w:ascii="Times New Roman" w:hAnsi="Times New Roman"/>
        </w:rPr>
        <w:t>s</w:t>
      </w:r>
      <w:r w:rsidR="00AF1235">
        <w:t xml:space="preserve"> </w:t>
      </w:r>
      <w:r w:rsidRPr="00706F2A">
        <w:rPr>
          <w:rFonts w:ascii="Times New Roman" w:hAnsi="Times New Roman"/>
          <w:sz w:val="24"/>
        </w:rPr>
        <w:t>participants with intensive job preparation and support, including a combination of the following services:</w:t>
      </w:r>
    </w:p>
    <w:p w:rsidR="00705C97" w:rsidRDefault="00830723" w:rsidP="00D93251">
      <w:pPr>
        <w:numPr>
          <w:ilvl w:val="0"/>
          <w:numId w:val="39"/>
        </w:numPr>
        <w:spacing w:after="120"/>
        <w:ind w:left="714" w:hanging="357"/>
      </w:pPr>
      <w:r w:rsidRPr="000E39BF">
        <w:t>skills review and training (including help to achieve Recognition of Prior Learning)</w:t>
      </w:r>
      <w:r w:rsidR="00EE6BD2">
        <w:t>;</w:t>
      </w:r>
    </w:p>
    <w:p w:rsidR="00705C97" w:rsidRDefault="00830723" w:rsidP="00D93251">
      <w:pPr>
        <w:numPr>
          <w:ilvl w:val="0"/>
          <w:numId w:val="39"/>
        </w:numPr>
        <w:spacing w:after="120"/>
        <w:ind w:left="714" w:hanging="357"/>
      </w:pPr>
      <w:r w:rsidRPr="000E39BF">
        <w:t>IT refresher or basics training (including use of social media to support job search)</w:t>
      </w:r>
      <w:r w:rsidR="00EE6BD2">
        <w:t>;</w:t>
      </w:r>
    </w:p>
    <w:p w:rsidR="00705C97" w:rsidRDefault="00830723" w:rsidP="00D93251">
      <w:pPr>
        <w:numPr>
          <w:ilvl w:val="0"/>
          <w:numId w:val="39"/>
        </w:numPr>
        <w:spacing w:after="120"/>
        <w:ind w:left="714" w:hanging="357"/>
      </w:pPr>
      <w:r w:rsidRPr="000E39BF">
        <w:t>career counselling</w:t>
      </w:r>
      <w:r w:rsidR="00EE6BD2">
        <w:t>;</w:t>
      </w:r>
    </w:p>
    <w:p w:rsidR="00705C97" w:rsidRDefault="00830723" w:rsidP="00D93251">
      <w:pPr>
        <w:numPr>
          <w:ilvl w:val="0"/>
          <w:numId w:val="39"/>
        </w:numPr>
        <w:spacing w:after="120"/>
        <w:ind w:left="714" w:hanging="357"/>
      </w:pPr>
      <w:r w:rsidRPr="000E39BF">
        <w:t>financial planning information and support</w:t>
      </w:r>
      <w:r w:rsidR="00EE6BD2">
        <w:t>;</w:t>
      </w:r>
    </w:p>
    <w:p w:rsidR="00705C97" w:rsidRDefault="00830723" w:rsidP="00D93251">
      <w:pPr>
        <w:numPr>
          <w:ilvl w:val="0"/>
          <w:numId w:val="39"/>
        </w:numPr>
        <w:spacing w:after="120"/>
        <w:ind w:left="714" w:hanging="357"/>
      </w:pPr>
      <w:r w:rsidRPr="000E39BF">
        <w:t>intensive job preparation (r</w:t>
      </w:r>
      <w:r w:rsidR="00607B10">
        <w:t>é</w:t>
      </w:r>
      <w:r w:rsidRPr="000E39BF">
        <w:t>sum</w:t>
      </w:r>
      <w:r w:rsidR="00607B10">
        <w:t>é</w:t>
      </w:r>
      <w:r w:rsidRPr="000E39BF">
        <w:t xml:space="preserve"> development, self-marketing, interview skills, presentation,</w:t>
      </w:r>
      <w:r w:rsidR="00607B10">
        <w:t xml:space="preserve"> and</w:t>
      </w:r>
      <w:r w:rsidRPr="000E39BF">
        <w:t xml:space="preserve"> job search techniques)</w:t>
      </w:r>
      <w:r w:rsidR="00EE6BD2">
        <w:t>;</w:t>
      </w:r>
    </w:p>
    <w:p w:rsidR="00705C97" w:rsidRDefault="00DF404E" w:rsidP="00D93251">
      <w:pPr>
        <w:numPr>
          <w:ilvl w:val="0"/>
          <w:numId w:val="39"/>
        </w:numPr>
        <w:spacing w:after="120"/>
        <w:ind w:left="714" w:hanging="357"/>
      </w:pPr>
      <w:r w:rsidRPr="000E39BF">
        <w:t>peer support</w:t>
      </w:r>
      <w:r w:rsidR="00EE6BD2">
        <w:t>;</w:t>
      </w:r>
    </w:p>
    <w:p w:rsidR="00705C97" w:rsidRDefault="00830723" w:rsidP="00D93251">
      <w:pPr>
        <w:numPr>
          <w:ilvl w:val="0"/>
          <w:numId w:val="39"/>
        </w:numPr>
        <w:spacing w:after="120"/>
        <w:ind w:left="714" w:hanging="357"/>
      </w:pPr>
      <w:r w:rsidRPr="000E39BF">
        <w:t>motivational support</w:t>
      </w:r>
      <w:r w:rsidR="00DF404E" w:rsidRPr="000E39BF">
        <w:t>;</w:t>
      </w:r>
      <w:r w:rsidR="00607B10">
        <w:t xml:space="preserve"> and</w:t>
      </w:r>
    </w:p>
    <w:p w:rsidR="00705C97" w:rsidRDefault="00607B10" w:rsidP="00D93251">
      <w:pPr>
        <w:numPr>
          <w:ilvl w:val="0"/>
          <w:numId w:val="39"/>
        </w:numPr>
        <w:ind w:left="714" w:hanging="357"/>
      </w:pPr>
      <w:r>
        <w:t>assistance securing paid work placement and ongoing employment.</w:t>
      </w:r>
    </w:p>
    <w:p w:rsidR="000E0B9A" w:rsidRDefault="000E0B9A">
      <w:pPr>
        <w:rPr>
          <w:color w:val="000000" w:themeColor="text1"/>
          <w:szCs w:val="24"/>
        </w:rPr>
      </w:pPr>
    </w:p>
    <w:p w:rsidR="000E0B9A" w:rsidRDefault="00830723">
      <w:pPr>
        <w:rPr>
          <w:color w:val="000000" w:themeColor="text1"/>
          <w:szCs w:val="24"/>
        </w:rPr>
      </w:pPr>
      <w:r w:rsidRPr="000E39BF">
        <w:rPr>
          <w:color w:val="000000" w:themeColor="text1"/>
          <w:szCs w:val="24"/>
        </w:rPr>
        <w:t>The program will be delivered through a panel</w:t>
      </w:r>
      <w:r w:rsidR="00706F2A" w:rsidRPr="00706F2A">
        <w:rPr>
          <w:color w:val="000000" w:themeColor="text1"/>
        </w:rPr>
        <w:t xml:space="preserve"> of </w:t>
      </w:r>
      <w:r w:rsidRPr="000E39BF">
        <w:rPr>
          <w:color w:val="000000" w:themeColor="text1"/>
          <w:szCs w:val="24"/>
        </w:rPr>
        <w:t xml:space="preserve">expert providers via a Deed of Standing Offer with the </w:t>
      </w:r>
      <w:r w:rsidR="009200F6">
        <w:rPr>
          <w:color w:val="000000" w:themeColor="text1"/>
          <w:szCs w:val="24"/>
        </w:rPr>
        <w:t xml:space="preserve">Department.  </w:t>
      </w:r>
      <w:r w:rsidRPr="000E39BF">
        <w:rPr>
          <w:color w:val="000000" w:themeColor="text1"/>
          <w:szCs w:val="24"/>
        </w:rPr>
        <w:t>Th</w:t>
      </w:r>
      <w:r w:rsidR="009200F6">
        <w:rPr>
          <w:color w:val="000000" w:themeColor="text1"/>
          <w:szCs w:val="24"/>
        </w:rPr>
        <w:t>e</w:t>
      </w:r>
      <w:r w:rsidRPr="000E39BF">
        <w:rPr>
          <w:color w:val="000000" w:themeColor="text1"/>
          <w:szCs w:val="24"/>
        </w:rPr>
        <w:t xml:space="preserve"> procurement process is being conducted by the </w:t>
      </w:r>
      <w:r w:rsidR="009200F6">
        <w:rPr>
          <w:color w:val="000000" w:themeColor="text1"/>
          <w:szCs w:val="24"/>
        </w:rPr>
        <w:t>D</w:t>
      </w:r>
      <w:r w:rsidRPr="000E39BF">
        <w:rPr>
          <w:color w:val="000000" w:themeColor="text1"/>
          <w:szCs w:val="24"/>
        </w:rPr>
        <w:t>epartment in accordance with the Commonwealth Procurement Rules.</w:t>
      </w:r>
    </w:p>
    <w:p w:rsidR="000E0B9A" w:rsidRDefault="000E0B9A">
      <w:pPr>
        <w:rPr>
          <w:color w:val="000000" w:themeColor="text1"/>
        </w:rPr>
      </w:pPr>
    </w:p>
    <w:p w:rsidR="000E0B9A" w:rsidRDefault="00830723">
      <w:pPr>
        <w:rPr>
          <w:color w:val="000000" w:themeColor="text1"/>
        </w:rPr>
      </w:pPr>
      <w:r w:rsidRPr="000E39BF">
        <w:rPr>
          <w:color w:val="000000" w:themeColor="text1"/>
        </w:rPr>
        <w:t xml:space="preserve">Draft guidelines were published with the Request for Tender to establish the panel. </w:t>
      </w:r>
      <w:r w:rsidR="003D44C0">
        <w:rPr>
          <w:color w:val="000000" w:themeColor="text1"/>
        </w:rPr>
        <w:t xml:space="preserve"> </w:t>
      </w:r>
      <w:r w:rsidRPr="000E39BF">
        <w:rPr>
          <w:color w:val="000000" w:themeColor="text1"/>
        </w:rPr>
        <w:t xml:space="preserve">This provided a draft project proposal which outlined the information that will be required in order </w:t>
      </w:r>
      <w:r w:rsidRPr="000E39BF">
        <w:rPr>
          <w:color w:val="000000" w:themeColor="text1"/>
        </w:rPr>
        <w:lastRenderedPageBreak/>
        <w:t xml:space="preserve">for DEEWR to assess and approve projects. </w:t>
      </w:r>
      <w:r w:rsidR="009200F6">
        <w:rPr>
          <w:color w:val="000000" w:themeColor="text1"/>
        </w:rPr>
        <w:t xml:space="preserve"> </w:t>
      </w:r>
      <w:r w:rsidRPr="000E39BF">
        <w:rPr>
          <w:color w:val="000000" w:themeColor="text1"/>
        </w:rPr>
        <w:t>The successful panel members delivering each project will be published on the DEEWR website.</w:t>
      </w:r>
    </w:p>
    <w:p w:rsidR="000E0B9A" w:rsidRDefault="000E0B9A">
      <w:pPr>
        <w:rPr>
          <w:color w:val="000000" w:themeColor="text1"/>
        </w:rPr>
      </w:pPr>
    </w:p>
    <w:p w:rsidR="000E0B9A" w:rsidRDefault="00830723">
      <w:pPr>
        <w:rPr>
          <w:color w:val="000000" w:themeColor="text1"/>
        </w:rPr>
      </w:pPr>
      <w:r w:rsidRPr="000E39BF">
        <w:rPr>
          <w:color w:val="000000" w:themeColor="text1"/>
          <w:szCs w:val="24"/>
        </w:rPr>
        <w:t>All decisions for these measures will be made in accordance with DEEWR’s</w:t>
      </w:r>
      <w:r w:rsidRPr="000E39BF">
        <w:rPr>
          <w:szCs w:val="24"/>
        </w:rPr>
        <w:t xml:space="preserve"> Chief Executive</w:t>
      </w:r>
      <w:r w:rsidR="009200F6">
        <w:rPr>
          <w:szCs w:val="24"/>
        </w:rPr>
        <w:t>’s</w:t>
      </w:r>
      <w:r w:rsidRPr="000E39BF">
        <w:rPr>
          <w:szCs w:val="24"/>
        </w:rPr>
        <w:t xml:space="preserve"> Instructions and delegations on the expenditure</w:t>
      </w:r>
      <w:r w:rsidR="00A91443">
        <w:rPr>
          <w:szCs w:val="24"/>
        </w:rPr>
        <w:t xml:space="preserve"> of</w:t>
      </w:r>
      <w:r w:rsidRPr="000E39BF">
        <w:rPr>
          <w:szCs w:val="24"/>
        </w:rPr>
        <w:t xml:space="preserve"> </w:t>
      </w:r>
      <w:r w:rsidRPr="000E39BF">
        <w:rPr>
          <w:color w:val="000000" w:themeColor="text1"/>
          <w:szCs w:val="24"/>
        </w:rPr>
        <w:t>public monies as authorised under the</w:t>
      </w:r>
      <w:r w:rsidR="009200F6">
        <w:rPr>
          <w:i/>
          <w:iCs/>
          <w:color w:val="000000" w:themeColor="text1"/>
          <w:szCs w:val="24"/>
        </w:rPr>
        <w:t xml:space="preserve"> </w:t>
      </w:r>
      <w:r w:rsidR="009200F6" w:rsidRPr="009200F6">
        <w:rPr>
          <w:iCs/>
          <w:color w:val="000000" w:themeColor="text1"/>
          <w:szCs w:val="24"/>
        </w:rPr>
        <w:t>FMA Act</w:t>
      </w:r>
      <w:r w:rsidR="001D789E">
        <w:rPr>
          <w:iCs/>
          <w:color w:val="000000" w:themeColor="text1"/>
          <w:szCs w:val="24"/>
        </w:rPr>
        <w:t xml:space="preserve">. </w:t>
      </w:r>
      <w:r w:rsidR="009200F6">
        <w:rPr>
          <w:iCs/>
          <w:color w:val="000000" w:themeColor="text1"/>
          <w:szCs w:val="24"/>
        </w:rPr>
        <w:t xml:space="preserve"> </w:t>
      </w:r>
    </w:p>
    <w:p w:rsidR="000E0B9A" w:rsidRDefault="000E0B9A">
      <w:pPr>
        <w:rPr>
          <w:color w:val="000000" w:themeColor="text1"/>
        </w:rPr>
      </w:pPr>
    </w:p>
    <w:p w:rsidR="000E0B9A" w:rsidRDefault="00DF688D">
      <w:pPr>
        <w:rPr>
          <w:color w:val="000000" w:themeColor="text1"/>
        </w:rPr>
      </w:pPr>
      <w:r w:rsidRPr="000E39BF">
        <w:rPr>
          <w:color w:val="000000" w:themeColor="text1"/>
        </w:rPr>
        <w:t xml:space="preserve">The program </w:t>
      </w:r>
      <w:r w:rsidR="00A91443">
        <w:rPr>
          <w:color w:val="000000" w:themeColor="text1"/>
        </w:rPr>
        <w:t>comes</w:t>
      </w:r>
      <w:r w:rsidRPr="000E39BF">
        <w:rPr>
          <w:color w:val="000000" w:themeColor="text1"/>
        </w:rPr>
        <w:t xml:space="preserve"> within </w:t>
      </w:r>
      <w:r w:rsidR="00830723" w:rsidRPr="000E39BF">
        <w:rPr>
          <w:color w:val="000000" w:themeColor="text1"/>
        </w:rPr>
        <w:t>Outcome 3.1 Mature Age Participation – Job Seeker Assistance program</w:t>
      </w:r>
      <w:r w:rsidR="00C023D4">
        <w:rPr>
          <w:color w:val="000000" w:themeColor="text1"/>
        </w:rPr>
        <w:t>,</w:t>
      </w:r>
      <w:r w:rsidR="00830723" w:rsidRPr="000E39BF">
        <w:rPr>
          <w:color w:val="000000" w:themeColor="text1"/>
        </w:rPr>
        <w:t xml:space="preserve"> </w:t>
      </w:r>
      <w:r w:rsidR="00830723" w:rsidRPr="000E39BF">
        <w:rPr>
          <w:color w:val="000000"/>
        </w:rPr>
        <w:t xml:space="preserve">described in the </w:t>
      </w:r>
      <w:r w:rsidR="00830723" w:rsidRPr="000E39BF">
        <w:rPr>
          <w:i/>
          <w:iCs/>
          <w:color w:val="000000"/>
        </w:rPr>
        <w:t>Portfolio Budget Statements 2013</w:t>
      </w:r>
      <w:r w:rsidR="00830723" w:rsidRPr="000E39BF">
        <w:rPr>
          <w:i/>
          <w:iCs/>
          <w:color w:val="000000"/>
        </w:rPr>
        <w:noBreakHyphen/>
        <w:t>14, Budget Related Paper No</w:t>
      </w:r>
      <w:r w:rsidR="009200F6">
        <w:rPr>
          <w:i/>
          <w:iCs/>
          <w:color w:val="000000"/>
        </w:rPr>
        <w:t>.</w:t>
      </w:r>
      <w:r w:rsidR="00830723" w:rsidRPr="000E39BF">
        <w:rPr>
          <w:i/>
          <w:iCs/>
          <w:color w:val="000000"/>
        </w:rPr>
        <w:t> 1.5</w:t>
      </w:r>
      <w:r w:rsidR="0066156E">
        <w:rPr>
          <w:i/>
          <w:iCs/>
          <w:color w:val="000000"/>
        </w:rPr>
        <w:t xml:space="preserve">, </w:t>
      </w:r>
      <w:r w:rsidR="00246150" w:rsidRPr="00246150">
        <w:rPr>
          <w:i/>
          <w:color w:val="000000"/>
        </w:rPr>
        <w:t>Education, Employment and Workplace Relations Portfolio</w:t>
      </w:r>
      <w:r w:rsidR="00830723" w:rsidRPr="000E39BF">
        <w:rPr>
          <w:color w:val="000000"/>
        </w:rPr>
        <w:t xml:space="preserve"> </w:t>
      </w:r>
      <w:r w:rsidR="00830723" w:rsidRPr="009200F6">
        <w:rPr>
          <w:color w:val="000000"/>
        </w:rPr>
        <w:t>at page 28</w:t>
      </w:r>
      <w:r w:rsidR="005647D7">
        <w:rPr>
          <w:color w:val="000000" w:themeColor="text1"/>
        </w:rPr>
        <w:t>.</w:t>
      </w:r>
    </w:p>
    <w:p w:rsidR="000E0B9A" w:rsidRDefault="000E0B9A">
      <w:pPr>
        <w:rPr>
          <w:color w:val="000000" w:themeColor="text1"/>
        </w:rPr>
      </w:pPr>
    </w:p>
    <w:p w:rsidR="000E0B9A" w:rsidRDefault="00706F2A" w:rsidP="00A371F5">
      <w:pPr>
        <w:pStyle w:val="paranumbering0"/>
        <w:spacing w:before="0" w:beforeAutospacing="0" w:after="0" w:afterAutospacing="0"/>
        <w:rPr>
          <w:b/>
          <w:color w:val="000000" w:themeColor="text1"/>
        </w:rPr>
      </w:pPr>
      <w:r w:rsidRPr="00706F2A">
        <w:rPr>
          <w:b/>
          <w:color w:val="000000" w:themeColor="text1"/>
        </w:rPr>
        <w:t xml:space="preserve">Item </w:t>
      </w:r>
      <w:r w:rsidR="009D0AC9">
        <w:rPr>
          <w:b/>
        </w:rPr>
        <w:t>6</w:t>
      </w:r>
      <w:r w:rsidR="007974BA" w:rsidRPr="000E39BF">
        <w:rPr>
          <w:b/>
          <w:color w:val="000000" w:themeColor="text1"/>
        </w:rPr>
        <w:t xml:space="preserve"> </w:t>
      </w:r>
      <w:r w:rsidRPr="00706F2A">
        <w:rPr>
          <w:b/>
          <w:color w:val="000000" w:themeColor="text1"/>
        </w:rPr>
        <w:t>– After item 410.026 of Schedule 1AA</w:t>
      </w:r>
      <w:r w:rsidR="007974BA" w:rsidRPr="00632DE3">
        <w:rPr>
          <w:b/>
          <w:color w:val="000000" w:themeColor="text1"/>
        </w:rPr>
        <w:t xml:space="preserve"> </w:t>
      </w:r>
    </w:p>
    <w:p w:rsidR="000E0B9A" w:rsidRDefault="000E0B9A" w:rsidP="00A371F5">
      <w:pPr>
        <w:pStyle w:val="paranumbering0"/>
        <w:spacing w:before="0" w:beforeAutospacing="0" w:after="0" w:afterAutospacing="0"/>
        <w:rPr>
          <w:color w:val="000000"/>
          <w:highlight w:val="yellow"/>
        </w:rPr>
      </w:pPr>
    </w:p>
    <w:p w:rsidR="000E0B9A" w:rsidRDefault="00036B5B">
      <w:pPr>
        <w:rPr>
          <w:color w:val="000000"/>
          <w:szCs w:val="24"/>
        </w:rPr>
      </w:pPr>
      <w:r w:rsidRPr="000E39BF">
        <w:rPr>
          <w:color w:val="000000"/>
        </w:rPr>
        <w:t xml:space="preserve">This item </w:t>
      </w:r>
      <w:r w:rsidR="009200F6">
        <w:rPr>
          <w:color w:val="000000"/>
          <w:szCs w:val="24"/>
        </w:rPr>
        <w:t>establishes legislative authority</w:t>
      </w:r>
      <w:r w:rsidR="00006B55" w:rsidRPr="00632DE3">
        <w:rPr>
          <w:color w:val="000000"/>
          <w:szCs w:val="24"/>
        </w:rPr>
        <w:t xml:space="preserve"> </w:t>
      </w:r>
      <w:r w:rsidRPr="000E39BF">
        <w:rPr>
          <w:color w:val="000000"/>
        </w:rPr>
        <w:t>for</w:t>
      </w:r>
      <w:r w:rsidRPr="00632DE3">
        <w:rPr>
          <w:color w:val="000000"/>
          <w:szCs w:val="24"/>
        </w:rPr>
        <w:t xml:space="preserve"> </w:t>
      </w:r>
      <w:r w:rsidR="00926993">
        <w:rPr>
          <w:color w:val="000000"/>
          <w:szCs w:val="24"/>
        </w:rPr>
        <w:t>two</w:t>
      </w:r>
      <w:r w:rsidR="00EE24E7">
        <w:rPr>
          <w:color w:val="000000"/>
          <w:szCs w:val="24"/>
        </w:rPr>
        <w:t xml:space="preserve"> </w:t>
      </w:r>
      <w:r w:rsidR="0077364E" w:rsidRPr="00632DE3">
        <w:rPr>
          <w:color w:val="000000"/>
          <w:szCs w:val="24"/>
        </w:rPr>
        <w:t xml:space="preserve">spending activities </w:t>
      </w:r>
      <w:r w:rsidR="00283861">
        <w:rPr>
          <w:color w:val="000000"/>
          <w:szCs w:val="24"/>
        </w:rPr>
        <w:t>of</w:t>
      </w:r>
      <w:r w:rsidRPr="000E39BF">
        <w:rPr>
          <w:color w:val="000000"/>
        </w:rPr>
        <w:t xml:space="preserve"> the Department of Families, </w:t>
      </w:r>
      <w:r w:rsidR="00131DCB" w:rsidRPr="00632DE3">
        <w:rPr>
          <w:color w:val="000000"/>
          <w:szCs w:val="24"/>
        </w:rPr>
        <w:t xml:space="preserve">Housing, </w:t>
      </w:r>
      <w:r w:rsidRPr="000E39BF">
        <w:rPr>
          <w:color w:val="000000"/>
        </w:rPr>
        <w:t>Community Services and Indigenous Affairs</w:t>
      </w:r>
      <w:r w:rsidR="005647D7">
        <w:rPr>
          <w:color w:val="000000"/>
        </w:rPr>
        <w:t xml:space="preserve"> </w:t>
      </w:r>
      <w:r w:rsidR="00283861">
        <w:rPr>
          <w:color w:val="000000"/>
          <w:szCs w:val="24"/>
        </w:rPr>
        <w:t xml:space="preserve">by adding </w:t>
      </w:r>
      <w:r w:rsidR="00312E6A">
        <w:rPr>
          <w:color w:val="000000"/>
          <w:szCs w:val="24"/>
        </w:rPr>
        <w:t xml:space="preserve">two items </w:t>
      </w:r>
      <w:r w:rsidR="00283861">
        <w:rPr>
          <w:color w:val="000000"/>
          <w:szCs w:val="24"/>
        </w:rPr>
        <w:t>to Schedule 1AA to the Principal Regulations</w:t>
      </w:r>
      <w:r w:rsidR="00131DCB" w:rsidRPr="00632DE3">
        <w:rPr>
          <w:color w:val="000000"/>
          <w:szCs w:val="24"/>
        </w:rPr>
        <w:t>.</w:t>
      </w:r>
    </w:p>
    <w:p w:rsidR="000E0B9A" w:rsidRDefault="000E0B9A">
      <w:pPr>
        <w:rPr>
          <w:color w:val="000000"/>
          <w:szCs w:val="24"/>
        </w:rPr>
      </w:pPr>
    </w:p>
    <w:p w:rsidR="000E0B9A" w:rsidRDefault="00131DCB">
      <w:pPr>
        <w:rPr>
          <w:color w:val="000000"/>
        </w:rPr>
      </w:pPr>
      <w:r w:rsidRPr="00632DE3">
        <w:rPr>
          <w:color w:val="000000"/>
          <w:szCs w:val="24"/>
        </w:rPr>
        <w:t xml:space="preserve">New </w:t>
      </w:r>
      <w:r w:rsidRPr="00102B3F">
        <w:rPr>
          <w:b/>
          <w:color w:val="000000"/>
          <w:szCs w:val="24"/>
        </w:rPr>
        <w:t>item 410.027</w:t>
      </w:r>
      <w:r w:rsidRPr="00632DE3">
        <w:rPr>
          <w:color w:val="000000"/>
          <w:szCs w:val="24"/>
        </w:rPr>
        <w:t xml:space="preserve"> </w:t>
      </w:r>
      <w:r w:rsidR="0077364E" w:rsidRPr="00632DE3">
        <w:rPr>
          <w:color w:val="000000"/>
          <w:szCs w:val="24"/>
        </w:rPr>
        <w:t>establish</w:t>
      </w:r>
      <w:r w:rsidR="009200F6">
        <w:rPr>
          <w:color w:val="000000"/>
          <w:szCs w:val="24"/>
        </w:rPr>
        <w:t>es</w:t>
      </w:r>
      <w:r w:rsidR="00036B5B" w:rsidRPr="000E39BF">
        <w:rPr>
          <w:color w:val="000000"/>
        </w:rPr>
        <w:t xml:space="preserve"> legislative authority for</w:t>
      </w:r>
      <w:r w:rsidR="0077364E" w:rsidRPr="00632DE3">
        <w:rPr>
          <w:color w:val="000000"/>
          <w:szCs w:val="24"/>
        </w:rPr>
        <w:t xml:space="preserve"> </w:t>
      </w:r>
      <w:r w:rsidR="00283861">
        <w:rPr>
          <w:color w:val="000000"/>
          <w:szCs w:val="24"/>
        </w:rPr>
        <w:t>the Government to provide</w:t>
      </w:r>
      <w:r w:rsidR="00036B5B" w:rsidRPr="000E39BF">
        <w:rPr>
          <w:color w:val="000000"/>
        </w:rPr>
        <w:t xml:space="preserve"> funding to support applicants seeking review of decisions under the </w:t>
      </w:r>
      <w:r w:rsidR="00036B5B" w:rsidRPr="000E39BF">
        <w:rPr>
          <w:i/>
          <w:iCs/>
          <w:color w:val="000000"/>
        </w:rPr>
        <w:t>National Disability Insurance Scheme Act 2013</w:t>
      </w:r>
      <w:r w:rsidR="00036B5B" w:rsidRPr="000E39BF">
        <w:rPr>
          <w:color w:val="000000"/>
        </w:rPr>
        <w:t xml:space="preserve"> in the newly formed National Disability Insurance Scheme Division of the Administrative Appeals Tribunal</w:t>
      </w:r>
      <w:r w:rsidR="009200F6">
        <w:rPr>
          <w:color w:val="000000"/>
        </w:rPr>
        <w:t>.</w:t>
      </w:r>
    </w:p>
    <w:p w:rsidR="00A371F5" w:rsidRDefault="00A371F5">
      <w:pPr>
        <w:rPr>
          <w:color w:val="000000"/>
        </w:rPr>
      </w:pPr>
    </w:p>
    <w:p w:rsidR="00036B5B" w:rsidRDefault="00036B5B" w:rsidP="00A371F5">
      <w:pPr>
        <w:pStyle w:val="paranumbering0"/>
        <w:spacing w:before="0" w:beforeAutospacing="0" w:after="0" w:afterAutospacing="0"/>
        <w:rPr>
          <w:i/>
          <w:iCs/>
          <w:color w:val="000000"/>
        </w:rPr>
      </w:pPr>
      <w:r w:rsidRPr="000E39BF">
        <w:rPr>
          <w:color w:val="000000"/>
        </w:rPr>
        <w:t>Payments will be made as part of Program 5.4 Services and Support for People with Disability</w:t>
      </w:r>
      <w:r w:rsidR="000962DB">
        <w:rPr>
          <w:color w:val="000000"/>
        </w:rPr>
        <w:t>,</w:t>
      </w:r>
      <w:r w:rsidRPr="000E39BF">
        <w:rPr>
          <w:color w:val="0070C0"/>
        </w:rPr>
        <w:t xml:space="preserve"> </w:t>
      </w:r>
      <w:r w:rsidRPr="000E39BF">
        <w:rPr>
          <w:color w:val="000000"/>
        </w:rPr>
        <w:t xml:space="preserve">described in the </w:t>
      </w:r>
      <w:r w:rsidRPr="000E39BF">
        <w:rPr>
          <w:i/>
          <w:iCs/>
          <w:color w:val="000000"/>
        </w:rPr>
        <w:t>Portfolio Budget Statements 2013</w:t>
      </w:r>
      <w:r w:rsidRPr="000E39BF">
        <w:rPr>
          <w:i/>
          <w:iCs/>
          <w:color w:val="000000"/>
        </w:rPr>
        <w:noBreakHyphen/>
        <w:t xml:space="preserve">14, Budget Related Paper </w:t>
      </w:r>
      <w:r w:rsidR="00856D24">
        <w:rPr>
          <w:i/>
          <w:iCs/>
          <w:color w:val="000000"/>
        </w:rPr>
        <w:t>No. </w:t>
      </w:r>
      <w:r w:rsidRPr="000E39BF">
        <w:rPr>
          <w:i/>
          <w:iCs/>
          <w:color w:val="000000"/>
        </w:rPr>
        <w:t>1</w:t>
      </w:r>
      <w:r w:rsidR="005647D7">
        <w:rPr>
          <w:i/>
          <w:iCs/>
          <w:color w:val="000000"/>
        </w:rPr>
        <w:t>.</w:t>
      </w:r>
      <w:r w:rsidRPr="000E39BF">
        <w:rPr>
          <w:i/>
          <w:iCs/>
          <w:color w:val="000000"/>
        </w:rPr>
        <w:t>6</w:t>
      </w:r>
      <w:r w:rsidR="009D0AC9">
        <w:rPr>
          <w:i/>
          <w:iCs/>
          <w:color w:val="000000"/>
        </w:rPr>
        <w:t xml:space="preserve">, </w:t>
      </w:r>
      <w:r w:rsidR="00246150" w:rsidRPr="00246150">
        <w:rPr>
          <w:i/>
          <w:color w:val="000000"/>
        </w:rPr>
        <w:t>Families, Housing, Community Services and Indigenous Affairs Portfolio</w:t>
      </w:r>
      <w:r w:rsidRPr="000E39BF">
        <w:rPr>
          <w:i/>
          <w:iCs/>
          <w:color w:val="000000"/>
        </w:rPr>
        <w:t xml:space="preserve"> </w:t>
      </w:r>
      <w:r w:rsidRPr="00856D24">
        <w:rPr>
          <w:iCs/>
          <w:color w:val="000000"/>
        </w:rPr>
        <w:t>at</w:t>
      </w:r>
      <w:r w:rsidR="006B560E">
        <w:rPr>
          <w:iCs/>
          <w:color w:val="000000"/>
        </w:rPr>
        <w:t>:</w:t>
      </w:r>
      <w:r w:rsidRPr="00856D24">
        <w:rPr>
          <w:iCs/>
          <w:color w:val="000000"/>
        </w:rPr>
        <w:t xml:space="preserve"> page</w:t>
      </w:r>
      <w:r w:rsidR="0066156E">
        <w:rPr>
          <w:iCs/>
          <w:color w:val="000000"/>
        </w:rPr>
        <w:t> </w:t>
      </w:r>
      <w:r w:rsidRPr="00856D24">
        <w:rPr>
          <w:iCs/>
          <w:color w:val="000000"/>
        </w:rPr>
        <w:t>112</w:t>
      </w:r>
      <w:r w:rsidRPr="000E39BF">
        <w:rPr>
          <w:i/>
          <w:iCs/>
          <w:color w:val="000000"/>
        </w:rPr>
        <w:t xml:space="preserve"> </w:t>
      </w:r>
      <w:r w:rsidR="00BD4717" w:rsidRPr="00BD4717">
        <w:rPr>
          <w:iCs/>
          <w:color w:val="000000"/>
        </w:rPr>
        <w:t>(</w:t>
      </w:r>
      <w:r w:rsidRPr="000E39BF">
        <w:rPr>
          <w:i/>
          <w:iCs/>
          <w:color w:val="000000"/>
        </w:rPr>
        <w:t>Program objective</w:t>
      </w:r>
      <w:r w:rsidR="00BD4717" w:rsidRPr="00BD4717">
        <w:rPr>
          <w:iCs/>
          <w:color w:val="000000"/>
        </w:rPr>
        <w:t>)</w:t>
      </w:r>
      <w:r w:rsidRPr="000E39BF">
        <w:rPr>
          <w:i/>
          <w:iCs/>
          <w:color w:val="000000"/>
        </w:rPr>
        <w:t xml:space="preserve">, </w:t>
      </w:r>
      <w:r w:rsidRPr="00856D24">
        <w:rPr>
          <w:iCs/>
          <w:color w:val="000000"/>
        </w:rPr>
        <w:t>page 114</w:t>
      </w:r>
      <w:r w:rsidRPr="000E39BF">
        <w:rPr>
          <w:i/>
          <w:iCs/>
          <w:color w:val="000000"/>
        </w:rPr>
        <w:t xml:space="preserve"> </w:t>
      </w:r>
      <w:r w:rsidR="00BD4717" w:rsidRPr="00BD4717">
        <w:rPr>
          <w:iCs/>
          <w:color w:val="000000"/>
        </w:rPr>
        <w:t>(</w:t>
      </w:r>
      <w:r w:rsidRPr="000E39BF">
        <w:rPr>
          <w:i/>
          <w:iCs/>
          <w:color w:val="000000"/>
        </w:rPr>
        <w:t>to explain an increase in advocacy targets going forward</w:t>
      </w:r>
      <w:r w:rsidR="00BD4717" w:rsidRPr="00BD4717">
        <w:rPr>
          <w:iCs/>
          <w:color w:val="000000"/>
        </w:rPr>
        <w:t>)</w:t>
      </w:r>
      <w:r w:rsidR="006B560E">
        <w:rPr>
          <w:i/>
          <w:iCs/>
          <w:color w:val="000000"/>
        </w:rPr>
        <w:t>,</w:t>
      </w:r>
      <w:r w:rsidRPr="000E39BF">
        <w:rPr>
          <w:i/>
          <w:iCs/>
          <w:color w:val="000000"/>
        </w:rPr>
        <w:t xml:space="preserve"> </w:t>
      </w:r>
      <w:r w:rsidR="00791B8E">
        <w:rPr>
          <w:iCs/>
          <w:color w:val="000000"/>
        </w:rPr>
        <w:t xml:space="preserve">and </w:t>
      </w:r>
      <w:r w:rsidRPr="00856D24">
        <w:rPr>
          <w:iCs/>
          <w:color w:val="000000"/>
        </w:rPr>
        <w:t>page</w:t>
      </w:r>
      <w:r w:rsidR="00024D80">
        <w:rPr>
          <w:iCs/>
          <w:color w:val="000000"/>
        </w:rPr>
        <w:t> </w:t>
      </w:r>
      <w:r w:rsidRPr="00856D24">
        <w:rPr>
          <w:iCs/>
          <w:color w:val="000000"/>
        </w:rPr>
        <w:t>119</w:t>
      </w:r>
      <w:r w:rsidRPr="000E39BF">
        <w:rPr>
          <w:i/>
          <w:iCs/>
          <w:color w:val="000000"/>
        </w:rPr>
        <w:t xml:space="preserve"> </w:t>
      </w:r>
      <w:r w:rsidR="00BD4717" w:rsidRPr="00BD4717">
        <w:rPr>
          <w:iCs/>
          <w:color w:val="000000"/>
        </w:rPr>
        <w:t>(</w:t>
      </w:r>
      <w:r w:rsidRPr="000E39BF">
        <w:rPr>
          <w:i/>
          <w:iCs/>
          <w:color w:val="000000"/>
        </w:rPr>
        <w:t>expenses listed under Program 5.6 National Disability Insurance Scheme</w:t>
      </w:r>
      <w:r w:rsidR="00BD4717" w:rsidRPr="00BD4717">
        <w:rPr>
          <w:iCs/>
          <w:color w:val="000000"/>
        </w:rPr>
        <w:t>)</w:t>
      </w:r>
      <w:r w:rsidRPr="000E39BF">
        <w:rPr>
          <w:i/>
          <w:iCs/>
          <w:color w:val="000000"/>
        </w:rPr>
        <w:t>.</w:t>
      </w:r>
    </w:p>
    <w:p w:rsidR="000E0B9A" w:rsidRDefault="000E0B9A" w:rsidP="00A371F5">
      <w:pPr>
        <w:pStyle w:val="paranumbering0"/>
        <w:spacing w:before="0" w:beforeAutospacing="0" w:after="0" w:afterAutospacing="0"/>
        <w:rPr>
          <w:i/>
        </w:rPr>
      </w:pPr>
    </w:p>
    <w:p w:rsidR="000E0B9A" w:rsidRDefault="00856D24" w:rsidP="00A371F5">
      <w:pPr>
        <w:pStyle w:val="paranumbering0"/>
        <w:spacing w:before="0" w:beforeAutospacing="0" w:after="0" w:afterAutospacing="0"/>
        <w:rPr>
          <w:color w:val="000000"/>
        </w:rPr>
      </w:pPr>
      <w:r w:rsidRPr="00856D24">
        <w:rPr>
          <w:color w:val="000000" w:themeColor="text1"/>
        </w:rPr>
        <w:t>New</w:t>
      </w:r>
      <w:r>
        <w:rPr>
          <w:b/>
          <w:color w:val="000000" w:themeColor="text1"/>
        </w:rPr>
        <w:t xml:space="preserve"> i</w:t>
      </w:r>
      <w:r w:rsidR="007974BA" w:rsidRPr="000E39BF">
        <w:rPr>
          <w:b/>
          <w:color w:val="000000" w:themeColor="text1"/>
        </w:rPr>
        <w:t xml:space="preserve">tem </w:t>
      </w:r>
      <w:r w:rsidR="00706F2A" w:rsidRPr="00706F2A">
        <w:rPr>
          <w:b/>
          <w:color w:val="000000" w:themeColor="text1"/>
        </w:rPr>
        <w:t>410.</w:t>
      </w:r>
      <w:r w:rsidR="007974BA">
        <w:rPr>
          <w:b/>
          <w:color w:val="000000" w:themeColor="text1"/>
        </w:rPr>
        <w:t>02</w:t>
      </w:r>
      <w:r>
        <w:rPr>
          <w:b/>
          <w:color w:val="000000" w:themeColor="text1"/>
        </w:rPr>
        <w:t xml:space="preserve">8 </w:t>
      </w:r>
      <w:r w:rsidRPr="00856D24">
        <w:rPr>
          <w:color w:val="000000" w:themeColor="text1"/>
        </w:rPr>
        <w:t>establishes</w:t>
      </w:r>
      <w:r>
        <w:rPr>
          <w:b/>
          <w:color w:val="000000" w:themeColor="text1"/>
        </w:rPr>
        <w:t xml:space="preserve"> </w:t>
      </w:r>
      <w:r w:rsidRPr="000E39BF">
        <w:t xml:space="preserve">legislative authority </w:t>
      </w:r>
      <w:r w:rsidRPr="000E39BF">
        <w:rPr>
          <w:color w:val="000000"/>
        </w:rPr>
        <w:t>for</w:t>
      </w:r>
      <w:r w:rsidRPr="00632DE3">
        <w:rPr>
          <w:color w:val="000000"/>
        </w:rPr>
        <w:t xml:space="preserve"> </w:t>
      </w:r>
      <w:r>
        <w:rPr>
          <w:color w:val="000000"/>
        </w:rPr>
        <w:t>the Government to provide</w:t>
      </w:r>
      <w:r w:rsidRPr="000E39BF">
        <w:rPr>
          <w:color w:val="000000"/>
        </w:rPr>
        <w:t xml:space="preserve"> funding to support people affected by the establishment of the Royal Commission into Institutional Responses to Child Sexual Abuse. </w:t>
      </w:r>
      <w:r w:rsidR="00DC4A83">
        <w:rPr>
          <w:color w:val="000000"/>
        </w:rPr>
        <w:t xml:space="preserve"> </w:t>
      </w:r>
      <w:r w:rsidRPr="000E39BF">
        <w:rPr>
          <w:color w:val="000000"/>
        </w:rPr>
        <w:t xml:space="preserve">This proposed spending is not provided under the </w:t>
      </w:r>
      <w:r w:rsidRPr="000E39BF">
        <w:rPr>
          <w:i/>
          <w:color w:val="000000"/>
        </w:rPr>
        <w:t>Royal Commissions Act 1902</w:t>
      </w:r>
      <w:r w:rsidRPr="000E39BF">
        <w:rPr>
          <w:color w:val="000000"/>
        </w:rPr>
        <w:t xml:space="preserve"> or the letters patent establishing the Royal Commission</w:t>
      </w:r>
      <w:r>
        <w:rPr>
          <w:color w:val="000000"/>
        </w:rPr>
        <w:t>.</w:t>
      </w:r>
    </w:p>
    <w:p w:rsidR="000E0B9A" w:rsidRDefault="000E0B9A" w:rsidP="00A371F5">
      <w:pPr>
        <w:pStyle w:val="paranumbering0"/>
        <w:spacing w:before="0" w:beforeAutospacing="0" w:after="0" w:afterAutospacing="0"/>
        <w:rPr>
          <w:color w:val="000000"/>
          <w:highlight w:val="yellow"/>
        </w:rPr>
      </w:pPr>
    </w:p>
    <w:p w:rsidR="00286D04" w:rsidRDefault="00036B5B" w:rsidP="002E7793">
      <w:pPr>
        <w:rPr>
          <w:i/>
          <w:iCs/>
          <w:color w:val="000000"/>
        </w:rPr>
      </w:pPr>
      <w:r w:rsidRPr="000E39BF">
        <w:rPr>
          <w:color w:val="000000"/>
        </w:rPr>
        <w:t>Payments will be made as part of Progra</w:t>
      </w:r>
      <w:r w:rsidR="00856D24">
        <w:rPr>
          <w:color w:val="000000"/>
        </w:rPr>
        <w:t>m 1.1 Family Support Program</w:t>
      </w:r>
      <w:r w:rsidR="000962DB">
        <w:rPr>
          <w:color w:val="000000"/>
        </w:rPr>
        <w:t>,</w:t>
      </w:r>
      <w:r w:rsidR="00856D24">
        <w:rPr>
          <w:color w:val="000000"/>
        </w:rPr>
        <w:t xml:space="preserve"> </w:t>
      </w:r>
      <w:r w:rsidRPr="000E39BF">
        <w:rPr>
          <w:color w:val="000000"/>
        </w:rPr>
        <w:t xml:space="preserve">described in the </w:t>
      </w:r>
      <w:r w:rsidRPr="000E39BF">
        <w:rPr>
          <w:i/>
          <w:iCs/>
          <w:color w:val="000000"/>
        </w:rPr>
        <w:t>Portfolio Budget Statements 2013</w:t>
      </w:r>
      <w:r w:rsidRPr="000E39BF">
        <w:rPr>
          <w:i/>
          <w:iCs/>
          <w:color w:val="000000"/>
        </w:rPr>
        <w:noBreakHyphen/>
        <w:t>14, Budget Related Paper No</w:t>
      </w:r>
      <w:r w:rsidR="00856D24">
        <w:rPr>
          <w:i/>
          <w:iCs/>
          <w:color w:val="000000"/>
        </w:rPr>
        <w:t>.</w:t>
      </w:r>
      <w:r w:rsidRPr="000E39BF">
        <w:rPr>
          <w:i/>
          <w:iCs/>
          <w:color w:val="000000"/>
        </w:rPr>
        <w:t> 1.6</w:t>
      </w:r>
      <w:r w:rsidR="009D0AC9">
        <w:rPr>
          <w:i/>
          <w:iCs/>
          <w:color w:val="000000"/>
        </w:rPr>
        <w:t xml:space="preserve">, </w:t>
      </w:r>
      <w:r w:rsidR="00246150" w:rsidRPr="00246150">
        <w:rPr>
          <w:i/>
          <w:color w:val="000000"/>
        </w:rPr>
        <w:t xml:space="preserve">Families, </w:t>
      </w:r>
      <w:r w:rsidR="00246150" w:rsidRPr="00246150">
        <w:rPr>
          <w:i/>
          <w:color w:val="000000"/>
          <w:szCs w:val="24"/>
        </w:rPr>
        <w:t xml:space="preserve">Housing, </w:t>
      </w:r>
      <w:r w:rsidR="00246150" w:rsidRPr="00246150">
        <w:rPr>
          <w:i/>
          <w:color w:val="000000"/>
        </w:rPr>
        <w:t>Community Services and Indigenous Affairs Portfolio</w:t>
      </w:r>
      <w:r w:rsidR="008A4ECF" w:rsidRPr="008A4ECF">
        <w:rPr>
          <w:i/>
          <w:iCs/>
        </w:rPr>
        <w:t xml:space="preserve"> </w:t>
      </w:r>
      <w:r w:rsidRPr="000E39BF">
        <w:rPr>
          <w:color w:val="000000"/>
        </w:rPr>
        <w:t xml:space="preserve">at </w:t>
      </w:r>
      <w:r w:rsidRPr="00856D24">
        <w:rPr>
          <w:iCs/>
          <w:color w:val="000000"/>
        </w:rPr>
        <w:t>page 45</w:t>
      </w:r>
      <w:r w:rsidRPr="000E39BF">
        <w:rPr>
          <w:i/>
          <w:iCs/>
          <w:color w:val="000000"/>
        </w:rPr>
        <w:t>.</w:t>
      </w:r>
    </w:p>
    <w:p w:rsidR="000E0B9A" w:rsidRDefault="000E0B9A">
      <w:pPr>
        <w:rPr>
          <w:color w:val="000000"/>
        </w:rPr>
      </w:pPr>
    </w:p>
    <w:p w:rsidR="000E0B9A" w:rsidRDefault="00706F2A" w:rsidP="00A371F5">
      <w:pPr>
        <w:pStyle w:val="paranumbering0"/>
        <w:spacing w:before="0" w:beforeAutospacing="0" w:after="0" w:afterAutospacing="0"/>
        <w:rPr>
          <w:b/>
          <w:color w:val="000000" w:themeColor="text1"/>
        </w:rPr>
      </w:pPr>
      <w:r w:rsidRPr="00706F2A">
        <w:rPr>
          <w:b/>
          <w:color w:val="000000" w:themeColor="text1"/>
        </w:rPr>
        <w:t xml:space="preserve">Item </w:t>
      </w:r>
      <w:r w:rsidR="009D0AC9">
        <w:rPr>
          <w:b/>
          <w:color w:val="000000" w:themeColor="text1"/>
        </w:rPr>
        <w:t>7</w:t>
      </w:r>
      <w:r w:rsidR="001B0E79" w:rsidRPr="00102B3F">
        <w:rPr>
          <w:b/>
        </w:rPr>
        <w:t xml:space="preserve"> –</w:t>
      </w:r>
      <w:r w:rsidR="0060303C" w:rsidRPr="00102B3F">
        <w:rPr>
          <w:b/>
        </w:rPr>
        <w:t xml:space="preserve"> </w:t>
      </w:r>
      <w:r w:rsidR="001B0E79" w:rsidRPr="00102B3F">
        <w:rPr>
          <w:b/>
          <w:bCs/>
        </w:rPr>
        <w:t xml:space="preserve">Item </w:t>
      </w:r>
      <w:r w:rsidRPr="00706F2A">
        <w:rPr>
          <w:b/>
          <w:color w:val="000000" w:themeColor="text1"/>
        </w:rPr>
        <w:t>415.028 of Schedule 1AA</w:t>
      </w:r>
    </w:p>
    <w:p w:rsidR="000E0B9A" w:rsidRDefault="000E0B9A" w:rsidP="00A371F5">
      <w:pPr>
        <w:pStyle w:val="paranumbering0"/>
        <w:spacing w:before="0" w:beforeAutospacing="0" w:after="0" w:afterAutospacing="0"/>
        <w:rPr>
          <w:color w:val="000000"/>
        </w:rPr>
      </w:pPr>
    </w:p>
    <w:p w:rsidR="002E7793" w:rsidRDefault="00741F92" w:rsidP="00A371F5">
      <w:pPr>
        <w:pStyle w:val="paranumbering0"/>
        <w:spacing w:before="0" w:beforeAutospacing="0" w:after="0" w:afterAutospacing="0"/>
      </w:pPr>
      <w:r w:rsidRPr="000E39BF">
        <w:t xml:space="preserve">This item </w:t>
      </w:r>
      <w:r w:rsidR="002E7793">
        <w:t xml:space="preserve">establishes legislative authority for a new </w:t>
      </w:r>
      <w:r w:rsidR="00BD346A" w:rsidRPr="00632DE3">
        <w:t>spending activity</w:t>
      </w:r>
      <w:r w:rsidRPr="00632DE3">
        <w:t xml:space="preserve"> </w:t>
      </w:r>
      <w:r w:rsidR="00BD346A">
        <w:t>of the</w:t>
      </w:r>
      <w:r w:rsidRPr="000E39BF">
        <w:t xml:space="preserve"> Department of Health and Ageing </w:t>
      </w:r>
      <w:r w:rsidR="002E7793">
        <w:t xml:space="preserve">by amending an existing item </w:t>
      </w:r>
      <w:r w:rsidRPr="000E39BF">
        <w:t>in Schedule</w:t>
      </w:r>
      <w:r w:rsidR="002E7793">
        <w:t> </w:t>
      </w:r>
      <w:r w:rsidRPr="000E39BF">
        <w:t xml:space="preserve">1AA </w:t>
      </w:r>
      <w:r w:rsidR="00BD346A">
        <w:t>to</w:t>
      </w:r>
      <w:r w:rsidRPr="000E39BF">
        <w:t xml:space="preserve"> the Principal Regulations</w:t>
      </w:r>
      <w:r w:rsidR="002E7793">
        <w:t>.</w:t>
      </w:r>
      <w:r w:rsidRPr="000E39BF">
        <w:t xml:space="preserve"> </w:t>
      </w:r>
    </w:p>
    <w:p w:rsidR="002E7793" w:rsidRDefault="002E7793" w:rsidP="00A371F5">
      <w:pPr>
        <w:pStyle w:val="paranumbering0"/>
        <w:spacing w:before="0" w:beforeAutospacing="0" w:after="0" w:afterAutospacing="0"/>
      </w:pPr>
    </w:p>
    <w:p w:rsidR="000E0B9A" w:rsidRDefault="00BE20FB" w:rsidP="00A371F5">
      <w:pPr>
        <w:pStyle w:val="paranumbering0"/>
        <w:spacing w:before="0" w:beforeAutospacing="0" w:after="0" w:afterAutospacing="0"/>
      </w:pPr>
      <w:r>
        <w:rPr>
          <w:color w:val="000000" w:themeColor="text1"/>
        </w:rPr>
        <w:t>Existing</w:t>
      </w:r>
      <w:r>
        <w:rPr>
          <w:b/>
          <w:color w:val="000000" w:themeColor="text1"/>
        </w:rPr>
        <w:t xml:space="preserve"> </w:t>
      </w:r>
      <w:r w:rsidR="00F97FED" w:rsidRPr="00F97FED">
        <w:rPr>
          <w:b/>
        </w:rPr>
        <w:t>item 415.028</w:t>
      </w:r>
      <w:r w:rsidR="002E7793">
        <w:rPr>
          <w:b/>
        </w:rPr>
        <w:t xml:space="preserve"> </w:t>
      </w:r>
      <w:r w:rsidR="0060303C" w:rsidRPr="00632DE3">
        <w:t xml:space="preserve">relating </w:t>
      </w:r>
      <w:r w:rsidR="00741F92" w:rsidRPr="000E39BF">
        <w:t xml:space="preserve">to </w:t>
      </w:r>
      <w:r w:rsidR="0060303C" w:rsidRPr="00632DE3">
        <w:t>chronic disease treatment</w:t>
      </w:r>
      <w:r w:rsidR="00BD02E8">
        <w:t xml:space="preserve"> </w:t>
      </w:r>
      <w:r w:rsidR="002E7793">
        <w:t xml:space="preserve">is amended to ensure it provides </w:t>
      </w:r>
      <w:r w:rsidR="00741F92" w:rsidRPr="000E39BF">
        <w:t xml:space="preserve">legislative authority </w:t>
      </w:r>
      <w:r w:rsidR="0060303C" w:rsidRPr="00632DE3">
        <w:t>for</w:t>
      </w:r>
      <w:r w:rsidR="00741F92" w:rsidRPr="000E39BF">
        <w:t xml:space="preserve"> payments to assist families and carers of people with cancer.</w:t>
      </w:r>
      <w:r w:rsidR="00BA03F6" w:rsidRPr="000E39BF">
        <w:t xml:space="preserve"> </w:t>
      </w:r>
    </w:p>
    <w:p w:rsidR="000E0B9A" w:rsidRDefault="000E0B9A" w:rsidP="00A371F5">
      <w:pPr>
        <w:pStyle w:val="paranumbering0"/>
        <w:spacing w:before="0" w:beforeAutospacing="0" w:after="0" w:afterAutospacing="0"/>
      </w:pPr>
    </w:p>
    <w:p w:rsidR="000E0B9A" w:rsidRDefault="00BA03F6" w:rsidP="00A371F5">
      <w:pPr>
        <w:pStyle w:val="paranumbering0"/>
        <w:spacing w:before="0" w:beforeAutospacing="0" w:after="0" w:afterAutospacing="0"/>
      </w:pPr>
      <w:r w:rsidRPr="000E39BF">
        <w:t xml:space="preserve">Payments for </w:t>
      </w:r>
      <w:r w:rsidR="004F41B9">
        <w:t>this activity</w:t>
      </w:r>
      <w:r w:rsidRPr="000E39BF">
        <w:t xml:space="preserve"> will be made as part of Program 10.1 Chronic disease - treatment</w:t>
      </w:r>
      <w:r w:rsidR="000962DB">
        <w:t>,</w:t>
      </w:r>
      <w:r w:rsidRPr="000E39BF">
        <w:t xml:space="preserve"> described in the </w:t>
      </w:r>
      <w:r w:rsidRPr="000E39BF">
        <w:rPr>
          <w:i/>
          <w:iCs/>
        </w:rPr>
        <w:t>Portfolio Budget Statements 2013-14, Budget Related Paper No</w:t>
      </w:r>
      <w:r w:rsidR="007E2B7E">
        <w:rPr>
          <w:i/>
          <w:iCs/>
        </w:rPr>
        <w:t>.</w:t>
      </w:r>
      <w:r w:rsidR="006B560E">
        <w:rPr>
          <w:i/>
          <w:iCs/>
        </w:rPr>
        <w:t xml:space="preserve"> </w:t>
      </w:r>
      <w:r w:rsidRPr="000E39BF">
        <w:rPr>
          <w:i/>
          <w:iCs/>
        </w:rPr>
        <w:t>1.9</w:t>
      </w:r>
      <w:r w:rsidR="009D0AC9">
        <w:rPr>
          <w:i/>
          <w:iCs/>
        </w:rPr>
        <w:t xml:space="preserve">, </w:t>
      </w:r>
      <w:r w:rsidR="00246150" w:rsidRPr="00246150">
        <w:rPr>
          <w:i/>
        </w:rPr>
        <w:t>Health and Ageing Portfolio</w:t>
      </w:r>
      <w:r w:rsidRPr="000E39BF">
        <w:t xml:space="preserve"> </w:t>
      </w:r>
      <w:r w:rsidRPr="007E2B7E">
        <w:t>at page 171</w:t>
      </w:r>
      <w:r w:rsidRPr="000E39BF">
        <w:t>.</w:t>
      </w:r>
    </w:p>
    <w:p w:rsidR="000E0B9A" w:rsidRDefault="000E0B9A" w:rsidP="00A371F5">
      <w:pPr>
        <w:pStyle w:val="paranumbering0"/>
        <w:spacing w:before="0" w:beforeAutospacing="0" w:after="0" w:afterAutospacing="0"/>
      </w:pPr>
    </w:p>
    <w:p w:rsidR="000E0B9A" w:rsidRDefault="00706F2A" w:rsidP="00B32DA7">
      <w:pPr>
        <w:pStyle w:val="paranumbering0"/>
        <w:spacing w:before="0" w:beforeAutospacing="0" w:after="0" w:afterAutospacing="0"/>
        <w:rPr>
          <w:b/>
          <w:color w:val="000000" w:themeColor="text1"/>
        </w:rPr>
      </w:pPr>
      <w:r w:rsidRPr="00706F2A">
        <w:rPr>
          <w:b/>
          <w:color w:val="000000" w:themeColor="text1"/>
        </w:rPr>
        <w:lastRenderedPageBreak/>
        <w:t xml:space="preserve">Item </w:t>
      </w:r>
      <w:r w:rsidR="009D0AC9">
        <w:rPr>
          <w:b/>
        </w:rPr>
        <w:t>8</w:t>
      </w:r>
      <w:r w:rsidR="001B0E79" w:rsidRPr="00102B3F">
        <w:rPr>
          <w:b/>
        </w:rPr>
        <w:t xml:space="preserve"> –</w:t>
      </w:r>
      <w:r w:rsidR="0060303C" w:rsidRPr="00102B3F">
        <w:rPr>
          <w:b/>
        </w:rPr>
        <w:t xml:space="preserve"> </w:t>
      </w:r>
      <w:r w:rsidR="001B0E79" w:rsidRPr="00102B3F">
        <w:rPr>
          <w:b/>
          <w:bCs/>
        </w:rPr>
        <w:t>Item</w:t>
      </w:r>
      <w:r w:rsidRPr="00706F2A">
        <w:rPr>
          <w:b/>
          <w:color w:val="000000" w:themeColor="text1"/>
        </w:rPr>
        <w:t xml:space="preserve"> 415.031 of Schedule 1AA</w:t>
      </w:r>
      <w:r w:rsidR="005274F6" w:rsidRPr="00057CAC">
        <w:rPr>
          <w:b/>
          <w:color w:val="000000" w:themeColor="text1"/>
        </w:rPr>
        <w:t xml:space="preserve"> </w:t>
      </w:r>
    </w:p>
    <w:p w:rsidR="000E0B9A" w:rsidRPr="00504D01" w:rsidRDefault="000E0B9A" w:rsidP="00B32DA7">
      <w:pPr>
        <w:pStyle w:val="paranumbering0"/>
        <w:spacing w:before="0" w:beforeAutospacing="0" w:after="0" w:afterAutospacing="0"/>
        <w:rPr>
          <w:color w:val="000000" w:themeColor="text1"/>
        </w:rPr>
      </w:pPr>
    </w:p>
    <w:p w:rsidR="000E0B9A" w:rsidRDefault="00741F92" w:rsidP="00B32DA7">
      <w:r w:rsidRPr="000E39BF">
        <w:t>This item amend</w:t>
      </w:r>
      <w:r w:rsidR="007E2B7E">
        <w:t>s</w:t>
      </w:r>
      <w:r w:rsidRPr="000E39BF">
        <w:t xml:space="preserve"> the </w:t>
      </w:r>
      <w:r w:rsidR="00BD346A">
        <w:t xml:space="preserve">existing </w:t>
      </w:r>
      <w:r w:rsidR="00BD346A" w:rsidRPr="00632DE3">
        <w:t xml:space="preserve">spending activity </w:t>
      </w:r>
      <w:r w:rsidR="00BD346A">
        <w:t>of the</w:t>
      </w:r>
      <w:r w:rsidRPr="000E39BF">
        <w:t xml:space="preserve"> Department of Health and Ageing in </w:t>
      </w:r>
      <w:r w:rsidR="002E7793" w:rsidRPr="002E7793">
        <w:rPr>
          <w:b/>
          <w:szCs w:val="24"/>
        </w:rPr>
        <w:t>item 415.031</w:t>
      </w:r>
      <w:r w:rsidR="002E7793">
        <w:rPr>
          <w:szCs w:val="24"/>
        </w:rPr>
        <w:t xml:space="preserve"> of </w:t>
      </w:r>
      <w:r w:rsidRPr="000E39BF">
        <w:t xml:space="preserve">Schedule 1AA </w:t>
      </w:r>
      <w:r w:rsidR="00BD346A">
        <w:t>to</w:t>
      </w:r>
      <w:r w:rsidRPr="000E39BF">
        <w:t xml:space="preserve"> the Principal Regulations </w:t>
      </w:r>
      <w:r w:rsidR="0060303C" w:rsidRPr="00632DE3">
        <w:rPr>
          <w:szCs w:val="24"/>
        </w:rPr>
        <w:t xml:space="preserve">relating </w:t>
      </w:r>
      <w:r w:rsidRPr="000E39BF">
        <w:t xml:space="preserve">to </w:t>
      </w:r>
      <w:r w:rsidR="0060303C" w:rsidRPr="00632DE3">
        <w:rPr>
          <w:szCs w:val="24"/>
        </w:rPr>
        <w:t>international policy engagement</w:t>
      </w:r>
      <w:r w:rsidR="00BD346A">
        <w:rPr>
          <w:szCs w:val="24"/>
        </w:rPr>
        <w:t xml:space="preserve">.  The amendment </w:t>
      </w:r>
      <w:r w:rsidR="0060303C" w:rsidRPr="00632DE3">
        <w:rPr>
          <w:szCs w:val="24"/>
        </w:rPr>
        <w:t>establish</w:t>
      </w:r>
      <w:r w:rsidR="007E2B7E">
        <w:rPr>
          <w:szCs w:val="24"/>
        </w:rPr>
        <w:t>es</w:t>
      </w:r>
      <w:r w:rsidRPr="000E39BF">
        <w:t xml:space="preserve"> legislative authority </w:t>
      </w:r>
      <w:r w:rsidR="0060303C" w:rsidRPr="00632DE3">
        <w:rPr>
          <w:szCs w:val="24"/>
        </w:rPr>
        <w:t>for</w:t>
      </w:r>
      <w:r w:rsidRPr="000E39BF">
        <w:t xml:space="preserve"> spending </w:t>
      </w:r>
      <w:r w:rsidR="00BA03F6" w:rsidRPr="000E39BF">
        <w:t xml:space="preserve">in relation to contributions made by </w:t>
      </w:r>
      <w:r w:rsidR="00BD346A">
        <w:rPr>
          <w:szCs w:val="24"/>
        </w:rPr>
        <w:t>the G</w:t>
      </w:r>
      <w:r w:rsidR="00BA03F6" w:rsidRPr="00632DE3">
        <w:rPr>
          <w:szCs w:val="24"/>
        </w:rPr>
        <w:t>overnment</w:t>
      </w:r>
      <w:r w:rsidR="00BA03F6" w:rsidRPr="000E39BF">
        <w:t xml:space="preserve"> for conferences, forums and other events that promote Australia's health policies internationally.</w:t>
      </w:r>
    </w:p>
    <w:p w:rsidR="000E0B9A" w:rsidRDefault="000E0B9A"/>
    <w:p w:rsidR="003D559B" w:rsidRDefault="00F03C85">
      <w:pPr>
        <w:rPr>
          <w:b/>
          <w:sz w:val="23"/>
        </w:rPr>
      </w:pPr>
      <w:r w:rsidRPr="000E39BF">
        <w:rPr>
          <w:b/>
          <w:color w:val="000000" w:themeColor="text1"/>
        </w:rPr>
        <w:t xml:space="preserve">Item </w:t>
      </w:r>
      <w:r w:rsidR="00DA6C37">
        <w:rPr>
          <w:b/>
          <w:color w:val="000000" w:themeColor="text1"/>
        </w:rPr>
        <w:t>9</w:t>
      </w:r>
      <w:r w:rsidRPr="00102B3F">
        <w:rPr>
          <w:b/>
          <w:color w:val="000000" w:themeColor="text1"/>
        </w:rPr>
        <w:t xml:space="preserve"> – </w:t>
      </w:r>
      <w:r w:rsidRPr="00102B3F">
        <w:rPr>
          <w:b/>
        </w:rPr>
        <w:t>Item</w:t>
      </w:r>
      <w:r w:rsidR="00BD4717" w:rsidRPr="00BD4717">
        <w:rPr>
          <w:b/>
          <w:color w:val="000000" w:themeColor="text1"/>
        </w:rPr>
        <w:t xml:space="preserve"> 418.</w:t>
      </w:r>
      <w:r w:rsidRPr="00102B3F">
        <w:rPr>
          <w:b/>
        </w:rPr>
        <w:t>043</w:t>
      </w:r>
      <w:r w:rsidR="00BD4717" w:rsidRPr="00BD4717">
        <w:rPr>
          <w:b/>
          <w:color w:val="000000" w:themeColor="text1"/>
        </w:rPr>
        <w:t xml:space="preserve"> of Schedule 1AA</w:t>
      </w:r>
      <w:r w:rsidRPr="00632DE3">
        <w:rPr>
          <w:b/>
          <w:color w:val="000000" w:themeColor="text1"/>
        </w:rPr>
        <w:t xml:space="preserve"> </w:t>
      </w:r>
    </w:p>
    <w:p w:rsidR="008B244A" w:rsidRDefault="008B244A" w:rsidP="008B244A"/>
    <w:p w:rsidR="003D559B" w:rsidRDefault="00F03C85">
      <w:r w:rsidRPr="000E39BF">
        <w:t>This item amend</w:t>
      </w:r>
      <w:r>
        <w:t>s</w:t>
      </w:r>
      <w:r w:rsidRPr="000E39BF">
        <w:t xml:space="preserve"> </w:t>
      </w:r>
      <w:r w:rsidR="000E0BBB" w:rsidRPr="00F97FED">
        <w:rPr>
          <w:b/>
        </w:rPr>
        <w:t>item 418.043</w:t>
      </w:r>
      <w:r w:rsidR="000E0BBB">
        <w:rPr>
          <w:b/>
        </w:rPr>
        <w:t>,</w:t>
      </w:r>
      <w:r w:rsidR="000E0BBB" w:rsidRPr="000E0BBB">
        <w:t xml:space="preserve"> an</w:t>
      </w:r>
      <w:r w:rsidRPr="000E39BF">
        <w:t xml:space="preserve"> </w:t>
      </w:r>
      <w:r>
        <w:t>existing spending activity of the</w:t>
      </w:r>
      <w:r w:rsidRPr="000E39BF">
        <w:t xml:space="preserve"> Department of Industry, Innovation, </w:t>
      </w:r>
      <w:r>
        <w:t xml:space="preserve">Climate Change, </w:t>
      </w:r>
      <w:r w:rsidRPr="000E39BF">
        <w:t>Science, Research and Tertiary Education in Schedule</w:t>
      </w:r>
      <w:r>
        <w:t> </w:t>
      </w:r>
      <w:r w:rsidRPr="000E39BF">
        <w:t xml:space="preserve">1AA </w:t>
      </w:r>
      <w:r w:rsidRPr="00632DE3">
        <w:t>to</w:t>
      </w:r>
      <w:r w:rsidRPr="000E39BF">
        <w:t xml:space="preserve"> the Principal Regulations </w:t>
      </w:r>
      <w:r w:rsidRPr="00632DE3">
        <w:t xml:space="preserve">relating </w:t>
      </w:r>
      <w:r w:rsidRPr="000E39BF">
        <w:t>to the</w:t>
      </w:r>
      <w:r w:rsidRPr="00632DE3">
        <w:t xml:space="preserve"> Square Kilometre Array (SKA) Radio Telescope.  The </w:t>
      </w:r>
      <w:r>
        <w:t>amendment</w:t>
      </w:r>
      <w:r w:rsidRPr="00632DE3">
        <w:t xml:space="preserve"> establish</w:t>
      </w:r>
      <w:r>
        <w:t>es</w:t>
      </w:r>
      <w:r w:rsidRPr="000E39BF">
        <w:t xml:space="preserve"> legislative authority </w:t>
      </w:r>
      <w:r w:rsidRPr="00632DE3">
        <w:t xml:space="preserve">for </w:t>
      </w:r>
      <w:r>
        <w:t>the Government to fund</w:t>
      </w:r>
      <w:r w:rsidRPr="000E39BF">
        <w:t xml:space="preserve"> the construction and hosting of the SKA Radio Telescope</w:t>
      </w:r>
      <w:r w:rsidRPr="00632DE3">
        <w:t xml:space="preserve">. </w:t>
      </w:r>
      <w:r w:rsidRPr="000E39BF">
        <w:t xml:space="preserve"> Item</w:t>
      </w:r>
      <w:r>
        <w:t> 418.043 was added to Schedule </w:t>
      </w:r>
      <w:r w:rsidRPr="000E39BF">
        <w:t xml:space="preserve">1AA </w:t>
      </w:r>
      <w:r>
        <w:t>to</w:t>
      </w:r>
      <w:r w:rsidRPr="000E39BF">
        <w:t xml:space="preserve"> the </w:t>
      </w:r>
      <w:r>
        <w:t>Principal</w:t>
      </w:r>
      <w:r w:rsidRPr="000E39BF">
        <w:t xml:space="preserve"> Regulations to </w:t>
      </w:r>
      <w:r w:rsidRPr="00632DE3">
        <w:t>establish</w:t>
      </w:r>
      <w:r w:rsidRPr="000E39BF">
        <w:t xml:space="preserve"> legislative authority for expenditure relating to Australia’s bid for the SKA Radio Telescope project.</w:t>
      </w:r>
      <w:r w:rsidRPr="00632DE3">
        <w:t xml:space="preserve"> </w:t>
      </w:r>
      <w:r w:rsidRPr="000E39BF">
        <w:t xml:space="preserve"> That bid was successful and</w:t>
      </w:r>
      <w:r w:rsidRPr="00632DE3">
        <w:t xml:space="preserve"> </w:t>
      </w:r>
      <w:r w:rsidRPr="000E39BF">
        <w:t xml:space="preserve">legislative authority </w:t>
      </w:r>
      <w:r w:rsidR="00237C7E">
        <w:t xml:space="preserve">is needed </w:t>
      </w:r>
      <w:r w:rsidRPr="000E39BF">
        <w:t xml:space="preserve">for </w:t>
      </w:r>
      <w:r w:rsidR="00237C7E">
        <w:t xml:space="preserve">the Government to </w:t>
      </w:r>
      <w:r w:rsidRPr="000E39BF">
        <w:t>fund the construction and hosting of the SKA Radio Telescope.</w:t>
      </w:r>
    </w:p>
    <w:p w:rsidR="008B244A" w:rsidRDefault="008B244A" w:rsidP="008B244A"/>
    <w:p w:rsidR="00675385" w:rsidRDefault="00F03C85">
      <w:r w:rsidRPr="000E39BF">
        <w:t>The funding will include payments to the international project organisation in relation to Australia’s membership</w:t>
      </w:r>
      <w:r w:rsidR="00237C7E">
        <w:t>, and</w:t>
      </w:r>
      <w:r w:rsidRPr="000E39BF">
        <w:t xml:space="preserve"> payments to Australian organisations involved in SKA implementation activities and activities required to </w:t>
      </w:r>
      <w:r w:rsidRPr="00632DE3">
        <w:t xml:space="preserve">prepare Australia to host SKA sites.  </w:t>
      </w:r>
      <w:r w:rsidRPr="000E39BF">
        <w:t xml:space="preserve">Funding payment decisions will be made by the Minister or </w:t>
      </w:r>
      <w:r>
        <w:t xml:space="preserve">the </w:t>
      </w:r>
      <w:r w:rsidRPr="000E39BF">
        <w:t>Minister’s delegate on a merit basis in accordance with publicly notified selection criteria.</w:t>
      </w:r>
      <w:r w:rsidR="00237C7E">
        <w:t xml:space="preserve">  </w:t>
      </w:r>
      <w:r w:rsidRPr="000E39BF">
        <w:t xml:space="preserve">Decisions will be published in accordance with </w:t>
      </w:r>
      <w:r w:rsidR="00237C7E">
        <w:t>government</w:t>
      </w:r>
      <w:r w:rsidR="00237C7E" w:rsidRPr="000E39BF">
        <w:t xml:space="preserve"> </w:t>
      </w:r>
      <w:r w:rsidRPr="000E39BF">
        <w:t>requirements.</w:t>
      </w:r>
    </w:p>
    <w:p w:rsidR="00675385" w:rsidRDefault="00675385"/>
    <w:p w:rsidR="00675385" w:rsidRDefault="00F03C85">
      <w:r w:rsidRPr="000E39BF">
        <w:t>Payments will be made as part of Program 2.2 Science and Research Capacity</w:t>
      </w:r>
      <w:r w:rsidR="00CC3824">
        <w:t>,</w:t>
      </w:r>
      <w:r w:rsidRPr="000E39BF">
        <w:t xml:space="preserve"> </w:t>
      </w:r>
      <w:r w:rsidR="00CC3824" w:rsidRPr="000E39BF">
        <w:t xml:space="preserve">described in </w:t>
      </w:r>
      <w:r w:rsidRPr="000E39BF">
        <w:t xml:space="preserve">the </w:t>
      </w:r>
      <w:r w:rsidRPr="00A66571">
        <w:rPr>
          <w:i/>
        </w:rPr>
        <w:t>Portfolio Budget Statements 2013</w:t>
      </w:r>
      <w:r w:rsidR="00585138">
        <w:rPr>
          <w:i/>
        </w:rPr>
        <w:noBreakHyphen/>
      </w:r>
      <w:r w:rsidRPr="00A66571">
        <w:rPr>
          <w:i/>
        </w:rPr>
        <w:t>14, Budget Related Paper No</w:t>
      </w:r>
      <w:r>
        <w:rPr>
          <w:i/>
        </w:rPr>
        <w:t>.</w:t>
      </w:r>
      <w:r w:rsidRPr="00A66571">
        <w:rPr>
          <w:i/>
        </w:rPr>
        <w:t xml:space="preserve"> 1.12</w:t>
      </w:r>
      <w:r w:rsidR="009D0AC9">
        <w:rPr>
          <w:i/>
        </w:rPr>
        <w:t xml:space="preserve">, </w:t>
      </w:r>
      <w:r w:rsidR="00246150" w:rsidRPr="00246150">
        <w:rPr>
          <w:i/>
        </w:rPr>
        <w:t>Industry, Innovation, Climate Change, Science, Research and Tertiary Education Portfolio</w:t>
      </w:r>
      <w:r w:rsidR="009D0AC9">
        <w:rPr>
          <w:i/>
        </w:rPr>
        <w:t xml:space="preserve"> </w:t>
      </w:r>
      <w:r w:rsidRPr="005233FC">
        <w:t>at page 65</w:t>
      </w:r>
      <w:r w:rsidRPr="000E39BF">
        <w:t>.</w:t>
      </w:r>
    </w:p>
    <w:p w:rsidR="008B244A" w:rsidRPr="000E39BF" w:rsidRDefault="008B244A" w:rsidP="008B244A"/>
    <w:p w:rsidR="00F03C85" w:rsidRPr="000E39BF" w:rsidRDefault="00F03C85" w:rsidP="008B244A">
      <w:pPr>
        <w:rPr>
          <w:b/>
          <w:sz w:val="23"/>
        </w:rPr>
      </w:pPr>
      <w:r w:rsidRPr="000E39BF">
        <w:rPr>
          <w:b/>
          <w:color w:val="000000" w:themeColor="text1"/>
        </w:rPr>
        <w:t xml:space="preserve">Item </w:t>
      </w:r>
      <w:r w:rsidR="00DA6C37">
        <w:rPr>
          <w:b/>
          <w:color w:val="000000" w:themeColor="text1"/>
        </w:rPr>
        <w:t>10</w:t>
      </w:r>
      <w:r w:rsidRPr="000E39BF">
        <w:rPr>
          <w:b/>
          <w:color w:val="000000" w:themeColor="text1"/>
        </w:rPr>
        <w:t xml:space="preserve"> – </w:t>
      </w:r>
      <w:r>
        <w:rPr>
          <w:b/>
          <w:color w:val="000000" w:themeColor="text1"/>
        </w:rPr>
        <w:t xml:space="preserve">After </w:t>
      </w:r>
      <w:r w:rsidR="00BD4717" w:rsidRPr="00BD4717">
        <w:rPr>
          <w:b/>
          <w:color w:val="000000" w:themeColor="text1"/>
        </w:rPr>
        <w:t>item 418.077 of Schedule 1AA</w:t>
      </w:r>
      <w:r w:rsidRPr="00632DE3">
        <w:rPr>
          <w:b/>
          <w:color w:val="000000" w:themeColor="text1"/>
        </w:rPr>
        <w:t xml:space="preserve"> </w:t>
      </w:r>
    </w:p>
    <w:p w:rsidR="008B244A" w:rsidRDefault="008B244A" w:rsidP="008B244A">
      <w:pPr>
        <w:rPr>
          <w:color w:val="000000"/>
        </w:rPr>
      </w:pPr>
    </w:p>
    <w:p w:rsidR="00675385" w:rsidRDefault="00F03C85">
      <w:pPr>
        <w:rPr>
          <w:color w:val="000000"/>
        </w:rPr>
      </w:pPr>
      <w:r w:rsidRPr="000E39BF">
        <w:rPr>
          <w:color w:val="000000"/>
        </w:rPr>
        <w:t xml:space="preserve">This item </w:t>
      </w:r>
      <w:r>
        <w:rPr>
          <w:color w:val="000000"/>
        </w:rPr>
        <w:t>adds</w:t>
      </w:r>
      <w:r w:rsidRPr="000E39BF">
        <w:rPr>
          <w:color w:val="000000"/>
        </w:rPr>
        <w:t xml:space="preserve"> a new </w:t>
      </w:r>
      <w:r>
        <w:rPr>
          <w:color w:val="000000"/>
        </w:rPr>
        <w:t xml:space="preserve">spending activity </w:t>
      </w:r>
      <w:r w:rsidRPr="000E39BF">
        <w:rPr>
          <w:color w:val="000000"/>
        </w:rPr>
        <w:t xml:space="preserve">to Schedule 1AA </w:t>
      </w:r>
      <w:r>
        <w:rPr>
          <w:color w:val="000000"/>
        </w:rPr>
        <w:t>to</w:t>
      </w:r>
      <w:r w:rsidRPr="000E39BF">
        <w:rPr>
          <w:color w:val="000000"/>
        </w:rPr>
        <w:t xml:space="preserve"> the Principal Regulations for the Department of Industry, Innovation, Climate Change,</w:t>
      </w:r>
      <w:r w:rsidRPr="00D43EC3">
        <w:rPr>
          <w:rFonts w:asciiTheme="minorHAnsi" w:hAnsiTheme="minorHAnsi"/>
        </w:rPr>
        <w:t xml:space="preserve"> </w:t>
      </w:r>
      <w:r w:rsidRPr="000E39BF">
        <w:rPr>
          <w:color w:val="000000"/>
        </w:rPr>
        <w:t>Science</w:t>
      </w:r>
      <w:r w:rsidR="00585138">
        <w:rPr>
          <w:color w:val="000000"/>
        </w:rPr>
        <w:t>,</w:t>
      </w:r>
      <w:r w:rsidRPr="000E39BF">
        <w:rPr>
          <w:color w:val="000000"/>
        </w:rPr>
        <w:t xml:space="preserve"> Research and Tertiary Education</w:t>
      </w:r>
      <w:r w:rsidR="000E0BBB">
        <w:rPr>
          <w:color w:val="000000"/>
        </w:rPr>
        <w:t>.  N</w:t>
      </w:r>
      <w:r w:rsidR="00237C7E">
        <w:rPr>
          <w:color w:val="000000"/>
        </w:rPr>
        <w:t xml:space="preserve">ew </w:t>
      </w:r>
      <w:r w:rsidR="00F97FED" w:rsidRPr="00F97FED">
        <w:rPr>
          <w:b/>
          <w:color w:val="000000"/>
        </w:rPr>
        <w:t>item 418.078</w:t>
      </w:r>
      <w:r>
        <w:rPr>
          <w:color w:val="000000"/>
        </w:rPr>
        <w:t xml:space="preserve"> </w:t>
      </w:r>
      <w:r w:rsidRPr="00632DE3">
        <w:rPr>
          <w:color w:val="000000"/>
        </w:rPr>
        <w:t>establish</w:t>
      </w:r>
      <w:r>
        <w:rPr>
          <w:color w:val="000000"/>
        </w:rPr>
        <w:t>es</w:t>
      </w:r>
      <w:r w:rsidRPr="000E39BF">
        <w:rPr>
          <w:color w:val="000000"/>
        </w:rPr>
        <w:t xml:space="preserve"> legislative authority for </w:t>
      </w:r>
      <w:r>
        <w:rPr>
          <w:color w:val="000000"/>
        </w:rPr>
        <w:t xml:space="preserve">the </w:t>
      </w:r>
      <w:r w:rsidRPr="000E39BF">
        <w:rPr>
          <w:color w:val="000000"/>
        </w:rPr>
        <w:t xml:space="preserve">Government </w:t>
      </w:r>
      <w:r>
        <w:rPr>
          <w:color w:val="000000"/>
        </w:rPr>
        <w:t xml:space="preserve">to </w:t>
      </w:r>
      <w:r w:rsidR="00237C7E">
        <w:rPr>
          <w:color w:val="000000"/>
        </w:rPr>
        <w:t xml:space="preserve">provide </w:t>
      </w:r>
      <w:r>
        <w:rPr>
          <w:color w:val="000000"/>
        </w:rPr>
        <w:t>fund</w:t>
      </w:r>
      <w:r w:rsidR="00237C7E">
        <w:rPr>
          <w:color w:val="000000"/>
        </w:rPr>
        <w:t>ing</w:t>
      </w:r>
      <w:r w:rsidR="00C41338">
        <w:rPr>
          <w:color w:val="000000"/>
        </w:rPr>
        <w:t xml:space="preserve"> for</w:t>
      </w:r>
      <w:r w:rsidRPr="000E39BF">
        <w:rPr>
          <w:color w:val="000000"/>
        </w:rPr>
        <w:t xml:space="preserve"> </w:t>
      </w:r>
      <w:r>
        <w:rPr>
          <w:color w:val="000000"/>
        </w:rPr>
        <w:t>the Latrobe Valley Economic Diversification Program</w:t>
      </w:r>
      <w:r w:rsidR="00237C7E">
        <w:rPr>
          <w:color w:val="000000"/>
        </w:rPr>
        <w:t xml:space="preserve"> which was announced and referred to as the</w:t>
      </w:r>
      <w:r w:rsidR="00237C7E" w:rsidRPr="000E39BF">
        <w:rPr>
          <w:color w:val="000000"/>
        </w:rPr>
        <w:t xml:space="preserve"> Briquette Replacement Program (BRP)</w:t>
      </w:r>
      <w:r w:rsidRPr="005F51A2">
        <w:rPr>
          <w:color w:val="000000"/>
        </w:rPr>
        <w:t>.</w:t>
      </w:r>
      <w:r w:rsidRPr="00632DE3">
        <w:rPr>
          <w:color w:val="000000"/>
        </w:rPr>
        <w:t xml:space="preserve"> </w:t>
      </w:r>
      <w:r>
        <w:rPr>
          <w:color w:val="000000"/>
        </w:rPr>
        <w:t xml:space="preserve"> </w:t>
      </w:r>
      <w:r w:rsidRPr="000E39BF">
        <w:rPr>
          <w:color w:val="000000"/>
        </w:rPr>
        <w:t xml:space="preserve">Funding will be paid </w:t>
      </w:r>
      <w:r w:rsidR="00C41338" w:rsidRPr="000E39BF">
        <w:rPr>
          <w:color w:val="000000"/>
        </w:rPr>
        <w:t>to assist small and medium sized businesses to transition</w:t>
      </w:r>
      <w:r w:rsidR="001F5ACF">
        <w:rPr>
          <w:color w:val="000000"/>
        </w:rPr>
        <w:t xml:space="preserve"> from the use of briquettes </w:t>
      </w:r>
      <w:r w:rsidR="00C41338" w:rsidRPr="000E39BF">
        <w:rPr>
          <w:color w:val="000000"/>
        </w:rPr>
        <w:t xml:space="preserve">to </w:t>
      </w:r>
      <w:r w:rsidR="001F5ACF">
        <w:rPr>
          <w:color w:val="000000"/>
        </w:rPr>
        <w:t xml:space="preserve">cleaner alternatives.  </w:t>
      </w:r>
    </w:p>
    <w:p w:rsidR="00675385" w:rsidRDefault="00675385">
      <w:pPr>
        <w:rPr>
          <w:color w:val="000000"/>
        </w:rPr>
      </w:pPr>
    </w:p>
    <w:p w:rsidR="00705C97" w:rsidRDefault="001F5ACF">
      <w:pPr>
        <w:spacing w:after="120"/>
        <w:rPr>
          <w:color w:val="000000"/>
        </w:rPr>
      </w:pPr>
      <w:r>
        <w:rPr>
          <w:color w:val="000000"/>
        </w:rPr>
        <w:t>T</w:t>
      </w:r>
      <w:r w:rsidR="00CE7628">
        <w:rPr>
          <w:color w:val="000000"/>
        </w:rPr>
        <w:t>he BRP consists of two elements</w:t>
      </w:r>
      <w:r w:rsidR="00F03C85" w:rsidRPr="000E39BF">
        <w:rPr>
          <w:color w:val="000000"/>
        </w:rPr>
        <w:t>:</w:t>
      </w:r>
    </w:p>
    <w:p w:rsidR="00705C97" w:rsidRDefault="00BD4717">
      <w:pPr>
        <w:numPr>
          <w:ilvl w:val="0"/>
          <w:numId w:val="40"/>
        </w:numPr>
        <w:spacing w:after="120"/>
        <w:ind w:left="714" w:hanging="357"/>
        <w:rPr>
          <w:color w:val="000000"/>
          <w:szCs w:val="24"/>
        </w:rPr>
      </w:pPr>
      <w:r w:rsidRPr="00BD4717">
        <w:rPr>
          <w:color w:val="000000"/>
          <w:szCs w:val="24"/>
        </w:rPr>
        <w:t>engineering advice to assist certain entities obtain engineering and costing advice on possible alternatives to briquettes; and</w:t>
      </w:r>
    </w:p>
    <w:p w:rsidR="00705C97" w:rsidRDefault="00BD4717">
      <w:pPr>
        <w:numPr>
          <w:ilvl w:val="0"/>
          <w:numId w:val="40"/>
        </w:numPr>
        <w:ind w:left="714" w:hanging="357"/>
        <w:rPr>
          <w:color w:val="000000"/>
          <w:szCs w:val="24"/>
        </w:rPr>
      </w:pPr>
      <w:r w:rsidRPr="00BD4717">
        <w:rPr>
          <w:color w:val="000000"/>
          <w:szCs w:val="24"/>
        </w:rPr>
        <w:t>investment support to assist certain entities invest in capital expenditure to transition to alternatives to briquettes.</w:t>
      </w:r>
    </w:p>
    <w:p w:rsidR="008B244A" w:rsidRDefault="008B244A" w:rsidP="008B244A">
      <w:pPr>
        <w:rPr>
          <w:color w:val="000000"/>
        </w:rPr>
      </w:pPr>
    </w:p>
    <w:p w:rsidR="00F03C85" w:rsidRDefault="00BD4717" w:rsidP="008B244A">
      <w:pPr>
        <w:rPr>
          <w:color w:val="000000"/>
        </w:rPr>
      </w:pPr>
      <w:r w:rsidRPr="00BD4717">
        <w:rPr>
          <w:color w:val="000000"/>
        </w:rPr>
        <w:t xml:space="preserve">The BRP involves the provision of funds to up to 49 entities (small and medium sized businesses), </w:t>
      </w:r>
      <w:r w:rsidR="00F03C85" w:rsidRPr="00632DE3">
        <w:t>which</w:t>
      </w:r>
      <w:r w:rsidRPr="00BD4717">
        <w:rPr>
          <w:color w:val="000000"/>
        </w:rPr>
        <w:t xml:space="preserve"> currently use brown coal briquettes as inputs to their businesses, to assist them to transition to an alternative product.</w:t>
      </w:r>
      <w:r w:rsidR="00F03C85" w:rsidRPr="00632DE3">
        <w:t xml:space="preserve"> </w:t>
      </w:r>
      <w:r w:rsidRPr="00BD4717">
        <w:rPr>
          <w:color w:val="000000"/>
        </w:rPr>
        <w:t xml:space="preserve"> </w:t>
      </w:r>
      <w:r w:rsidR="00F03C85" w:rsidRPr="000E39BF">
        <w:rPr>
          <w:color w:val="000000"/>
        </w:rPr>
        <w:t xml:space="preserve">Program criteria are available publicly and approved grants will be published on the </w:t>
      </w:r>
      <w:r w:rsidR="002D2C47">
        <w:rPr>
          <w:color w:val="000000"/>
        </w:rPr>
        <w:t>D</w:t>
      </w:r>
      <w:r w:rsidR="00F03C85" w:rsidRPr="000E39BF">
        <w:rPr>
          <w:color w:val="000000"/>
        </w:rPr>
        <w:t xml:space="preserve">epartment’s website. </w:t>
      </w:r>
      <w:r w:rsidR="00F03C85">
        <w:rPr>
          <w:color w:val="000000"/>
        </w:rPr>
        <w:t xml:space="preserve"> </w:t>
      </w:r>
      <w:r w:rsidR="00F03C85" w:rsidRPr="000E39BF">
        <w:rPr>
          <w:color w:val="000000"/>
        </w:rPr>
        <w:t xml:space="preserve">The </w:t>
      </w:r>
      <w:r w:rsidR="000E0BBB">
        <w:rPr>
          <w:color w:val="000000"/>
        </w:rPr>
        <w:t>p</w:t>
      </w:r>
      <w:r w:rsidR="00F03C85" w:rsidRPr="000E39BF">
        <w:rPr>
          <w:color w:val="000000"/>
        </w:rPr>
        <w:t xml:space="preserve">rogram </w:t>
      </w:r>
      <w:r w:rsidR="000E0BBB">
        <w:rPr>
          <w:color w:val="000000"/>
        </w:rPr>
        <w:t>d</w:t>
      </w:r>
      <w:r w:rsidR="00F03C85" w:rsidRPr="000E39BF">
        <w:rPr>
          <w:color w:val="000000"/>
        </w:rPr>
        <w:t>elegate</w:t>
      </w:r>
      <w:r w:rsidR="00F03C85">
        <w:rPr>
          <w:color w:val="000000"/>
        </w:rPr>
        <w:t>,</w:t>
      </w:r>
      <w:r w:rsidR="00F03C85" w:rsidRPr="000E39BF">
        <w:rPr>
          <w:color w:val="000000"/>
        </w:rPr>
        <w:t xml:space="preserve"> </w:t>
      </w:r>
      <w:r w:rsidR="00F03C85" w:rsidRPr="000E39BF">
        <w:rPr>
          <w:color w:val="000000"/>
        </w:rPr>
        <w:lastRenderedPageBreak/>
        <w:t>appointed by the Minister</w:t>
      </w:r>
      <w:r w:rsidR="00F03C85">
        <w:rPr>
          <w:color w:val="000000"/>
        </w:rPr>
        <w:t>,</w:t>
      </w:r>
      <w:r w:rsidR="00F03C85" w:rsidRPr="000E39BF">
        <w:rPr>
          <w:color w:val="000000"/>
        </w:rPr>
        <w:t xml:space="preserve"> will make decisions in relation to the administration of the program, including spending decisions.</w:t>
      </w:r>
    </w:p>
    <w:p w:rsidR="008B244A" w:rsidRPr="00203DAD" w:rsidRDefault="008B244A" w:rsidP="008B244A">
      <w:pPr>
        <w:rPr>
          <w:color w:val="000000"/>
        </w:rPr>
      </w:pPr>
    </w:p>
    <w:p w:rsidR="00F03C85" w:rsidRPr="000E39BF" w:rsidRDefault="00F03C85" w:rsidP="008B244A">
      <w:pPr>
        <w:rPr>
          <w:color w:val="000000"/>
          <w:sz w:val="22"/>
          <w:szCs w:val="22"/>
        </w:rPr>
      </w:pPr>
      <w:r w:rsidRPr="000E39BF">
        <w:rPr>
          <w:color w:val="000000"/>
        </w:rPr>
        <w:t xml:space="preserve">Payments will be made as part of </w:t>
      </w:r>
      <w:r w:rsidRPr="000E39BF">
        <w:t>Program </w:t>
      </w:r>
      <w:r>
        <w:rPr>
          <w:color w:val="000000"/>
        </w:rPr>
        <w:t>1</w:t>
      </w:r>
      <w:r w:rsidRPr="000E39BF">
        <w:rPr>
          <w:color w:val="000000"/>
        </w:rPr>
        <w:t xml:space="preserve"> </w:t>
      </w:r>
      <w:r>
        <w:rPr>
          <w:color w:val="000000"/>
        </w:rPr>
        <w:t>Latrobe Valley E</w:t>
      </w:r>
      <w:r w:rsidRPr="000E39BF">
        <w:rPr>
          <w:color w:val="000000"/>
        </w:rPr>
        <w:t xml:space="preserve">conomic </w:t>
      </w:r>
      <w:r>
        <w:rPr>
          <w:color w:val="000000"/>
        </w:rPr>
        <w:t>D</w:t>
      </w:r>
      <w:r w:rsidRPr="000E39BF">
        <w:rPr>
          <w:color w:val="000000"/>
        </w:rPr>
        <w:t>iversification</w:t>
      </w:r>
      <w:r w:rsidRPr="002755C2">
        <w:t xml:space="preserve"> </w:t>
      </w:r>
      <w:r w:rsidR="000E0BBB">
        <w:t>P</w:t>
      </w:r>
      <w:r w:rsidRPr="005274F6">
        <w:t>rogram</w:t>
      </w:r>
      <w:r w:rsidR="00CC3824">
        <w:t>,</w:t>
      </w:r>
      <w:r w:rsidRPr="005274F6">
        <w:t xml:space="preserve"> </w:t>
      </w:r>
      <w:r w:rsidR="00CC3824" w:rsidRPr="000E39BF">
        <w:rPr>
          <w:color w:val="000000"/>
        </w:rPr>
        <w:t xml:space="preserve">described in </w:t>
      </w:r>
      <w:r w:rsidRPr="000E39BF">
        <w:rPr>
          <w:color w:val="000000"/>
        </w:rPr>
        <w:t xml:space="preserve">the </w:t>
      </w:r>
      <w:r w:rsidRPr="000E39BF">
        <w:rPr>
          <w:i/>
          <w:iCs/>
          <w:color w:val="000000"/>
        </w:rPr>
        <w:t>Portfolio Budget Statements 2013</w:t>
      </w:r>
      <w:r w:rsidRPr="000E39BF">
        <w:rPr>
          <w:i/>
          <w:iCs/>
          <w:color w:val="000000"/>
        </w:rPr>
        <w:noBreakHyphen/>
        <w:t>14, Budget Related Paper No</w:t>
      </w:r>
      <w:r>
        <w:rPr>
          <w:i/>
          <w:iCs/>
          <w:color w:val="000000"/>
        </w:rPr>
        <w:t>.</w:t>
      </w:r>
      <w:r w:rsidRPr="000E39BF">
        <w:rPr>
          <w:i/>
          <w:iCs/>
          <w:color w:val="000000"/>
        </w:rPr>
        <w:t> </w:t>
      </w:r>
      <w:r w:rsidRPr="00A66571">
        <w:rPr>
          <w:i/>
          <w:color w:val="000000"/>
        </w:rPr>
        <w:t>1.12</w:t>
      </w:r>
      <w:r w:rsidR="009D0AC9">
        <w:rPr>
          <w:i/>
          <w:color w:val="000000"/>
        </w:rPr>
        <w:t xml:space="preserve">, </w:t>
      </w:r>
      <w:r w:rsidR="00246150" w:rsidRPr="00246150">
        <w:rPr>
          <w:i/>
          <w:color w:val="000000"/>
        </w:rPr>
        <w:t>Industry, Innovation, Climate Change, Science, Research and Tertiary Education Portfolio</w:t>
      </w:r>
      <w:r w:rsidRPr="00A66571">
        <w:rPr>
          <w:i/>
          <w:color w:val="000000"/>
        </w:rPr>
        <w:t xml:space="preserve"> </w:t>
      </w:r>
      <w:r w:rsidRPr="00863092">
        <w:rPr>
          <w:color w:val="000000"/>
        </w:rPr>
        <w:t>at page 37</w:t>
      </w:r>
      <w:r w:rsidRPr="000E39BF">
        <w:rPr>
          <w:color w:val="000000"/>
        </w:rPr>
        <w:t>.</w:t>
      </w:r>
    </w:p>
    <w:p w:rsidR="00F03C85" w:rsidRPr="00DA6C37" w:rsidRDefault="00F03C85" w:rsidP="008B244A">
      <w:pPr>
        <w:rPr>
          <w:color w:val="000000" w:themeColor="text1"/>
          <w:highlight w:val="yellow"/>
        </w:rPr>
      </w:pPr>
    </w:p>
    <w:p w:rsidR="00F03C85" w:rsidRPr="000E39BF" w:rsidRDefault="00F03C85" w:rsidP="008B244A">
      <w:pPr>
        <w:rPr>
          <w:b/>
          <w:sz w:val="23"/>
        </w:rPr>
      </w:pPr>
      <w:r w:rsidRPr="000E39BF">
        <w:rPr>
          <w:b/>
          <w:color w:val="000000" w:themeColor="text1"/>
        </w:rPr>
        <w:t xml:space="preserve">Item </w:t>
      </w:r>
      <w:r w:rsidRPr="00632DE3">
        <w:rPr>
          <w:b/>
          <w:color w:val="000000" w:themeColor="text1"/>
        </w:rPr>
        <w:t>1</w:t>
      </w:r>
      <w:r w:rsidR="00DA6C37">
        <w:rPr>
          <w:b/>
          <w:color w:val="000000" w:themeColor="text1"/>
        </w:rPr>
        <w:t>1</w:t>
      </w:r>
      <w:r>
        <w:rPr>
          <w:b/>
          <w:color w:val="000000" w:themeColor="text1"/>
        </w:rPr>
        <w:t xml:space="preserve"> </w:t>
      </w:r>
      <w:r w:rsidRPr="000E39BF">
        <w:rPr>
          <w:b/>
          <w:color w:val="000000" w:themeColor="text1"/>
        </w:rPr>
        <w:t xml:space="preserve">– </w:t>
      </w:r>
      <w:r>
        <w:rPr>
          <w:b/>
          <w:color w:val="000000" w:themeColor="text1"/>
        </w:rPr>
        <w:t xml:space="preserve">After item </w:t>
      </w:r>
      <w:r w:rsidR="00BD4717" w:rsidRPr="00BD4717">
        <w:rPr>
          <w:b/>
          <w:color w:val="000000" w:themeColor="text1"/>
        </w:rPr>
        <w:t>425.018 of Schedule 1AA</w:t>
      </w:r>
      <w:r w:rsidRPr="00632DE3">
        <w:rPr>
          <w:b/>
          <w:color w:val="000000" w:themeColor="text1"/>
        </w:rPr>
        <w:t xml:space="preserve"> </w:t>
      </w:r>
    </w:p>
    <w:p w:rsidR="008B244A" w:rsidRDefault="008B244A" w:rsidP="008B244A"/>
    <w:p w:rsidR="00CD243E" w:rsidRDefault="00F03C85">
      <w:pPr>
        <w:spacing w:after="120"/>
        <w:rPr>
          <w:color w:val="000000"/>
        </w:rPr>
      </w:pPr>
      <w:r w:rsidRPr="000E39BF">
        <w:t>This item add</w:t>
      </w:r>
      <w:r>
        <w:t>s</w:t>
      </w:r>
      <w:r w:rsidRPr="000E39BF">
        <w:t xml:space="preserve"> a new </w:t>
      </w:r>
      <w:r>
        <w:rPr>
          <w:szCs w:val="24"/>
        </w:rPr>
        <w:t>spending activity</w:t>
      </w:r>
      <w:r w:rsidRPr="000E39BF">
        <w:t xml:space="preserve"> to Schedule 1AA </w:t>
      </w:r>
      <w:r>
        <w:rPr>
          <w:szCs w:val="24"/>
        </w:rPr>
        <w:t xml:space="preserve">to </w:t>
      </w:r>
      <w:r w:rsidRPr="000E39BF">
        <w:t xml:space="preserve">the Principal Regulations for </w:t>
      </w:r>
      <w:r w:rsidR="000E0BBB">
        <w:t>the Department of Sustainability, Environment, Water, Population and Communities</w:t>
      </w:r>
      <w:r>
        <w:rPr>
          <w:szCs w:val="24"/>
        </w:rPr>
        <w:t xml:space="preserve">.  </w:t>
      </w:r>
      <w:r w:rsidR="000F5D22">
        <w:rPr>
          <w:szCs w:val="24"/>
        </w:rPr>
        <w:t xml:space="preserve">New </w:t>
      </w:r>
      <w:r w:rsidR="00F97FED" w:rsidRPr="00F97FED">
        <w:rPr>
          <w:b/>
          <w:szCs w:val="24"/>
        </w:rPr>
        <w:t>item</w:t>
      </w:r>
      <w:r w:rsidR="004A2138">
        <w:rPr>
          <w:szCs w:val="24"/>
        </w:rPr>
        <w:t> </w:t>
      </w:r>
      <w:r w:rsidR="000F5D22" w:rsidRPr="000F5D22">
        <w:rPr>
          <w:b/>
          <w:szCs w:val="24"/>
        </w:rPr>
        <w:t>425.019</w:t>
      </w:r>
      <w:r w:rsidR="004A2138">
        <w:rPr>
          <w:b/>
          <w:szCs w:val="24"/>
        </w:rPr>
        <w:t xml:space="preserve"> </w:t>
      </w:r>
      <w:r>
        <w:rPr>
          <w:szCs w:val="24"/>
        </w:rPr>
        <w:t>establish</w:t>
      </w:r>
      <w:r w:rsidR="00B447D1">
        <w:rPr>
          <w:szCs w:val="24"/>
        </w:rPr>
        <w:t>es</w:t>
      </w:r>
      <w:r>
        <w:rPr>
          <w:szCs w:val="24"/>
        </w:rPr>
        <w:t xml:space="preserve"> legislative authority for the Government to provide funding </w:t>
      </w:r>
      <w:r w:rsidRPr="000E39BF">
        <w:t>to support the need for</w:t>
      </w:r>
      <w:r w:rsidRPr="00632DE3">
        <w:rPr>
          <w:szCs w:val="24"/>
        </w:rPr>
        <w:t xml:space="preserve"> </w:t>
      </w:r>
      <w:r>
        <w:rPr>
          <w:szCs w:val="24"/>
        </w:rPr>
        <w:t>the</w:t>
      </w:r>
      <w:r w:rsidRPr="000E39BF">
        <w:t xml:space="preserve"> ongoing destruction of environmentally harmful ozone depleting substances (ODS) and synthetic greenhouse gases (SGG) in Australia</w:t>
      </w:r>
      <w:r w:rsidR="00585138">
        <w:t>,</w:t>
      </w:r>
      <w:r w:rsidRPr="000E39BF">
        <w:t xml:space="preserve"> with the aim of:</w:t>
      </w:r>
    </w:p>
    <w:p w:rsidR="00705C97" w:rsidRDefault="00F03C85">
      <w:pPr>
        <w:numPr>
          <w:ilvl w:val="0"/>
          <w:numId w:val="41"/>
        </w:numPr>
        <w:spacing w:after="120"/>
        <w:ind w:left="714" w:hanging="357"/>
        <w:rPr>
          <w:color w:val="000000" w:themeColor="text1"/>
        </w:rPr>
      </w:pPr>
      <w:r w:rsidRPr="000E39BF">
        <w:rPr>
          <w:color w:val="000000" w:themeColor="text1"/>
        </w:rPr>
        <w:t>achieving better environmental outcomes;</w:t>
      </w:r>
    </w:p>
    <w:p w:rsidR="00705C97" w:rsidRDefault="00F03C85">
      <w:pPr>
        <w:numPr>
          <w:ilvl w:val="0"/>
          <w:numId w:val="41"/>
        </w:numPr>
        <w:spacing w:after="120"/>
        <w:ind w:left="714" w:hanging="357"/>
        <w:rPr>
          <w:color w:val="000000" w:themeColor="text1"/>
        </w:rPr>
      </w:pPr>
      <w:r w:rsidRPr="000E39BF">
        <w:rPr>
          <w:color w:val="000000" w:themeColor="text1"/>
        </w:rPr>
        <w:t xml:space="preserve">minimising the release </w:t>
      </w:r>
      <w:r w:rsidR="000E0BBB" w:rsidRPr="000E39BF">
        <w:rPr>
          <w:color w:val="000000" w:themeColor="text1"/>
        </w:rPr>
        <w:t xml:space="preserve">into the atmosphere </w:t>
      </w:r>
      <w:r w:rsidRPr="000E39BF">
        <w:rPr>
          <w:color w:val="000000" w:themeColor="text1"/>
        </w:rPr>
        <w:t>of waste gases that contribute to climate change; and</w:t>
      </w:r>
    </w:p>
    <w:p w:rsidR="00705C97" w:rsidRDefault="00F03C85">
      <w:pPr>
        <w:numPr>
          <w:ilvl w:val="0"/>
          <w:numId w:val="41"/>
        </w:numPr>
        <w:ind w:left="714" w:hanging="357"/>
        <w:rPr>
          <w:color w:val="000000"/>
          <w:szCs w:val="24"/>
        </w:rPr>
      </w:pPr>
      <w:r w:rsidRPr="000E39BF">
        <w:rPr>
          <w:color w:val="000000" w:themeColor="text1"/>
        </w:rPr>
        <w:t xml:space="preserve">meeting Australia’s commitments under the </w:t>
      </w:r>
      <w:r w:rsidR="00E638BF" w:rsidRPr="007C7C33">
        <w:rPr>
          <w:i/>
          <w:color w:val="000000" w:themeColor="text1"/>
          <w:szCs w:val="24"/>
        </w:rPr>
        <w:t>Vienna Convention for the Protection of the Ozone Layer</w:t>
      </w:r>
      <w:r w:rsidR="00E638BF">
        <w:rPr>
          <w:color w:val="000000" w:themeColor="text1"/>
          <w:szCs w:val="24"/>
        </w:rPr>
        <w:t xml:space="preserve">; the </w:t>
      </w:r>
      <w:r w:rsidR="00E638BF" w:rsidRPr="007C7C33">
        <w:rPr>
          <w:i/>
          <w:color w:val="000000" w:themeColor="text1"/>
          <w:szCs w:val="24"/>
        </w:rPr>
        <w:t xml:space="preserve">Montreal Protocol on Substances that </w:t>
      </w:r>
      <w:r w:rsidR="00E638BF">
        <w:rPr>
          <w:i/>
          <w:color w:val="000000" w:themeColor="text1"/>
          <w:szCs w:val="24"/>
        </w:rPr>
        <w:t>D</w:t>
      </w:r>
      <w:r w:rsidR="00E638BF" w:rsidRPr="007C7C33">
        <w:rPr>
          <w:i/>
          <w:color w:val="000000" w:themeColor="text1"/>
          <w:szCs w:val="24"/>
        </w:rPr>
        <w:t>eplete the Ozone Layer</w:t>
      </w:r>
      <w:r w:rsidR="00E638BF">
        <w:rPr>
          <w:color w:val="000000" w:themeColor="text1"/>
          <w:szCs w:val="24"/>
        </w:rPr>
        <w:t>;</w:t>
      </w:r>
      <w:r w:rsidR="00E638BF" w:rsidRPr="00102B3F">
        <w:rPr>
          <w:color w:val="000000" w:themeColor="text1"/>
          <w:szCs w:val="24"/>
        </w:rPr>
        <w:t xml:space="preserve"> </w:t>
      </w:r>
      <w:r w:rsidRPr="000E39BF">
        <w:rPr>
          <w:color w:val="000000" w:themeColor="text1"/>
        </w:rPr>
        <w:t xml:space="preserve">the </w:t>
      </w:r>
      <w:r w:rsidRPr="000E39BF">
        <w:rPr>
          <w:i/>
          <w:color w:val="000000" w:themeColor="text1"/>
        </w:rPr>
        <w:t>United Nations Framework Convention on Climate Change</w:t>
      </w:r>
      <w:r w:rsidR="00E638BF">
        <w:rPr>
          <w:i/>
          <w:color w:val="000000" w:themeColor="text1"/>
        </w:rPr>
        <w:t>;</w:t>
      </w:r>
      <w:r w:rsidRPr="000E39BF">
        <w:rPr>
          <w:color w:val="000000" w:themeColor="text1"/>
        </w:rPr>
        <w:t xml:space="preserve"> and the </w:t>
      </w:r>
      <w:r w:rsidRPr="000E39BF">
        <w:rPr>
          <w:i/>
          <w:color w:val="000000" w:themeColor="text1"/>
        </w:rPr>
        <w:t>Kyoto Protocol to the United Nations Framework Convention on Climate Change</w:t>
      </w:r>
      <w:r w:rsidRPr="00102B3F">
        <w:rPr>
          <w:color w:val="000000" w:themeColor="text1"/>
          <w:szCs w:val="24"/>
        </w:rPr>
        <w:t>.</w:t>
      </w:r>
      <w:r w:rsidRPr="000E39BF">
        <w:rPr>
          <w:color w:val="000000" w:themeColor="text1"/>
        </w:rPr>
        <w:t xml:space="preserve"> </w:t>
      </w:r>
    </w:p>
    <w:p w:rsidR="00675385" w:rsidRDefault="00675385">
      <w:pPr>
        <w:rPr>
          <w:color w:val="000000" w:themeColor="text1"/>
        </w:rPr>
      </w:pPr>
    </w:p>
    <w:p w:rsidR="00675385" w:rsidRDefault="00F03C85">
      <w:pPr>
        <w:rPr>
          <w:color w:val="000000" w:themeColor="text1"/>
        </w:rPr>
      </w:pPr>
      <w:r w:rsidRPr="000E39BF">
        <w:rPr>
          <w:color w:val="000000" w:themeColor="text1"/>
        </w:rPr>
        <w:t>The funding is to be used to pay an incentive to accredited destruction providers following the proven destruction of waste ODS and SGGs, which can be directly related to the regulation and management of waste ODS and SGGs</w:t>
      </w:r>
      <w:r w:rsidRPr="00632DE3">
        <w:rPr>
          <w:color w:val="000000" w:themeColor="text1"/>
          <w:szCs w:val="24"/>
        </w:rPr>
        <w:t>.</w:t>
      </w:r>
      <w:r>
        <w:rPr>
          <w:color w:val="000000" w:themeColor="text1"/>
        </w:rPr>
        <w:t xml:space="preserve"> </w:t>
      </w:r>
    </w:p>
    <w:p w:rsidR="00675385" w:rsidRDefault="00675385">
      <w:pPr>
        <w:ind w:right="-334"/>
        <w:rPr>
          <w:color w:val="000000" w:themeColor="text1"/>
          <w:szCs w:val="24"/>
        </w:rPr>
      </w:pPr>
    </w:p>
    <w:p w:rsidR="009D0AC9" w:rsidRPr="008C360A" w:rsidRDefault="009D0AC9" w:rsidP="009D0AC9">
      <w:pPr>
        <w:ind w:right="-334"/>
        <w:rPr>
          <w:b/>
          <w:color w:val="000000" w:themeColor="text1"/>
          <w:szCs w:val="24"/>
        </w:rPr>
      </w:pPr>
      <w:r w:rsidRPr="008C360A">
        <w:rPr>
          <w:b/>
          <w:color w:val="000000" w:themeColor="text1"/>
          <w:szCs w:val="24"/>
        </w:rPr>
        <w:t xml:space="preserve">Schedule 2 – Amendments commencing </w:t>
      </w:r>
      <w:r>
        <w:rPr>
          <w:b/>
          <w:color w:val="000000" w:themeColor="text1"/>
          <w:szCs w:val="24"/>
        </w:rPr>
        <w:t xml:space="preserve">on </w:t>
      </w:r>
      <w:r w:rsidRPr="008C360A">
        <w:rPr>
          <w:b/>
          <w:color w:val="000000" w:themeColor="text1"/>
          <w:szCs w:val="24"/>
        </w:rPr>
        <w:t>1 August 2013</w:t>
      </w:r>
    </w:p>
    <w:p w:rsidR="009D0AC9" w:rsidRDefault="009D0AC9" w:rsidP="009D0AC9">
      <w:pPr>
        <w:ind w:right="-334"/>
        <w:rPr>
          <w:color w:val="000000" w:themeColor="text1"/>
          <w:szCs w:val="24"/>
        </w:rPr>
      </w:pPr>
    </w:p>
    <w:p w:rsidR="009D0AC9" w:rsidRPr="00684C67" w:rsidRDefault="009D0AC9" w:rsidP="009D0AC9">
      <w:pPr>
        <w:ind w:right="-334"/>
        <w:rPr>
          <w:b/>
          <w:color w:val="000000" w:themeColor="text1"/>
          <w:szCs w:val="24"/>
        </w:rPr>
      </w:pPr>
      <w:r w:rsidRPr="008D25E2">
        <w:rPr>
          <w:b/>
          <w:color w:val="000000" w:themeColor="text1"/>
          <w:szCs w:val="24"/>
        </w:rPr>
        <w:t xml:space="preserve">Item 1 – </w:t>
      </w:r>
      <w:r>
        <w:rPr>
          <w:b/>
          <w:color w:val="000000" w:themeColor="text1"/>
          <w:szCs w:val="24"/>
        </w:rPr>
        <w:t>After item 101 of Schedule 1</w:t>
      </w:r>
    </w:p>
    <w:p w:rsidR="009D0AC9" w:rsidRDefault="009D0AC9" w:rsidP="009D0AC9">
      <w:pPr>
        <w:ind w:right="-334"/>
        <w:rPr>
          <w:color w:val="000000" w:themeColor="text1"/>
          <w:szCs w:val="24"/>
        </w:rPr>
      </w:pPr>
    </w:p>
    <w:p w:rsidR="009D0AC9" w:rsidRDefault="009D0AC9" w:rsidP="009D0AC9">
      <w:pPr>
        <w:ind w:right="-334"/>
        <w:rPr>
          <w:color w:val="000000" w:themeColor="text1"/>
          <w:szCs w:val="24"/>
        </w:rPr>
      </w:pPr>
      <w:r>
        <w:rPr>
          <w:color w:val="000000" w:themeColor="text1"/>
          <w:szCs w:val="24"/>
        </w:rPr>
        <w:t xml:space="preserve">The </w:t>
      </w:r>
      <w:r w:rsidRPr="008D25E2">
        <w:rPr>
          <w:i/>
          <w:color w:val="000000" w:themeColor="text1"/>
          <w:szCs w:val="24"/>
        </w:rPr>
        <w:t>Asbestos Safety and Eradication Agency Act 2013</w:t>
      </w:r>
      <w:r>
        <w:rPr>
          <w:i/>
          <w:color w:val="000000" w:themeColor="text1"/>
          <w:szCs w:val="24"/>
        </w:rPr>
        <w:t xml:space="preserve"> </w:t>
      </w:r>
      <w:r w:rsidR="00E6393D">
        <w:rPr>
          <w:color w:val="000000" w:themeColor="text1"/>
          <w:szCs w:val="24"/>
        </w:rPr>
        <w:t>establishes the Asbestos Safety and Eradication Agency which commenced on</w:t>
      </w:r>
      <w:r w:rsidR="00246150" w:rsidRPr="00246150">
        <w:rPr>
          <w:color w:val="000000" w:themeColor="text1"/>
          <w:szCs w:val="24"/>
        </w:rPr>
        <w:t xml:space="preserve"> 1 July 2013</w:t>
      </w:r>
      <w:r>
        <w:rPr>
          <w:color w:val="000000" w:themeColor="text1"/>
          <w:szCs w:val="24"/>
        </w:rPr>
        <w:t xml:space="preserve">.  The Asbestos Safety and Eradication Agency will administer the </w:t>
      </w:r>
      <w:r>
        <w:rPr>
          <w:szCs w:val="24"/>
        </w:rPr>
        <w:t>national strategic plan to improve asbestos management and awareness in Australia.</w:t>
      </w:r>
    </w:p>
    <w:p w:rsidR="009D0AC9" w:rsidRDefault="009D0AC9" w:rsidP="009D0AC9">
      <w:pPr>
        <w:ind w:right="-334"/>
        <w:rPr>
          <w:color w:val="000000" w:themeColor="text1"/>
          <w:szCs w:val="24"/>
        </w:rPr>
      </w:pPr>
    </w:p>
    <w:p w:rsidR="009D0AC9" w:rsidRDefault="009D0AC9" w:rsidP="009D0AC9">
      <w:pPr>
        <w:ind w:right="-334"/>
        <w:rPr>
          <w:color w:val="000000" w:themeColor="text1"/>
          <w:szCs w:val="24"/>
        </w:rPr>
      </w:pPr>
      <w:r>
        <w:rPr>
          <w:color w:val="000000" w:themeColor="text1"/>
          <w:szCs w:val="24"/>
        </w:rPr>
        <w:t xml:space="preserve">Item 1 adds this new agency </w:t>
      </w:r>
      <w:r w:rsidR="003B1877">
        <w:rPr>
          <w:color w:val="000000" w:themeColor="text1"/>
          <w:szCs w:val="24"/>
        </w:rPr>
        <w:t xml:space="preserve">at new </w:t>
      </w:r>
      <w:r w:rsidR="00246150" w:rsidRPr="00246150">
        <w:rPr>
          <w:b/>
          <w:color w:val="000000" w:themeColor="text1"/>
          <w:szCs w:val="24"/>
        </w:rPr>
        <w:t>item 101A</w:t>
      </w:r>
      <w:r w:rsidR="003B1877">
        <w:rPr>
          <w:color w:val="000000" w:themeColor="text1"/>
          <w:szCs w:val="24"/>
        </w:rPr>
        <w:t xml:space="preserve"> </w:t>
      </w:r>
      <w:r>
        <w:rPr>
          <w:color w:val="000000" w:themeColor="text1"/>
          <w:szCs w:val="24"/>
        </w:rPr>
        <w:t>as a prescribed agency to Schedule 1 to the Principal Regulations.  Once prescribed, the Asbestos Safety and Eradication Agency will be subject to the requirements of the FMA Act.</w:t>
      </w:r>
    </w:p>
    <w:p w:rsidR="009D0AC9" w:rsidRDefault="009D0AC9" w:rsidP="009D0AC9">
      <w:pPr>
        <w:ind w:right="-334"/>
        <w:rPr>
          <w:color w:val="000000" w:themeColor="text1"/>
          <w:szCs w:val="24"/>
        </w:rPr>
      </w:pPr>
    </w:p>
    <w:p w:rsidR="009D0AC9" w:rsidRDefault="009D0AC9" w:rsidP="009D0AC9">
      <w:pPr>
        <w:spacing w:after="120"/>
        <w:ind w:right="-334"/>
        <w:rPr>
          <w:color w:val="000000" w:themeColor="text1"/>
          <w:szCs w:val="24"/>
        </w:rPr>
      </w:pPr>
      <w:r>
        <w:rPr>
          <w:color w:val="000000" w:themeColor="text1"/>
          <w:szCs w:val="24"/>
        </w:rPr>
        <w:t>The item specifies that, for FMA Act purposes, the Asbestos Safety and Eradication Agency comprises:</w:t>
      </w:r>
    </w:p>
    <w:p w:rsidR="009D0AC9" w:rsidRDefault="009D0AC9" w:rsidP="009D0AC9">
      <w:pPr>
        <w:pStyle w:val="ListParagraph"/>
        <w:numPr>
          <w:ilvl w:val="0"/>
          <w:numId w:val="45"/>
        </w:numPr>
        <w:spacing w:after="120" w:line="240" w:lineRule="auto"/>
        <w:contextualSpacing w:val="0"/>
      </w:pPr>
      <w:r>
        <w:t>the Chief Executive Officer (CEO);</w:t>
      </w:r>
    </w:p>
    <w:p w:rsidR="009D0AC9" w:rsidRDefault="009D0AC9" w:rsidP="009D0AC9">
      <w:pPr>
        <w:pStyle w:val="ListParagraph"/>
        <w:numPr>
          <w:ilvl w:val="0"/>
          <w:numId w:val="45"/>
        </w:numPr>
        <w:spacing w:after="120" w:line="240" w:lineRule="auto"/>
        <w:contextualSpacing w:val="0"/>
      </w:pPr>
      <w:r>
        <w:t>the staff of the agency;</w:t>
      </w:r>
    </w:p>
    <w:p w:rsidR="009D0AC9" w:rsidRDefault="009D0AC9" w:rsidP="009D0AC9">
      <w:pPr>
        <w:pStyle w:val="ListParagraph"/>
        <w:numPr>
          <w:ilvl w:val="0"/>
          <w:numId w:val="45"/>
        </w:numPr>
        <w:spacing w:after="120" w:line="240" w:lineRule="auto"/>
        <w:contextualSpacing w:val="0"/>
      </w:pPr>
      <w:r>
        <w:t xml:space="preserve">consultants; </w:t>
      </w:r>
    </w:p>
    <w:p w:rsidR="009D0AC9" w:rsidRDefault="009D0AC9" w:rsidP="009D0AC9">
      <w:pPr>
        <w:pStyle w:val="ListParagraph"/>
        <w:numPr>
          <w:ilvl w:val="0"/>
          <w:numId w:val="45"/>
        </w:numPr>
        <w:spacing w:after="120" w:line="240" w:lineRule="auto"/>
        <w:contextualSpacing w:val="0"/>
      </w:pPr>
      <w:r>
        <w:t xml:space="preserve">people who are employees or officers of the Commonwealth, the States or Territories who may assist the agency; </w:t>
      </w:r>
    </w:p>
    <w:p w:rsidR="009D0AC9" w:rsidRDefault="009D0AC9" w:rsidP="009D0AC9">
      <w:pPr>
        <w:pStyle w:val="ListParagraph"/>
        <w:numPr>
          <w:ilvl w:val="0"/>
          <w:numId w:val="45"/>
        </w:numPr>
        <w:spacing w:after="120" w:line="240" w:lineRule="auto"/>
        <w:contextualSpacing w:val="0"/>
      </w:pPr>
      <w:r>
        <w:lastRenderedPageBreak/>
        <w:t>members of a committee established by the CEO;</w:t>
      </w:r>
    </w:p>
    <w:p w:rsidR="009D0AC9" w:rsidRDefault="009D0AC9" w:rsidP="009D0AC9">
      <w:pPr>
        <w:pStyle w:val="ListParagraph"/>
        <w:numPr>
          <w:ilvl w:val="0"/>
          <w:numId w:val="45"/>
        </w:numPr>
        <w:spacing w:after="120" w:line="240" w:lineRule="auto"/>
        <w:contextualSpacing w:val="0"/>
      </w:pPr>
      <w:r>
        <w:t>members of the Asbestos Safety and Eradication Council; and</w:t>
      </w:r>
    </w:p>
    <w:p w:rsidR="009D0AC9" w:rsidRDefault="009D0AC9" w:rsidP="009D0AC9">
      <w:pPr>
        <w:pStyle w:val="ListParagraph"/>
        <w:numPr>
          <w:ilvl w:val="0"/>
          <w:numId w:val="45"/>
        </w:numPr>
        <w:spacing w:after="0" w:line="240" w:lineRule="auto"/>
      </w:pPr>
      <w:r>
        <w:t>members of a committee established to assist the Asbestos Safety and Eradication Council.</w:t>
      </w:r>
    </w:p>
    <w:p w:rsidR="009D0AC9" w:rsidRDefault="009D0AC9" w:rsidP="009D0AC9">
      <w:pPr>
        <w:ind w:right="-334"/>
        <w:rPr>
          <w:color w:val="000000" w:themeColor="text1"/>
          <w:szCs w:val="24"/>
        </w:rPr>
      </w:pPr>
    </w:p>
    <w:p w:rsidR="009D0AC9" w:rsidRPr="00632DE3" w:rsidRDefault="009D0AC9" w:rsidP="009D0AC9">
      <w:pPr>
        <w:ind w:right="-334"/>
        <w:rPr>
          <w:color w:val="000000" w:themeColor="text1"/>
          <w:szCs w:val="24"/>
        </w:rPr>
      </w:pPr>
      <w:r>
        <w:rPr>
          <w:color w:val="000000" w:themeColor="text1"/>
          <w:szCs w:val="24"/>
        </w:rPr>
        <w:t xml:space="preserve">For the purposes of the FMA Act, the item specifies that the Chief Executive Officer will be the Chief Executive of the agency. </w:t>
      </w:r>
    </w:p>
    <w:p w:rsidR="009D0AC9" w:rsidRDefault="009D0AC9">
      <w:pPr>
        <w:ind w:right="-334"/>
        <w:rPr>
          <w:color w:val="000000" w:themeColor="text1"/>
          <w:szCs w:val="24"/>
        </w:rPr>
      </w:pPr>
    </w:p>
    <w:sectPr w:rsidR="009D0AC9" w:rsidSect="00AF1F51">
      <w:headerReference w:type="first" r:id="rId14"/>
      <w:pgSz w:w="11906" w:h="16838"/>
      <w:pgMar w:top="1418" w:right="1440" w:bottom="1332"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C4B" w:rsidRDefault="00680C4B" w:rsidP="00AC470B">
      <w:r>
        <w:separator/>
      </w:r>
    </w:p>
  </w:endnote>
  <w:endnote w:type="continuationSeparator" w:id="0">
    <w:p w:rsidR="00680C4B" w:rsidRDefault="00680C4B" w:rsidP="00AC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C4B" w:rsidRDefault="00680C4B" w:rsidP="00AC470B">
      <w:r>
        <w:separator/>
      </w:r>
    </w:p>
  </w:footnote>
  <w:footnote w:type="continuationSeparator" w:id="0">
    <w:p w:rsidR="00680C4B" w:rsidRDefault="00680C4B" w:rsidP="00AC4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86014"/>
      <w:docPartObj>
        <w:docPartGallery w:val="Page Numbers (Top of Page)"/>
        <w:docPartUnique/>
      </w:docPartObj>
    </w:sdtPr>
    <w:sdtEndPr/>
    <w:sdtContent>
      <w:p w:rsidR="00680C4B" w:rsidRDefault="0027595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680C4B" w:rsidRDefault="00680C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4B" w:rsidRDefault="00680C4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4B" w:rsidRDefault="00680C4B">
    <w:pPr>
      <w:pStyle w:val="Header"/>
      <w:jc w:val="center"/>
    </w:pPr>
  </w:p>
  <w:p w:rsidR="00680C4B" w:rsidRDefault="00680C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26C"/>
    <w:multiLevelType w:val="hybridMultilevel"/>
    <w:tmpl w:val="AD80AE10"/>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872566"/>
    <w:multiLevelType w:val="hybridMultilevel"/>
    <w:tmpl w:val="CA6C4AB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0D692B28"/>
    <w:multiLevelType w:val="multilevel"/>
    <w:tmpl w:val="F6DE61D0"/>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880"/>
        </w:tabs>
        <w:ind w:left="2880" w:hanging="360"/>
      </w:pPr>
      <w:rPr>
        <w:rFonts w:hint="default"/>
      </w:rPr>
    </w:lvl>
    <w:lvl w:ilvl="5">
      <w:start w:val="1"/>
      <w:numFmt w:val="decimal"/>
      <w:lvlText w:val="%6."/>
      <w:lvlJc w:val="left"/>
      <w:pPr>
        <w:tabs>
          <w:tab w:val="num" w:pos="3600"/>
        </w:tabs>
        <w:ind w:left="360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5040"/>
        </w:tabs>
        <w:ind w:left="5040" w:hanging="360"/>
      </w:pPr>
      <w:rPr>
        <w:rFonts w:hint="default"/>
      </w:rPr>
    </w:lvl>
    <w:lvl w:ilvl="8">
      <w:start w:val="1"/>
      <w:numFmt w:val="decimal"/>
      <w:lvlText w:val="%9."/>
      <w:lvlJc w:val="left"/>
      <w:pPr>
        <w:tabs>
          <w:tab w:val="num" w:pos="5760"/>
        </w:tabs>
        <w:ind w:left="5760" w:hanging="360"/>
      </w:pPr>
      <w:rPr>
        <w:rFonts w:hint="default"/>
      </w:rPr>
    </w:lvl>
  </w:abstractNum>
  <w:abstractNum w:abstractNumId="3">
    <w:nsid w:val="0DE8383F"/>
    <w:multiLevelType w:val="hybridMultilevel"/>
    <w:tmpl w:val="CBD41972"/>
    <w:lvl w:ilvl="0" w:tplc="9856BD40">
      <w:numFmt w:val="bullet"/>
      <w:lvlText w:val="-"/>
      <w:lvlJc w:val="left"/>
      <w:pPr>
        <w:ind w:left="720" w:hanging="360"/>
      </w:pPr>
      <w:rPr>
        <w:rFonts w:ascii="Times New Roman" w:eastAsiaTheme="minorHAnsi"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F1562B"/>
    <w:multiLevelType w:val="hybridMultilevel"/>
    <w:tmpl w:val="DB2CA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7934BF"/>
    <w:multiLevelType w:val="multilevel"/>
    <w:tmpl w:val="0ED66C50"/>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880"/>
        </w:tabs>
        <w:ind w:left="2880" w:hanging="360"/>
      </w:pPr>
      <w:rPr>
        <w:rFonts w:hint="default"/>
      </w:rPr>
    </w:lvl>
    <w:lvl w:ilvl="5">
      <w:start w:val="1"/>
      <w:numFmt w:val="decimal"/>
      <w:lvlText w:val="%6."/>
      <w:lvlJc w:val="left"/>
      <w:pPr>
        <w:tabs>
          <w:tab w:val="num" w:pos="3600"/>
        </w:tabs>
        <w:ind w:left="360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5040"/>
        </w:tabs>
        <w:ind w:left="5040" w:hanging="360"/>
      </w:pPr>
      <w:rPr>
        <w:rFonts w:hint="default"/>
      </w:rPr>
    </w:lvl>
    <w:lvl w:ilvl="8">
      <w:start w:val="1"/>
      <w:numFmt w:val="decimal"/>
      <w:lvlText w:val="%9."/>
      <w:lvlJc w:val="left"/>
      <w:pPr>
        <w:tabs>
          <w:tab w:val="num" w:pos="5760"/>
        </w:tabs>
        <w:ind w:left="5760" w:hanging="360"/>
      </w:pPr>
      <w:rPr>
        <w:rFonts w:hint="default"/>
      </w:rPr>
    </w:lvl>
  </w:abstractNum>
  <w:abstractNum w:abstractNumId="6">
    <w:nsid w:val="16641D4C"/>
    <w:multiLevelType w:val="hybridMultilevel"/>
    <w:tmpl w:val="2DB83BC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nsid w:val="1ACB0B65"/>
    <w:multiLevelType w:val="hybridMultilevel"/>
    <w:tmpl w:val="9ACABC1A"/>
    <w:lvl w:ilvl="0" w:tplc="EF1E132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4E2590"/>
    <w:multiLevelType w:val="hybridMultilevel"/>
    <w:tmpl w:val="79BC9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8F4716"/>
    <w:multiLevelType w:val="multilevel"/>
    <w:tmpl w:val="377A8C1C"/>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880"/>
        </w:tabs>
        <w:ind w:left="2880" w:hanging="360"/>
      </w:pPr>
      <w:rPr>
        <w:rFonts w:hint="default"/>
      </w:rPr>
    </w:lvl>
    <w:lvl w:ilvl="5">
      <w:start w:val="1"/>
      <w:numFmt w:val="decimal"/>
      <w:lvlText w:val="%6."/>
      <w:lvlJc w:val="left"/>
      <w:pPr>
        <w:tabs>
          <w:tab w:val="num" w:pos="3600"/>
        </w:tabs>
        <w:ind w:left="360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5040"/>
        </w:tabs>
        <w:ind w:left="5040" w:hanging="360"/>
      </w:pPr>
      <w:rPr>
        <w:rFonts w:hint="default"/>
      </w:rPr>
    </w:lvl>
    <w:lvl w:ilvl="8">
      <w:start w:val="1"/>
      <w:numFmt w:val="decimal"/>
      <w:lvlText w:val="%9."/>
      <w:lvlJc w:val="left"/>
      <w:pPr>
        <w:tabs>
          <w:tab w:val="num" w:pos="5760"/>
        </w:tabs>
        <w:ind w:left="5760" w:hanging="360"/>
      </w:pPr>
      <w:rPr>
        <w:rFonts w:hint="default"/>
      </w:rPr>
    </w:lvl>
  </w:abstractNum>
  <w:abstractNum w:abstractNumId="10">
    <w:nsid w:val="23AB14C9"/>
    <w:multiLevelType w:val="hybridMultilevel"/>
    <w:tmpl w:val="FB86F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5B1B49"/>
    <w:multiLevelType w:val="multilevel"/>
    <w:tmpl w:val="55B093F8"/>
    <w:name w:val="AGSQuote"/>
    <w:lvl w:ilvl="0">
      <w:start w:val="1"/>
      <w:numFmt w:val="none"/>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2">
    <w:nsid w:val="27AB7E65"/>
    <w:multiLevelType w:val="hybridMultilevel"/>
    <w:tmpl w:val="4154919C"/>
    <w:lvl w:ilvl="0" w:tplc="62780788">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F61E2B"/>
    <w:multiLevelType w:val="hybridMultilevel"/>
    <w:tmpl w:val="FEC80D0E"/>
    <w:lvl w:ilvl="0" w:tplc="0C090001">
      <w:start w:val="1"/>
      <w:numFmt w:val="bullet"/>
      <w:lvlText w:val=""/>
      <w:lvlJc w:val="left"/>
      <w:pPr>
        <w:ind w:left="2160" w:hanging="360"/>
      </w:pPr>
      <w:rPr>
        <w:rFonts w:ascii="Symbol" w:hAnsi="Symbol" w:hint="default"/>
      </w:rPr>
    </w:lvl>
    <w:lvl w:ilvl="1" w:tplc="0C090003">
      <w:start w:val="1"/>
      <w:numFmt w:val="decimal"/>
      <w:lvlText w:val="%2."/>
      <w:lvlJc w:val="left"/>
      <w:pPr>
        <w:tabs>
          <w:tab w:val="num" w:pos="2520"/>
        </w:tabs>
        <w:ind w:left="2520" w:hanging="360"/>
      </w:pPr>
    </w:lvl>
    <w:lvl w:ilvl="2" w:tplc="0C090005">
      <w:start w:val="1"/>
      <w:numFmt w:val="decimal"/>
      <w:lvlText w:val="%3."/>
      <w:lvlJc w:val="left"/>
      <w:pPr>
        <w:tabs>
          <w:tab w:val="num" w:pos="3240"/>
        </w:tabs>
        <w:ind w:left="3240" w:hanging="360"/>
      </w:pPr>
    </w:lvl>
    <w:lvl w:ilvl="3" w:tplc="0C090001">
      <w:start w:val="1"/>
      <w:numFmt w:val="decimal"/>
      <w:lvlText w:val="%4."/>
      <w:lvlJc w:val="left"/>
      <w:pPr>
        <w:tabs>
          <w:tab w:val="num" w:pos="3960"/>
        </w:tabs>
        <w:ind w:left="3960" w:hanging="360"/>
      </w:pPr>
    </w:lvl>
    <w:lvl w:ilvl="4" w:tplc="0C090003">
      <w:start w:val="1"/>
      <w:numFmt w:val="decimal"/>
      <w:lvlText w:val="%5."/>
      <w:lvlJc w:val="left"/>
      <w:pPr>
        <w:tabs>
          <w:tab w:val="num" w:pos="4680"/>
        </w:tabs>
        <w:ind w:left="4680" w:hanging="360"/>
      </w:pPr>
    </w:lvl>
    <w:lvl w:ilvl="5" w:tplc="0C090005">
      <w:start w:val="1"/>
      <w:numFmt w:val="decimal"/>
      <w:lvlText w:val="%6."/>
      <w:lvlJc w:val="left"/>
      <w:pPr>
        <w:tabs>
          <w:tab w:val="num" w:pos="5400"/>
        </w:tabs>
        <w:ind w:left="5400" w:hanging="360"/>
      </w:pPr>
    </w:lvl>
    <w:lvl w:ilvl="6" w:tplc="0C090001">
      <w:start w:val="1"/>
      <w:numFmt w:val="decimal"/>
      <w:lvlText w:val="%7."/>
      <w:lvlJc w:val="left"/>
      <w:pPr>
        <w:tabs>
          <w:tab w:val="num" w:pos="6120"/>
        </w:tabs>
        <w:ind w:left="6120" w:hanging="360"/>
      </w:pPr>
    </w:lvl>
    <w:lvl w:ilvl="7" w:tplc="0C090003">
      <w:start w:val="1"/>
      <w:numFmt w:val="decimal"/>
      <w:lvlText w:val="%8."/>
      <w:lvlJc w:val="left"/>
      <w:pPr>
        <w:tabs>
          <w:tab w:val="num" w:pos="6840"/>
        </w:tabs>
        <w:ind w:left="6840" w:hanging="360"/>
      </w:pPr>
    </w:lvl>
    <w:lvl w:ilvl="8" w:tplc="0C090005">
      <w:start w:val="1"/>
      <w:numFmt w:val="decimal"/>
      <w:lvlText w:val="%9."/>
      <w:lvlJc w:val="left"/>
      <w:pPr>
        <w:tabs>
          <w:tab w:val="num" w:pos="7560"/>
        </w:tabs>
        <w:ind w:left="7560" w:hanging="360"/>
      </w:pPr>
    </w:lvl>
  </w:abstractNum>
  <w:abstractNum w:abstractNumId="14">
    <w:nsid w:val="2A146D72"/>
    <w:multiLevelType w:val="multilevel"/>
    <w:tmpl w:val="02D88132"/>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880"/>
        </w:tabs>
        <w:ind w:left="2880" w:hanging="360"/>
      </w:pPr>
      <w:rPr>
        <w:rFonts w:hint="default"/>
      </w:rPr>
    </w:lvl>
    <w:lvl w:ilvl="5">
      <w:start w:val="1"/>
      <w:numFmt w:val="decimal"/>
      <w:lvlText w:val="%6."/>
      <w:lvlJc w:val="left"/>
      <w:pPr>
        <w:tabs>
          <w:tab w:val="num" w:pos="3600"/>
        </w:tabs>
        <w:ind w:left="360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5040"/>
        </w:tabs>
        <w:ind w:left="5040" w:hanging="360"/>
      </w:pPr>
      <w:rPr>
        <w:rFonts w:hint="default"/>
      </w:rPr>
    </w:lvl>
    <w:lvl w:ilvl="8">
      <w:start w:val="1"/>
      <w:numFmt w:val="decimal"/>
      <w:lvlText w:val="%9."/>
      <w:lvlJc w:val="left"/>
      <w:pPr>
        <w:tabs>
          <w:tab w:val="num" w:pos="5760"/>
        </w:tabs>
        <w:ind w:left="5760" w:hanging="360"/>
      </w:pPr>
      <w:rPr>
        <w:rFonts w:hint="default"/>
      </w:rPr>
    </w:lvl>
  </w:abstractNum>
  <w:abstractNum w:abstractNumId="15">
    <w:nsid w:val="2CAE5C45"/>
    <w:multiLevelType w:val="hybridMultilevel"/>
    <w:tmpl w:val="44FA7F2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nsid w:val="30607EB5"/>
    <w:multiLevelType w:val="hybridMultilevel"/>
    <w:tmpl w:val="58BCB790"/>
    <w:lvl w:ilvl="0" w:tplc="0DC22EA2">
      <w:start w:val="1"/>
      <w:numFmt w:val="bullet"/>
      <w:lvlText w:val=""/>
      <w:lvlJc w:val="left"/>
      <w:pPr>
        <w:ind w:left="360" w:hanging="360"/>
      </w:pPr>
      <w:rPr>
        <w:rFonts w:ascii="Symbol" w:hAnsi="Symbol" w:hint="default"/>
        <w:sz w:val="20"/>
      </w:rPr>
    </w:lvl>
    <w:lvl w:ilvl="1" w:tplc="0C090003">
      <w:start w:val="1"/>
      <w:numFmt w:val="decimal"/>
      <w:lvlText w:val="%2."/>
      <w:lvlJc w:val="left"/>
      <w:pPr>
        <w:tabs>
          <w:tab w:val="num" w:pos="720"/>
        </w:tabs>
        <w:ind w:left="720" w:hanging="360"/>
      </w:pPr>
    </w:lvl>
    <w:lvl w:ilvl="2" w:tplc="0C090005">
      <w:start w:val="1"/>
      <w:numFmt w:val="decimal"/>
      <w:lvlText w:val="%3."/>
      <w:lvlJc w:val="left"/>
      <w:pPr>
        <w:tabs>
          <w:tab w:val="num" w:pos="1440"/>
        </w:tabs>
        <w:ind w:left="1440" w:hanging="360"/>
      </w:pPr>
    </w:lvl>
    <w:lvl w:ilvl="3" w:tplc="0C090001">
      <w:start w:val="1"/>
      <w:numFmt w:val="decimal"/>
      <w:lvlText w:val="%4."/>
      <w:lvlJc w:val="left"/>
      <w:pPr>
        <w:tabs>
          <w:tab w:val="num" w:pos="2160"/>
        </w:tabs>
        <w:ind w:left="2160" w:hanging="360"/>
      </w:pPr>
    </w:lvl>
    <w:lvl w:ilvl="4" w:tplc="0C090003">
      <w:start w:val="1"/>
      <w:numFmt w:val="decimal"/>
      <w:lvlText w:val="%5."/>
      <w:lvlJc w:val="left"/>
      <w:pPr>
        <w:tabs>
          <w:tab w:val="num" w:pos="2880"/>
        </w:tabs>
        <w:ind w:left="2880" w:hanging="360"/>
      </w:pPr>
    </w:lvl>
    <w:lvl w:ilvl="5" w:tplc="0C090005">
      <w:start w:val="1"/>
      <w:numFmt w:val="decimal"/>
      <w:lvlText w:val="%6."/>
      <w:lvlJc w:val="left"/>
      <w:pPr>
        <w:tabs>
          <w:tab w:val="num" w:pos="3600"/>
        </w:tabs>
        <w:ind w:left="3600" w:hanging="360"/>
      </w:pPr>
    </w:lvl>
    <w:lvl w:ilvl="6" w:tplc="0C090001">
      <w:start w:val="1"/>
      <w:numFmt w:val="decimal"/>
      <w:lvlText w:val="%7."/>
      <w:lvlJc w:val="left"/>
      <w:pPr>
        <w:tabs>
          <w:tab w:val="num" w:pos="4320"/>
        </w:tabs>
        <w:ind w:left="4320" w:hanging="360"/>
      </w:pPr>
    </w:lvl>
    <w:lvl w:ilvl="7" w:tplc="0C090003">
      <w:start w:val="1"/>
      <w:numFmt w:val="decimal"/>
      <w:lvlText w:val="%8."/>
      <w:lvlJc w:val="left"/>
      <w:pPr>
        <w:tabs>
          <w:tab w:val="num" w:pos="5040"/>
        </w:tabs>
        <w:ind w:left="5040" w:hanging="360"/>
      </w:pPr>
    </w:lvl>
    <w:lvl w:ilvl="8" w:tplc="0C090005">
      <w:start w:val="1"/>
      <w:numFmt w:val="decimal"/>
      <w:lvlText w:val="%9."/>
      <w:lvlJc w:val="left"/>
      <w:pPr>
        <w:tabs>
          <w:tab w:val="num" w:pos="5760"/>
        </w:tabs>
        <w:ind w:left="5760" w:hanging="360"/>
      </w:pPr>
    </w:lvl>
  </w:abstractNum>
  <w:abstractNum w:abstractNumId="17">
    <w:nsid w:val="31CE64D9"/>
    <w:multiLevelType w:val="multilevel"/>
    <w:tmpl w:val="FB988D84"/>
    <w:lvl w:ilvl="0">
      <w:start w:val="1"/>
      <w:numFmt w:val="bullet"/>
      <w:lvlText w:val=""/>
      <w:lvlJc w:val="left"/>
      <w:pPr>
        <w:ind w:left="720" w:hanging="363"/>
      </w:pPr>
      <w:rPr>
        <w:rFonts w:ascii="Symbol" w:hAnsi="Symbo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6BD41C2"/>
    <w:multiLevelType w:val="multilevel"/>
    <w:tmpl w:val="5E6CC896"/>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880"/>
        </w:tabs>
        <w:ind w:left="2880" w:hanging="360"/>
      </w:pPr>
      <w:rPr>
        <w:rFonts w:hint="default"/>
      </w:rPr>
    </w:lvl>
    <w:lvl w:ilvl="5">
      <w:start w:val="1"/>
      <w:numFmt w:val="decimal"/>
      <w:lvlText w:val="%6."/>
      <w:lvlJc w:val="left"/>
      <w:pPr>
        <w:tabs>
          <w:tab w:val="num" w:pos="3600"/>
        </w:tabs>
        <w:ind w:left="360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5040"/>
        </w:tabs>
        <w:ind w:left="5040" w:hanging="360"/>
      </w:pPr>
      <w:rPr>
        <w:rFonts w:hint="default"/>
      </w:rPr>
    </w:lvl>
    <w:lvl w:ilvl="8">
      <w:start w:val="1"/>
      <w:numFmt w:val="decimal"/>
      <w:lvlText w:val="%9."/>
      <w:lvlJc w:val="left"/>
      <w:pPr>
        <w:tabs>
          <w:tab w:val="num" w:pos="5760"/>
        </w:tabs>
        <w:ind w:left="5760" w:hanging="360"/>
      </w:pPr>
      <w:rPr>
        <w:rFonts w:hint="default"/>
      </w:rPr>
    </w:lvl>
  </w:abstractNum>
  <w:abstractNum w:abstractNumId="19">
    <w:nsid w:val="3ED95714"/>
    <w:multiLevelType w:val="hybridMultilevel"/>
    <w:tmpl w:val="A240E4D8"/>
    <w:lvl w:ilvl="0" w:tplc="54E2B34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0123F83"/>
    <w:multiLevelType w:val="hybridMultilevel"/>
    <w:tmpl w:val="966ACAF8"/>
    <w:lvl w:ilvl="0" w:tplc="0C090001">
      <w:start w:val="1"/>
      <w:numFmt w:val="bullet"/>
      <w:lvlText w:val=""/>
      <w:lvlJc w:val="left"/>
      <w:pPr>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nsid w:val="402B7409"/>
    <w:multiLevelType w:val="hybridMultilevel"/>
    <w:tmpl w:val="A404B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0C50805"/>
    <w:multiLevelType w:val="multilevel"/>
    <w:tmpl w:val="0C09001D"/>
    <w:numStyleLink w:val="Style1"/>
  </w:abstractNum>
  <w:abstractNum w:abstractNumId="23">
    <w:nsid w:val="414E0611"/>
    <w:multiLevelType w:val="singleLevel"/>
    <w:tmpl w:val="327654E6"/>
    <w:lvl w:ilvl="0">
      <w:start w:val="2"/>
      <w:numFmt w:val="decimal"/>
      <w:pStyle w:val="numberlist"/>
      <w:lvlText w:val="%1."/>
      <w:lvlJc w:val="left"/>
      <w:pPr>
        <w:tabs>
          <w:tab w:val="num" w:pos="360"/>
        </w:tabs>
        <w:ind w:left="360" w:hanging="360"/>
      </w:pPr>
    </w:lvl>
  </w:abstractNum>
  <w:abstractNum w:abstractNumId="24">
    <w:nsid w:val="43C06470"/>
    <w:multiLevelType w:val="multilevel"/>
    <w:tmpl w:val="E9BC8780"/>
    <w:lvl w:ilvl="0">
      <w:start w:val="1"/>
      <w:numFmt w:val="bullet"/>
      <w:lvlText w:val=""/>
      <w:lvlJc w:val="left"/>
      <w:pPr>
        <w:ind w:left="720" w:hanging="363"/>
      </w:pPr>
      <w:rPr>
        <w:rFonts w:ascii="Symbol" w:hAnsi="Symbo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4330E39"/>
    <w:multiLevelType w:val="hybridMultilevel"/>
    <w:tmpl w:val="6024DE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nsid w:val="44A3677E"/>
    <w:multiLevelType w:val="multilevel"/>
    <w:tmpl w:val="CAD865DA"/>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880"/>
        </w:tabs>
        <w:ind w:left="2880" w:hanging="360"/>
      </w:pPr>
      <w:rPr>
        <w:rFonts w:hint="default"/>
      </w:rPr>
    </w:lvl>
    <w:lvl w:ilvl="5">
      <w:start w:val="1"/>
      <w:numFmt w:val="decimal"/>
      <w:lvlText w:val="%6."/>
      <w:lvlJc w:val="left"/>
      <w:pPr>
        <w:tabs>
          <w:tab w:val="num" w:pos="3600"/>
        </w:tabs>
        <w:ind w:left="360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5040"/>
        </w:tabs>
        <w:ind w:left="5040" w:hanging="360"/>
      </w:pPr>
      <w:rPr>
        <w:rFonts w:hint="default"/>
      </w:rPr>
    </w:lvl>
    <w:lvl w:ilvl="8">
      <w:start w:val="1"/>
      <w:numFmt w:val="decimal"/>
      <w:lvlText w:val="%9."/>
      <w:lvlJc w:val="left"/>
      <w:pPr>
        <w:tabs>
          <w:tab w:val="num" w:pos="5760"/>
        </w:tabs>
        <w:ind w:left="5760" w:hanging="360"/>
      </w:pPr>
      <w:rPr>
        <w:rFonts w:hint="default"/>
      </w:rPr>
    </w:lvl>
  </w:abstractNum>
  <w:abstractNum w:abstractNumId="27">
    <w:nsid w:val="477755BB"/>
    <w:multiLevelType w:val="hybridMultilevel"/>
    <w:tmpl w:val="7820D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AEF7BBD"/>
    <w:multiLevelType w:val="hybridMultilevel"/>
    <w:tmpl w:val="BF024B38"/>
    <w:lvl w:ilvl="0" w:tplc="F6E41CA6">
      <w:start w:val="1"/>
      <w:numFmt w:val="bullet"/>
      <w:lvlText w:val=""/>
      <w:lvlJc w:val="left"/>
      <w:pPr>
        <w:ind w:left="360" w:hanging="360"/>
      </w:pPr>
      <w:rPr>
        <w:rFonts w:ascii="Symbol" w:hAnsi="Symbol" w:hint="default"/>
        <w:sz w:val="20"/>
      </w:rPr>
    </w:lvl>
    <w:lvl w:ilvl="1" w:tplc="0C090003">
      <w:start w:val="1"/>
      <w:numFmt w:val="decimal"/>
      <w:lvlText w:val="%2."/>
      <w:lvlJc w:val="left"/>
      <w:pPr>
        <w:tabs>
          <w:tab w:val="num" w:pos="-360"/>
        </w:tabs>
        <w:ind w:left="-360" w:hanging="360"/>
      </w:pPr>
    </w:lvl>
    <w:lvl w:ilvl="2" w:tplc="0C090005">
      <w:start w:val="1"/>
      <w:numFmt w:val="decimal"/>
      <w:lvlText w:val="%3."/>
      <w:lvlJc w:val="left"/>
      <w:pPr>
        <w:tabs>
          <w:tab w:val="num" w:pos="360"/>
        </w:tabs>
        <w:ind w:left="360" w:hanging="360"/>
      </w:pPr>
    </w:lvl>
    <w:lvl w:ilvl="3" w:tplc="0C090001">
      <w:start w:val="1"/>
      <w:numFmt w:val="decimal"/>
      <w:lvlText w:val="%4."/>
      <w:lvlJc w:val="left"/>
      <w:pPr>
        <w:tabs>
          <w:tab w:val="num" w:pos="1080"/>
        </w:tabs>
        <w:ind w:left="1080" w:hanging="360"/>
      </w:pPr>
    </w:lvl>
    <w:lvl w:ilvl="4" w:tplc="0C090003">
      <w:start w:val="1"/>
      <w:numFmt w:val="decimal"/>
      <w:lvlText w:val="%5."/>
      <w:lvlJc w:val="left"/>
      <w:pPr>
        <w:tabs>
          <w:tab w:val="num" w:pos="1800"/>
        </w:tabs>
        <w:ind w:left="1800" w:hanging="360"/>
      </w:pPr>
    </w:lvl>
    <w:lvl w:ilvl="5" w:tplc="0C090005">
      <w:start w:val="1"/>
      <w:numFmt w:val="decimal"/>
      <w:lvlText w:val="%6."/>
      <w:lvlJc w:val="left"/>
      <w:pPr>
        <w:tabs>
          <w:tab w:val="num" w:pos="2520"/>
        </w:tabs>
        <w:ind w:left="2520" w:hanging="360"/>
      </w:pPr>
    </w:lvl>
    <w:lvl w:ilvl="6" w:tplc="0C090001">
      <w:start w:val="1"/>
      <w:numFmt w:val="decimal"/>
      <w:lvlText w:val="%7."/>
      <w:lvlJc w:val="left"/>
      <w:pPr>
        <w:tabs>
          <w:tab w:val="num" w:pos="3240"/>
        </w:tabs>
        <w:ind w:left="3240" w:hanging="360"/>
      </w:pPr>
    </w:lvl>
    <w:lvl w:ilvl="7" w:tplc="0C090003">
      <w:start w:val="1"/>
      <w:numFmt w:val="decimal"/>
      <w:lvlText w:val="%8."/>
      <w:lvlJc w:val="left"/>
      <w:pPr>
        <w:tabs>
          <w:tab w:val="num" w:pos="3960"/>
        </w:tabs>
        <w:ind w:left="3960" w:hanging="360"/>
      </w:pPr>
    </w:lvl>
    <w:lvl w:ilvl="8" w:tplc="0C090005">
      <w:start w:val="1"/>
      <w:numFmt w:val="decimal"/>
      <w:lvlText w:val="%9."/>
      <w:lvlJc w:val="left"/>
      <w:pPr>
        <w:tabs>
          <w:tab w:val="num" w:pos="4680"/>
        </w:tabs>
        <w:ind w:left="4680" w:hanging="360"/>
      </w:pPr>
    </w:lvl>
  </w:abstractNum>
  <w:abstractNum w:abstractNumId="29">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59E4921"/>
    <w:multiLevelType w:val="hybridMultilevel"/>
    <w:tmpl w:val="8D30F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72E4D04"/>
    <w:multiLevelType w:val="hybridMultilevel"/>
    <w:tmpl w:val="CCE2863A"/>
    <w:lvl w:ilvl="0" w:tplc="E1CCFA7A">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0653D65"/>
    <w:multiLevelType w:val="hybridMultilevel"/>
    <w:tmpl w:val="4A9CC6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start w:val="1"/>
      <w:numFmt w:val="decimal"/>
      <w:lvlText w:val="%3."/>
      <w:lvlJc w:val="left"/>
      <w:pPr>
        <w:tabs>
          <w:tab w:val="num" w:pos="1440"/>
        </w:tabs>
        <w:ind w:left="1440" w:hanging="360"/>
      </w:pPr>
    </w:lvl>
    <w:lvl w:ilvl="3" w:tplc="0C09000F">
      <w:start w:val="1"/>
      <w:numFmt w:val="decimal"/>
      <w:lvlText w:val="%4."/>
      <w:lvlJc w:val="left"/>
      <w:pPr>
        <w:tabs>
          <w:tab w:val="num" w:pos="2160"/>
        </w:tabs>
        <w:ind w:left="2160" w:hanging="360"/>
      </w:pPr>
    </w:lvl>
    <w:lvl w:ilvl="4" w:tplc="0C090019">
      <w:start w:val="1"/>
      <w:numFmt w:val="decimal"/>
      <w:lvlText w:val="%5."/>
      <w:lvlJc w:val="left"/>
      <w:pPr>
        <w:tabs>
          <w:tab w:val="num" w:pos="2880"/>
        </w:tabs>
        <w:ind w:left="2880" w:hanging="360"/>
      </w:pPr>
    </w:lvl>
    <w:lvl w:ilvl="5" w:tplc="0C09001B">
      <w:start w:val="1"/>
      <w:numFmt w:val="decimal"/>
      <w:lvlText w:val="%6."/>
      <w:lvlJc w:val="left"/>
      <w:pPr>
        <w:tabs>
          <w:tab w:val="num" w:pos="3600"/>
        </w:tabs>
        <w:ind w:left="3600" w:hanging="360"/>
      </w:pPr>
    </w:lvl>
    <w:lvl w:ilvl="6" w:tplc="0C09000F">
      <w:start w:val="1"/>
      <w:numFmt w:val="decimal"/>
      <w:lvlText w:val="%7."/>
      <w:lvlJc w:val="left"/>
      <w:pPr>
        <w:tabs>
          <w:tab w:val="num" w:pos="4320"/>
        </w:tabs>
        <w:ind w:left="4320" w:hanging="360"/>
      </w:pPr>
    </w:lvl>
    <w:lvl w:ilvl="7" w:tplc="0C090019">
      <w:start w:val="1"/>
      <w:numFmt w:val="decimal"/>
      <w:lvlText w:val="%8."/>
      <w:lvlJc w:val="left"/>
      <w:pPr>
        <w:tabs>
          <w:tab w:val="num" w:pos="5040"/>
        </w:tabs>
        <w:ind w:left="5040" w:hanging="360"/>
      </w:pPr>
    </w:lvl>
    <w:lvl w:ilvl="8" w:tplc="0C09001B">
      <w:start w:val="1"/>
      <w:numFmt w:val="decimal"/>
      <w:lvlText w:val="%9."/>
      <w:lvlJc w:val="left"/>
      <w:pPr>
        <w:tabs>
          <w:tab w:val="num" w:pos="5760"/>
        </w:tabs>
        <w:ind w:left="5760" w:hanging="360"/>
      </w:pPr>
    </w:lvl>
  </w:abstractNum>
  <w:abstractNum w:abstractNumId="33">
    <w:nsid w:val="647C39E3"/>
    <w:multiLevelType w:val="multilevel"/>
    <w:tmpl w:val="560677C0"/>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880"/>
        </w:tabs>
        <w:ind w:left="2880" w:hanging="360"/>
      </w:pPr>
      <w:rPr>
        <w:rFonts w:hint="default"/>
      </w:rPr>
    </w:lvl>
    <w:lvl w:ilvl="5">
      <w:start w:val="1"/>
      <w:numFmt w:val="decimal"/>
      <w:lvlText w:val="%6."/>
      <w:lvlJc w:val="left"/>
      <w:pPr>
        <w:tabs>
          <w:tab w:val="num" w:pos="3600"/>
        </w:tabs>
        <w:ind w:left="360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5040"/>
        </w:tabs>
        <w:ind w:left="5040" w:hanging="360"/>
      </w:pPr>
      <w:rPr>
        <w:rFonts w:hint="default"/>
      </w:rPr>
    </w:lvl>
    <w:lvl w:ilvl="8">
      <w:start w:val="1"/>
      <w:numFmt w:val="decimal"/>
      <w:lvlText w:val="%9."/>
      <w:lvlJc w:val="left"/>
      <w:pPr>
        <w:tabs>
          <w:tab w:val="num" w:pos="5760"/>
        </w:tabs>
        <w:ind w:left="5760" w:hanging="360"/>
      </w:pPr>
      <w:rPr>
        <w:rFonts w:hint="default"/>
      </w:rPr>
    </w:lvl>
  </w:abstractNum>
  <w:abstractNum w:abstractNumId="34">
    <w:nsid w:val="668F4F43"/>
    <w:multiLevelType w:val="hybridMultilevel"/>
    <w:tmpl w:val="EB667092"/>
    <w:lvl w:ilvl="0" w:tplc="EFBC9EF0">
      <w:start w:val="1"/>
      <w:numFmt w:val="bullet"/>
      <w:lvlText w:val=""/>
      <w:lvlJc w:val="left"/>
      <w:pPr>
        <w:ind w:left="360" w:hanging="360"/>
      </w:pPr>
      <w:rPr>
        <w:rFonts w:ascii="Symbol" w:hAnsi="Symbol" w:hint="default"/>
        <w:sz w:val="20"/>
      </w:rPr>
    </w:lvl>
    <w:lvl w:ilvl="1" w:tplc="0C090003">
      <w:start w:val="1"/>
      <w:numFmt w:val="decimal"/>
      <w:lvlText w:val="%2."/>
      <w:lvlJc w:val="left"/>
      <w:pPr>
        <w:tabs>
          <w:tab w:val="num" w:pos="720"/>
        </w:tabs>
        <w:ind w:left="720" w:hanging="360"/>
      </w:pPr>
    </w:lvl>
    <w:lvl w:ilvl="2" w:tplc="0C090005">
      <w:start w:val="1"/>
      <w:numFmt w:val="decimal"/>
      <w:lvlText w:val="%3."/>
      <w:lvlJc w:val="left"/>
      <w:pPr>
        <w:tabs>
          <w:tab w:val="num" w:pos="1440"/>
        </w:tabs>
        <w:ind w:left="1440" w:hanging="360"/>
      </w:pPr>
    </w:lvl>
    <w:lvl w:ilvl="3" w:tplc="0C090001">
      <w:start w:val="1"/>
      <w:numFmt w:val="decimal"/>
      <w:lvlText w:val="%4."/>
      <w:lvlJc w:val="left"/>
      <w:pPr>
        <w:tabs>
          <w:tab w:val="num" w:pos="2160"/>
        </w:tabs>
        <w:ind w:left="2160" w:hanging="360"/>
      </w:pPr>
    </w:lvl>
    <w:lvl w:ilvl="4" w:tplc="0C090003">
      <w:start w:val="1"/>
      <w:numFmt w:val="decimal"/>
      <w:lvlText w:val="%5."/>
      <w:lvlJc w:val="left"/>
      <w:pPr>
        <w:tabs>
          <w:tab w:val="num" w:pos="2880"/>
        </w:tabs>
        <w:ind w:left="2880" w:hanging="360"/>
      </w:pPr>
    </w:lvl>
    <w:lvl w:ilvl="5" w:tplc="0C090005">
      <w:start w:val="1"/>
      <w:numFmt w:val="decimal"/>
      <w:lvlText w:val="%6."/>
      <w:lvlJc w:val="left"/>
      <w:pPr>
        <w:tabs>
          <w:tab w:val="num" w:pos="3600"/>
        </w:tabs>
        <w:ind w:left="3600" w:hanging="360"/>
      </w:pPr>
    </w:lvl>
    <w:lvl w:ilvl="6" w:tplc="0C090001">
      <w:start w:val="1"/>
      <w:numFmt w:val="decimal"/>
      <w:lvlText w:val="%7."/>
      <w:lvlJc w:val="left"/>
      <w:pPr>
        <w:tabs>
          <w:tab w:val="num" w:pos="4320"/>
        </w:tabs>
        <w:ind w:left="4320" w:hanging="360"/>
      </w:pPr>
    </w:lvl>
    <w:lvl w:ilvl="7" w:tplc="0C090003">
      <w:start w:val="1"/>
      <w:numFmt w:val="decimal"/>
      <w:lvlText w:val="%8."/>
      <w:lvlJc w:val="left"/>
      <w:pPr>
        <w:tabs>
          <w:tab w:val="num" w:pos="5040"/>
        </w:tabs>
        <w:ind w:left="5040" w:hanging="360"/>
      </w:pPr>
    </w:lvl>
    <w:lvl w:ilvl="8" w:tplc="0C090005">
      <w:start w:val="1"/>
      <w:numFmt w:val="decimal"/>
      <w:lvlText w:val="%9."/>
      <w:lvlJc w:val="left"/>
      <w:pPr>
        <w:tabs>
          <w:tab w:val="num" w:pos="5760"/>
        </w:tabs>
        <w:ind w:left="5760" w:hanging="360"/>
      </w:pPr>
    </w:lvl>
  </w:abstractNum>
  <w:abstractNum w:abstractNumId="35">
    <w:nsid w:val="6A2D09F7"/>
    <w:multiLevelType w:val="hybridMultilevel"/>
    <w:tmpl w:val="93BAD722"/>
    <w:lvl w:ilvl="0" w:tplc="CB807CFE">
      <w:start w:val="22"/>
      <w:numFmt w:val="bullet"/>
      <w:lvlText w:val="•"/>
      <w:lvlJc w:val="left"/>
      <w:pPr>
        <w:ind w:left="927" w:hanging="360"/>
      </w:pPr>
      <w:rPr>
        <w:rFonts w:ascii="Verdana" w:eastAsia="Times New Roman" w:hAnsi="Verdana"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6">
    <w:nsid w:val="6B3C1C5B"/>
    <w:multiLevelType w:val="hybridMultilevel"/>
    <w:tmpl w:val="1AB8653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7">
    <w:nsid w:val="6D9C55FE"/>
    <w:multiLevelType w:val="hybridMultilevel"/>
    <w:tmpl w:val="8D56AEF2"/>
    <w:lvl w:ilvl="0" w:tplc="8834B33C">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30" w:hanging="360"/>
      </w:pPr>
      <w:rPr>
        <w:rFonts w:ascii="Courier New" w:hAnsi="Courier New" w:cs="Courier New" w:hint="default"/>
      </w:rPr>
    </w:lvl>
    <w:lvl w:ilvl="2" w:tplc="0C090005" w:tentative="1">
      <w:start w:val="1"/>
      <w:numFmt w:val="bullet"/>
      <w:lvlText w:val=""/>
      <w:lvlJc w:val="left"/>
      <w:pPr>
        <w:ind w:left="1750" w:hanging="360"/>
      </w:pPr>
      <w:rPr>
        <w:rFonts w:ascii="Wingdings" w:hAnsi="Wingdings" w:hint="default"/>
      </w:rPr>
    </w:lvl>
    <w:lvl w:ilvl="3" w:tplc="0C090001" w:tentative="1">
      <w:start w:val="1"/>
      <w:numFmt w:val="bullet"/>
      <w:lvlText w:val=""/>
      <w:lvlJc w:val="left"/>
      <w:pPr>
        <w:ind w:left="2470" w:hanging="360"/>
      </w:pPr>
      <w:rPr>
        <w:rFonts w:ascii="Symbol" w:hAnsi="Symbol" w:hint="default"/>
      </w:rPr>
    </w:lvl>
    <w:lvl w:ilvl="4" w:tplc="0C090003" w:tentative="1">
      <w:start w:val="1"/>
      <w:numFmt w:val="bullet"/>
      <w:lvlText w:val="o"/>
      <w:lvlJc w:val="left"/>
      <w:pPr>
        <w:ind w:left="3190" w:hanging="360"/>
      </w:pPr>
      <w:rPr>
        <w:rFonts w:ascii="Courier New" w:hAnsi="Courier New" w:cs="Courier New" w:hint="default"/>
      </w:rPr>
    </w:lvl>
    <w:lvl w:ilvl="5" w:tplc="0C090005" w:tentative="1">
      <w:start w:val="1"/>
      <w:numFmt w:val="bullet"/>
      <w:lvlText w:val=""/>
      <w:lvlJc w:val="left"/>
      <w:pPr>
        <w:ind w:left="3910" w:hanging="360"/>
      </w:pPr>
      <w:rPr>
        <w:rFonts w:ascii="Wingdings" w:hAnsi="Wingdings" w:hint="default"/>
      </w:rPr>
    </w:lvl>
    <w:lvl w:ilvl="6" w:tplc="0C090001" w:tentative="1">
      <w:start w:val="1"/>
      <w:numFmt w:val="bullet"/>
      <w:lvlText w:val=""/>
      <w:lvlJc w:val="left"/>
      <w:pPr>
        <w:ind w:left="4630" w:hanging="360"/>
      </w:pPr>
      <w:rPr>
        <w:rFonts w:ascii="Symbol" w:hAnsi="Symbol" w:hint="default"/>
      </w:rPr>
    </w:lvl>
    <w:lvl w:ilvl="7" w:tplc="0C090003" w:tentative="1">
      <w:start w:val="1"/>
      <w:numFmt w:val="bullet"/>
      <w:lvlText w:val="o"/>
      <w:lvlJc w:val="left"/>
      <w:pPr>
        <w:ind w:left="5350" w:hanging="360"/>
      </w:pPr>
      <w:rPr>
        <w:rFonts w:ascii="Courier New" w:hAnsi="Courier New" w:cs="Courier New" w:hint="default"/>
      </w:rPr>
    </w:lvl>
    <w:lvl w:ilvl="8" w:tplc="0C090005" w:tentative="1">
      <w:start w:val="1"/>
      <w:numFmt w:val="bullet"/>
      <w:lvlText w:val=""/>
      <w:lvlJc w:val="left"/>
      <w:pPr>
        <w:ind w:left="6070" w:hanging="360"/>
      </w:pPr>
      <w:rPr>
        <w:rFonts w:ascii="Wingdings" w:hAnsi="Wingdings" w:hint="default"/>
      </w:rPr>
    </w:lvl>
  </w:abstractNum>
  <w:abstractNum w:abstractNumId="38">
    <w:nsid w:val="799D4CC8"/>
    <w:multiLevelType w:val="hybridMultilevel"/>
    <w:tmpl w:val="A07E8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A706BA1"/>
    <w:multiLevelType w:val="hybridMultilevel"/>
    <w:tmpl w:val="88082A6E"/>
    <w:lvl w:ilvl="0" w:tplc="8834B33C">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7DCF440C"/>
    <w:multiLevelType w:val="hybridMultilevel"/>
    <w:tmpl w:val="A418AD7E"/>
    <w:lvl w:ilvl="0" w:tplc="0C090001">
      <w:start w:val="1"/>
      <w:numFmt w:val="bullet"/>
      <w:lvlText w:val=""/>
      <w:lvlJc w:val="left"/>
      <w:pPr>
        <w:ind w:left="21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1">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1"/>
  </w:num>
  <w:num w:numId="2">
    <w:abstractNumId w:val="6"/>
  </w:num>
  <w:num w:numId="3">
    <w:abstractNumId w:val="23"/>
    <w:lvlOverride w:ilvl="0">
      <w:startOverride w:val="2"/>
    </w:lvlOverride>
  </w:num>
  <w:num w:numId="4">
    <w:abstractNumId w:val="21"/>
  </w:num>
  <w:num w:numId="5">
    <w:abstractNumId w:val="3"/>
  </w:num>
  <w:num w:numId="6">
    <w:abstractNumId w:val="0"/>
  </w:num>
  <w:num w:numId="7">
    <w:abstractNumId w:val="27"/>
  </w:num>
  <w:num w:numId="8">
    <w:abstractNumId w:val="30"/>
  </w:num>
  <w:num w:numId="9">
    <w:abstractNumId w:val="12"/>
  </w:num>
  <w:num w:numId="10">
    <w:abstractNumId w:val="4"/>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35"/>
  </w:num>
  <w:num w:numId="17">
    <w:abstractNumId w:val="36"/>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
  </w:num>
  <w:num w:numId="25">
    <w:abstractNumId w:val="37"/>
  </w:num>
  <w:num w:numId="26">
    <w:abstractNumId w:val="34"/>
  </w:num>
  <w:num w:numId="27">
    <w:abstractNumId w:val="16"/>
  </w:num>
  <w:num w:numId="28">
    <w:abstractNumId w:val="19"/>
  </w:num>
  <w:num w:numId="29">
    <w:abstractNumId w:val="28"/>
  </w:num>
  <w:num w:numId="30">
    <w:abstractNumId w:val="31"/>
  </w:num>
  <w:num w:numId="31">
    <w:abstractNumId w:val="10"/>
  </w:num>
  <w:num w:numId="32">
    <w:abstractNumId w:val="39"/>
  </w:num>
  <w:num w:numId="33">
    <w:abstractNumId w:val="29"/>
  </w:num>
  <w:num w:numId="34">
    <w:abstractNumId w:val="17"/>
  </w:num>
  <w:num w:numId="35">
    <w:abstractNumId w:val="22"/>
  </w:num>
  <w:num w:numId="36">
    <w:abstractNumId w:val="26"/>
  </w:num>
  <w:num w:numId="37">
    <w:abstractNumId w:val="33"/>
  </w:num>
  <w:num w:numId="38">
    <w:abstractNumId w:val="9"/>
  </w:num>
  <w:num w:numId="39">
    <w:abstractNumId w:val="5"/>
  </w:num>
  <w:num w:numId="40">
    <w:abstractNumId w:val="18"/>
  </w:num>
  <w:num w:numId="41">
    <w:abstractNumId w:val="14"/>
  </w:num>
  <w:num w:numId="42">
    <w:abstractNumId w:val="2"/>
  </w:num>
  <w:num w:numId="43">
    <w:abstractNumId w:val="26"/>
    <w:lvlOverride w:ilvl="0">
      <w:lvl w:ilvl="0">
        <w:start w:val="1"/>
        <w:numFmt w:val="bullet"/>
        <w:lvlText w:val=""/>
        <w:lvlJc w:val="left"/>
        <w:pPr>
          <w:ind w:left="720" w:hanging="363"/>
        </w:pPr>
        <w:rPr>
          <w:rFonts w:ascii="Symbol" w:hAnsi="Symbol" w:hint="default"/>
          <w:sz w:val="20"/>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start w:val="1"/>
        <w:numFmt w:val="decimal"/>
        <w:lvlText w:val="%3."/>
        <w:lvlJc w:val="left"/>
        <w:pPr>
          <w:tabs>
            <w:tab w:val="num" w:pos="1440"/>
          </w:tabs>
          <w:ind w:left="1440" w:hanging="360"/>
        </w:pPr>
        <w:rPr>
          <w:rFonts w:hint="default"/>
        </w:rPr>
      </w:lvl>
    </w:lvlOverride>
    <w:lvlOverride w:ilvl="3">
      <w:lvl w:ilvl="3">
        <w:start w:val="1"/>
        <w:numFmt w:val="decimal"/>
        <w:lvlText w:val="%4."/>
        <w:lvlJc w:val="left"/>
        <w:pPr>
          <w:tabs>
            <w:tab w:val="num" w:pos="2160"/>
          </w:tabs>
          <w:ind w:left="2160" w:hanging="360"/>
        </w:pPr>
        <w:rPr>
          <w:rFonts w:hint="default"/>
        </w:rPr>
      </w:lvl>
    </w:lvlOverride>
    <w:lvlOverride w:ilvl="4">
      <w:lvl w:ilvl="4">
        <w:start w:val="1"/>
        <w:numFmt w:val="decimal"/>
        <w:lvlText w:val="%5."/>
        <w:lvlJc w:val="left"/>
        <w:pPr>
          <w:tabs>
            <w:tab w:val="num" w:pos="2880"/>
          </w:tabs>
          <w:ind w:left="2880" w:hanging="360"/>
        </w:pPr>
        <w:rPr>
          <w:rFonts w:hint="default"/>
        </w:rPr>
      </w:lvl>
    </w:lvlOverride>
    <w:lvlOverride w:ilvl="5">
      <w:lvl w:ilvl="5">
        <w:start w:val="1"/>
        <w:numFmt w:val="decimal"/>
        <w:lvlText w:val="%6."/>
        <w:lvlJc w:val="left"/>
        <w:pPr>
          <w:tabs>
            <w:tab w:val="num" w:pos="3600"/>
          </w:tabs>
          <w:ind w:left="3600" w:hanging="360"/>
        </w:pPr>
        <w:rPr>
          <w:rFonts w:hint="default"/>
        </w:rPr>
      </w:lvl>
    </w:lvlOverride>
    <w:lvlOverride w:ilvl="6">
      <w:lvl w:ilvl="6">
        <w:start w:val="1"/>
        <w:numFmt w:val="decimal"/>
        <w:lvlText w:val="%7."/>
        <w:lvlJc w:val="left"/>
        <w:pPr>
          <w:tabs>
            <w:tab w:val="num" w:pos="4320"/>
          </w:tabs>
          <w:ind w:left="4320" w:hanging="360"/>
        </w:pPr>
        <w:rPr>
          <w:rFonts w:hint="default"/>
        </w:rPr>
      </w:lvl>
    </w:lvlOverride>
    <w:lvlOverride w:ilvl="7">
      <w:lvl w:ilvl="7">
        <w:start w:val="1"/>
        <w:numFmt w:val="decimal"/>
        <w:lvlText w:val="%8."/>
        <w:lvlJc w:val="left"/>
        <w:pPr>
          <w:tabs>
            <w:tab w:val="num" w:pos="5040"/>
          </w:tabs>
          <w:ind w:left="5040" w:hanging="360"/>
        </w:pPr>
        <w:rPr>
          <w:rFonts w:hint="default"/>
        </w:rPr>
      </w:lvl>
    </w:lvlOverride>
    <w:lvlOverride w:ilvl="8">
      <w:lvl w:ilvl="8">
        <w:start w:val="1"/>
        <w:numFmt w:val="decimal"/>
        <w:lvlText w:val="%9."/>
        <w:lvlJc w:val="left"/>
        <w:pPr>
          <w:tabs>
            <w:tab w:val="num" w:pos="5760"/>
          </w:tabs>
          <w:ind w:left="5760" w:hanging="360"/>
        </w:pPr>
        <w:rPr>
          <w:rFonts w:hint="default"/>
        </w:rPr>
      </w:lvl>
    </w:lvlOverride>
  </w:num>
  <w:num w:numId="44">
    <w:abstractNumId w:val="24"/>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F92"/>
    <w:rsid w:val="0000078B"/>
    <w:rsid w:val="00004C73"/>
    <w:rsid w:val="00006B55"/>
    <w:rsid w:val="00010368"/>
    <w:rsid w:val="0001211F"/>
    <w:rsid w:val="0002493D"/>
    <w:rsid w:val="00024D80"/>
    <w:rsid w:val="00033CB2"/>
    <w:rsid w:val="000368EC"/>
    <w:rsid w:val="00036B5B"/>
    <w:rsid w:val="00040193"/>
    <w:rsid w:val="00044376"/>
    <w:rsid w:val="0004632A"/>
    <w:rsid w:val="000522C4"/>
    <w:rsid w:val="00056E34"/>
    <w:rsid w:val="00057CAC"/>
    <w:rsid w:val="00057F57"/>
    <w:rsid w:val="00062850"/>
    <w:rsid w:val="00063ACB"/>
    <w:rsid w:val="00064E4C"/>
    <w:rsid w:val="000728BE"/>
    <w:rsid w:val="00072A4D"/>
    <w:rsid w:val="00077469"/>
    <w:rsid w:val="000814DF"/>
    <w:rsid w:val="00082E4D"/>
    <w:rsid w:val="000931EB"/>
    <w:rsid w:val="00094790"/>
    <w:rsid w:val="00095EE4"/>
    <w:rsid w:val="000962DB"/>
    <w:rsid w:val="000A0A6F"/>
    <w:rsid w:val="000A1EDC"/>
    <w:rsid w:val="000B0E3E"/>
    <w:rsid w:val="000C38BE"/>
    <w:rsid w:val="000C5786"/>
    <w:rsid w:val="000D0ABE"/>
    <w:rsid w:val="000E0B9A"/>
    <w:rsid w:val="000E0BBB"/>
    <w:rsid w:val="000E127A"/>
    <w:rsid w:val="000E14C7"/>
    <w:rsid w:val="000E39BF"/>
    <w:rsid w:val="000E574F"/>
    <w:rsid w:val="000E5BDD"/>
    <w:rsid w:val="000E62FD"/>
    <w:rsid w:val="000F5D22"/>
    <w:rsid w:val="001029C4"/>
    <w:rsid w:val="00102B3F"/>
    <w:rsid w:val="001209E3"/>
    <w:rsid w:val="00127660"/>
    <w:rsid w:val="0013073D"/>
    <w:rsid w:val="00131DCB"/>
    <w:rsid w:val="001330AB"/>
    <w:rsid w:val="00133D36"/>
    <w:rsid w:val="00135E6D"/>
    <w:rsid w:val="00136E1C"/>
    <w:rsid w:val="00140A28"/>
    <w:rsid w:val="001517FE"/>
    <w:rsid w:val="0015593A"/>
    <w:rsid w:val="00171BB7"/>
    <w:rsid w:val="0018523C"/>
    <w:rsid w:val="0019213D"/>
    <w:rsid w:val="00192EFF"/>
    <w:rsid w:val="00197335"/>
    <w:rsid w:val="001A2968"/>
    <w:rsid w:val="001A68D8"/>
    <w:rsid w:val="001B0E79"/>
    <w:rsid w:val="001B32EE"/>
    <w:rsid w:val="001B6F72"/>
    <w:rsid w:val="001B7454"/>
    <w:rsid w:val="001C0819"/>
    <w:rsid w:val="001C68BF"/>
    <w:rsid w:val="001D0E56"/>
    <w:rsid w:val="001D0F82"/>
    <w:rsid w:val="001D6688"/>
    <w:rsid w:val="001D789E"/>
    <w:rsid w:val="001E65CC"/>
    <w:rsid w:val="001F36DD"/>
    <w:rsid w:val="001F5852"/>
    <w:rsid w:val="001F5ACF"/>
    <w:rsid w:val="00203EE6"/>
    <w:rsid w:val="002077D4"/>
    <w:rsid w:val="00212942"/>
    <w:rsid w:val="00212EFE"/>
    <w:rsid w:val="00215B16"/>
    <w:rsid w:val="00231DC6"/>
    <w:rsid w:val="0023491D"/>
    <w:rsid w:val="00237705"/>
    <w:rsid w:val="00237C7E"/>
    <w:rsid w:val="00244B9E"/>
    <w:rsid w:val="00246150"/>
    <w:rsid w:val="00247F6C"/>
    <w:rsid w:val="00255A00"/>
    <w:rsid w:val="00263331"/>
    <w:rsid w:val="00264EB9"/>
    <w:rsid w:val="00271FF0"/>
    <w:rsid w:val="0027595A"/>
    <w:rsid w:val="0028116C"/>
    <w:rsid w:val="00281872"/>
    <w:rsid w:val="00283861"/>
    <w:rsid w:val="00283F32"/>
    <w:rsid w:val="00286D04"/>
    <w:rsid w:val="00295658"/>
    <w:rsid w:val="00297E1C"/>
    <w:rsid w:val="002A1213"/>
    <w:rsid w:val="002A1F30"/>
    <w:rsid w:val="002A265D"/>
    <w:rsid w:val="002A596C"/>
    <w:rsid w:val="002B36B0"/>
    <w:rsid w:val="002C1C60"/>
    <w:rsid w:val="002C1FB3"/>
    <w:rsid w:val="002C2D51"/>
    <w:rsid w:val="002D2C47"/>
    <w:rsid w:val="002D3066"/>
    <w:rsid w:val="002D33B7"/>
    <w:rsid w:val="002D75B4"/>
    <w:rsid w:val="002E3ED7"/>
    <w:rsid w:val="002E7793"/>
    <w:rsid w:val="002F39B5"/>
    <w:rsid w:val="002F3AB9"/>
    <w:rsid w:val="00304463"/>
    <w:rsid w:val="00306D4B"/>
    <w:rsid w:val="00312E6A"/>
    <w:rsid w:val="003144BC"/>
    <w:rsid w:val="003155EB"/>
    <w:rsid w:val="00324A36"/>
    <w:rsid w:val="003251ED"/>
    <w:rsid w:val="00326DEA"/>
    <w:rsid w:val="0034095A"/>
    <w:rsid w:val="003438E4"/>
    <w:rsid w:val="0034430B"/>
    <w:rsid w:val="00346E7F"/>
    <w:rsid w:val="0034763D"/>
    <w:rsid w:val="00347BDB"/>
    <w:rsid w:val="00352824"/>
    <w:rsid w:val="00361190"/>
    <w:rsid w:val="00362E79"/>
    <w:rsid w:val="00365DAA"/>
    <w:rsid w:val="00377131"/>
    <w:rsid w:val="00377A79"/>
    <w:rsid w:val="00380B6B"/>
    <w:rsid w:val="00380CA4"/>
    <w:rsid w:val="00383CBD"/>
    <w:rsid w:val="00384814"/>
    <w:rsid w:val="003A1C1F"/>
    <w:rsid w:val="003A736A"/>
    <w:rsid w:val="003B1877"/>
    <w:rsid w:val="003C6967"/>
    <w:rsid w:val="003C6B6D"/>
    <w:rsid w:val="003D15E5"/>
    <w:rsid w:val="003D44C0"/>
    <w:rsid w:val="003D559B"/>
    <w:rsid w:val="003D7963"/>
    <w:rsid w:val="003E1ECC"/>
    <w:rsid w:val="003F4A72"/>
    <w:rsid w:val="003F5209"/>
    <w:rsid w:val="003F7BF7"/>
    <w:rsid w:val="00403C4C"/>
    <w:rsid w:val="00404FED"/>
    <w:rsid w:val="00407639"/>
    <w:rsid w:val="0041055B"/>
    <w:rsid w:val="00414B73"/>
    <w:rsid w:val="00421326"/>
    <w:rsid w:val="00423588"/>
    <w:rsid w:val="00430442"/>
    <w:rsid w:val="0043364A"/>
    <w:rsid w:val="00434E7C"/>
    <w:rsid w:val="004366F8"/>
    <w:rsid w:val="00441CE1"/>
    <w:rsid w:val="00447FF2"/>
    <w:rsid w:val="00452394"/>
    <w:rsid w:val="00453AA7"/>
    <w:rsid w:val="0046098D"/>
    <w:rsid w:val="00470DE4"/>
    <w:rsid w:val="004712F3"/>
    <w:rsid w:val="00476364"/>
    <w:rsid w:val="00490A2F"/>
    <w:rsid w:val="004921C5"/>
    <w:rsid w:val="004A2138"/>
    <w:rsid w:val="004A4134"/>
    <w:rsid w:val="004A4E06"/>
    <w:rsid w:val="004A7E12"/>
    <w:rsid w:val="004B13C0"/>
    <w:rsid w:val="004B44E0"/>
    <w:rsid w:val="004B79F4"/>
    <w:rsid w:val="004C4714"/>
    <w:rsid w:val="004C5527"/>
    <w:rsid w:val="004C69E7"/>
    <w:rsid w:val="004C7695"/>
    <w:rsid w:val="004C7E4C"/>
    <w:rsid w:val="004E1E29"/>
    <w:rsid w:val="004F2116"/>
    <w:rsid w:val="004F41B9"/>
    <w:rsid w:val="004F5C92"/>
    <w:rsid w:val="005013EE"/>
    <w:rsid w:val="00503825"/>
    <w:rsid w:val="00504D01"/>
    <w:rsid w:val="00505641"/>
    <w:rsid w:val="00511218"/>
    <w:rsid w:val="00513427"/>
    <w:rsid w:val="00514027"/>
    <w:rsid w:val="00515749"/>
    <w:rsid w:val="00520672"/>
    <w:rsid w:val="00522C24"/>
    <w:rsid w:val="00523BB8"/>
    <w:rsid w:val="00526003"/>
    <w:rsid w:val="005274F6"/>
    <w:rsid w:val="005275EB"/>
    <w:rsid w:val="0054062C"/>
    <w:rsid w:val="00542A7F"/>
    <w:rsid w:val="00562006"/>
    <w:rsid w:val="005647D7"/>
    <w:rsid w:val="00564976"/>
    <w:rsid w:val="00571532"/>
    <w:rsid w:val="005724F7"/>
    <w:rsid w:val="0057260C"/>
    <w:rsid w:val="00576528"/>
    <w:rsid w:val="005825EB"/>
    <w:rsid w:val="00585138"/>
    <w:rsid w:val="00585599"/>
    <w:rsid w:val="00587557"/>
    <w:rsid w:val="00590C46"/>
    <w:rsid w:val="005A0280"/>
    <w:rsid w:val="005A03D8"/>
    <w:rsid w:val="005A059D"/>
    <w:rsid w:val="005A2BA2"/>
    <w:rsid w:val="005B7BED"/>
    <w:rsid w:val="005C2BF1"/>
    <w:rsid w:val="005C3C2E"/>
    <w:rsid w:val="005C5E89"/>
    <w:rsid w:val="005C7253"/>
    <w:rsid w:val="005C7C8F"/>
    <w:rsid w:val="005E29DF"/>
    <w:rsid w:val="005F0501"/>
    <w:rsid w:val="005F51A2"/>
    <w:rsid w:val="0060046F"/>
    <w:rsid w:val="00601BEB"/>
    <w:rsid w:val="0060303C"/>
    <w:rsid w:val="0060337F"/>
    <w:rsid w:val="00607B10"/>
    <w:rsid w:val="00613F23"/>
    <w:rsid w:val="00614D5F"/>
    <w:rsid w:val="00622BC9"/>
    <w:rsid w:val="00624DE4"/>
    <w:rsid w:val="00632DE3"/>
    <w:rsid w:val="006332E4"/>
    <w:rsid w:val="00634B12"/>
    <w:rsid w:val="00640624"/>
    <w:rsid w:val="006408D1"/>
    <w:rsid w:val="006413FC"/>
    <w:rsid w:val="006448F3"/>
    <w:rsid w:val="0064618E"/>
    <w:rsid w:val="00656FED"/>
    <w:rsid w:val="0066140D"/>
    <w:rsid w:val="0066156E"/>
    <w:rsid w:val="00670426"/>
    <w:rsid w:val="0067104A"/>
    <w:rsid w:val="00672FD7"/>
    <w:rsid w:val="00674163"/>
    <w:rsid w:val="0067416C"/>
    <w:rsid w:val="00675385"/>
    <w:rsid w:val="00680C4B"/>
    <w:rsid w:val="00686A2C"/>
    <w:rsid w:val="0069073C"/>
    <w:rsid w:val="006912E2"/>
    <w:rsid w:val="0069140E"/>
    <w:rsid w:val="00692AD2"/>
    <w:rsid w:val="006B0DA0"/>
    <w:rsid w:val="006B3AD7"/>
    <w:rsid w:val="006B3D41"/>
    <w:rsid w:val="006B560E"/>
    <w:rsid w:val="006B5ED9"/>
    <w:rsid w:val="006B651A"/>
    <w:rsid w:val="006C3ADB"/>
    <w:rsid w:val="006C4BC0"/>
    <w:rsid w:val="006D3E0E"/>
    <w:rsid w:val="006E0C7E"/>
    <w:rsid w:val="006F03C1"/>
    <w:rsid w:val="006F6854"/>
    <w:rsid w:val="006F6BE2"/>
    <w:rsid w:val="0070202D"/>
    <w:rsid w:val="007031B4"/>
    <w:rsid w:val="007045A3"/>
    <w:rsid w:val="00704D40"/>
    <w:rsid w:val="00704FBC"/>
    <w:rsid w:val="00705C97"/>
    <w:rsid w:val="00706BE6"/>
    <w:rsid w:val="00706F2A"/>
    <w:rsid w:val="00710701"/>
    <w:rsid w:val="0071692F"/>
    <w:rsid w:val="00723C1F"/>
    <w:rsid w:val="0073040B"/>
    <w:rsid w:val="00730B1E"/>
    <w:rsid w:val="00734CD1"/>
    <w:rsid w:val="007372E2"/>
    <w:rsid w:val="00741F92"/>
    <w:rsid w:val="00756EA0"/>
    <w:rsid w:val="00763C3B"/>
    <w:rsid w:val="00766D01"/>
    <w:rsid w:val="00772E05"/>
    <w:rsid w:val="0077364E"/>
    <w:rsid w:val="00776864"/>
    <w:rsid w:val="00776D46"/>
    <w:rsid w:val="00780EBF"/>
    <w:rsid w:val="00781660"/>
    <w:rsid w:val="0078560C"/>
    <w:rsid w:val="00791B8E"/>
    <w:rsid w:val="00791F79"/>
    <w:rsid w:val="007974BA"/>
    <w:rsid w:val="007A2471"/>
    <w:rsid w:val="007B48A8"/>
    <w:rsid w:val="007C25EF"/>
    <w:rsid w:val="007C311F"/>
    <w:rsid w:val="007C5765"/>
    <w:rsid w:val="007E2726"/>
    <w:rsid w:val="007E2B7E"/>
    <w:rsid w:val="007F0C7D"/>
    <w:rsid w:val="007F58BB"/>
    <w:rsid w:val="007F6000"/>
    <w:rsid w:val="007F6F57"/>
    <w:rsid w:val="008001E5"/>
    <w:rsid w:val="00816CFA"/>
    <w:rsid w:val="0082292F"/>
    <w:rsid w:val="0082525F"/>
    <w:rsid w:val="008257B1"/>
    <w:rsid w:val="0082724C"/>
    <w:rsid w:val="00830723"/>
    <w:rsid w:val="008313C3"/>
    <w:rsid w:val="008467F5"/>
    <w:rsid w:val="008510FF"/>
    <w:rsid w:val="00855E92"/>
    <w:rsid w:val="00856D24"/>
    <w:rsid w:val="00856F48"/>
    <w:rsid w:val="008747FF"/>
    <w:rsid w:val="00885A10"/>
    <w:rsid w:val="00886F43"/>
    <w:rsid w:val="00890006"/>
    <w:rsid w:val="008926B7"/>
    <w:rsid w:val="008928B0"/>
    <w:rsid w:val="00892ABB"/>
    <w:rsid w:val="00895EA2"/>
    <w:rsid w:val="008A4ECF"/>
    <w:rsid w:val="008B244A"/>
    <w:rsid w:val="008B3D0F"/>
    <w:rsid w:val="008C13C3"/>
    <w:rsid w:val="008D0AF2"/>
    <w:rsid w:val="008D51A5"/>
    <w:rsid w:val="008E40C4"/>
    <w:rsid w:val="008F0B39"/>
    <w:rsid w:val="008F23EF"/>
    <w:rsid w:val="008F242F"/>
    <w:rsid w:val="008F6582"/>
    <w:rsid w:val="00912EFD"/>
    <w:rsid w:val="009200F6"/>
    <w:rsid w:val="00926993"/>
    <w:rsid w:val="00932A94"/>
    <w:rsid w:val="00934007"/>
    <w:rsid w:val="009352D0"/>
    <w:rsid w:val="0093667B"/>
    <w:rsid w:val="00942205"/>
    <w:rsid w:val="009432B0"/>
    <w:rsid w:val="009466B5"/>
    <w:rsid w:val="00946C56"/>
    <w:rsid w:val="009542F1"/>
    <w:rsid w:val="0095536C"/>
    <w:rsid w:val="00956074"/>
    <w:rsid w:val="00956800"/>
    <w:rsid w:val="00960158"/>
    <w:rsid w:val="00961936"/>
    <w:rsid w:val="0096526A"/>
    <w:rsid w:val="00971013"/>
    <w:rsid w:val="0097569F"/>
    <w:rsid w:val="0097712F"/>
    <w:rsid w:val="00983EA5"/>
    <w:rsid w:val="009914FD"/>
    <w:rsid w:val="00991BE5"/>
    <w:rsid w:val="009939C6"/>
    <w:rsid w:val="009941BD"/>
    <w:rsid w:val="00994BF1"/>
    <w:rsid w:val="00994DB6"/>
    <w:rsid w:val="009963A3"/>
    <w:rsid w:val="009A055E"/>
    <w:rsid w:val="009A0DEE"/>
    <w:rsid w:val="009A12D2"/>
    <w:rsid w:val="009A2C50"/>
    <w:rsid w:val="009A7620"/>
    <w:rsid w:val="009B0E46"/>
    <w:rsid w:val="009B367A"/>
    <w:rsid w:val="009B5D8E"/>
    <w:rsid w:val="009C1E24"/>
    <w:rsid w:val="009C2970"/>
    <w:rsid w:val="009C3CC2"/>
    <w:rsid w:val="009C3F4D"/>
    <w:rsid w:val="009D0AC9"/>
    <w:rsid w:val="009D4C65"/>
    <w:rsid w:val="009D5067"/>
    <w:rsid w:val="009D69D3"/>
    <w:rsid w:val="009E254C"/>
    <w:rsid w:val="009E2A6D"/>
    <w:rsid w:val="00A034BE"/>
    <w:rsid w:val="00A062E0"/>
    <w:rsid w:val="00A07017"/>
    <w:rsid w:val="00A1352C"/>
    <w:rsid w:val="00A1687C"/>
    <w:rsid w:val="00A2053C"/>
    <w:rsid w:val="00A277CD"/>
    <w:rsid w:val="00A338B4"/>
    <w:rsid w:val="00A371F5"/>
    <w:rsid w:val="00A4115A"/>
    <w:rsid w:val="00A42868"/>
    <w:rsid w:val="00A43E7B"/>
    <w:rsid w:val="00A51DFE"/>
    <w:rsid w:val="00A53FD8"/>
    <w:rsid w:val="00A574EB"/>
    <w:rsid w:val="00A62F85"/>
    <w:rsid w:val="00A66514"/>
    <w:rsid w:val="00A66571"/>
    <w:rsid w:val="00A66628"/>
    <w:rsid w:val="00A675FD"/>
    <w:rsid w:val="00A80CEA"/>
    <w:rsid w:val="00A83806"/>
    <w:rsid w:val="00A83BCE"/>
    <w:rsid w:val="00A86882"/>
    <w:rsid w:val="00A86940"/>
    <w:rsid w:val="00A86BAD"/>
    <w:rsid w:val="00A91443"/>
    <w:rsid w:val="00A96EFD"/>
    <w:rsid w:val="00AA2894"/>
    <w:rsid w:val="00AA40D4"/>
    <w:rsid w:val="00AB0528"/>
    <w:rsid w:val="00AC0E6A"/>
    <w:rsid w:val="00AC269B"/>
    <w:rsid w:val="00AC31D2"/>
    <w:rsid w:val="00AC4288"/>
    <w:rsid w:val="00AC470B"/>
    <w:rsid w:val="00AC6493"/>
    <w:rsid w:val="00AC68B9"/>
    <w:rsid w:val="00AD2A8F"/>
    <w:rsid w:val="00AE3E0B"/>
    <w:rsid w:val="00AE45BD"/>
    <w:rsid w:val="00AE4BAB"/>
    <w:rsid w:val="00AE6A54"/>
    <w:rsid w:val="00AF020A"/>
    <w:rsid w:val="00AF1235"/>
    <w:rsid w:val="00AF1F51"/>
    <w:rsid w:val="00AF757F"/>
    <w:rsid w:val="00AF7C14"/>
    <w:rsid w:val="00B00C80"/>
    <w:rsid w:val="00B01FB6"/>
    <w:rsid w:val="00B06D07"/>
    <w:rsid w:val="00B12B81"/>
    <w:rsid w:val="00B141E8"/>
    <w:rsid w:val="00B32DA7"/>
    <w:rsid w:val="00B353B8"/>
    <w:rsid w:val="00B447D1"/>
    <w:rsid w:val="00B4623F"/>
    <w:rsid w:val="00B47A9B"/>
    <w:rsid w:val="00B50EBF"/>
    <w:rsid w:val="00B52928"/>
    <w:rsid w:val="00B53355"/>
    <w:rsid w:val="00B53D83"/>
    <w:rsid w:val="00B6007A"/>
    <w:rsid w:val="00B6161A"/>
    <w:rsid w:val="00B64F5E"/>
    <w:rsid w:val="00B80080"/>
    <w:rsid w:val="00B8109F"/>
    <w:rsid w:val="00B83BB6"/>
    <w:rsid w:val="00B924E0"/>
    <w:rsid w:val="00BA03F6"/>
    <w:rsid w:val="00BA0A40"/>
    <w:rsid w:val="00BB0ED5"/>
    <w:rsid w:val="00BB17A9"/>
    <w:rsid w:val="00BB1A7C"/>
    <w:rsid w:val="00BB33E5"/>
    <w:rsid w:val="00BB4876"/>
    <w:rsid w:val="00BB6049"/>
    <w:rsid w:val="00BD02E8"/>
    <w:rsid w:val="00BD346A"/>
    <w:rsid w:val="00BD3689"/>
    <w:rsid w:val="00BD4717"/>
    <w:rsid w:val="00BD4BAE"/>
    <w:rsid w:val="00BD6231"/>
    <w:rsid w:val="00BE20FB"/>
    <w:rsid w:val="00BE5FE3"/>
    <w:rsid w:val="00BE6CE9"/>
    <w:rsid w:val="00BE7410"/>
    <w:rsid w:val="00C002E3"/>
    <w:rsid w:val="00C023D4"/>
    <w:rsid w:val="00C0551B"/>
    <w:rsid w:val="00C0720E"/>
    <w:rsid w:val="00C0776D"/>
    <w:rsid w:val="00C1317C"/>
    <w:rsid w:val="00C15C80"/>
    <w:rsid w:val="00C17CBA"/>
    <w:rsid w:val="00C20A69"/>
    <w:rsid w:val="00C21981"/>
    <w:rsid w:val="00C23AC9"/>
    <w:rsid w:val="00C258D8"/>
    <w:rsid w:val="00C27027"/>
    <w:rsid w:val="00C272FB"/>
    <w:rsid w:val="00C33964"/>
    <w:rsid w:val="00C36F2F"/>
    <w:rsid w:val="00C41338"/>
    <w:rsid w:val="00C4498E"/>
    <w:rsid w:val="00C50025"/>
    <w:rsid w:val="00C54188"/>
    <w:rsid w:val="00C5699B"/>
    <w:rsid w:val="00C6394F"/>
    <w:rsid w:val="00C77316"/>
    <w:rsid w:val="00C8124F"/>
    <w:rsid w:val="00C815EC"/>
    <w:rsid w:val="00C83CB9"/>
    <w:rsid w:val="00C91AFB"/>
    <w:rsid w:val="00C96D8C"/>
    <w:rsid w:val="00CA0603"/>
    <w:rsid w:val="00CA68D9"/>
    <w:rsid w:val="00CB2791"/>
    <w:rsid w:val="00CC27AB"/>
    <w:rsid w:val="00CC3824"/>
    <w:rsid w:val="00CC5320"/>
    <w:rsid w:val="00CC5E1A"/>
    <w:rsid w:val="00CD243E"/>
    <w:rsid w:val="00CD3752"/>
    <w:rsid w:val="00CD3E12"/>
    <w:rsid w:val="00CD454F"/>
    <w:rsid w:val="00CD5D32"/>
    <w:rsid w:val="00CE1015"/>
    <w:rsid w:val="00CE39AB"/>
    <w:rsid w:val="00CE6262"/>
    <w:rsid w:val="00CE7628"/>
    <w:rsid w:val="00CF1C96"/>
    <w:rsid w:val="00CF7F10"/>
    <w:rsid w:val="00D026BA"/>
    <w:rsid w:val="00D0692F"/>
    <w:rsid w:val="00D07465"/>
    <w:rsid w:val="00D11FFF"/>
    <w:rsid w:val="00D15133"/>
    <w:rsid w:val="00D156DF"/>
    <w:rsid w:val="00D159DE"/>
    <w:rsid w:val="00D21FEA"/>
    <w:rsid w:val="00D243AC"/>
    <w:rsid w:val="00D2590E"/>
    <w:rsid w:val="00D26AB5"/>
    <w:rsid w:val="00D30115"/>
    <w:rsid w:val="00D33BE9"/>
    <w:rsid w:val="00D354BF"/>
    <w:rsid w:val="00D36B54"/>
    <w:rsid w:val="00D41A8A"/>
    <w:rsid w:val="00D44074"/>
    <w:rsid w:val="00D440D7"/>
    <w:rsid w:val="00D45D84"/>
    <w:rsid w:val="00D553B1"/>
    <w:rsid w:val="00D57F39"/>
    <w:rsid w:val="00D6235B"/>
    <w:rsid w:val="00D62449"/>
    <w:rsid w:val="00D6339C"/>
    <w:rsid w:val="00D70A96"/>
    <w:rsid w:val="00D74726"/>
    <w:rsid w:val="00D76878"/>
    <w:rsid w:val="00D85244"/>
    <w:rsid w:val="00D93251"/>
    <w:rsid w:val="00D95FDF"/>
    <w:rsid w:val="00DA3D1E"/>
    <w:rsid w:val="00DA482C"/>
    <w:rsid w:val="00DA63B3"/>
    <w:rsid w:val="00DA6C37"/>
    <w:rsid w:val="00DB53CD"/>
    <w:rsid w:val="00DB569A"/>
    <w:rsid w:val="00DC33C1"/>
    <w:rsid w:val="00DC4A83"/>
    <w:rsid w:val="00DC60FB"/>
    <w:rsid w:val="00DE7D94"/>
    <w:rsid w:val="00DE7FDC"/>
    <w:rsid w:val="00DF2144"/>
    <w:rsid w:val="00DF26A0"/>
    <w:rsid w:val="00DF404E"/>
    <w:rsid w:val="00DF60C4"/>
    <w:rsid w:val="00DF688D"/>
    <w:rsid w:val="00E02894"/>
    <w:rsid w:val="00E0681B"/>
    <w:rsid w:val="00E10F1D"/>
    <w:rsid w:val="00E162A8"/>
    <w:rsid w:val="00E17E2B"/>
    <w:rsid w:val="00E23047"/>
    <w:rsid w:val="00E23644"/>
    <w:rsid w:val="00E31AD1"/>
    <w:rsid w:val="00E36112"/>
    <w:rsid w:val="00E3654E"/>
    <w:rsid w:val="00E439FF"/>
    <w:rsid w:val="00E45590"/>
    <w:rsid w:val="00E50438"/>
    <w:rsid w:val="00E56781"/>
    <w:rsid w:val="00E601B5"/>
    <w:rsid w:val="00E638BF"/>
    <w:rsid w:val="00E6393D"/>
    <w:rsid w:val="00E75EC2"/>
    <w:rsid w:val="00E76725"/>
    <w:rsid w:val="00E77E98"/>
    <w:rsid w:val="00E83403"/>
    <w:rsid w:val="00E87AF2"/>
    <w:rsid w:val="00E91662"/>
    <w:rsid w:val="00E91F0C"/>
    <w:rsid w:val="00E929AF"/>
    <w:rsid w:val="00EA2984"/>
    <w:rsid w:val="00EA328B"/>
    <w:rsid w:val="00EA33D9"/>
    <w:rsid w:val="00EA3D3E"/>
    <w:rsid w:val="00EA6844"/>
    <w:rsid w:val="00EB62ED"/>
    <w:rsid w:val="00EC0C24"/>
    <w:rsid w:val="00EC52D4"/>
    <w:rsid w:val="00ED0C43"/>
    <w:rsid w:val="00ED534B"/>
    <w:rsid w:val="00ED5AB9"/>
    <w:rsid w:val="00ED63ED"/>
    <w:rsid w:val="00ED71B9"/>
    <w:rsid w:val="00ED757E"/>
    <w:rsid w:val="00EE0232"/>
    <w:rsid w:val="00EE1433"/>
    <w:rsid w:val="00EE24E7"/>
    <w:rsid w:val="00EE63D1"/>
    <w:rsid w:val="00EE6BD2"/>
    <w:rsid w:val="00EF417E"/>
    <w:rsid w:val="00F0023F"/>
    <w:rsid w:val="00F00CA6"/>
    <w:rsid w:val="00F00EBD"/>
    <w:rsid w:val="00F03C85"/>
    <w:rsid w:val="00F0416E"/>
    <w:rsid w:val="00F042E2"/>
    <w:rsid w:val="00F239BE"/>
    <w:rsid w:val="00F24F89"/>
    <w:rsid w:val="00F25408"/>
    <w:rsid w:val="00F325DB"/>
    <w:rsid w:val="00F33CA8"/>
    <w:rsid w:val="00F33DD2"/>
    <w:rsid w:val="00F377A5"/>
    <w:rsid w:val="00F4450E"/>
    <w:rsid w:val="00F53C5D"/>
    <w:rsid w:val="00F561E0"/>
    <w:rsid w:val="00F5694F"/>
    <w:rsid w:val="00F62784"/>
    <w:rsid w:val="00F66DB9"/>
    <w:rsid w:val="00F738C9"/>
    <w:rsid w:val="00F74527"/>
    <w:rsid w:val="00F76446"/>
    <w:rsid w:val="00F76C0C"/>
    <w:rsid w:val="00F82953"/>
    <w:rsid w:val="00F94D98"/>
    <w:rsid w:val="00F97FED"/>
    <w:rsid w:val="00FB2AEC"/>
    <w:rsid w:val="00FB6915"/>
    <w:rsid w:val="00FC03FB"/>
    <w:rsid w:val="00FC1625"/>
    <w:rsid w:val="00FC6B9E"/>
    <w:rsid w:val="00FD2C7D"/>
    <w:rsid w:val="00FD2F8D"/>
    <w:rsid w:val="00FD45F6"/>
    <w:rsid w:val="00FD577A"/>
    <w:rsid w:val="00FD724D"/>
    <w:rsid w:val="00FE0611"/>
    <w:rsid w:val="00FF0E04"/>
    <w:rsid w:val="00FF1C30"/>
    <w:rsid w:val="00FF54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ABB"/>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741F92"/>
    <w:pPr>
      <w:keepNext/>
      <w:numPr>
        <w:numId w:val="1"/>
      </w:numPr>
      <w:outlineLvl w:val="0"/>
    </w:pPr>
    <w:rPr>
      <w:b/>
      <w:caps/>
    </w:rPr>
  </w:style>
  <w:style w:type="paragraph" w:styleId="Heading2">
    <w:name w:val="heading 2"/>
    <w:basedOn w:val="Normal"/>
    <w:next w:val="Normal"/>
    <w:link w:val="Heading2Char"/>
    <w:uiPriority w:val="9"/>
    <w:qFormat/>
    <w:rsid w:val="00741F92"/>
    <w:pPr>
      <w:keepNext/>
      <w:numPr>
        <w:ilvl w:val="1"/>
        <w:numId w:val="1"/>
      </w:numPr>
      <w:spacing w:before="360" w:after="60"/>
      <w:outlineLvl w:val="1"/>
    </w:pPr>
    <w:rPr>
      <w:b/>
    </w:rPr>
  </w:style>
  <w:style w:type="paragraph" w:styleId="Heading6">
    <w:name w:val="heading 6"/>
    <w:basedOn w:val="Normal"/>
    <w:next w:val="Normal"/>
    <w:link w:val="Heading6Char"/>
    <w:qFormat/>
    <w:rsid w:val="009432B0"/>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F92"/>
    <w:rPr>
      <w:rFonts w:ascii="Times New Roman" w:eastAsia="Times New Roman" w:hAnsi="Times New Roman" w:cs="Times New Roman"/>
      <w:b/>
      <w:caps/>
      <w:sz w:val="24"/>
      <w:szCs w:val="20"/>
      <w:lang w:eastAsia="en-AU"/>
    </w:rPr>
  </w:style>
  <w:style w:type="character" w:customStyle="1" w:styleId="Heading2Char">
    <w:name w:val="Heading 2 Char"/>
    <w:basedOn w:val="DefaultParagraphFont"/>
    <w:link w:val="Heading2"/>
    <w:uiPriority w:val="9"/>
    <w:rsid w:val="00741F92"/>
    <w:rPr>
      <w:rFonts w:ascii="Times New Roman" w:eastAsia="Times New Roman" w:hAnsi="Times New Roman" w:cs="Times New Roman"/>
      <w:b/>
      <w:sz w:val="24"/>
      <w:szCs w:val="20"/>
      <w:lang w:eastAsia="en-AU"/>
    </w:rPr>
  </w:style>
  <w:style w:type="character" w:customStyle="1" w:styleId="Heading6Char">
    <w:name w:val="Heading 6 Char"/>
    <w:basedOn w:val="DefaultParagraphFont"/>
    <w:link w:val="Heading6"/>
    <w:rsid w:val="00741F92"/>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rsid w:val="009432B0"/>
    <w:pPr>
      <w:tabs>
        <w:tab w:val="center" w:pos="4153"/>
        <w:tab w:val="right" w:pos="8306"/>
      </w:tabs>
    </w:pPr>
  </w:style>
  <w:style w:type="character" w:customStyle="1" w:styleId="FooterChar">
    <w:name w:val="Footer Char"/>
    <w:basedOn w:val="DefaultParagraphFont"/>
    <w:link w:val="Footer"/>
    <w:uiPriority w:val="99"/>
    <w:rsid w:val="00741F92"/>
    <w:rPr>
      <w:rFonts w:ascii="Times New Roman" w:eastAsia="Times New Roman" w:hAnsi="Times New Roman" w:cs="Times New Roman"/>
      <w:sz w:val="24"/>
      <w:szCs w:val="20"/>
      <w:lang w:eastAsia="en-AU"/>
    </w:rPr>
  </w:style>
  <w:style w:type="paragraph" w:customStyle="1" w:styleId="HB-Paragraph">
    <w:name w:val="HB - Paragraph"/>
    <w:basedOn w:val="Normal"/>
    <w:rsid w:val="00741F92"/>
    <w:pPr>
      <w:numPr>
        <w:ilvl w:val="2"/>
        <w:numId w:val="1"/>
      </w:numPr>
      <w:spacing w:before="120" w:after="120"/>
    </w:pPr>
  </w:style>
  <w:style w:type="paragraph" w:styleId="Header">
    <w:name w:val="header"/>
    <w:basedOn w:val="Normal"/>
    <w:link w:val="HeaderChar"/>
    <w:uiPriority w:val="99"/>
    <w:rsid w:val="009432B0"/>
    <w:pPr>
      <w:tabs>
        <w:tab w:val="center" w:pos="4153"/>
        <w:tab w:val="right" w:pos="8306"/>
      </w:tabs>
    </w:pPr>
  </w:style>
  <w:style w:type="character" w:customStyle="1" w:styleId="HeaderChar">
    <w:name w:val="Header Char"/>
    <w:basedOn w:val="DefaultParagraphFont"/>
    <w:link w:val="Header"/>
    <w:uiPriority w:val="99"/>
    <w:rsid w:val="00741F92"/>
    <w:rPr>
      <w:rFonts w:ascii="Times New Roman" w:eastAsia="Times New Roman" w:hAnsi="Times New Roman" w:cs="Times New Roman"/>
      <w:sz w:val="24"/>
      <w:szCs w:val="20"/>
      <w:lang w:eastAsia="en-AU"/>
    </w:rPr>
  </w:style>
  <w:style w:type="paragraph" w:customStyle="1" w:styleId="ParaNumbering">
    <w:name w:val="Para Numbering"/>
    <w:basedOn w:val="Normal"/>
    <w:rsid w:val="00741F92"/>
    <w:pPr>
      <w:tabs>
        <w:tab w:val="num" w:pos="360"/>
        <w:tab w:val="left" w:pos="567"/>
      </w:tabs>
      <w:spacing w:after="240" w:line="240" w:lineRule="atLeast"/>
    </w:pPr>
    <w:rPr>
      <w:lang w:eastAsia="en-US"/>
    </w:rPr>
  </w:style>
  <w:style w:type="paragraph" w:styleId="ListParagraph">
    <w:name w:val="List Paragraph"/>
    <w:aliases w:val="NFP GP Bulleted List,List Paragraph1,Recommendation,List Paragraph11"/>
    <w:basedOn w:val="Normal"/>
    <w:link w:val="ListParagraphChar"/>
    <w:uiPriority w:val="34"/>
    <w:qFormat/>
    <w:rsid w:val="00741F92"/>
    <w:pPr>
      <w:spacing w:after="200" w:line="276" w:lineRule="auto"/>
      <w:ind w:left="720"/>
      <w:contextualSpacing/>
    </w:pPr>
    <w:rPr>
      <w:rFonts w:eastAsia="Calibri"/>
      <w:szCs w:val="22"/>
      <w:lang w:eastAsia="en-US"/>
    </w:rPr>
  </w:style>
  <w:style w:type="paragraph" w:customStyle="1" w:styleId="paranumbering0">
    <w:name w:val="paranumbering"/>
    <w:basedOn w:val="Normal"/>
    <w:uiPriority w:val="99"/>
    <w:rsid w:val="00741F92"/>
    <w:pPr>
      <w:spacing w:before="100" w:beforeAutospacing="1" w:after="100" w:afterAutospacing="1"/>
    </w:pPr>
    <w:rPr>
      <w:rFonts w:eastAsiaTheme="minorHAnsi"/>
      <w:szCs w:val="24"/>
    </w:rPr>
  </w:style>
  <w:style w:type="paragraph" w:customStyle="1" w:styleId="numberlist">
    <w:name w:val="number_list"/>
    <w:basedOn w:val="Normal"/>
    <w:uiPriority w:val="99"/>
    <w:rsid w:val="00741F92"/>
    <w:pPr>
      <w:numPr>
        <w:numId w:val="3"/>
      </w:numPr>
      <w:spacing w:after="120"/>
    </w:pPr>
    <w:rPr>
      <w:rFonts w:eastAsiaTheme="minorHAnsi"/>
      <w:szCs w:val="24"/>
    </w:rPr>
  </w:style>
  <w:style w:type="character" w:styleId="Hyperlink">
    <w:name w:val="Hyperlink"/>
    <w:basedOn w:val="DefaultParagraphFont"/>
    <w:uiPriority w:val="99"/>
    <w:unhideWhenUsed/>
    <w:rsid w:val="00741F92"/>
    <w:rPr>
      <w:color w:val="0000FF" w:themeColor="hyperlink"/>
      <w:u w:val="single"/>
    </w:rPr>
  </w:style>
  <w:style w:type="paragraph" w:customStyle="1" w:styleId="CABNETParagraphAtt">
    <w:name w:val="CABNET Paragraph Att"/>
    <w:basedOn w:val="Normal"/>
    <w:link w:val="CABNETParagraphAttChar"/>
    <w:qFormat/>
    <w:rsid w:val="00010368"/>
    <w:pPr>
      <w:spacing w:before="120" w:after="120"/>
    </w:pPr>
    <w:rPr>
      <w:rFonts w:ascii="Verdana" w:hAnsi="Verdana"/>
      <w:sz w:val="22"/>
      <w:szCs w:val="24"/>
    </w:rPr>
  </w:style>
  <w:style w:type="character" w:customStyle="1" w:styleId="CABNETParagraphAttChar">
    <w:name w:val="CABNET Paragraph Att Char"/>
    <w:basedOn w:val="DefaultParagraphFont"/>
    <w:link w:val="CABNETParagraphAtt"/>
    <w:rsid w:val="00010368"/>
    <w:rPr>
      <w:rFonts w:ascii="Verdana" w:eastAsia="Times New Roman" w:hAnsi="Verdana" w:cs="Times New Roman"/>
      <w:szCs w:val="24"/>
      <w:lang w:eastAsia="en-AU"/>
    </w:rPr>
  </w:style>
  <w:style w:type="paragraph" w:styleId="NormalWeb">
    <w:name w:val="Normal (Web)"/>
    <w:basedOn w:val="Normal"/>
    <w:uiPriority w:val="99"/>
    <w:unhideWhenUsed/>
    <w:rsid w:val="00010368"/>
    <w:pPr>
      <w:spacing w:after="288"/>
    </w:pPr>
    <w:rPr>
      <w:szCs w:val="24"/>
    </w:rPr>
  </w:style>
  <w:style w:type="paragraph" w:styleId="FootnoteText">
    <w:name w:val="footnote text"/>
    <w:basedOn w:val="Normal"/>
    <w:link w:val="FootnoteTextChar"/>
    <w:rsid w:val="00010368"/>
    <w:rPr>
      <w:sz w:val="20"/>
    </w:rPr>
  </w:style>
  <w:style w:type="character" w:customStyle="1" w:styleId="FootnoteTextChar">
    <w:name w:val="Footnote Text Char"/>
    <w:basedOn w:val="DefaultParagraphFont"/>
    <w:link w:val="FootnoteText"/>
    <w:rsid w:val="00010368"/>
    <w:rPr>
      <w:rFonts w:ascii="Times New Roman" w:eastAsia="Times New Roman" w:hAnsi="Times New Roman" w:cs="Times New Roman"/>
      <w:sz w:val="20"/>
      <w:szCs w:val="20"/>
      <w:lang w:eastAsia="en-AU"/>
    </w:rPr>
  </w:style>
  <w:style w:type="character" w:customStyle="1" w:styleId="StyleBody">
    <w:name w:val="Style +Body"/>
    <w:basedOn w:val="DefaultParagraphFont"/>
    <w:rsid w:val="00064E4C"/>
    <w:rPr>
      <w:rFonts w:asciiTheme="minorHAnsi" w:hAnsiTheme="minorHAnsi"/>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064E4C"/>
    <w:rPr>
      <w:rFonts w:ascii="Times New Roman" w:eastAsia="Calibri" w:hAnsi="Times New Roman" w:cs="Times New Roman"/>
      <w:sz w:val="24"/>
    </w:rPr>
  </w:style>
  <w:style w:type="paragraph" w:styleId="CommentText">
    <w:name w:val="annotation text"/>
    <w:basedOn w:val="Normal"/>
    <w:link w:val="CommentTextChar"/>
    <w:uiPriority w:val="99"/>
    <w:semiHidden/>
    <w:unhideWhenUsed/>
    <w:rsid w:val="00064E4C"/>
    <w:rPr>
      <w:rFonts w:ascii="Calibri" w:eastAsiaTheme="minorHAnsi" w:hAnsi="Calibri" w:cs="Calibri"/>
      <w:sz w:val="20"/>
    </w:rPr>
  </w:style>
  <w:style w:type="character" w:customStyle="1" w:styleId="CommentTextChar">
    <w:name w:val="Comment Text Char"/>
    <w:basedOn w:val="DefaultParagraphFont"/>
    <w:link w:val="CommentText"/>
    <w:uiPriority w:val="99"/>
    <w:semiHidden/>
    <w:rsid w:val="00064E4C"/>
    <w:rPr>
      <w:rFonts w:ascii="Calibri" w:hAnsi="Calibri" w:cs="Calibri"/>
      <w:sz w:val="20"/>
      <w:szCs w:val="20"/>
      <w:lang w:eastAsia="en-AU"/>
    </w:rPr>
  </w:style>
  <w:style w:type="paragraph" w:customStyle="1" w:styleId="Default">
    <w:name w:val="Default"/>
    <w:basedOn w:val="Normal"/>
    <w:rsid w:val="00F33CA8"/>
    <w:pPr>
      <w:autoSpaceDE w:val="0"/>
      <w:autoSpaceDN w:val="0"/>
    </w:pPr>
    <w:rPr>
      <w:rFonts w:eastAsiaTheme="minorHAnsi"/>
      <w:color w:val="000000"/>
      <w:szCs w:val="24"/>
    </w:rPr>
  </w:style>
  <w:style w:type="character" w:styleId="CommentReference">
    <w:name w:val="annotation reference"/>
    <w:basedOn w:val="DefaultParagraphFont"/>
    <w:uiPriority w:val="99"/>
    <w:semiHidden/>
    <w:unhideWhenUsed/>
    <w:rsid w:val="002A1213"/>
    <w:rPr>
      <w:sz w:val="16"/>
      <w:szCs w:val="16"/>
    </w:rPr>
  </w:style>
  <w:style w:type="paragraph" w:styleId="BalloonText">
    <w:name w:val="Balloon Text"/>
    <w:basedOn w:val="Normal"/>
    <w:link w:val="BalloonTextChar"/>
    <w:uiPriority w:val="99"/>
    <w:semiHidden/>
    <w:unhideWhenUsed/>
    <w:rsid w:val="002A1213"/>
    <w:rPr>
      <w:rFonts w:ascii="Tahoma" w:hAnsi="Tahoma" w:cs="Tahoma"/>
      <w:sz w:val="16"/>
      <w:szCs w:val="16"/>
    </w:rPr>
  </w:style>
  <w:style w:type="character" w:customStyle="1" w:styleId="BalloonTextChar">
    <w:name w:val="Balloon Text Char"/>
    <w:basedOn w:val="DefaultParagraphFont"/>
    <w:link w:val="BalloonText"/>
    <w:uiPriority w:val="99"/>
    <w:semiHidden/>
    <w:rsid w:val="002A1213"/>
    <w:rPr>
      <w:rFonts w:ascii="Tahoma" w:eastAsia="Times New Roman" w:hAnsi="Tahoma" w:cs="Tahoma"/>
      <w:sz w:val="16"/>
      <w:szCs w:val="16"/>
      <w:lang w:eastAsia="en-AU"/>
    </w:rPr>
  </w:style>
  <w:style w:type="paragraph" w:customStyle="1" w:styleId="CABBackGround">
    <w:name w:val="CABBackGround"/>
    <w:basedOn w:val="Normal"/>
    <w:link w:val="CABBackGroundChar1"/>
    <w:rsid w:val="005275EB"/>
    <w:pPr>
      <w:spacing w:line="360" w:lineRule="auto"/>
    </w:pPr>
  </w:style>
  <w:style w:type="character" w:customStyle="1" w:styleId="CABBackGroundChar1">
    <w:name w:val="CABBackGround Char1"/>
    <w:basedOn w:val="DefaultParagraphFont"/>
    <w:link w:val="CABBackGround"/>
    <w:rsid w:val="005275EB"/>
    <w:rPr>
      <w:rFonts w:ascii="Times New Roman" w:eastAsia="Times New Roman" w:hAnsi="Times New Roman" w:cs="Times New Roman"/>
      <w:sz w:val="24"/>
      <w:szCs w:val="20"/>
      <w:lang w:eastAsia="en-AU"/>
    </w:rPr>
  </w:style>
  <w:style w:type="paragraph" w:customStyle="1" w:styleId="Quotation">
    <w:name w:val="Quotation"/>
    <w:basedOn w:val="Normal"/>
    <w:uiPriority w:val="99"/>
    <w:rsid w:val="000931EB"/>
    <w:pPr>
      <w:numPr>
        <w:numId w:val="19"/>
      </w:numPr>
      <w:spacing w:after="140" w:line="260" w:lineRule="atLeast"/>
    </w:pPr>
    <w:rPr>
      <w:rFonts w:ascii="Arial" w:eastAsiaTheme="minorHAnsi" w:hAnsi="Arial" w:cs="Arial"/>
      <w:sz w:val="20"/>
    </w:rPr>
  </w:style>
  <w:style w:type="paragraph" w:customStyle="1" w:styleId="Quotation1">
    <w:name w:val="Quotation 1"/>
    <w:basedOn w:val="Normal"/>
    <w:uiPriority w:val="99"/>
    <w:rsid w:val="000931EB"/>
    <w:pPr>
      <w:numPr>
        <w:ilvl w:val="1"/>
        <w:numId w:val="19"/>
      </w:numPr>
      <w:spacing w:after="140" w:line="260" w:lineRule="atLeast"/>
    </w:pPr>
    <w:rPr>
      <w:rFonts w:ascii="Arial" w:eastAsiaTheme="minorHAnsi" w:hAnsi="Arial" w:cs="Arial"/>
      <w:sz w:val="20"/>
    </w:rPr>
  </w:style>
  <w:style w:type="paragraph" w:customStyle="1" w:styleId="Quotation2">
    <w:name w:val="Quotation 2"/>
    <w:basedOn w:val="Normal"/>
    <w:uiPriority w:val="99"/>
    <w:rsid w:val="000931EB"/>
    <w:pPr>
      <w:numPr>
        <w:ilvl w:val="2"/>
        <w:numId w:val="19"/>
      </w:numPr>
      <w:spacing w:after="140" w:line="260" w:lineRule="atLeast"/>
    </w:pPr>
    <w:rPr>
      <w:rFonts w:ascii="Arial" w:eastAsiaTheme="minorHAnsi" w:hAnsi="Arial" w:cs="Arial"/>
      <w:sz w:val="20"/>
    </w:rPr>
  </w:style>
  <w:style w:type="paragraph" w:customStyle="1" w:styleId="Quotation3">
    <w:name w:val="Quotation 3"/>
    <w:basedOn w:val="Normal"/>
    <w:uiPriority w:val="99"/>
    <w:rsid w:val="000931EB"/>
    <w:pPr>
      <w:numPr>
        <w:ilvl w:val="3"/>
        <w:numId w:val="19"/>
      </w:numPr>
      <w:spacing w:after="140" w:line="260" w:lineRule="atLeast"/>
    </w:pPr>
    <w:rPr>
      <w:rFonts w:ascii="Arial" w:eastAsiaTheme="minorHAnsi" w:hAnsi="Arial" w:cs="Arial"/>
      <w:sz w:val="20"/>
    </w:rPr>
  </w:style>
  <w:style w:type="paragraph" w:customStyle="1" w:styleId="Quotation4">
    <w:name w:val="Quotation 4"/>
    <w:basedOn w:val="Normal"/>
    <w:uiPriority w:val="99"/>
    <w:rsid w:val="000931EB"/>
    <w:pPr>
      <w:numPr>
        <w:ilvl w:val="4"/>
        <w:numId w:val="19"/>
      </w:numPr>
      <w:spacing w:after="140" w:line="260" w:lineRule="atLeast"/>
    </w:pPr>
    <w:rPr>
      <w:rFonts w:ascii="Arial" w:eastAsiaTheme="minorHAnsi" w:hAnsi="Arial" w:cs="Arial"/>
      <w:sz w:val="20"/>
    </w:rPr>
  </w:style>
  <w:style w:type="paragraph" w:customStyle="1" w:styleId="Quotation5">
    <w:name w:val="Quotation 5"/>
    <w:basedOn w:val="Normal"/>
    <w:uiPriority w:val="99"/>
    <w:rsid w:val="000931EB"/>
    <w:pPr>
      <w:numPr>
        <w:ilvl w:val="5"/>
        <w:numId w:val="19"/>
      </w:numPr>
      <w:spacing w:after="140" w:line="260" w:lineRule="atLeast"/>
    </w:pPr>
    <w:rPr>
      <w:rFonts w:ascii="Arial" w:eastAsiaTheme="minorHAnsi" w:hAnsi="Arial" w:cs="Arial"/>
      <w:sz w:val="20"/>
    </w:rPr>
  </w:style>
  <w:style w:type="paragraph" w:customStyle="1" w:styleId="Quotation6">
    <w:name w:val="Quotation 6"/>
    <w:basedOn w:val="Normal"/>
    <w:uiPriority w:val="99"/>
    <w:rsid w:val="000931EB"/>
    <w:pPr>
      <w:numPr>
        <w:ilvl w:val="6"/>
        <w:numId w:val="19"/>
      </w:numPr>
      <w:spacing w:after="140" w:line="260" w:lineRule="atLeast"/>
    </w:pPr>
    <w:rPr>
      <w:rFonts w:ascii="Arial" w:eastAsiaTheme="minorHAnsi" w:hAnsi="Arial" w:cs="Arial"/>
      <w:sz w:val="20"/>
    </w:rPr>
  </w:style>
  <w:style w:type="paragraph" w:customStyle="1" w:styleId="Quotation7">
    <w:name w:val="Quotation 7"/>
    <w:basedOn w:val="Normal"/>
    <w:uiPriority w:val="99"/>
    <w:rsid w:val="000931EB"/>
    <w:pPr>
      <w:numPr>
        <w:ilvl w:val="7"/>
        <w:numId w:val="19"/>
      </w:numPr>
      <w:spacing w:after="140" w:line="260" w:lineRule="atLeast"/>
    </w:pPr>
    <w:rPr>
      <w:rFonts w:ascii="Arial" w:eastAsiaTheme="minorHAnsi" w:hAnsi="Arial" w:cs="Arial"/>
      <w:sz w:val="20"/>
    </w:rPr>
  </w:style>
  <w:style w:type="paragraph" w:customStyle="1" w:styleId="Quotation8">
    <w:name w:val="Quotation 8"/>
    <w:basedOn w:val="Normal"/>
    <w:uiPriority w:val="99"/>
    <w:rsid w:val="000931EB"/>
    <w:pPr>
      <w:numPr>
        <w:ilvl w:val="8"/>
        <w:numId w:val="19"/>
      </w:numPr>
      <w:spacing w:after="140" w:line="260" w:lineRule="atLeast"/>
    </w:pPr>
    <w:rPr>
      <w:rFonts w:ascii="Arial" w:eastAsiaTheme="minorHAnsi" w:hAnsi="Arial" w:cs="Arial"/>
      <w:sz w:val="20"/>
    </w:rPr>
  </w:style>
  <w:style w:type="paragraph" w:customStyle="1" w:styleId="PlainParagraph">
    <w:name w:val="Plain Paragraph"/>
    <w:basedOn w:val="Normal"/>
    <w:uiPriority w:val="99"/>
    <w:rsid w:val="000931EB"/>
    <w:pPr>
      <w:spacing w:before="140" w:after="140" w:line="280" w:lineRule="atLeast"/>
    </w:pPr>
    <w:rPr>
      <w:rFonts w:ascii="Arial" w:eastAsiaTheme="minorHAnsi" w:hAnsi="Arial" w:cs="Arial"/>
      <w:sz w:val="22"/>
      <w:szCs w:val="22"/>
    </w:rPr>
  </w:style>
  <w:style w:type="numbering" w:customStyle="1" w:styleId="Style1">
    <w:name w:val="Style1"/>
    <w:uiPriority w:val="99"/>
    <w:rsid w:val="009432B0"/>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ABB"/>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741F92"/>
    <w:pPr>
      <w:keepNext/>
      <w:numPr>
        <w:numId w:val="1"/>
      </w:numPr>
      <w:outlineLvl w:val="0"/>
    </w:pPr>
    <w:rPr>
      <w:b/>
      <w:caps/>
    </w:rPr>
  </w:style>
  <w:style w:type="paragraph" w:styleId="Heading2">
    <w:name w:val="heading 2"/>
    <w:basedOn w:val="Normal"/>
    <w:next w:val="Normal"/>
    <w:link w:val="Heading2Char"/>
    <w:uiPriority w:val="9"/>
    <w:qFormat/>
    <w:rsid w:val="00741F92"/>
    <w:pPr>
      <w:keepNext/>
      <w:numPr>
        <w:ilvl w:val="1"/>
        <w:numId w:val="1"/>
      </w:numPr>
      <w:spacing w:before="360" w:after="60"/>
      <w:outlineLvl w:val="1"/>
    </w:pPr>
    <w:rPr>
      <w:b/>
    </w:rPr>
  </w:style>
  <w:style w:type="paragraph" w:styleId="Heading6">
    <w:name w:val="heading 6"/>
    <w:basedOn w:val="Normal"/>
    <w:next w:val="Normal"/>
    <w:link w:val="Heading6Char"/>
    <w:qFormat/>
    <w:rsid w:val="009432B0"/>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F92"/>
    <w:rPr>
      <w:rFonts w:ascii="Times New Roman" w:eastAsia="Times New Roman" w:hAnsi="Times New Roman" w:cs="Times New Roman"/>
      <w:b/>
      <w:caps/>
      <w:sz w:val="24"/>
      <w:szCs w:val="20"/>
      <w:lang w:eastAsia="en-AU"/>
    </w:rPr>
  </w:style>
  <w:style w:type="character" w:customStyle="1" w:styleId="Heading2Char">
    <w:name w:val="Heading 2 Char"/>
    <w:basedOn w:val="DefaultParagraphFont"/>
    <w:link w:val="Heading2"/>
    <w:uiPriority w:val="9"/>
    <w:rsid w:val="00741F92"/>
    <w:rPr>
      <w:rFonts w:ascii="Times New Roman" w:eastAsia="Times New Roman" w:hAnsi="Times New Roman" w:cs="Times New Roman"/>
      <w:b/>
      <w:sz w:val="24"/>
      <w:szCs w:val="20"/>
      <w:lang w:eastAsia="en-AU"/>
    </w:rPr>
  </w:style>
  <w:style w:type="character" w:customStyle="1" w:styleId="Heading6Char">
    <w:name w:val="Heading 6 Char"/>
    <w:basedOn w:val="DefaultParagraphFont"/>
    <w:link w:val="Heading6"/>
    <w:rsid w:val="00741F92"/>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rsid w:val="009432B0"/>
    <w:pPr>
      <w:tabs>
        <w:tab w:val="center" w:pos="4153"/>
        <w:tab w:val="right" w:pos="8306"/>
      </w:tabs>
    </w:pPr>
  </w:style>
  <w:style w:type="character" w:customStyle="1" w:styleId="FooterChar">
    <w:name w:val="Footer Char"/>
    <w:basedOn w:val="DefaultParagraphFont"/>
    <w:link w:val="Footer"/>
    <w:uiPriority w:val="99"/>
    <w:rsid w:val="00741F92"/>
    <w:rPr>
      <w:rFonts w:ascii="Times New Roman" w:eastAsia="Times New Roman" w:hAnsi="Times New Roman" w:cs="Times New Roman"/>
      <w:sz w:val="24"/>
      <w:szCs w:val="20"/>
      <w:lang w:eastAsia="en-AU"/>
    </w:rPr>
  </w:style>
  <w:style w:type="paragraph" w:customStyle="1" w:styleId="HB-Paragraph">
    <w:name w:val="HB - Paragraph"/>
    <w:basedOn w:val="Normal"/>
    <w:rsid w:val="00741F92"/>
    <w:pPr>
      <w:numPr>
        <w:ilvl w:val="2"/>
        <w:numId w:val="1"/>
      </w:numPr>
      <w:spacing w:before="120" w:after="120"/>
    </w:pPr>
  </w:style>
  <w:style w:type="paragraph" w:styleId="Header">
    <w:name w:val="header"/>
    <w:basedOn w:val="Normal"/>
    <w:link w:val="HeaderChar"/>
    <w:uiPriority w:val="99"/>
    <w:rsid w:val="009432B0"/>
    <w:pPr>
      <w:tabs>
        <w:tab w:val="center" w:pos="4153"/>
        <w:tab w:val="right" w:pos="8306"/>
      </w:tabs>
    </w:pPr>
  </w:style>
  <w:style w:type="character" w:customStyle="1" w:styleId="HeaderChar">
    <w:name w:val="Header Char"/>
    <w:basedOn w:val="DefaultParagraphFont"/>
    <w:link w:val="Header"/>
    <w:uiPriority w:val="99"/>
    <w:rsid w:val="00741F92"/>
    <w:rPr>
      <w:rFonts w:ascii="Times New Roman" w:eastAsia="Times New Roman" w:hAnsi="Times New Roman" w:cs="Times New Roman"/>
      <w:sz w:val="24"/>
      <w:szCs w:val="20"/>
      <w:lang w:eastAsia="en-AU"/>
    </w:rPr>
  </w:style>
  <w:style w:type="paragraph" w:customStyle="1" w:styleId="ParaNumbering">
    <w:name w:val="Para Numbering"/>
    <w:basedOn w:val="Normal"/>
    <w:rsid w:val="00741F92"/>
    <w:pPr>
      <w:tabs>
        <w:tab w:val="num" w:pos="360"/>
        <w:tab w:val="left" w:pos="567"/>
      </w:tabs>
      <w:spacing w:after="240" w:line="240" w:lineRule="atLeast"/>
    </w:pPr>
    <w:rPr>
      <w:lang w:eastAsia="en-US"/>
    </w:rPr>
  </w:style>
  <w:style w:type="paragraph" w:styleId="ListParagraph">
    <w:name w:val="List Paragraph"/>
    <w:aliases w:val="NFP GP Bulleted List,List Paragraph1,Recommendation,List Paragraph11"/>
    <w:basedOn w:val="Normal"/>
    <w:link w:val="ListParagraphChar"/>
    <w:uiPriority w:val="34"/>
    <w:qFormat/>
    <w:rsid w:val="00741F92"/>
    <w:pPr>
      <w:spacing w:after="200" w:line="276" w:lineRule="auto"/>
      <w:ind w:left="720"/>
      <w:contextualSpacing/>
    </w:pPr>
    <w:rPr>
      <w:rFonts w:eastAsia="Calibri"/>
      <w:szCs w:val="22"/>
      <w:lang w:eastAsia="en-US"/>
    </w:rPr>
  </w:style>
  <w:style w:type="paragraph" w:customStyle="1" w:styleId="paranumbering0">
    <w:name w:val="paranumbering"/>
    <w:basedOn w:val="Normal"/>
    <w:uiPriority w:val="99"/>
    <w:rsid w:val="00741F92"/>
    <w:pPr>
      <w:spacing w:before="100" w:beforeAutospacing="1" w:after="100" w:afterAutospacing="1"/>
    </w:pPr>
    <w:rPr>
      <w:rFonts w:eastAsiaTheme="minorHAnsi"/>
      <w:szCs w:val="24"/>
    </w:rPr>
  </w:style>
  <w:style w:type="paragraph" w:customStyle="1" w:styleId="numberlist">
    <w:name w:val="number_list"/>
    <w:basedOn w:val="Normal"/>
    <w:uiPriority w:val="99"/>
    <w:rsid w:val="00741F92"/>
    <w:pPr>
      <w:numPr>
        <w:numId w:val="3"/>
      </w:numPr>
      <w:spacing w:after="120"/>
    </w:pPr>
    <w:rPr>
      <w:rFonts w:eastAsiaTheme="minorHAnsi"/>
      <w:szCs w:val="24"/>
    </w:rPr>
  </w:style>
  <w:style w:type="character" w:styleId="Hyperlink">
    <w:name w:val="Hyperlink"/>
    <w:basedOn w:val="DefaultParagraphFont"/>
    <w:uiPriority w:val="99"/>
    <w:unhideWhenUsed/>
    <w:rsid w:val="00741F92"/>
    <w:rPr>
      <w:color w:val="0000FF" w:themeColor="hyperlink"/>
      <w:u w:val="single"/>
    </w:rPr>
  </w:style>
  <w:style w:type="paragraph" w:customStyle="1" w:styleId="CABNETParagraphAtt">
    <w:name w:val="CABNET Paragraph Att"/>
    <w:basedOn w:val="Normal"/>
    <w:link w:val="CABNETParagraphAttChar"/>
    <w:qFormat/>
    <w:rsid w:val="00010368"/>
    <w:pPr>
      <w:spacing w:before="120" w:after="120"/>
    </w:pPr>
    <w:rPr>
      <w:rFonts w:ascii="Verdana" w:hAnsi="Verdana"/>
      <w:sz w:val="22"/>
      <w:szCs w:val="24"/>
    </w:rPr>
  </w:style>
  <w:style w:type="character" w:customStyle="1" w:styleId="CABNETParagraphAttChar">
    <w:name w:val="CABNET Paragraph Att Char"/>
    <w:basedOn w:val="DefaultParagraphFont"/>
    <w:link w:val="CABNETParagraphAtt"/>
    <w:rsid w:val="00010368"/>
    <w:rPr>
      <w:rFonts w:ascii="Verdana" w:eastAsia="Times New Roman" w:hAnsi="Verdana" w:cs="Times New Roman"/>
      <w:szCs w:val="24"/>
      <w:lang w:eastAsia="en-AU"/>
    </w:rPr>
  </w:style>
  <w:style w:type="paragraph" w:styleId="NormalWeb">
    <w:name w:val="Normal (Web)"/>
    <w:basedOn w:val="Normal"/>
    <w:uiPriority w:val="99"/>
    <w:unhideWhenUsed/>
    <w:rsid w:val="00010368"/>
    <w:pPr>
      <w:spacing w:after="288"/>
    </w:pPr>
    <w:rPr>
      <w:szCs w:val="24"/>
    </w:rPr>
  </w:style>
  <w:style w:type="paragraph" w:styleId="FootnoteText">
    <w:name w:val="footnote text"/>
    <w:basedOn w:val="Normal"/>
    <w:link w:val="FootnoteTextChar"/>
    <w:rsid w:val="00010368"/>
    <w:rPr>
      <w:sz w:val="20"/>
    </w:rPr>
  </w:style>
  <w:style w:type="character" w:customStyle="1" w:styleId="FootnoteTextChar">
    <w:name w:val="Footnote Text Char"/>
    <w:basedOn w:val="DefaultParagraphFont"/>
    <w:link w:val="FootnoteText"/>
    <w:rsid w:val="00010368"/>
    <w:rPr>
      <w:rFonts w:ascii="Times New Roman" w:eastAsia="Times New Roman" w:hAnsi="Times New Roman" w:cs="Times New Roman"/>
      <w:sz w:val="20"/>
      <w:szCs w:val="20"/>
      <w:lang w:eastAsia="en-AU"/>
    </w:rPr>
  </w:style>
  <w:style w:type="character" w:customStyle="1" w:styleId="StyleBody">
    <w:name w:val="Style +Body"/>
    <w:basedOn w:val="DefaultParagraphFont"/>
    <w:rsid w:val="00064E4C"/>
    <w:rPr>
      <w:rFonts w:asciiTheme="minorHAnsi" w:hAnsiTheme="minorHAnsi"/>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064E4C"/>
    <w:rPr>
      <w:rFonts w:ascii="Times New Roman" w:eastAsia="Calibri" w:hAnsi="Times New Roman" w:cs="Times New Roman"/>
      <w:sz w:val="24"/>
    </w:rPr>
  </w:style>
  <w:style w:type="paragraph" w:styleId="CommentText">
    <w:name w:val="annotation text"/>
    <w:basedOn w:val="Normal"/>
    <w:link w:val="CommentTextChar"/>
    <w:uiPriority w:val="99"/>
    <w:semiHidden/>
    <w:unhideWhenUsed/>
    <w:rsid w:val="00064E4C"/>
    <w:rPr>
      <w:rFonts w:ascii="Calibri" w:eastAsiaTheme="minorHAnsi" w:hAnsi="Calibri" w:cs="Calibri"/>
      <w:sz w:val="20"/>
    </w:rPr>
  </w:style>
  <w:style w:type="character" w:customStyle="1" w:styleId="CommentTextChar">
    <w:name w:val="Comment Text Char"/>
    <w:basedOn w:val="DefaultParagraphFont"/>
    <w:link w:val="CommentText"/>
    <w:uiPriority w:val="99"/>
    <w:semiHidden/>
    <w:rsid w:val="00064E4C"/>
    <w:rPr>
      <w:rFonts w:ascii="Calibri" w:hAnsi="Calibri" w:cs="Calibri"/>
      <w:sz w:val="20"/>
      <w:szCs w:val="20"/>
      <w:lang w:eastAsia="en-AU"/>
    </w:rPr>
  </w:style>
  <w:style w:type="paragraph" w:customStyle="1" w:styleId="Default">
    <w:name w:val="Default"/>
    <w:basedOn w:val="Normal"/>
    <w:rsid w:val="00F33CA8"/>
    <w:pPr>
      <w:autoSpaceDE w:val="0"/>
      <w:autoSpaceDN w:val="0"/>
    </w:pPr>
    <w:rPr>
      <w:rFonts w:eastAsiaTheme="minorHAnsi"/>
      <w:color w:val="000000"/>
      <w:szCs w:val="24"/>
    </w:rPr>
  </w:style>
  <w:style w:type="character" w:styleId="CommentReference">
    <w:name w:val="annotation reference"/>
    <w:basedOn w:val="DefaultParagraphFont"/>
    <w:uiPriority w:val="99"/>
    <w:semiHidden/>
    <w:unhideWhenUsed/>
    <w:rsid w:val="002A1213"/>
    <w:rPr>
      <w:sz w:val="16"/>
      <w:szCs w:val="16"/>
    </w:rPr>
  </w:style>
  <w:style w:type="paragraph" w:styleId="BalloonText">
    <w:name w:val="Balloon Text"/>
    <w:basedOn w:val="Normal"/>
    <w:link w:val="BalloonTextChar"/>
    <w:uiPriority w:val="99"/>
    <w:semiHidden/>
    <w:unhideWhenUsed/>
    <w:rsid w:val="002A1213"/>
    <w:rPr>
      <w:rFonts w:ascii="Tahoma" w:hAnsi="Tahoma" w:cs="Tahoma"/>
      <w:sz w:val="16"/>
      <w:szCs w:val="16"/>
    </w:rPr>
  </w:style>
  <w:style w:type="character" w:customStyle="1" w:styleId="BalloonTextChar">
    <w:name w:val="Balloon Text Char"/>
    <w:basedOn w:val="DefaultParagraphFont"/>
    <w:link w:val="BalloonText"/>
    <w:uiPriority w:val="99"/>
    <w:semiHidden/>
    <w:rsid w:val="002A1213"/>
    <w:rPr>
      <w:rFonts w:ascii="Tahoma" w:eastAsia="Times New Roman" w:hAnsi="Tahoma" w:cs="Tahoma"/>
      <w:sz w:val="16"/>
      <w:szCs w:val="16"/>
      <w:lang w:eastAsia="en-AU"/>
    </w:rPr>
  </w:style>
  <w:style w:type="paragraph" w:customStyle="1" w:styleId="CABBackGround">
    <w:name w:val="CABBackGround"/>
    <w:basedOn w:val="Normal"/>
    <w:link w:val="CABBackGroundChar1"/>
    <w:rsid w:val="005275EB"/>
    <w:pPr>
      <w:spacing w:line="360" w:lineRule="auto"/>
    </w:pPr>
  </w:style>
  <w:style w:type="character" w:customStyle="1" w:styleId="CABBackGroundChar1">
    <w:name w:val="CABBackGround Char1"/>
    <w:basedOn w:val="DefaultParagraphFont"/>
    <w:link w:val="CABBackGround"/>
    <w:rsid w:val="005275EB"/>
    <w:rPr>
      <w:rFonts w:ascii="Times New Roman" w:eastAsia="Times New Roman" w:hAnsi="Times New Roman" w:cs="Times New Roman"/>
      <w:sz w:val="24"/>
      <w:szCs w:val="20"/>
      <w:lang w:eastAsia="en-AU"/>
    </w:rPr>
  </w:style>
  <w:style w:type="paragraph" w:customStyle="1" w:styleId="Quotation">
    <w:name w:val="Quotation"/>
    <w:basedOn w:val="Normal"/>
    <w:uiPriority w:val="99"/>
    <w:rsid w:val="000931EB"/>
    <w:pPr>
      <w:numPr>
        <w:numId w:val="19"/>
      </w:numPr>
      <w:spacing w:after="140" w:line="260" w:lineRule="atLeast"/>
    </w:pPr>
    <w:rPr>
      <w:rFonts w:ascii="Arial" w:eastAsiaTheme="minorHAnsi" w:hAnsi="Arial" w:cs="Arial"/>
      <w:sz w:val="20"/>
    </w:rPr>
  </w:style>
  <w:style w:type="paragraph" w:customStyle="1" w:styleId="Quotation1">
    <w:name w:val="Quotation 1"/>
    <w:basedOn w:val="Normal"/>
    <w:uiPriority w:val="99"/>
    <w:rsid w:val="000931EB"/>
    <w:pPr>
      <w:numPr>
        <w:ilvl w:val="1"/>
        <w:numId w:val="19"/>
      </w:numPr>
      <w:spacing w:after="140" w:line="260" w:lineRule="atLeast"/>
    </w:pPr>
    <w:rPr>
      <w:rFonts w:ascii="Arial" w:eastAsiaTheme="minorHAnsi" w:hAnsi="Arial" w:cs="Arial"/>
      <w:sz w:val="20"/>
    </w:rPr>
  </w:style>
  <w:style w:type="paragraph" w:customStyle="1" w:styleId="Quotation2">
    <w:name w:val="Quotation 2"/>
    <w:basedOn w:val="Normal"/>
    <w:uiPriority w:val="99"/>
    <w:rsid w:val="000931EB"/>
    <w:pPr>
      <w:numPr>
        <w:ilvl w:val="2"/>
        <w:numId w:val="19"/>
      </w:numPr>
      <w:spacing w:after="140" w:line="260" w:lineRule="atLeast"/>
    </w:pPr>
    <w:rPr>
      <w:rFonts w:ascii="Arial" w:eastAsiaTheme="minorHAnsi" w:hAnsi="Arial" w:cs="Arial"/>
      <w:sz w:val="20"/>
    </w:rPr>
  </w:style>
  <w:style w:type="paragraph" w:customStyle="1" w:styleId="Quotation3">
    <w:name w:val="Quotation 3"/>
    <w:basedOn w:val="Normal"/>
    <w:uiPriority w:val="99"/>
    <w:rsid w:val="000931EB"/>
    <w:pPr>
      <w:numPr>
        <w:ilvl w:val="3"/>
        <w:numId w:val="19"/>
      </w:numPr>
      <w:spacing w:after="140" w:line="260" w:lineRule="atLeast"/>
    </w:pPr>
    <w:rPr>
      <w:rFonts w:ascii="Arial" w:eastAsiaTheme="minorHAnsi" w:hAnsi="Arial" w:cs="Arial"/>
      <w:sz w:val="20"/>
    </w:rPr>
  </w:style>
  <w:style w:type="paragraph" w:customStyle="1" w:styleId="Quotation4">
    <w:name w:val="Quotation 4"/>
    <w:basedOn w:val="Normal"/>
    <w:uiPriority w:val="99"/>
    <w:rsid w:val="000931EB"/>
    <w:pPr>
      <w:numPr>
        <w:ilvl w:val="4"/>
        <w:numId w:val="19"/>
      </w:numPr>
      <w:spacing w:after="140" w:line="260" w:lineRule="atLeast"/>
    </w:pPr>
    <w:rPr>
      <w:rFonts w:ascii="Arial" w:eastAsiaTheme="minorHAnsi" w:hAnsi="Arial" w:cs="Arial"/>
      <w:sz w:val="20"/>
    </w:rPr>
  </w:style>
  <w:style w:type="paragraph" w:customStyle="1" w:styleId="Quotation5">
    <w:name w:val="Quotation 5"/>
    <w:basedOn w:val="Normal"/>
    <w:uiPriority w:val="99"/>
    <w:rsid w:val="000931EB"/>
    <w:pPr>
      <w:numPr>
        <w:ilvl w:val="5"/>
        <w:numId w:val="19"/>
      </w:numPr>
      <w:spacing w:after="140" w:line="260" w:lineRule="atLeast"/>
    </w:pPr>
    <w:rPr>
      <w:rFonts w:ascii="Arial" w:eastAsiaTheme="minorHAnsi" w:hAnsi="Arial" w:cs="Arial"/>
      <w:sz w:val="20"/>
    </w:rPr>
  </w:style>
  <w:style w:type="paragraph" w:customStyle="1" w:styleId="Quotation6">
    <w:name w:val="Quotation 6"/>
    <w:basedOn w:val="Normal"/>
    <w:uiPriority w:val="99"/>
    <w:rsid w:val="000931EB"/>
    <w:pPr>
      <w:numPr>
        <w:ilvl w:val="6"/>
        <w:numId w:val="19"/>
      </w:numPr>
      <w:spacing w:after="140" w:line="260" w:lineRule="atLeast"/>
    </w:pPr>
    <w:rPr>
      <w:rFonts w:ascii="Arial" w:eastAsiaTheme="minorHAnsi" w:hAnsi="Arial" w:cs="Arial"/>
      <w:sz w:val="20"/>
    </w:rPr>
  </w:style>
  <w:style w:type="paragraph" w:customStyle="1" w:styleId="Quotation7">
    <w:name w:val="Quotation 7"/>
    <w:basedOn w:val="Normal"/>
    <w:uiPriority w:val="99"/>
    <w:rsid w:val="000931EB"/>
    <w:pPr>
      <w:numPr>
        <w:ilvl w:val="7"/>
        <w:numId w:val="19"/>
      </w:numPr>
      <w:spacing w:after="140" w:line="260" w:lineRule="atLeast"/>
    </w:pPr>
    <w:rPr>
      <w:rFonts w:ascii="Arial" w:eastAsiaTheme="minorHAnsi" w:hAnsi="Arial" w:cs="Arial"/>
      <w:sz w:val="20"/>
    </w:rPr>
  </w:style>
  <w:style w:type="paragraph" w:customStyle="1" w:styleId="Quotation8">
    <w:name w:val="Quotation 8"/>
    <w:basedOn w:val="Normal"/>
    <w:uiPriority w:val="99"/>
    <w:rsid w:val="000931EB"/>
    <w:pPr>
      <w:numPr>
        <w:ilvl w:val="8"/>
        <w:numId w:val="19"/>
      </w:numPr>
      <w:spacing w:after="140" w:line="260" w:lineRule="atLeast"/>
    </w:pPr>
    <w:rPr>
      <w:rFonts w:ascii="Arial" w:eastAsiaTheme="minorHAnsi" w:hAnsi="Arial" w:cs="Arial"/>
      <w:sz w:val="20"/>
    </w:rPr>
  </w:style>
  <w:style w:type="paragraph" w:customStyle="1" w:styleId="PlainParagraph">
    <w:name w:val="Plain Paragraph"/>
    <w:basedOn w:val="Normal"/>
    <w:uiPriority w:val="99"/>
    <w:rsid w:val="000931EB"/>
    <w:pPr>
      <w:spacing w:before="140" w:after="140" w:line="280" w:lineRule="atLeast"/>
    </w:pPr>
    <w:rPr>
      <w:rFonts w:ascii="Arial" w:eastAsiaTheme="minorHAnsi" w:hAnsi="Arial" w:cs="Arial"/>
      <w:sz w:val="22"/>
      <w:szCs w:val="22"/>
    </w:rPr>
  </w:style>
  <w:style w:type="numbering" w:customStyle="1" w:styleId="Style1">
    <w:name w:val="Style1"/>
    <w:uiPriority w:val="99"/>
    <w:rsid w:val="009432B0"/>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760">
      <w:bodyDiv w:val="1"/>
      <w:marLeft w:val="0"/>
      <w:marRight w:val="0"/>
      <w:marTop w:val="0"/>
      <w:marBottom w:val="0"/>
      <w:divBdr>
        <w:top w:val="none" w:sz="0" w:space="0" w:color="auto"/>
        <w:left w:val="none" w:sz="0" w:space="0" w:color="auto"/>
        <w:bottom w:val="none" w:sz="0" w:space="0" w:color="auto"/>
        <w:right w:val="none" w:sz="0" w:space="0" w:color="auto"/>
      </w:divBdr>
    </w:div>
    <w:div w:id="25718343">
      <w:bodyDiv w:val="1"/>
      <w:marLeft w:val="0"/>
      <w:marRight w:val="0"/>
      <w:marTop w:val="0"/>
      <w:marBottom w:val="0"/>
      <w:divBdr>
        <w:top w:val="none" w:sz="0" w:space="0" w:color="auto"/>
        <w:left w:val="none" w:sz="0" w:space="0" w:color="auto"/>
        <w:bottom w:val="none" w:sz="0" w:space="0" w:color="auto"/>
        <w:right w:val="none" w:sz="0" w:space="0" w:color="auto"/>
      </w:divBdr>
    </w:div>
    <w:div w:id="55787628">
      <w:bodyDiv w:val="1"/>
      <w:marLeft w:val="0"/>
      <w:marRight w:val="0"/>
      <w:marTop w:val="0"/>
      <w:marBottom w:val="0"/>
      <w:divBdr>
        <w:top w:val="none" w:sz="0" w:space="0" w:color="auto"/>
        <w:left w:val="none" w:sz="0" w:space="0" w:color="auto"/>
        <w:bottom w:val="none" w:sz="0" w:space="0" w:color="auto"/>
        <w:right w:val="none" w:sz="0" w:space="0" w:color="auto"/>
      </w:divBdr>
    </w:div>
    <w:div w:id="106774864">
      <w:bodyDiv w:val="1"/>
      <w:marLeft w:val="0"/>
      <w:marRight w:val="0"/>
      <w:marTop w:val="0"/>
      <w:marBottom w:val="0"/>
      <w:divBdr>
        <w:top w:val="none" w:sz="0" w:space="0" w:color="auto"/>
        <w:left w:val="none" w:sz="0" w:space="0" w:color="auto"/>
        <w:bottom w:val="none" w:sz="0" w:space="0" w:color="auto"/>
        <w:right w:val="none" w:sz="0" w:space="0" w:color="auto"/>
      </w:divBdr>
    </w:div>
    <w:div w:id="108545727">
      <w:bodyDiv w:val="1"/>
      <w:marLeft w:val="0"/>
      <w:marRight w:val="0"/>
      <w:marTop w:val="0"/>
      <w:marBottom w:val="0"/>
      <w:divBdr>
        <w:top w:val="none" w:sz="0" w:space="0" w:color="auto"/>
        <w:left w:val="none" w:sz="0" w:space="0" w:color="auto"/>
        <w:bottom w:val="none" w:sz="0" w:space="0" w:color="auto"/>
        <w:right w:val="none" w:sz="0" w:space="0" w:color="auto"/>
      </w:divBdr>
    </w:div>
    <w:div w:id="149953870">
      <w:bodyDiv w:val="1"/>
      <w:marLeft w:val="0"/>
      <w:marRight w:val="0"/>
      <w:marTop w:val="0"/>
      <w:marBottom w:val="0"/>
      <w:divBdr>
        <w:top w:val="none" w:sz="0" w:space="0" w:color="auto"/>
        <w:left w:val="none" w:sz="0" w:space="0" w:color="auto"/>
        <w:bottom w:val="none" w:sz="0" w:space="0" w:color="auto"/>
        <w:right w:val="none" w:sz="0" w:space="0" w:color="auto"/>
      </w:divBdr>
    </w:div>
    <w:div w:id="254241797">
      <w:bodyDiv w:val="1"/>
      <w:marLeft w:val="0"/>
      <w:marRight w:val="0"/>
      <w:marTop w:val="0"/>
      <w:marBottom w:val="0"/>
      <w:divBdr>
        <w:top w:val="none" w:sz="0" w:space="0" w:color="auto"/>
        <w:left w:val="none" w:sz="0" w:space="0" w:color="auto"/>
        <w:bottom w:val="none" w:sz="0" w:space="0" w:color="auto"/>
        <w:right w:val="none" w:sz="0" w:space="0" w:color="auto"/>
      </w:divBdr>
    </w:div>
    <w:div w:id="323778327">
      <w:bodyDiv w:val="1"/>
      <w:marLeft w:val="0"/>
      <w:marRight w:val="0"/>
      <w:marTop w:val="0"/>
      <w:marBottom w:val="0"/>
      <w:divBdr>
        <w:top w:val="none" w:sz="0" w:space="0" w:color="auto"/>
        <w:left w:val="none" w:sz="0" w:space="0" w:color="auto"/>
        <w:bottom w:val="none" w:sz="0" w:space="0" w:color="auto"/>
        <w:right w:val="none" w:sz="0" w:space="0" w:color="auto"/>
      </w:divBdr>
    </w:div>
    <w:div w:id="330447094">
      <w:bodyDiv w:val="1"/>
      <w:marLeft w:val="0"/>
      <w:marRight w:val="0"/>
      <w:marTop w:val="0"/>
      <w:marBottom w:val="0"/>
      <w:divBdr>
        <w:top w:val="none" w:sz="0" w:space="0" w:color="auto"/>
        <w:left w:val="none" w:sz="0" w:space="0" w:color="auto"/>
        <w:bottom w:val="none" w:sz="0" w:space="0" w:color="auto"/>
        <w:right w:val="none" w:sz="0" w:space="0" w:color="auto"/>
      </w:divBdr>
    </w:div>
    <w:div w:id="375353769">
      <w:bodyDiv w:val="1"/>
      <w:marLeft w:val="0"/>
      <w:marRight w:val="0"/>
      <w:marTop w:val="0"/>
      <w:marBottom w:val="0"/>
      <w:divBdr>
        <w:top w:val="none" w:sz="0" w:space="0" w:color="auto"/>
        <w:left w:val="none" w:sz="0" w:space="0" w:color="auto"/>
        <w:bottom w:val="none" w:sz="0" w:space="0" w:color="auto"/>
        <w:right w:val="none" w:sz="0" w:space="0" w:color="auto"/>
      </w:divBdr>
    </w:div>
    <w:div w:id="388576057">
      <w:bodyDiv w:val="1"/>
      <w:marLeft w:val="0"/>
      <w:marRight w:val="0"/>
      <w:marTop w:val="0"/>
      <w:marBottom w:val="0"/>
      <w:divBdr>
        <w:top w:val="none" w:sz="0" w:space="0" w:color="auto"/>
        <w:left w:val="none" w:sz="0" w:space="0" w:color="auto"/>
        <w:bottom w:val="none" w:sz="0" w:space="0" w:color="auto"/>
        <w:right w:val="none" w:sz="0" w:space="0" w:color="auto"/>
      </w:divBdr>
    </w:div>
    <w:div w:id="459568485">
      <w:bodyDiv w:val="1"/>
      <w:marLeft w:val="0"/>
      <w:marRight w:val="0"/>
      <w:marTop w:val="0"/>
      <w:marBottom w:val="0"/>
      <w:divBdr>
        <w:top w:val="none" w:sz="0" w:space="0" w:color="auto"/>
        <w:left w:val="none" w:sz="0" w:space="0" w:color="auto"/>
        <w:bottom w:val="none" w:sz="0" w:space="0" w:color="auto"/>
        <w:right w:val="none" w:sz="0" w:space="0" w:color="auto"/>
      </w:divBdr>
    </w:div>
    <w:div w:id="502358452">
      <w:bodyDiv w:val="1"/>
      <w:marLeft w:val="0"/>
      <w:marRight w:val="0"/>
      <w:marTop w:val="0"/>
      <w:marBottom w:val="0"/>
      <w:divBdr>
        <w:top w:val="none" w:sz="0" w:space="0" w:color="auto"/>
        <w:left w:val="none" w:sz="0" w:space="0" w:color="auto"/>
        <w:bottom w:val="none" w:sz="0" w:space="0" w:color="auto"/>
        <w:right w:val="none" w:sz="0" w:space="0" w:color="auto"/>
      </w:divBdr>
    </w:div>
    <w:div w:id="675620006">
      <w:bodyDiv w:val="1"/>
      <w:marLeft w:val="0"/>
      <w:marRight w:val="0"/>
      <w:marTop w:val="0"/>
      <w:marBottom w:val="0"/>
      <w:divBdr>
        <w:top w:val="none" w:sz="0" w:space="0" w:color="auto"/>
        <w:left w:val="none" w:sz="0" w:space="0" w:color="auto"/>
        <w:bottom w:val="none" w:sz="0" w:space="0" w:color="auto"/>
        <w:right w:val="none" w:sz="0" w:space="0" w:color="auto"/>
      </w:divBdr>
    </w:div>
    <w:div w:id="745568493">
      <w:bodyDiv w:val="1"/>
      <w:marLeft w:val="0"/>
      <w:marRight w:val="0"/>
      <w:marTop w:val="0"/>
      <w:marBottom w:val="0"/>
      <w:divBdr>
        <w:top w:val="none" w:sz="0" w:space="0" w:color="auto"/>
        <w:left w:val="none" w:sz="0" w:space="0" w:color="auto"/>
        <w:bottom w:val="none" w:sz="0" w:space="0" w:color="auto"/>
        <w:right w:val="none" w:sz="0" w:space="0" w:color="auto"/>
      </w:divBdr>
    </w:div>
    <w:div w:id="832256816">
      <w:bodyDiv w:val="1"/>
      <w:marLeft w:val="0"/>
      <w:marRight w:val="0"/>
      <w:marTop w:val="0"/>
      <w:marBottom w:val="0"/>
      <w:divBdr>
        <w:top w:val="none" w:sz="0" w:space="0" w:color="auto"/>
        <w:left w:val="none" w:sz="0" w:space="0" w:color="auto"/>
        <w:bottom w:val="none" w:sz="0" w:space="0" w:color="auto"/>
        <w:right w:val="none" w:sz="0" w:space="0" w:color="auto"/>
      </w:divBdr>
    </w:div>
    <w:div w:id="833684757">
      <w:bodyDiv w:val="1"/>
      <w:marLeft w:val="0"/>
      <w:marRight w:val="0"/>
      <w:marTop w:val="0"/>
      <w:marBottom w:val="0"/>
      <w:divBdr>
        <w:top w:val="none" w:sz="0" w:space="0" w:color="auto"/>
        <w:left w:val="none" w:sz="0" w:space="0" w:color="auto"/>
        <w:bottom w:val="none" w:sz="0" w:space="0" w:color="auto"/>
        <w:right w:val="none" w:sz="0" w:space="0" w:color="auto"/>
      </w:divBdr>
    </w:div>
    <w:div w:id="845825290">
      <w:bodyDiv w:val="1"/>
      <w:marLeft w:val="0"/>
      <w:marRight w:val="0"/>
      <w:marTop w:val="0"/>
      <w:marBottom w:val="0"/>
      <w:divBdr>
        <w:top w:val="none" w:sz="0" w:space="0" w:color="auto"/>
        <w:left w:val="none" w:sz="0" w:space="0" w:color="auto"/>
        <w:bottom w:val="none" w:sz="0" w:space="0" w:color="auto"/>
        <w:right w:val="none" w:sz="0" w:space="0" w:color="auto"/>
      </w:divBdr>
    </w:div>
    <w:div w:id="870531164">
      <w:bodyDiv w:val="1"/>
      <w:marLeft w:val="0"/>
      <w:marRight w:val="0"/>
      <w:marTop w:val="0"/>
      <w:marBottom w:val="0"/>
      <w:divBdr>
        <w:top w:val="none" w:sz="0" w:space="0" w:color="auto"/>
        <w:left w:val="none" w:sz="0" w:space="0" w:color="auto"/>
        <w:bottom w:val="none" w:sz="0" w:space="0" w:color="auto"/>
        <w:right w:val="none" w:sz="0" w:space="0" w:color="auto"/>
      </w:divBdr>
    </w:div>
    <w:div w:id="950471639">
      <w:bodyDiv w:val="1"/>
      <w:marLeft w:val="0"/>
      <w:marRight w:val="0"/>
      <w:marTop w:val="0"/>
      <w:marBottom w:val="0"/>
      <w:divBdr>
        <w:top w:val="none" w:sz="0" w:space="0" w:color="auto"/>
        <w:left w:val="none" w:sz="0" w:space="0" w:color="auto"/>
        <w:bottom w:val="none" w:sz="0" w:space="0" w:color="auto"/>
        <w:right w:val="none" w:sz="0" w:space="0" w:color="auto"/>
      </w:divBdr>
    </w:div>
    <w:div w:id="1027027857">
      <w:bodyDiv w:val="1"/>
      <w:marLeft w:val="0"/>
      <w:marRight w:val="0"/>
      <w:marTop w:val="0"/>
      <w:marBottom w:val="0"/>
      <w:divBdr>
        <w:top w:val="none" w:sz="0" w:space="0" w:color="auto"/>
        <w:left w:val="none" w:sz="0" w:space="0" w:color="auto"/>
        <w:bottom w:val="none" w:sz="0" w:space="0" w:color="auto"/>
        <w:right w:val="none" w:sz="0" w:space="0" w:color="auto"/>
      </w:divBdr>
    </w:div>
    <w:div w:id="1049765539">
      <w:bodyDiv w:val="1"/>
      <w:marLeft w:val="0"/>
      <w:marRight w:val="0"/>
      <w:marTop w:val="0"/>
      <w:marBottom w:val="0"/>
      <w:divBdr>
        <w:top w:val="none" w:sz="0" w:space="0" w:color="auto"/>
        <w:left w:val="none" w:sz="0" w:space="0" w:color="auto"/>
        <w:bottom w:val="none" w:sz="0" w:space="0" w:color="auto"/>
        <w:right w:val="none" w:sz="0" w:space="0" w:color="auto"/>
      </w:divBdr>
    </w:div>
    <w:div w:id="1133594022">
      <w:bodyDiv w:val="1"/>
      <w:marLeft w:val="0"/>
      <w:marRight w:val="0"/>
      <w:marTop w:val="0"/>
      <w:marBottom w:val="0"/>
      <w:divBdr>
        <w:top w:val="none" w:sz="0" w:space="0" w:color="auto"/>
        <w:left w:val="none" w:sz="0" w:space="0" w:color="auto"/>
        <w:bottom w:val="none" w:sz="0" w:space="0" w:color="auto"/>
        <w:right w:val="none" w:sz="0" w:space="0" w:color="auto"/>
      </w:divBdr>
    </w:div>
    <w:div w:id="1165316555">
      <w:bodyDiv w:val="1"/>
      <w:marLeft w:val="0"/>
      <w:marRight w:val="0"/>
      <w:marTop w:val="0"/>
      <w:marBottom w:val="0"/>
      <w:divBdr>
        <w:top w:val="none" w:sz="0" w:space="0" w:color="auto"/>
        <w:left w:val="none" w:sz="0" w:space="0" w:color="auto"/>
        <w:bottom w:val="none" w:sz="0" w:space="0" w:color="auto"/>
        <w:right w:val="none" w:sz="0" w:space="0" w:color="auto"/>
      </w:divBdr>
    </w:div>
    <w:div w:id="1202592242">
      <w:bodyDiv w:val="1"/>
      <w:marLeft w:val="0"/>
      <w:marRight w:val="0"/>
      <w:marTop w:val="0"/>
      <w:marBottom w:val="0"/>
      <w:divBdr>
        <w:top w:val="none" w:sz="0" w:space="0" w:color="auto"/>
        <w:left w:val="none" w:sz="0" w:space="0" w:color="auto"/>
        <w:bottom w:val="none" w:sz="0" w:space="0" w:color="auto"/>
        <w:right w:val="none" w:sz="0" w:space="0" w:color="auto"/>
      </w:divBdr>
    </w:div>
    <w:div w:id="1305549753">
      <w:bodyDiv w:val="1"/>
      <w:marLeft w:val="0"/>
      <w:marRight w:val="0"/>
      <w:marTop w:val="0"/>
      <w:marBottom w:val="0"/>
      <w:divBdr>
        <w:top w:val="none" w:sz="0" w:space="0" w:color="auto"/>
        <w:left w:val="none" w:sz="0" w:space="0" w:color="auto"/>
        <w:bottom w:val="none" w:sz="0" w:space="0" w:color="auto"/>
        <w:right w:val="none" w:sz="0" w:space="0" w:color="auto"/>
      </w:divBdr>
    </w:div>
    <w:div w:id="1464812663">
      <w:bodyDiv w:val="1"/>
      <w:marLeft w:val="0"/>
      <w:marRight w:val="0"/>
      <w:marTop w:val="0"/>
      <w:marBottom w:val="0"/>
      <w:divBdr>
        <w:top w:val="none" w:sz="0" w:space="0" w:color="auto"/>
        <w:left w:val="none" w:sz="0" w:space="0" w:color="auto"/>
        <w:bottom w:val="none" w:sz="0" w:space="0" w:color="auto"/>
        <w:right w:val="none" w:sz="0" w:space="0" w:color="auto"/>
      </w:divBdr>
    </w:div>
    <w:div w:id="1483694379">
      <w:bodyDiv w:val="1"/>
      <w:marLeft w:val="0"/>
      <w:marRight w:val="0"/>
      <w:marTop w:val="0"/>
      <w:marBottom w:val="0"/>
      <w:divBdr>
        <w:top w:val="none" w:sz="0" w:space="0" w:color="auto"/>
        <w:left w:val="none" w:sz="0" w:space="0" w:color="auto"/>
        <w:bottom w:val="none" w:sz="0" w:space="0" w:color="auto"/>
        <w:right w:val="none" w:sz="0" w:space="0" w:color="auto"/>
      </w:divBdr>
    </w:div>
    <w:div w:id="1514145850">
      <w:bodyDiv w:val="1"/>
      <w:marLeft w:val="0"/>
      <w:marRight w:val="0"/>
      <w:marTop w:val="0"/>
      <w:marBottom w:val="0"/>
      <w:divBdr>
        <w:top w:val="none" w:sz="0" w:space="0" w:color="auto"/>
        <w:left w:val="none" w:sz="0" w:space="0" w:color="auto"/>
        <w:bottom w:val="none" w:sz="0" w:space="0" w:color="auto"/>
        <w:right w:val="none" w:sz="0" w:space="0" w:color="auto"/>
      </w:divBdr>
    </w:div>
    <w:div w:id="1584223364">
      <w:bodyDiv w:val="1"/>
      <w:marLeft w:val="0"/>
      <w:marRight w:val="0"/>
      <w:marTop w:val="0"/>
      <w:marBottom w:val="0"/>
      <w:divBdr>
        <w:top w:val="none" w:sz="0" w:space="0" w:color="auto"/>
        <w:left w:val="none" w:sz="0" w:space="0" w:color="auto"/>
        <w:bottom w:val="none" w:sz="0" w:space="0" w:color="auto"/>
        <w:right w:val="none" w:sz="0" w:space="0" w:color="auto"/>
      </w:divBdr>
    </w:div>
    <w:div w:id="1603797782">
      <w:bodyDiv w:val="1"/>
      <w:marLeft w:val="0"/>
      <w:marRight w:val="0"/>
      <w:marTop w:val="0"/>
      <w:marBottom w:val="0"/>
      <w:divBdr>
        <w:top w:val="none" w:sz="0" w:space="0" w:color="auto"/>
        <w:left w:val="none" w:sz="0" w:space="0" w:color="auto"/>
        <w:bottom w:val="none" w:sz="0" w:space="0" w:color="auto"/>
        <w:right w:val="none" w:sz="0" w:space="0" w:color="auto"/>
      </w:divBdr>
    </w:div>
    <w:div w:id="1650473001">
      <w:bodyDiv w:val="1"/>
      <w:marLeft w:val="0"/>
      <w:marRight w:val="0"/>
      <w:marTop w:val="0"/>
      <w:marBottom w:val="0"/>
      <w:divBdr>
        <w:top w:val="none" w:sz="0" w:space="0" w:color="auto"/>
        <w:left w:val="none" w:sz="0" w:space="0" w:color="auto"/>
        <w:bottom w:val="none" w:sz="0" w:space="0" w:color="auto"/>
        <w:right w:val="none" w:sz="0" w:space="0" w:color="auto"/>
      </w:divBdr>
    </w:div>
    <w:div w:id="1664239562">
      <w:bodyDiv w:val="1"/>
      <w:marLeft w:val="0"/>
      <w:marRight w:val="0"/>
      <w:marTop w:val="0"/>
      <w:marBottom w:val="0"/>
      <w:divBdr>
        <w:top w:val="none" w:sz="0" w:space="0" w:color="auto"/>
        <w:left w:val="none" w:sz="0" w:space="0" w:color="auto"/>
        <w:bottom w:val="none" w:sz="0" w:space="0" w:color="auto"/>
        <w:right w:val="none" w:sz="0" w:space="0" w:color="auto"/>
      </w:divBdr>
    </w:div>
    <w:div w:id="1670133366">
      <w:bodyDiv w:val="1"/>
      <w:marLeft w:val="0"/>
      <w:marRight w:val="0"/>
      <w:marTop w:val="0"/>
      <w:marBottom w:val="0"/>
      <w:divBdr>
        <w:top w:val="none" w:sz="0" w:space="0" w:color="auto"/>
        <w:left w:val="none" w:sz="0" w:space="0" w:color="auto"/>
        <w:bottom w:val="none" w:sz="0" w:space="0" w:color="auto"/>
        <w:right w:val="none" w:sz="0" w:space="0" w:color="auto"/>
      </w:divBdr>
    </w:div>
    <w:div w:id="1855463008">
      <w:bodyDiv w:val="1"/>
      <w:marLeft w:val="0"/>
      <w:marRight w:val="0"/>
      <w:marTop w:val="0"/>
      <w:marBottom w:val="0"/>
      <w:divBdr>
        <w:top w:val="none" w:sz="0" w:space="0" w:color="auto"/>
        <w:left w:val="none" w:sz="0" w:space="0" w:color="auto"/>
        <w:bottom w:val="none" w:sz="0" w:space="0" w:color="auto"/>
        <w:right w:val="none" w:sz="0" w:space="0" w:color="auto"/>
      </w:divBdr>
    </w:div>
    <w:div w:id="1908611467">
      <w:bodyDiv w:val="1"/>
      <w:marLeft w:val="0"/>
      <w:marRight w:val="0"/>
      <w:marTop w:val="0"/>
      <w:marBottom w:val="0"/>
      <w:divBdr>
        <w:top w:val="none" w:sz="0" w:space="0" w:color="auto"/>
        <w:left w:val="none" w:sz="0" w:space="0" w:color="auto"/>
        <w:bottom w:val="none" w:sz="0" w:space="0" w:color="auto"/>
        <w:right w:val="none" w:sz="0" w:space="0" w:color="auto"/>
      </w:divBdr>
    </w:div>
    <w:div w:id="1919054236">
      <w:bodyDiv w:val="1"/>
      <w:marLeft w:val="0"/>
      <w:marRight w:val="0"/>
      <w:marTop w:val="0"/>
      <w:marBottom w:val="0"/>
      <w:divBdr>
        <w:top w:val="none" w:sz="0" w:space="0" w:color="auto"/>
        <w:left w:val="none" w:sz="0" w:space="0" w:color="auto"/>
        <w:bottom w:val="none" w:sz="0" w:space="0" w:color="auto"/>
        <w:right w:val="none" w:sz="0" w:space="0" w:color="auto"/>
      </w:divBdr>
    </w:div>
    <w:div w:id="2049060893">
      <w:bodyDiv w:val="1"/>
      <w:marLeft w:val="0"/>
      <w:marRight w:val="0"/>
      <w:marTop w:val="0"/>
      <w:marBottom w:val="0"/>
      <w:divBdr>
        <w:top w:val="none" w:sz="0" w:space="0" w:color="auto"/>
        <w:left w:val="none" w:sz="0" w:space="0" w:color="auto"/>
        <w:bottom w:val="none" w:sz="0" w:space="0" w:color="auto"/>
        <w:right w:val="none" w:sz="0" w:space="0" w:color="auto"/>
      </w:divBdr>
    </w:div>
    <w:div w:id="207696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ewr.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oi.deewr.gov.au/node/69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ewr.gov.au/australian-government-jobs-and-skills-expo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DFDAB-E80D-4CF8-A6B2-8E73DD76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7880</Words>
  <Characters>44919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52694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Ravsan</dc:creator>
  <cp:lastModifiedBy>Davy, Gavin</cp:lastModifiedBy>
  <cp:revision>2</cp:revision>
  <cp:lastPrinted>2013-07-02T00:10:00Z</cp:lastPrinted>
  <dcterms:created xsi:type="dcterms:W3CDTF">2013-07-10T05:12:00Z</dcterms:created>
  <dcterms:modified xsi:type="dcterms:W3CDTF">2013-07-10T05:12:00Z</dcterms:modified>
</cp:coreProperties>
</file>