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01" w:rsidRDefault="005C6B01" w:rsidP="005C6B01">
      <w:pPr>
        <w:pStyle w:val="Heading3"/>
        <w:keepNext w:val="0"/>
        <w:widowControl w:val="0"/>
        <w:spacing w:before="0"/>
      </w:pPr>
      <w:r>
        <w:t>Explanatory Statement</w:t>
      </w:r>
    </w:p>
    <w:p w:rsidR="005C6B01" w:rsidRDefault="005C6B01" w:rsidP="007D6421">
      <w:pPr>
        <w:pStyle w:val="Heading3"/>
        <w:spacing w:after="240"/>
      </w:pPr>
      <w:r>
        <w:t>Civil Aviation Safety Regulations 1998</w:t>
      </w:r>
    </w:p>
    <w:p w:rsidR="005C6B01" w:rsidRDefault="006E3A46" w:rsidP="005C6B01">
      <w:pPr>
        <w:pStyle w:val="Heading3"/>
      </w:pPr>
      <w:bookmarkStart w:id="0" w:name="_GoBack"/>
      <w:r>
        <w:t xml:space="preserve">Part 147 </w:t>
      </w:r>
      <w:r w:rsidR="005C6B01">
        <w:t>Manual of Standards Amendment Instrument 201</w:t>
      </w:r>
      <w:r>
        <w:t>3</w:t>
      </w:r>
      <w:r w:rsidR="00530643">
        <w:t xml:space="preserve"> (No. 1)</w:t>
      </w:r>
      <w:bookmarkEnd w:id="0"/>
    </w:p>
    <w:p w:rsidR="005C6B01" w:rsidRPr="007D6421" w:rsidRDefault="005C6B01" w:rsidP="005C6B01">
      <w:pPr>
        <w:rPr>
          <w:color w:val="000000"/>
        </w:rPr>
      </w:pPr>
    </w:p>
    <w:p w:rsidR="005C6B01" w:rsidRDefault="005C6B01" w:rsidP="005C6B01">
      <w:pPr>
        <w:rPr>
          <w:b/>
        </w:rPr>
      </w:pPr>
      <w:r>
        <w:rPr>
          <w:b/>
        </w:rPr>
        <w:t>Purpose</w:t>
      </w:r>
    </w:p>
    <w:p w:rsidR="005C6B01" w:rsidRDefault="005C6B01" w:rsidP="005C6B01">
      <w:r>
        <w:t xml:space="preserve">The </w:t>
      </w:r>
      <w:r w:rsidR="002D11E1">
        <w:t xml:space="preserve">Part 147 </w:t>
      </w:r>
      <w:r>
        <w:t>Manual of Standards (</w:t>
      </w:r>
      <w:r w:rsidR="00530643">
        <w:t xml:space="preserve">the </w:t>
      </w:r>
      <w:r>
        <w:rPr>
          <w:b/>
          <w:i/>
        </w:rPr>
        <w:t>MOS</w:t>
      </w:r>
      <w:r>
        <w:t xml:space="preserve">) sets out the requirements to be met by an organisation holding an approval issued under Part 147 of the </w:t>
      </w:r>
      <w:r>
        <w:rPr>
          <w:i/>
        </w:rPr>
        <w:t>Civil Aviation Safety Regulations 1998</w:t>
      </w:r>
      <w:r>
        <w:t xml:space="preserve"> (</w:t>
      </w:r>
      <w:r>
        <w:rPr>
          <w:b/>
          <w:i/>
        </w:rPr>
        <w:t>CASR 1998</w:t>
      </w:r>
      <w:r>
        <w:t>) to conduct training and assessment.</w:t>
      </w:r>
    </w:p>
    <w:p w:rsidR="005C6B01" w:rsidRPr="007D6421" w:rsidRDefault="005C6B01" w:rsidP="005C6B01">
      <w:pPr>
        <w:rPr>
          <w:color w:val="000000"/>
        </w:rPr>
      </w:pPr>
    </w:p>
    <w:p w:rsidR="005C6B01" w:rsidRDefault="005C6B01" w:rsidP="007D6421">
      <w:pPr>
        <w:rPr>
          <w:b/>
        </w:rPr>
      </w:pPr>
      <w:r>
        <w:rPr>
          <w:b/>
        </w:rPr>
        <w:t>Background</w:t>
      </w:r>
    </w:p>
    <w:p w:rsidR="005C6B01" w:rsidRDefault="005C6B01" w:rsidP="005C6B01">
      <w:r>
        <w:rPr>
          <w:color w:val="000000"/>
        </w:rPr>
        <w:t>As a matter of safety policy, CASA has adopted the regulatory approach to maintenance promulgated by the European Aviation Safety Agency (</w:t>
      </w:r>
      <w:r>
        <w:rPr>
          <w:b/>
          <w:i/>
          <w:color w:val="000000"/>
        </w:rPr>
        <w:t>EASA</w:t>
      </w:r>
      <w:r>
        <w:rPr>
          <w:color w:val="000000"/>
        </w:rPr>
        <w:t>). T</w:t>
      </w:r>
      <w:r>
        <w:t xml:space="preserve">he specifications set out in </w:t>
      </w:r>
      <w:r w:rsidR="00530643">
        <w:t xml:space="preserve">the </w:t>
      </w:r>
      <w:r>
        <w:t>MOS have been developed to be clos</w:t>
      </w:r>
      <w:r w:rsidR="00530643">
        <w:t>ely aligned with EASA Part 147.</w:t>
      </w:r>
    </w:p>
    <w:p w:rsidR="005C6B01" w:rsidRPr="007D6421" w:rsidRDefault="005C6B01" w:rsidP="005C6B01">
      <w:pPr>
        <w:rPr>
          <w:color w:val="000000"/>
        </w:rPr>
      </w:pPr>
    </w:p>
    <w:p w:rsidR="005C6B01" w:rsidRDefault="005C6B01" w:rsidP="007D6421">
      <w:pPr>
        <w:rPr>
          <w:b/>
        </w:rPr>
      </w:pPr>
      <w:r>
        <w:rPr>
          <w:b/>
        </w:rPr>
        <w:t>Legislation —</w:t>
      </w:r>
      <w:r w:rsidR="00530643">
        <w:rPr>
          <w:b/>
        </w:rPr>
        <w:t xml:space="preserve"> </w:t>
      </w:r>
      <w:r>
        <w:rPr>
          <w:b/>
        </w:rPr>
        <w:t>the Act</w:t>
      </w:r>
    </w:p>
    <w:p w:rsidR="00530643" w:rsidRDefault="005C6B01" w:rsidP="005C6B01">
      <w:r>
        <w:t>Under subsection 98</w:t>
      </w:r>
      <w:r w:rsidR="007D6421">
        <w:t> </w:t>
      </w:r>
      <w:r>
        <w:t xml:space="preserve">(1) of the </w:t>
      </w:r>
      <w:r>
        <w:rPr>
          <w:i/>
        </w:rPr>
        <w:t>Civil Aviation Act 1988</w:t>
      </w:r>
      <w:r>
        <w:t xml:space="preserve"> (the </w:t>
      </w:r>
      <w:r>
        <w:rPr>
          <w:b/>
          <w:i/>
        </w:rPr>
        <w:t>Act</w:t>
      </w:r>
      <w:r>
        <w:t>), the Governor-General may make regulations for the purposes of the Act and in the interests of the safety of air navigation.</w:t>
      </w:r>
    </w:p>
    <w:p w:rsidR="005C6B01" w:rsidRPr="007D6421" w:rsidRDefault="005C6B01" w:rsidP="007D6421">
      <w:pPr>
        <w:rPr>
          <w:color w:val="000000"/>
        </w:rPr>
      </w:pPr>
    </w:p>
    <w:p w:rsidR="005C6B01" w:rsidRDefault="005C6B01" w:rsidP="007D6421">
      <w:pPr>
        <w:rPr>
          <w:b/>
        </w:rPr>
      </w:pPr>
      <w:r>
        <w:rPr>
          <w:b/>
        </w:rPr>
        <w:t>Legislation — CASR Part 147</w:t>
      </w:r>
    </w:p>
    <w:p w:rsidR="00530643" w:rsidRDefault="005C6B01" w:rsidP="005C6B01">
      <w:r>
        <w:t xml:space="preserve">These regulations are contained in the </w:t>
      </w:r>
      <w:r>
        <w:rPr>
          <w:i/>
        </w:rPr>
        <w:t>Civil Aviation Safety Regulations 1998</w:t>
      </w:r>
      <w:r>
        <w:t xml:space="preserve"> (</w:t>
      </w:r>
      <w:r>
        <w:rPr>
          <w:b/>
          <w:i/>
        </w:rPr>
        <w:t>CASR 1998</w:t>
      </w:r>
      <w:r>
        <w:t>). In particular, Part 147 of CASR 1998 (</w:t>
      </w:r>
      <w:r>
        <w:rPr>
          <w:b/>
          <w:i/>
        </w:rPr>
        <w:t>CASR Part 147</w:t>
      </w:r>
      <w:r>
        <w:t xml:space="preserve">), </w:t>
      </w:r>
      <w:r w:rsidRPr="00530643">
        <w:rPr>
          <w:i/>
        </w:rPr>
        <w:t xml:space="preserve">Continuing airworthiness – maintenance training organisations </w:t>
      </w:r>
      <w:r>
        <w:t>(</w:t>
      </w:r>
      <w:r w:rsidRPr="005546FC">
        <w:rPr>
          <w:b/>
          <w:i/>
        </w:rPr>
        <w:t>MTO</w:t>
      </w:r>
      <w:r>
        <w:t>), sets out matters</w:t>
      </w:r>
      <w:r w:rsidR="00530643">
        <w:t>,</w:t>
      </w:r>
      <w:r>
        <w:t xml:space="preserve"> including requirements for approval as an MTO and requirements that apply to an MTO.</w:t>
      </w:r>
    </w:p>
    <w:p w:rsidR="005C6B01" w:rsidRPr="007D6421" w:rsidRDefault="005C6B01" w:rsidP="007D6421">
      <w:pPr>
        <w:rPr>
          <w:color w:val="000000"/>
        </w:rPr>
      </w:pPr>
    </w:p>
    <w:p w:rsidR="005C6B01" w:rsidRPr="006E3A46" w:rsidRDefault="005C6B01" w:rsidP="005C6B01">
      <w:pPr>
        <w:pStyle w:val="LDBodytext"/>
        <w:rPr>
          <w:rFonts w:ascii="Times New Roman" w:hAnsi="Times New Roman" w:cs="Times New Roman"/>
        </w:rPr>
      </w:pPr>
      <w:r w:rsidRPr="006E3A46">
        <w:rPr>
          <w:rFonts w:ascii="Times New Roman" w:hAnsi="Times New Roman" w:cs="Times New Roman"/>
        </w:rPr>
        <w:t>Under subsection 98</w:t>
      </w:r>
      <w:r w:rsidR="00530643">
        <w:rPr>
          <w:rFonts w:ascii="Times New Roman" w:hAnsi="Times New Roman" w:cs="Times New Roman"/>
        </w:rPr>
        <w:t> </w:t>
      </w:r>
      <w:r w:rsidRPr="006E3A46">
        <w:rPr>
          <w:rFonts w:ascii="Times New Roman" w:hAnsi="Times New Roman" w:cs="Times New Roman"/>
        </w:rPr>
        <w:t>(5A) of the Act, the regulations may empower CASA to issue instruments in relation to the maintenanc</w:t>
      </w:r>
      <w:r w:rsidR="007D6421">
        <w:rPr>
          <w:rFonts w:ascii="Times New Roman" w:hAnsi="Times New Roman" w:cs="Times New Roman"/>
        </w:rPr>
        <w:t>e or airworthiness of aircraft.</w:t>
      </w:r>
    </w:p>
    <w:p w:rsidR="005C6B01" w:rsidRPr="007D6421" w:rsidRDefault="005C6B01" w:rsidP="007D6421">
      <w:pPr>
        <w:rPr>
          <w:color w:val="000000"/>
        </w:rPr>
      </w:pPr>
    </w:p>
    <w:p w:rsidR="005C6B01" w:rsidRDefault="005C6B01" w:rsidP="005C6B01">
      <w:r>
        <w:t xml:space="preserve">To this end, under regulation 147.015 of CASR 1998, CASA is empowered to issue a MOS for CASR Part 147, setting out matters affecting the airworthiness or maintenance of aircraft. Under </w:t>
      </w:r>
      <w:proofErr w:type="spellStart"/>
      <w:r>
        <w:t>subregulation</w:t>
      </w:r>
      <w:proofErr w:type="spellEnd"/>
      <w:r>
        <w:t xml:space="preserve"> 147.015 (2) of CASR 1998, the MOS may, </w:t>
      </w:r>
      <w:r w:rsidR="005546FC">
        <w:t>among others</w:t>
      </w:r>
      <w:r>
        <w:t>, specify the following matters:</w:t>
      </w:r>
    </w:p>
    <w:p w:rsidR="00530643" w:rsidRDefault="005C6B01" w:rsidP="00530643">
      <w:pPr>
        <w:pStyle w:val="Default"/>
        <w:tabs>
          <w:tab w:val="left" w:pos="480"/>
        </w:tabs>
        <w:ind w:left="480" w:hanging="480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category training a maintenance training organisation may be approved to provide;</w:t>
      </w:r>
    </w:p>
    <w:p w:rsidR="00530643" w:rsidRDefault="005C6B01" w:rsidP="00530643">
      <w:pPr>
        <w:pStyle w:val="Default"/>
        <w:tabs>
          <w:tab w:val="left" w:pos="480"/>
        </w:tabs>
        <w:ind w:left="480" w:hanging="480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aircraft type training a maintenance training organisation may be approved to provide;</w:t>
      </w:r>
    </w:p>
    <w:p w:rsidR="00530643" w:rsidRDefault="005C6B01" w:rsidP="00530643">
      <w:pPr>
        <w:pStyle w:val="Default"/>
        <w:tabs>
          <w:tab w:val="left" w:pos="480"/>
        </w:tabs>
        <w:ind w:left="480" w:hanging="480"/>
      </w:pPr>
      <w:r>
        <w:t>(</w:t>
      </w:r>
      <w:r w:rsidR="005546FC">
        <w:t>c</w:t>
      </w:r>
      <w:r>
        <w:t>)</w:t>
      </w:r>
      <w:r>
        <w:tab/>
      </w:r>
      <w:proofErr w:type="gramStart"/>
      <w:r>
        <w:t>requirements</w:t>
      </w:r>
      <w:proofErr w:type="gramEnd"/>
      <w:r>
        <w:t xml:space="preserve"> for a maintenance training organisation, including requirements in relation to the following:</w:t>
      </w:r>
    </w:p>
    <w:p w:rsidR="00530643" w:rsidRDefault="005C6B01" w:rsidP="005C6B01">
      <w:pPr>
        <w:pStyle w:val="Default"/>
        <w:tabs>
          <w:tab w:val="right" w:pos="1080"/>
          <w:tab w:val="left" w:pos="1200"/>
        </w:tabs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facilities</w:t>
      </w:r>
      <w:proofErr w:type="gramEnd"/>
      <w:r>
        <w:t>;</w:t>
      </w:r>
    </w:p>
    <w:p w:rsidR="00530643" w:rsidRDefault="005C6B01" w:rsidP="005C6B01">
      <w:pPr>
        <w:pStyle w:val="Default"/>
        <w:tabs>
          <w:tab w:val="right" w:pos="1080"/>
          <w:tab w:val="left" w:pos="1200"/>
        </w:tabs>
      </w:pPr>
      <w:r>
        <w:tab/>
        <w:t>(ii)</w:t>
      </w:r>
      <w:r>
        <w:tab/>
      </w:r>
      <w:proofErr w:type="gramStart"/>
      <w:r>
        <w:t>employees</w:t>
      </w:r>
      <w:proofErr w:type="gramEnd"/>
      <w:r>
        <w:t>, including employee qualifications;</w:t>
      </w:r>
    </w:p>
    <w:p w:rsidR="00530643" w:rsidRDefault="005C6B01" w:rsidP="005C6B01">
      <w:pPr>
        <w:pStyle w:val="Default"/>
        <w:tabs>
          <w:tab w:val="right" w:pos="1080"/>
          <w:tab w:val="left" w:pos="1200"/>
        </w:tabs>
      </w:pPr>
      <w:r>
        <w:tab/>
        <w:t>(iii)</w:t>
      </w:r>
      <w:r>
        <w:tab/>
      </w:r>
      <w:proofErr w:type="gramStart"/>
      <w:r>
        <w:t>records</w:t>
      </w:r>
      <w:proofErr w:type="gramEnd"/>
      <w:r>
        <w:t xml:space="preserve"> of instructors and assessors;</w:t>
      </w:r>
    </w:p>
    <w:p w:rsidR="00530643" w:rsidRDefault="005C6B01" w:rsidP="005C6B01">
      <w:pPr>
        <w:pStyle w:val="Default"/>
        <w:tabs>
          <w:tab w:val="right" w:pos="1080"/>
          <w:tab w:val="left" w:pos="1200"/>
        </w:tabs>
      </w:pPr>
      <w:r>
        <w:tab/>
        <w:t>(iv)</w:t>
      </w:r>
      <w:r>
        <w:tab/>
      </w:r>
      <w:proofErr w:type="gramStart"/>
      <w:r>
        <w:t>course</w:t>
      </w:r>
      <w:proofErr w:type="gramEnd"/>
      <w:r>
        <w:t xml:space="preserve"> plans;</w:t>
      </w:r>
    </w:p>
    <w:p w:rsidR="00530643" w:rsidRDefault="005C6B01" w:rsidP="005C6B01">
      <w:pPr>
        <w:pStyle w:val="Default"/>
        <w:tabs>
          <w:tab w:val="right" w:pos="1080"/>
          <w:tab w:val="left" w:pos="1200"/>
        </w:tabs>
      </w:pPr>
      <w:r>
        <w:tab/>
        <w:t>(v)</w:t>
      </w:r>
      <w:r>
        <w:tab/>
      </w:r>
      <w:proofErr w:type="gramStart"/>
      <w:r>
        <w:t>conduct</w:t>
      </w:r>
      <w:proofErr w:type="gramEnd"/>
      <w:r>
        <w:t xml:space="preserve"> of assessments;</w:t>
      </w:r>
    </w:p>
    <w:p w:rsidR="00530643" w:rsidRDefault="005C6B01" w:rsidP="005C6B01">
      <w:pPr>
        <w:pStyle w:val="Default"/>
        <w:tabs>
          <w:tab w:val="right" w:pos="1080"/>
          <w:tab w:val="left" w:pos="1200"/>
        </w:tabs>
      </w:pPr>
      <w:r>
        <w:tab/>
        <w:t>(vi)</w:t>
      </w:r>
      <w:r>
        <w:tab/>
      </w:r>
      <w:proofErr w:type="gramStart"/>
      <w:r>
        <w:t>instructional</w:t>
      </w:r>
      <w:proofErr w:type="gramEnd"/>
      <w:r>
        <w:t xml:space="preserve"> equipment;</w:t>
      </w:r>
    </w:p>
    <w:p w:rsidR="00530643" w:rsidRDefault="005C6B01" w:rsidP="005C6B01">
      <w:pPr>
        <w:pStyle w:val="Default"/>
        <w:widowControl w:val="0"/>
        <w:tabs>
          <w:tab w:val="right" w:pos="1080"/>
          <w:tab w:val="left" w:pos="1200"/>
        </w:tabs>
        <w:rPr>
          <w:sz w:val="23"/>
          <w:szCs w:val="23"/>
        </w:rPr>
      </w:pPr>
      <w:r>
        <w:rPr>
          <w:sz w:val="23"/>
          <w:szCs w:val="23"/>
        </w:rPr>
        <w:tab/>
        <w:t>(vii)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maintenance</w:t>
      </w:r>
      <w:proofErr w:type="gramEnd"/>
      <w:r>
        <w:rPr>
          <w:sz w:val="23"/>
          <w:szCs w:val="23"/>
        </w:rPr>
        <w:t xml:space="preserve"> training material;</w:t>
      </w:r>
    </w:p>
    <w:p w:rsidR="00530643" w:rsidRDefault="005C6B01" w:rsidP="005C6B01">
      <w:pPr>
        <w:pStyle w:val="Default"/>
        <w:tabs>
          <w:tab w:val="right" w:pos="1080"/>
          <w:tab w:val="left" w:pos="1200"/>
        </w:tabs>
        <w:rPr>
          <w:sz w:val="23"/>
          <w:szCs w:val="23"/>
        </w:rPr>
      </w:pPr>
      <w:r>
        <w:rPr>
          <w:sz w:val="23"/>
          <w:szCs w:val="23"/>
        </w:rPr>
        <w:tab/>
        <w:t>(viii)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records</w:t>
      </w:r>
      <w:proofErr w:type="gramEnd"/>
      <w:r>
        <w:rPr>
          <w:sz w:val="23"/>
          <w:szCs w:val="23"/>
        </w:rPr>
        <w:t>;</w:t>
      </w:r>
    </w:p>
    <w:p w:rsidR="00530643" w:rsidRDefault="005C6B01" w:rsidP="005C6B01">
      <w:pPr>
        <w:pStyle w:val="Default"/>
        <w:tabs>
          <w:tab w:val="right" w:pos="1080"/>
          <w:tab w:val="left" w:pos="1200"/>
        </w:tabs>
        <w:ind w:left="1440" w:hanging="1440"/>
        <w:rPr>
          <w:sz w:val="23"/>
          <w:szCs w:val="23"/>
        </w:rPr>
      </w:pPr>
      <w:r>
        <w:rPr>
          <w:sz w:val="23"/>
          <w:szCs w:val="23"/>
        </w:rPr>
        <w:tab/>
        <w:t>(ix)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training</w:t>
      </w:r>
      <w:proofErr w:type="gramEnd"/>
      <w:r>
        <w:rPr>
          <w:sz w:val="23"/>
          <w:szCs w:val="23"/>
        </w:rPr>
        <w:t xml:space="preserve"> procedures and the quality management system, including auditing;</w:t>
      </w:r>
    </w:p>
    <w:p w:rsidR="005C6B01" w:rsidRDefault="00530643" w:rsidP="005C6B01">
      <w:pPr>
        <w:pStyle w:val="Default"/>
        <w:tabs>
          <w:tab w:val="right" w:pos="1080"/>
          <w:tab w:val="left" w:pos="1200"/>
        </w:tabs>
        <w:rPr>
          <w:sz w:val="23"/>
          <w:szCs w:val="23"/>
        </w:rPr>
      </w:pPr>
      <w:r>
        <w:rPr>
          <w:sz w:val="23"/>
          <w:szCs w:val="23"/>
        </w:rPr>
        <w:tab/>
        <w:t>(x)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assessments</w:t>
      </w:r>
      <w:proofErr w:type="gramEnd"/>
      <w:r>
        <w:rPr>
          <w:sz w:val="23"/>
          <w:szCs w:val="23"/>
        </w:rPr>
        <w:t>;</w:t>
      </w:r>
    </w:p>
    <w:p w:rsidR="005C6B01" w:rsidRPr="000A5066" w:rsidRDefault="005C6B01" w:rsidP="000A5066">
      <w:pPr>
        <w:pStyle w:val="LDBodytext"/>
        <w:tabs>
          <w:tab w:val="right" w:pos="1080"/>
          <w:tab w:val="left" w:pos="1200"/>
        </w:tabs>
        <w:ind w:left="1276" w:hanging="1134"/>
        <w:rPr>
          <w:rFonts w:ascii="Times New Roman" w:hAnsi="Times New Roman" w:cs="Times New Roman"/>
        </w:rPr>
      </w:pPr>
      <w:r>
        <w:rPr>
          <w:sz w:val="23"/>
          <w:szCs w:val="23"/>
        </w:rPr>
        <w:lastRenderedPageBreak/>
        <w:tab/>
      </w:r>
      <w:r w:rsidRPr="000A5066">
        <w:rPr>
          <w:rFonts w:ascii="Times New Roman" w:hAnsi="Times New Roman" w:cs="Times New Roman"/>
        </w:rPr>
        <w:t>(xi)</w:t>
      </w:r>
      <w:r w:rsidRPr="000A5066">
        <w:rPr>
          <w:rFonts w:ascii="Times New Roman" w:hAnsi="Times New Roman" w:cs="Times New Roman"/>
        </w:rPr>
        <w:tab/>
        <w:t xml:space="preserve"> </w:t>
      </w:r>
      <w:proofErr w:type="gramStart"/>
      <w:r w:rsidRPr="000A5066">
        <w:rPr>
          <w:rFonts w:ascii="Times New Roman" w:hAnsi="Times New Roman" w:cs="Times New Roman"/>
        </w:rPr>
        <w:t>a</w:t>
      </w:r>
      <w:proofErr w:type="gramEnd"/>
      <w:r w:rsidRPr="000A5066">
        <w:rPr>
          <w:rFonts w:ascii="Times New Roman" w:hAnsi="Times New Roman" w:cs="Times New Roman"/>
        </w:rPr>
        <w:t xml:space="preserve"> procedure for making changes to the organisation that are not significant changes.</w:t>
      </w:r>
    </w:p>
    <w:p w:rsidR="005C6B01" w:rsidRPr="00530643" w:rsidRDefault="005C6B01" w:rsidP="00530643">
      <w:pPr>
        <w:rPr>
          <w:color w:val="000000"/>
        </w:rPr>
      </w:pPr>
    </w:p>
    <w:p w:rsidR="005C6B01" w:rsidRDefault="005C6B01" w:rsidP="005C6B01">
      <w:pPr>
        <w:rPr>
          <w:lang w:val="en"/>
        </w:rPr>
      </w:pPr>
      <w:r>
        <w:rPr>
          <w:lang w:val="en"/>
        </w:rPr>
        <w:t xml:space="preserve">The MOS establishes the requirements to be met by </w:t>
      </w:r>
      <w:proofErr w:type="spellStart"/>
      <w:r>
        <w:rPr>
          <w:lang w:val="en"/>
        </w:rPr>
        <w:t>organisations</w:t>
      </w:r>
      <w:proofErr w:type="spellEnd"/>
      <w:r>
        <w:rPr>
          <w:lang w:val="en"/>
        </w:rPr>
        <w:t xml:space="preserve"> seeking approval to conduct training and examinations specified in CASR Part 66. </w:t>
      </w:r>
      <w:r>
        <w:rPr>
          <w:color w:val="000000"/>
        </w:rPr>
        <w:t>It relates to specifically approved maintenance training organisations operating under detailed, self-prepared, expositions setting out their training objectives, resources and capabilities</w:t>
      </w:r>
      <w:r w:rsidR="007D6421">
        <w:t>.</w:t>
      </w:r>
    </w:p>
    <w:p w:rsidR="005C6B01" w:rsidRDefault="005C6B01" w:rsidP="005C6B01">
      <w:pPr>
        <w:rPr>
          <w:color w:val="000000"/>
        </w:rPr>
      </w:pPr>
    </w:p>
    <w:p w:rsidR="005546FC" w:rsidRPr="005546FC" w:rsidRDefault="005C6B01" w:rsidP="005546FC">
      <w:pPr>
        <w:rPr>
          <w:rFonts w:eastAsiaTheme="minorHAnsi"/>
          <w:lang w:eastAsia="en-US"/>
        </w:rPr>
      </w:pPr>
      <w:r w:rsidRPr="000A5066">
        <w:t xml:space="preserve">This instrument </w:t>
      </w:r>
      <w:r w:rsidR="005546FC">
        <w:t>replaces paragraph 147.A.100</w:t>
      </w:r>
      <w:r w:rsidR="00530643">
        <w:t> </w:t>
      </w:r>
      <w:r w:rsidR="005546FC">
        <w:t xml:space="preserve">(e) in the MOS to clarify the requirements for giving practical instruction. The new paragraph states that </w:t>
      </w:r>
      <w:r w:rsidR="005546FC">
        <w:rPr>
          <w:rFonts w:eastAsiaTheme="minorHAnsi"/>
          <w:lang w:eastAsia="en-US"/>
        </w:rPr>
        <w:t>if</w:t>
      </w:r>
      <w:r w:rsidR="005546FC" w:rsidRPr="005546FC">
        <w:rPr>
          <w:rFonts w:eastAsiaTheme="minorHAnsi"/>
          <w:lang w:eastAsia="en-US"/>
        </w:rPr>
        <w:t xml:space="preserve"> an MTO provides an aircraft</w:t>
      </w:r>
      <w:r w:rsidR="007D6421">
        <w:rPr>
          <w:rFonts w:eastAsiaTheme="minorHAnsi"/>
          <w:lang w:eastAsia="en-US"/>
        </w:rPr>
        <w:t xml:space="preserve"> </w:t>
      </w:r>
      <w:r w:rsidR="005546FC" w:rsidRPr="005546FC">
        <w:rPr>
          <w:rFonts w:eastAsiaTheme="minorHAnsi"/>
          <w:lang w:eastAsia="en-US"/>
        </w:rPr>
        <w:t xml:space="preserve">type training course, it must give students access to appropriate facilities containing examples of the aircraft type for the required practical instruction. </w:t>
      </w:r>
      <w:r w:rsidR="005546FC">
        <w:rPr>
          <w:rFonts w:eastAsiaTheme="minorHAnsi"/>
          <w:lang w:eastAsia="en-US"/>
        </w:rPr>
        <w:t>I</w:t>
      </w:r>
      <w:r w:rsidR="002D11E1">
        <w:rPr>
          <w:rFonts w:eastAsiaTheme="minorHAnsi"/>
          <w:lang w:eastAsia="en-US"/>
        </w:rPr>
        <w:t>n addition, i</w:t>
      </w:r>
      <w:r w:rsidR="005546FC" w:rsidRPr="005546FC">
        <w:rPr>
          <w:rFonts w:eastAsiaTheme="minorHAnsi"/>
          <w:lang w:eastAsia="en-US"/>
        </w:rPr>
        <w:t xml:space="preserve">f the MTO does not have the appropriate facilities or aircraft, arrangements may be made with another organisation (the </w:t>
      </w:r>
      <w:r w:rsidR="005546FC" w:rsidRPr="005546FC">
        <w:rPr>
          <w:rFonts w:eastAsiaTheme="minorHAnsi"/>
          <w:b/>
          <w:i/>
          <w:lang w:eastAsia="en-US"/>
        </w:rPr>
        <w:t>contracted organisation</w:t>
      </w:r>
      <w:r w:rsidR="005546FC" w:rsidRPr="005546FC">
        <w:rPr>
          <w:rFonts w:eastAsiaTheme="minorHAnsi"/>
          <w:lang w:eastAsia="en-US"/>
        </w:rPr>
        <w:t xml:space="preserve">) to provide the appropriate facilities and examples of the aircraft type. The arrangements </w:t>
      </w:r>
      <w:r w:rsidR="005546FC">
        <w:rPr>
          <w:rFonts w:eastAsiaTheme="minorHAnsi"/>
          <w:lang w:eastAsia="en-US"/>
        </w:rPr>
        <w:t xml:space="preserve">made </w:t>
      </w:r>
      <w:r w:rsidR="005546FC" w:rsidRPr="005546FC">
        <w:rPr>
          <w:rFonts w:eastAsiaTheme="minorHAnsi"/>
          <w:lang w:eastAsia="en-US"/>
        </w:rPr>
        <w:t>must be set out in a written agreement stating the conditions of access to the facilities and aircraft. The agreement must specify that the contracted organisation must give CASA access to its facilities.</w:t>
      </w:r>
    </w:p>
    <w:p w:rsidR="005546FC" w:rsidRPr="00530643" w:rsidRDefault="005546FC" w:rsidP="005C6B01">
      <w:pPr>
        <w:rPr>
          <w:color w:val="000000"/>
        </w:rPr>
      </w:pPr>
    </w:p>
    <w:p w:rsidR="005C6B01" w:rsidRPr="007D6421" w:rsidRDefault="005C6B01" w:rsidP="005C6B01">
      <w:pPr>
        <w:rPr>
          <w:b/>
        </w:rPr>
      </w:pPr>
      <w:r w:rsidRPr="007D6421">
        <w:rPr>
          <w:b/>
        </w:rPr>
        <w:t>Consultation</w:t>
      </w:r>
    </w:p>
    <w:p w:rsidR="004043B6" w:rsidRPr="00160364" w:rsidRDefault="004043B6" w:rsidP="004043B6">
      <w:r>
        <w:t xml:space="preserve">Consultation as required by section 17 of the </w:t>
      </w:r>
      <w:r>
        <w:rPr>
          <w:i/>
          <w:iCs/>
        </w:rPr>
        <w:t xml:space="preserve">Legislative Instruments Act 2003, </w:t>
      </w:r>
      <w:r>
        <w:t>section 16 of the</w:t>
      </w:r>
      <w:r>
        <w:rPr>
          <w:i/>
          <w:iCs/>
        </w:rPr>
        <w:t xml:space="preserve"> </w:t>
      </w:r>
      <w:r w:rsidRPr="005E7F89">
        <w:t xml:space="preserve">Act </w:t>
      </w:r>
      <w:r>
        <w:t xml:space="preserve">and regulation 11.280 of CASR </w:t>
      </w:r>
      <w:r w:rsidRPr="005E7F89">
        <w:t>1998</w:t>
      </w:r>
      <w:r>
        <w:t xml:space="preserve"> was undertaken as follows. A draft of the </w:t>
      </w:r>
      <w:r w:rsidRPr="005E7F89">
        <w:t>MOS amendment</w:t>
      </w:r>
      <w:r>
        <w:t xml:space="preserve"> was published on the CASA website and on the internet forums of the joint CASA/Industry Standards Consultative Committee (</w:t>
      </w:r>
      <w:r w:rsidRPr="00F32CD0">
        <w:rPr>
          <w:b/>
          <w:i/>
        </w:rPr>
        <w:t>SCC</w:t>
      </w:r>
      <w:r>
        <w:t>), the SCC Certification Standards Sub</w:t>
      </w:r>
      <w:r>
        <w:noBreakHyphen/>
        <w:t>committee and the SCC Maintenance Standards Sub-committee for review/comment. No objections to the amendments were received.</w:t>
      </w:r>
    </w:p>
    <w:p w:rsidR="005C6B01" w:rsidRPr="00530643" w:rsidRDefault="005C6B01" w:rsidP="00530643">
      <w:pPr>
        <w:rPr>
          <w:color w:val="000000"/>
        </w:rPr>
      </w:pPr>
    </w:p>
    <w:p w:rsidR="005C6B01" w:rsidRPr="005546FC" w:rsidRDefault="005C6B01" w:rsidP="005C6B01">
      <w:pPr>
        <w:pStyle w:val="LDBodytext"/>
        <w:rPr>
          <w:rFonts w:ascii="Times New Roman" w:hAnsi="Times New Roman" w:cs="Times New Roman"/>
          <w:b/>
        </w:rPr>
      </w:pPr>
      <w:r w:rsidRPr="005546FC">
        <w:rPr>
          <w:rFonts w:ascii="Times New Roman" w:hAnsi="Times New Roman" w:cs="Times New Roman"/>
          <w:b/>
        </w:rPr>
        <w:t>Office of Best Practice Regulation (</w:t>
      </w:r>
      <w:r w:rsidRPr="005546FC">
        <w:rPr>
          <w:rFonts w:ascii="Times New Roman" w:hAnsi="Times New Roman" w:cs="Times New Roman"/>
          <w:b/>
          <w:i/>
        </w:rPr>
        <w:t>OBPR</w:t>
      </w:r>
      <w:r w:rsidRPr="005546FC">
        <w:rPr>
          <w:rFonts w:ascii="Times New Roman" w:hAnsi="Times New Roman" w:cs="Times New Roman"/>
          <w:b/>
        </w:rPr>
        <w:t>)</w:t>
      </w:r>
    </w:p>
    <w:p w:rsidR="00530643" w:rsidRDefault="005C6B01" w:rsidP="005C6B01">
      <w:pPr>
        <w:pStyle w:val="LDBodytext"/>
        <w:rPr>
          <w:rFonts w:ascii="Times New Roman" w:hAnsi="Times New Roman" w:cs="Times New Roman"/>
        </w:rPr>
      </w:pPr>
      <w:r w:rsidRPr="005546FC">
        <w:rPr>
          <w:rFonts w:ascii="Times New Roman" w:hAnsi="Times New Roman" w:cs="Times New Roman"/>
        </w:rPr>
        <w:t>OBPR have assessed that the maintenance suite’s (CASR Part 42, 66, 145 and 147) Regulation Impact Statement</w:t>
      </w:r>
      <w:r w:rsidRPr="005546FC">
        <w:rPr>
          <w:rFonts w:ascii="Times New Roman" w:hAnsi="Times New Roman" w:cs="Times New Roman"/>
          <w:lang w:eastAsia="en-AU"/>
        </w:rPr>
        <w:t xml:space="preserve"> meets the Government’s best practice regulation requirements. </w:t>
      </w:r>
      <w:r w:rsidRPr="005546FC">
        <w:rPr>
          <w:rFonts w:ascii="Times New Roman" w:hAnsi="Times New Roman" w:cs="Times New Roman"/>
        </w:rPr>
        <w:t>Having been made under CASR Part 147, the same OBPR outcome extends to MOS Part 147 and this instrument.</w:t>
      </w:r>
    </w:p>
    <w:p w:rsidR="005C6B01" w:rsidRPr="00530643" w:rsidRDefault="005C6B01" w:rsidP="00530643">
      <w:pPr>
        <w:rPr>
          <w:color w:val="000000"/>
        </w:rPr>
      </w:pPr>
    </w:p>
    <w:p w:rsidR="002D11E1" w:rsidRPr="002D11E1" w:rsidRDefault="002D11E1" w:rsidP="002D11E1">
      <w:pPr>
        <w:rPr>
          <w:b/>
          <w:lang w:eastAsia="en-US"/>
        </w:rPr>
      </w:pPr>
      <w:r w:rsidRPr="002D11E1">
        <w:rPr>
          <w:b/>
          <w:lang w:eastAsia="en-US"/>
        </w:rPr>
        <w:t xml:space="preserve">Statement of </w:t>
      </w:r>
      <w:r w:rsidR="00530643">
        <w:rPr>
          <w:b/>
          <w:lang w:eastAsia="en-US"/>
        </w:rPr>
        <w:t>C</w:t>
      </w:r>
      <w:r w:rsidRPr="002D11E1">
        <w:rPr>
          <w:b/>
          <w:lang w:eastAsia="en-US"/>
        </w:rPr>
        <w:t xml:space="preserve">ompatibility with </w:t>
      </w:r>
      <w:r w:rsidR="00530643">
        <w:rPr>
          <w:b/>
          <w:lang w:eastAsia="en-US"/>
        </w:rPr>
        <w:t>H</w:t>
      </w:r>
      <w:r w:rsidRPr="002D11E1">
        <w:rPr>
          <w:b/>
          <w:lang w:eastAsia="en-US"/>
        </w:rPr>
        <w:t xml:space="preserve">uman </w:t>
      </w:r>
      <w:r w:rsidR="00530643">
        <w:rPr>
          <w:b/>
          <w:lang w:eastAsia="en-US"/>
        </w:rPr>
        <w:t>R</w:t>
      </w:r>
      <w:r w:rsidRPr="002D11E1">
        <w:rPr>
          <w:b/>
          <w:lang w:eastAsia="en-US"/>
        </w:rPr>
        <w:t>ights</w:t>
      </w:r>
    </w:p>
    <w:p w:rsidR="002D11E1" w:rsidRPr="002D11E1" w:rsidRDefault="002D11E1" w:rsidP="002D11E1">
      <w:pPr>
        <w:rPr>
          <w:iCs/>
        </w:rPr>
      </w:pPr>
      <w:r w:rsidRPr="002D11E1">
        <w:rPr>
          <w:iCs/>
        </w:rPr>
        <w:t xml:space="preserve">A </w:t>
      </w:r>
      <w:r w:rsidR="00530643">
        <w:rPr>
          <w:iCs/>
        </w:rPr>
        <w:t>S</w:t>
      </w:r>
      <w:r w:rsidRPr="002D11E1">
        <w:rPr>
          <w:iCs/>
        </w:rPr>
        <w:t xml:space="preserve">tatement of </w:t>
      </w:r>
      <w:r w:rsidR="00530643">
        <w:rPr>
          <w:iCs/>
        </w:rPr>
        <w:t>C</w:t>
      </w:r>
      <w:r w:rsidRPr="002D11E1">
        <w:rPr>
          <w:iCs/>
        </w:rPr>
        <w:t xml:space="preserve">ompatibility with </w:t>
      </w:r>
      <w:r w:rsidR="00530643">
        <w:rPr>
          <w:iCs/>
        </w:rPr>
        <w:t>H</w:t>
      </w:r>
      <w:r w:rsidRPr="002D11E1">
        <w:rPr>
          <w:iCs/>
        </w:rPr>
        <w:t xml:space="preserve">uman </w:t>
      </w:r>
      <w:r w:rsidR="00530643">
        <w:rPr>
          <w:iCs/>
        </w:rPr>
        <w:t>R</w:t>
      </w:r>
      <w:r w:rsidRPr="002D11E1">
        <w:rPr>
          <w:iCs/>
        </w:rPr>
        <w:t xml:space="preserve">ights is at </w:t>
      </w:r>
      <w:r w:rsidR="00530643">
        <w:rPr>
          <w:iCs/>
        </w:rPr>
        <w:t>A</w:t>
      </w:r>
      <w:r w:rsidRPr="002D11E1">
        <w:rPr>
          <w:iCs/>
        </w:rPr>
        <w:t>ttachment 1.</w:t>
      </w:r>
    </w:p>
    <w:p w:rsidR="002D11E1" w:rsidRPr="00530643" w:rsidRDefault="002D11E1" w:rsidP="002D11E1">
      <w:pPr>
        <w:rPr>
          <w:color w:val="000000"/>
        </w:rPr>
      </w:pPr>
    </w:p>
    <w:p w:rsidR="005C6B01" w:rsidRDefault="00530643" w:rsidP="005C6B01">
      <w:pPr>
        <w:rPr>
          <w:b/>
          <w:iCs/>
        </w:rPr>
      </w:pPr>
      <w:r>
        <w:rPr>
          <w:b/>
          <w:iCs/>
        </w:rPr>
        <w:t>C</w:t>
      </w:r>
      <w:r w:rsidR="005C6B01">
        <w:rPr>
          <w:b/>
          <w:iCs/>
        </w:rPr>
        <w:t>ommencement</w:t>
      </w:r>
      <w:r>
        <w:rPr>
          <w:b/>
          <w:iCs/>
        </w:rPr>
        <w:t xml:space="preserve"> and making</w:t>
      </w:r>
    </w:p>
    <w:p w:rsidR="005C6B01" w:rsidRDefault="002D11E1" w:rsidP="005C6B01">
      <w:r>
        <w:t>The instrument commences on the day after registration</w:t>
      </w:r>
      <w:r w:rsidR="005C6B01">
        <w:t>.</w:t>
      </w:r>
    </w:p>
    <w:p w:rsidR="005C6B01" w:rsidRPr="00530643" w:rsidRDefault="005C6B01" w:rsidP="005C6B01">
      <w:pPr>
        <w:rPr>
          <w:color w:val="000000"/>
        </w:rPr>
      </w:pPr>
    </w:p>
    <w:p w:rsidR="005C6B01" w:rsidRDefault="005C6B01" w:rsidP="005C6B01">
      <w:r>
        <w:t xml:space="preserve">The instrument has been made by the </w:t>
      </w:r>
      <w:r w:rsidR="00FB6BF8">
        <w:t xml:space="preserve">Acting </w:t>
      </w:r>
      <w:r>
        <w:t>Director of Aviation Safety, on behalf of CASA</w:t>
      </w:r>
      <w:r w:rsidR="007D6421">
        <w:t>,</w:t>
      </w:r>
      <w:r>
        <w:t xml:space="preserve"> in accordance with subsection 73 (2) of the Act.</w:t>
      </w:r>
    </w:p>
    <w:p w:rsidR="00530643" w:rsidRPr="00530643" w:rsidRDefault="00530643" w:rsidP="005C6B01">
      <w:pPr>
        <w:rPr>
          <w:color w:val="000000"/>
        </w:rPr>
      </w:pPr>
    </w:p>
    <w:p w:rsidR="005C6B01" w:rsidRDefault="005C6B01" w:rsidP="00530643">
      <w:pPr>
        <w:spacing w:before="120"/>
        <w:rPr>
          <w:sz w:val="20"/>
          <w:szCs w:val="20"/>
        </w:rPr>
      </w:pPr>
      <w:r>
        <w:rPr>
          <w:sz w:val="20"/>
          <w:szCs w:val="20"/>
        </w:rPr>
        <w:t>[</w:t>
      </w:r>
      <w:r w:rsidR="002D11E1">
        <w:rPr>
          <w:sz w:val="20"/>
          <w:szCs w:val="20"/>
        </w:rPr>
        <w:t>Part 147</w:t>
      </w:r>
      <w:r w:rsidR="00FF472F">
        <w:rPr>
          <w:sz w:val="20"/>
          <w:szCs w:val="20"/>
        </w:rPr>
        <w:t xml:space="preserve"> </w:t>
      </w:r>
      <w:r>
        <w:rPr>
          <w:sz w:val="20"/>
          <w:szCs w:val="20"/>
        </w:rPr>
        <w:t>Manual of Standards Amendment Instrument 201</w:t>
      </w:r>
      <w:r w:rsidR="002D11E1">
        <w:rPr>
          <w:sz w:val="20"/>
          <w:szCs w:val="20"/>
        </w:rPr>
        <w:t>3 (No.1)</w:t>
      </w:r>
      <w:r>
        <w:rPr>
          <w:sz w:val="20"/>
          <w:szCs w:val="20"/>
        </w:rPr>
        <w:t>]</w:t>
      </w:r>
    </w:p>
    <w:p w:rsidR="002D11E1" w:rsidRPr="002D11E1" w:rsidRDefault="002D11E1" w:rsidP="007D6421">
      <w:pPr>
        <w:pageBreakBefore/>
        <w:spacing w:after="120" w:line="276" w:lineRule="auto"/>
        <w:jc w:val="right"/>
        <w:rPr>
          <w:rFonts w:eastAsia="Calibri"/>
          <w:b/>
          <w:lang w:eastAsia="en-US"/>
        </w:rPr>
      </w:pPr>
      <w:r w:rsidRPr="002D11E1">
        <w:rPr>
          <w:rFonts w:eastAsia="Calibri"/>
          <w:b/>
          <w:lang w:eastAsia="en-US"/>
        </w:rPr>
        <w:lastRenderedPageBreak/>
        <w:t>Attachment 1</w:t>
      </w:r>
    </w:p>
    <w:p w:rsidR="002D11E1" w:rsidRPr="002D11E1" w:rsidRDefault="002D11E1" w:rsidP="002D11E1">
      <w:pPr>
        <w:spacing w:before="360" w:after="12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D11E1">
        <w:rPr>
          <w:rFonts w:eastAsia="Calibri"/>
          <w:b/>
          <w:sz w:val="28"/>
          <w:szCs w:val="28"/>
          <w:lang w:eastAsia="en-US"/>
        </w:rPr>
        <w:t>Statement of Compatibility with Human Rights</w:t>
      </w:r>
    </w:p>
    <w:p w:rsidR="002D11E1" w:rsidRPr="002D11E1" w:rsidRDefault="002D11E1" w:rsidP="002D11E1">
      <w:pPr>
        <w:spacing w:line="276" w:lineRule="auto"/>
        <w:jc w:val="center"/>
        <w:rPr>
          <w:rFonts w:eastAsia="Calibri"/>
          <w:lang w:eastAsia="en-US"/>
        </w:rPr>
      </w:pPr>
      <w:r w:rsidRPr="002D11E1">
        <w:rPr>
          <w:rFonts w:eastAsia="Calibri"/>
          <w:i/>
          <w:lang w:eastAsia="en-US"/>
        </w:rPr>
        <w:t xml:space="preserve">Prepared in accordance with Part 3 of the </w:t>
      </w:r>
      <w:r w:rsidRPr="002D11E1">
        <w:rPr>
          <w:rFonts w:eastAsia="Calibri"/>
          <w:i/>
          <w:lang w:eastAsia="en-US"/>
        </w:rPr>
        <w:br/>
        <w:t>Human Rights (Parliamentary Scrutiny) Act 2011</w:t>
      </w:r>
    </w:p>
    <w:p w:rsidR="002D11E1" w:rsidRPr="002D11E1" w:rsidRDefault="002D11E1" w:rsidP="007D6421">
      <w:pPr>
        <w:spacing w:before="120" w:after="120" w:line="276" w:lineRule="auto"/>
        <w:rPr>
          <w:rFonts w:eastAsia="Calibri"/>
          <w:lang w:eastAsia="en-US"/>
        </w:rPr>
      </w:pPr>
    </w:p>
    <w:p w:rsidR="002D11E1" w:rsidRPr="002D11E1" w:rsidRDefault="002D11E1" w:rsidP="002D11E1">
      <w:pPr>
        <w:spacing w:before="120" w:after="12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Part 147</w:t>
      </w:r>
      <w:r w:rsidRPr="002D11E1">
        <w:rPr>
          <w:rFonts w:eastAsia="Calibri"/>
          <w:b/>
          <w:bCs/>
          <w:lang w:eastAsia="en-US"/>
        </w:rPr>
        <w:t xml:space="preserve"> Manual of Standards Amendment Instrument 2013</w:t>
      </w:r>
      <w:r w:rsidR="007D6421">
        <w:rPr>
          <w:rFonts w:eastAsia="Calibri"/>
          <w:b/>
          <w:bCs/>
          <w:lang w:eastAsia="en-US"/>
        </w:rPr>
        <w:t xml:space="preserve"> </w:t>
      </w:r>
      <w:r w:rsidR="007D6421" w:rsidRPr="002D11E1">
        <w:rPr>
          <w:rFonts w:eastAsia="Calibri"/>
          <w:b/>
          <w:bCs/>
          <w:lang w:eastAsia="en-US"/>
        </w:rPr>
        <w:t>(No. 1)</w:t>
      </w:r>
    </w:p>
    <w:p w:rsidR="002D11E1" w:rsidRPr="002D11E1" w:rsidRDefault="002D11E1" w:rsidP="007D6421">
      <w:pPr>
        <w:spacing w:before="120" w:after="120" w:line="276" w:lineRule="auto"/>
        <w:rPr>
          <w:rFonts w:eastAsia="Calibri"/>
          <w:lang w:eastAsia="en-US"/>
        </w:rPr>
      </w:pPr>
    </w:p>
    <w:p w:rsidR="002D11E1" w:rsidRPr="002D11E1" w:rsidRDefault="002D11E1" w:rsidP="002D11E1">
      <w:pPr>
        <w:spacing w:before="120" w:after="120" w:line="276" w:lineRule="auto"/>
        <w:ind w:firstLine="720"/>
        <w:jc w:val="center"/>
        <w:rPr>
          <w:rFonts w:eastAsia="Calibri"/>
          <w:lang w:eastAsia="en-US"/>
        </w:rPr>
      </w:pPr>
      <w:r w:rsidRPr="002D11E1">
        <w:rPr>
          <w:rFonts w:eastAsia="Calibri"/>
          <w:lang w:eastAsia="en-US"/>
        </w:rPr>
        <w:t>This legislative instrument is compatible with the human rights and freedoms recognised or declared in the international instruments listed in section 3 of the</w:t>
      </w:r>
      <w:r w:rsidRPr="002D11E1">
        <w:rPr>
          <w:rFonts w:eastAsia="Calibri"/>
          <w:lang w:eastAsia="en-US"/>
        </w:rPr>
        <w:br/>
      </w:r>
      <w:r w:rsidRPr="002D11E1">
        <w:rPr>
          <w:rFonts w:eastAsia="Calibri"/>
          <w:i/>
          <w:lang w:eastAsia="en-US"/>
        </w:rPr>
        <w:t>Human Rights (Parliamentary Scrutiny) Act 2011</w:t>
      </w:r>
      <w:r w:rsidRPr="002D11E1">
        <w:rPr>
          <w:rFonts w:eastAsia="Calibri"/>
          <w:lang w:eastAsia="en-US"/>
        </w:rPr>
        <w:t>.</w:t>
      </w:r>
    </w:p>
    <w:p w:rsidR="002D11E1" w:rsidRPr="002D11E1" w:rsidRDefault="002D11E1" w:rsidP="007D6421">
      <w:pPr>
        <w:spacing w:before="120" w:after="120" w:line="276" w:lineRule="auto"/>
        <w:rPr>
          <w:rFonts w:eastAsia="Calibri"/>
          <w:lang w:eastAsia="en-US"/>
        </w:rPr>
      </w:pPr>
    </w:p>
    <w:p w:rsidR="002D11E1" w:rsidRPr="002D11E1" w:rsidRDefault="002D11E1" w:rsidP="002D11E1">
      <w:pPr>
        <w:spacing w:before="120" w:after="120" w:line="276" w:lineRule="auto"/>
        <w:jc w:val="both"/>
        <w:rPr>
          <w:rFonts w:eastAsia="Calibri"/>
          <w:b/>
          <w:lang w:eastAsia="en-US"/>
        </w:rPr>
      </w:pPr>
      <w:r w:rsidRPr="002D11E1">
        <w:rPr>
          <w:rFonts w:eastAsia="Calibri"/>
          <w:b/>
          <w:lang w:eastAsia="en-US"/>
        </w:rPr>
        <w:t>Overview of the legislative instrument</w:t>
      </w:r>
    </w:p>
    <w:p w:rsidR="00530643" w:rsidRDefault="002D11E1" w:rsidP="002D11E1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2D11E1">
        <w:rPr>
          <w:rFonts w:eastAsia="Calibri"/>
          <w:lang w:eastAsia="en-US"/>
        </w:rPr>
        <w:t xml:space="preserve">The legislative instrument </w:t>
      </w:r>
      <w:r w:rsidRPr="002D11E1">
        <w:t xml:space="preserve">amends the Part </w:t>
      </w:r>
      <w:r>
        <w:t>147</w:t>
      </w:r>
      <w:r w:rsidRPr="002D11E1">
        <w:t xml:space="preserve"> Manual of Standards to clarify </w:t>
      </w:r>
      <w:r>
        <w:t>the requirements for giving practical training on aircraft types</w:t>
      </w:r>
      <w:r w:rsidRPr="002D11E1">
        <w:rPr>
          <w:lang w:eastAsia="en-US"/>
        </w:rPr>
        <w:t>.</w:t>
      </w:r>
    </w:p>
    <w:p w:rsidR="002D11E1" w:rsidRPr="002D11E1" w:rsidRDefault="002D11E1" w:rsidP="007D6421">
      <w:pPr>
        <w:spacing w:before="240" w:after="240"/>
        <w:rPr>
          <w:rFonts w:eastAsia="Calibri"/>
          <w:b/>
          <w:lang w:eastAsia="en-US"/>
        </w:rPr>
      </w:pPr>
      <w:r w:rsidRPr="002D11E1">
        <w:rPr>
          <w:rFonts w:eastAsia="Calibri"/>
          <w:b/>
          <w:lang w:eastAsia="en-US"/>
        </w:rPr>
        <w:t>Human rights implications</w:t>
      </w:r>
    </w:p>
    <w:p w:rsidR="002D11E1" w:rsidRPr="002D11E1" w:rsidRDefault="002D11E1" w:rsidP="007D6421">
      <w:pPr>
        <w:spacing w:before="120" w:line="276" w:lineRule="auto"/>
        <w:rPr>
          <w:rFonts w:eastAsia="Calibri"/>
          <w:lang w:eastAsia="en-US"/>
        </w:rPr>
      </w:pPr>
      <w:r w:rsidRPr="002D11E1">
        <w:rPr>
          <w:rFonts w:eastAsia="Calibri"/>
          <w:lang w:eastAsia="en-US"/>
        </w:rPr>
        <w:t>This legislative instrument does not engage any of the applicable rights or freedoms.</w:t>
      </w:r>
    </w:p>
    <w:p w:rsidR="002D11E1" w:rsidRPr="002D11E1" w:rsidRDefault="002D11E1" w:rsidP="007D6421">
      <w:pPr>
        <w:spacing w:before="240" w:after="240"/>
        <w:rPr>
          <w:rFonts w:eastAsia="Calibri"/>
          <w:b/>
          <w:lang w:eastAsia="en-US"/>
        </w:rPr>
      </w:pPr>
      <w:r w:rsidRPr="002D11E1">
        <w:rPr>
          <w:rFonts w:eastAsia="Calibri"/>
          <w:b/>
          <w:lang w:eastAsia="en-US"/>
        </w:rPr>
        <w:t>Conclusion</w:t>
      </w:r>
    </w:p>
    <w:p w:rsidR="002D11E1" w:rsidRPr="002D11E1" w:rsidRDefault="002D11E1" w:rsidP="002D11E1">
      <w:pPr>
        <w:spacing w:before="120" w:after="360" w:line="276" w:lineRule="auto"/>
        <w:rPr>
          <w:rFonts w:eastAsia="Calibri"/>
          <w:lang w:eastAsia="en-US"/>
        </w:rPr>
      </w:pPr>
      <w:r w:rsidRPr="002D11E1">
        <w:rPr>
          <w:rFonts w:eastAsia="Calibri"/>
          <w:lang w:eastAsia="en-US"/>
        </w:rPr>
        <w:t>This legislative instrument is compatible with human rights as it does not raise any human rights issues.</w:t>
      </w:r>
    </w:p>
    <w:p w:rsidR="002D11E1" w:rsidRPr="002D11E1" w:rsidRDefault="002D11E1" w:rsidP="002D11E1">
      <w:pPr>
        <w:spacing w:before="120" w:after="120" w:line="276" w:lineRule="auto"/>
        <w:jc w:val="center"/>
        <w:rPr>
          <w:rFonts w:eastAsia="Calibri"/>
          <w:lang w:eastAsia="en-US"/>
        </w:rPr>
      </w:pPr>
      <w:r w:rsidRPr="002D11E1">
        <w:rPr>
          <w:rFonts w:eastAsia="Calibri"/>
          <w:b/>
          <w:bCs/>
          <w:lang w:eastAsia="en-US"/>
        </w:rPr>
        <w:t>Civil Aviation Safety Authority</w:t>
      </w:r>
    </w:p>
    <w:sectPr w:rsidR="002D11E1" w:rsidRPr="002D11E1" w:rsidSect="007D6421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43" w:rsidRDefault="00530643" w:rsidP="00530643">
      <w:r>
        <w:separator/>
      </w:r>
    </w:p>
  </w:endnote>
  <w:endnote w:type="continuationSeparator" w:id="0">
    <w:p w:rsidR="00530643" w:rsidRDefault="00530643" w:rsidP="0053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43" w:rsidRDefault="00530643" w:rsidP="00530643">
      <w:r>
        <w:separator/>
      </w:r>
    </w:p>
  </w:footnote>
  <w:footnote w:type="continuationSeparator" w:id="0">
    <w:p w:rsidR="00530643" w:rsidRDefault="00530643" w:rsidP="00530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0798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30643" w:rsidRDefault="005306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8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0643" w:rsidRDefault="005306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01"/>
    <w:rsid w:val="000A5066"/>
    <w:rsid w:val="00115A46"/>
    <w:rsid w:val="002527C8"/>
    <w:rsid w:val="002D11E1"/>
    <w:rsid w:val="00351EBA"/>
    <w:rsid w:val="004043B6"/>
    <w:rsid w:val="00530643"/>
    <w:rsid w:val="005546FC"/>
    <w:rsid w:val="005C6B01"/>
    <w:rsid w:val="006E3A46"/>
    <w:rsid w:val="007D6421"/>
    <w:rsid w:val="008469F8"/>
    <w:rsid w:val="008E7EE9"/>
    <w:rsid w:val="00C533B6"/>
    <w:rsid w:val="00D1686E"/>
    <w:rsid w:val="00F93135"/>
    <w:rsid w:val="00FB6BF8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6B01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C6B01"/>
    <w:rPr>
      <w:rFonts w:ascii="Arial" w:eastAsia="Times New Roman" w:hAnsi="Arial" w:cs="Arial"/>
      <w:b/>
      <w:bCs/>
      <w:sz w:val="24"/>
      <w:szCs w:val="26"/>
    </w:rPr>
  </w:style>
  <w:style w:type="paragraph" w:styleId="BodyText">
    <w:name w:val="Body Text"/>
    <w:basedOn w:val="Normal"/>
    <w:link w:val="BodyTextChar"/>
    <w:semiHidden/>
    <w:unhideWhenUsed/>
    <w:rsid w:val="005C6B01"/>
    <w:rPr>
      <w:rFonts w:ascii="Times New (W1)" w:hAnsi="Times New (W1)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C6B01"/>
    <w:rPr>
      <w:rFonts w:ascii="Times New (W1)" w:eastAsia="Times New Roman" w:hAnsi="Times New (W1)" w:cs="Times New Roman"/>
      <w:sz w:val="24"/>
      <w:szCs w:val="24"/>
    </w:rPr>
  </w:style>
  <w:style w:type="character" w:customStyle="1" w:styleId="LDBodytextChar">
    <w:name w:val="LDBody text Char"/>
    <w:basedOn w:val="DefaultParagraphFont"/>
    <w:link w:val="LDBodytext"/>
    <w:locked/>
    <w:rsid w:val="005C6B01"/>
    <w:rPr>
      <w:sz w:val="24"/>
      <w:szCs w:val="24"/>
    </w:rPr>
  </w:style>
  <w:style w:type="paragraph" w:customStyle="1" w:styleId="LDBodytext">
    <w:name w:val="LDBody text"/>
    <w:link w:val="LDBodytextChar"/>
    <w:rsid w:val="005C6B01"/>
    <w:pPr>
      <w:spacing w:after="0" w:line="240" w:lineRule="auto"/>
    </w:pPr>
    <w:rPr>
      <w:sz w:val="24"/>
      <w:szCs w:val="24"/>
    </w:rPr>
  </w:style>
  <w:style w:type="paragraph" w:customStyle="1" w:styleId="NFCbodyText">
    <w:name w:val="NFCbodyText"/>
    <w:basedOn w:val="Normal"/>
    <w:rsid w:val="005C6B01"/>
    <w:pPr>
      <w:widowControl w:val="0"/>
      <w:overflowPunct w:val="0"/>
      <w:autoSpaceDE w:val="0"/>
      <w:autoSpaceDN w:val="0"/>
      <w:adjustRightInd w:val="0"/>
      <w:jc w:val="both"/>
    </w:pPr>
    <w:rPr>
      <w:szCs w:val="20"/>
      <w:lang w:eastAsia="en-US"/>
    </w:rPr>
  </w:style>
  <w:style w:type="character" w:customStyle="1" w:styleId="NPRMBodyTextChar">
    <w:name w:val="NPRMBodyText Char"/>
    <w:basedOn w:val="DefaultParagraphFont"/>
    <w:link w:val="NPRMBodyText"/>
    <w:locked/>
    <w:rsid w:val="005C6B01"/>
    <w:rPr>
      <w:sz w:val="24"/>
    </w:rPr>
  </w:style>
  <w:style w:type="paragraph" w:customStyle="1" w:styleId="NPRMBodyText">
    <w:name w:val="NPRMBodyText"/>
    <w:basedOn w:val="Normal"/>
    <w:link w:val="NPRMBodyTextChar"/>
    <w:rsid w:val="005C6B01"/>
    <w:pPr>
      <w:widowControl w:val="0"/>
      <w:tabs>
        <w:tab w:val="left" w:pos="709"/>
      </w:tabs>
      <w:overflowPunct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5C6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30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64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30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643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6B01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C6B01"/>
    <w:rPr>
      <w:rFonts w:ascii="Arial" w:eastAsia="Times New Roman" w:hAnsi="Arial" w:cs="Arial"/>
      <w:b/>
      <w:bCs/>
      <w:sz w:val="24"/>
      <w:szCs w:val="26"/>
    </w:rPr>
  </w:style>
  <w:style w:type="paragraph" w:styleId="BodyText">
    <w:name w:val="Body Text"/>
    <w:basedOn w:val="Normal"/>
    <w:link w:val="BodyTextChar"/>
    <w:semiHidden/>
    <w:unhideWhenUsed/>
    <w:rsid w:val="005C6B01"/>
    <w:rPr>
      <w:rFonts w:ascii="Times New (W1)" w:hAnsi="Times New (W1)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C6B01"/>
    <w:rPr>
      <w:rFonts w:ascii="Times New (W1)" w:eastAsia="Times New Roman" w:hAnsi="Times New (W1)" w:cs="Times New Roman"/>
      <w:sz w:val="24"/>
      <w:szCs w:val="24"/>
    </w:rPr>
  </w:style>
  <w:style w:type="character" w:customStyle="1" w:styleId="LDBodytextChar">
    <w:name w:val="LDBody text Char"/>
    <w:basedOn w:val="DefaultParagraphFont"/>
    <w:link w:val="LDBodytext"/>
    <w:locked/>
    <w:rsid w:val="005C6B01"/>
    <w:rPr>
      <w:sz w:val="24"/>
      <w:szCs w:val="24"/>
    </w:rPr>
  </w:style>
  <w:style w:type="paragraph" w:customStyle="1" w:styleId="LDBodytext">
    <w:name w:val="LDBody text"/>
    <w:link w:val="LDBodytextChar"/>
    <w:rsid w:val="005C6B01"/>
    <w:pPr>
      <w:spacing w:after="0" w:line="240" w:lineRule="auto"/>
    </w:pPr>
    <w:rPr>
      <w:sz w:val="24"/>
      <w:szCs w:val="24"/>
    </w:rPr>
  </w:style>
  <w:style w:type="paragraph" w:customStyle="1" w:styleId="NFCbodyText">
    <w:name w:val="NFCbodyText"/>
    <w:basedOn w:val="Normal"/>
    <w:rsid w:val="005C6B01"/>
    <w:pPr>
      <w:widowControl w:val="0"/>
      <w:overflowPunct w:val="0"/>
      <w:autoSpaceDE w:val="0"/>
      <w:autoSpaceDN w:val="0"/>
      <w:adjustRightInd w:val="0"/>
      <w:jc w:val="both"/>
    </w:pPr>
    <w:rPr>
      <w:szCs w:val="20"/>
      <w:lang w:eastAsia="en-US"/>
    </w:rPr>
  </w:style>
  <w:style w:type="character" w:customStyle="1" w:styleId="NPRMBodyTextChar">
    <w:name w:val="NPRMBodyText Char"/>
    <w:basedOn w:val="DefaultParagraphFont"/>
    <w:link w:val="NPRMBodyText"/>
    <w:locked/>
    <w:rsid w:val="005C6B01"/>
    <w:rPr>
      <w:sz w:val="24"/>
    </w:rPr>
  </w:style>
  <w:style w:type="paragraph" w:customStyle="1" w:styleId="NPRMBodyText">
    <w:name w:val="NPRMBodyText"/>
    <w:basedOn w:val="Normal"/>
    <w:link w:val="NPRMBodyTextChar"/>
    <w:rsid w:val="005C6B01"/>
    <w:pPr>
      <w:widowControl w:val="0"/>
      <w:tabs>
        <w:tab w:val="left" w:pos="709"/>
      </w:tabs>
      <w:overflowPunct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5C6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30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64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30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643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912</Words>
  <Characters>4663</Characters>
  <Application>Microsoft Office Word</Application>
  <DocSecurity>0</DocSecurity>
  <Lines>518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Safety Authority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147 Manual of Standards Amendment Instrument 2013 (No. 1) - Explanatory Statement</dc:title>
  <dc:subject>Amendments to Part 147 Manual of Standards </dc:subject>
  <dc:creator>Civil Aviation Safety Authority</dc:creator>
  <cp:lastModifiedBy>Nadia Spesyvy</cp:lastModifiedBy>
  <cp:revision>12</cp:revision>
  <cp:lastPrinted>2013-07-10T04:16:00Z</cp:lastPrinted>
  <dcterms:created xsi:type="dcterms:W3CDTF">2013-06-06T22:57:00Z</dcterms:created>
  <dcterms:modified xsi:type="dcterms:W3CDTF">2013-07-16T00:08:00Z</dcterms:modified>
  <cp:category>Manuals of Standards</cp:category>
</cp:coreProperties>
</file>