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5A" w:rsidRDefault="0065295A" w:rsidP="008D612B">
      <w:pPr>
        <w:spacing w:after="120"/>
        <w:jc w:val="center"/>
        <w:rPr>
          <w:b/>
        </w:rPr>
      </w:pPr>
      <w:bookmarkStart w:id="0" w:name="_GoBack"/>
      <w:bookmarkEnd w:id="0"/>
      <w:r>
        <w:rPr>
          <w:b/>
        </w:rPr>
        <w:t xml:space="preserve">Commonwealth of </w:t>
      </w:r>
      <w:smartTag w:uri="urn:schemas-microsoft-com:office:smarttags" w:element="country-region">
        <w:smartTag w:uri="urn:schemas-microsoft-com:office:smarttags" w:element="place">
          <w:r>
            <w:rPr>
              <w:b/>
            </w:rPr>
            <w:t>Australia</w:t>
          </w:r>
        </w:smartTag>
      </w:smartTag>
    </w:p>
    <w:p w:rsidR="0065295A" w:rsidRDefault="0065295A" w:rsidP="008D612B">
      <w:pPr>
        <w:spacing w:after="120"/>
        <w:jc w:val="center"/>
        <w:rPr>
          <w:b/>
        </w:rPr>
      </w:pPr>
    </w:p>
    <w:p w:rsidR="0065295A" w:rsidRDefault="0065295A" w:rsidP="008D612B">
      <w:pPr>
        <w:spacing w:after="120"/>
        <w:jc w:val="center"/>
        <w:rPr>
          <w:i/>
        </w:rPr>
      </w:pPr>
      <w:r w:rsidRPr="00801B57">
        <w:rPr>
          <w:i/>
        </w:rPr>
        <w:t>Australian Renewable Energy Agency Act 201</w:t>
      </w:r>
      <w:bookmarkStart w:id="1" w:name="OLE_LINK7"/>
      <w:bookmarkStart w:id="2" w:name="OLE_LINK8"/>
      <w:r>
        <w:rPr>
          <w:i/>
        </w:rPr>
        <w:t>1</w:t>
      </w:r>
    </w:p>
    <w:p w:rsidR="0065295A" w:rsidRPr="00801B57" w:rsidRDefault="0065295A" w:rsidP="00BF5BA0">
      <w:pPr>
        <w:spacing w:after="120"/>
        <w:jc w:val="center"/>
        <w:rPr>
          <w:b/>
          <w:caps/>
        </w:rPr>
      </w:pPr>
      <w:r w:rsidRPr="00801B57">
        <w:rPr>
          <w:b/>
          <w:caps/>
        </w:rPr>
        <w:t xml:space="preserve">Australian Renewable Energy Agency Determination </w:t>
      </w:r>
      <w:r>
        <w:rPr>
          <w:b/>
          <w:caps/>
        </w:rPr>
        <w:t xml:space="preserve">No </w:t>
      </w:r>
      <w:r w:rsidR="003603E4">
        <w:rPr>
          <w:b/>
          <w:caps/>
        </w:rPr>
        <w:t>1</w:t>
      </w:r>
      <w:r>
        <w:rPr>
          <w:b/>
          <w:caps/>
        </w:rPr>
        <w:t xml:space="preserve"> of </w:t>
      </w:r>
      <w:r w:rsidRPr="00801B57">
        <w:rPr>
          <w:b/>
          <w:caps/>
        </w:rPr>
        <w:t>201</w:t>
      </w:r>
      <w:r w:rsidR="00920A49">
        <w:rPr>
          <w:b/>
          <w:caps/>
        </w:rPr>
        <w:t>3</w:t>
      </w:r>
    </w:p>
    <w:p w:rsidR="0065295A" w:rsidRPr="00BF5BA0" w:rsidRDefault="0065295A" w:rsidP="00BF5BA0">
      <w:pPr>
        <w:spacing w:after="120"/>
        <w:jc w:val="center"/>
        <w:rPr>
          <w:b/>
          <w:sz w:val="28"/>
          <w:szCs w:val="28"/>
          <w:u w:val="single"/>
        </w:rPr>
      </w:pPr>
      <w:r w:rsidRPr="00BF5BA0">
        <w:rPr>
          <w:b/>
          <w:sz w:val="28"/>
          <w:szCs w:val="28"/>
          <w:u w:val="single"/>
        </w:rPr>
        <w:t>Explanatory Statement</w:t>
      </w:r>
    </w:p>
    <w:p w:rsidR="0065295A" w:rsidRDefault="0065295A" w:rsidP="00BF5BA0">
      <w:pPr>
        <w:spacing w:after="120"/>
        <w:jc w:val="center"/>
        <w:rPr>
          <w:u w:val="single"/>
        </w:rPr>
      </w:pPr>
      <w:r>
        <w:rPr>
          <w:u w:val="single"/>
        </w:rPr>
        <w:t>Issued by the authority of the Minister for Resources and Energy</w:t>
      </w:r>
    </w:p>
    <w:p w:rsidR="0065295A" w:rsidRDefault="00920A49" w:rsidP="00BF5BA0">
      <w:pPr>
        <w:spacing w:after="120"/>
        <w:jc w:val="center"/>
        <w:rPr>
          <w:u w:val="single"/>
        </w:rPr>
      </w:pPr>
      <w:r>
        <w:rPr>
          <w:u w:val="single"/>
        </w:rPr>
        <w:t>GARY GRAY</w:t>
      </w:r>
    </w:p>
    <w:p w:rsidR="0065295A" w:rsidRPr="00697DF9" w:rsidRDefault="0065295A" w:rsidP="008D612B">
      <w:pPr>
        <w:spacing w:after="120"/>
        <w:jc w:val="center"/>
        <w:rPr>
          <w:b/>
          <w:u w:val="single"/>
        </w:rPr>
      </w:pPr>
    </w:p>
    <w:bookmarkEnd w:id="1"/>
    <w:bookmarkEnd w:id="2"/>
    <w:p w:rsidR="0065295A" w:rsidRDefault="0065295A" w:rsidP="008D612B">
      <w:pPr>
        <w:spacing w:after="120"/>
        <w:rPr>
          <w:u w:val="single"/>
        </w:rPr>
      </w:pPr>
      <w:r w:rsidRPr="00697DF9">
        <w:rPr>
          <w:u w:val="single"/>
        </w:rPr>
        <w:t>Date</w:t>
      </w:r>
      <w:r>
        <w:rPr>
          <w:u w:val="single"/>
        </w:rPr>
        <w:t xml:space="preserve"> of approval:</w:t>
      </w:r>
      <w:r w:rsidR="00343C3F">
        <w:rPr>
          <w:u w:val="single"/>
        </w:rPr>
        <w:t xml:space="preserve"> 1 July 2013</w:t>
      </w:r>
    </w:p>
    <w:p w:rsidR="0065295A" w:rsidRDefault="0065295A" w:rsidP="008D612B">
      <w:pPr>
        <w:spacing w:after="120"/>
        <w:rPr>
          <w:u w:val="single"/>
        </w:rPr>
      </w:pPr>
    </w:p>
    <w:p w:rsidR="0065295A" w:rsidRDefault="0065295A" w:rsidP="008D612B">
      <w:pPr>
        <w:spacing w:after="120"/>
        <w:jc w:val="center"/>
        <w:rPr>
          <w:b/>
          <w:u w:val="single"/>
        </w:rPr>
      </w:pPr>
    </w:p>
    <w:p w:rsidR="0065295A" w:rsidRDefault="0065295A" w:rsidP="008D612B">
      <w:pPr>
        <w:spacing w:after="120"/>
        <w:jc w:val="center"/>
        <w:rPr>
          <w:b/>
          <w:u w:val="single"/>
        </w:rPr>
      </w:pPr>
      <w:r w:rsidRPr="00801B57">
        <w:rPr>
          <w:b/>
          <w:u w:val="single"/>
        </w:rPr>
        <w:t xml:space="preserve">AUSTRALIAN RENEWABLE ENERGY AGENCY </w:t>
      </w:r>
    </w:p>
    <w:p w:rsidR="0065295A" w:rsidRPr="00801B57" w:rsidRDefault="0065295A" w:rsidP="008D612B">
      <w:pPr>
        <w:spacing w:after="120"/>
        <w:jc w:val="center"/>
        <w:rPr>
          <w:b/>
          <w:u w:val="single"/>
        </w:rPr>
      </w:pPr>
      <w:r w:rsidRPr="00801B57">
        <w:rPr>
          <w:b/>
          <w:u w:val="single"/>
        </w:rPr>
        <w:t xml:space="preserve">DETERMINATION </w:t>
      </w:r>
      <w:r>
        <w:rPr>
          <w:b/>
          <w:u w:val="single"/>
        </w:rPr>
        <w:t xml:space="preserve">No </w:t>
      </w:r>
      <w:r w:rsidR="003603E4">
        <w:rPr>
          <w:b/>
          <w:u w:val="single"/>
        </w:rPr>
        <w:t>1</w:t>
      </w:r>
      <w:r>
        <w:rPr>
          <w:b/>
          <w:u w:val="single"/>
        </w:rPr>
        <w:t xml:space="preserve"> of </w:t>
      </w:r>
      <w:r w:rsidRPr="00801B57">
        <w:rPr>
          <w:b/>
          <w:u w:val="single"/>
        </w:rPr>
        <w:t>201</w:t>
      </w:r>
      <w:r w:rsidR="00920A49">
        <w:rPr>
          <w:b/>
          <w:u w:val="single"/>
        </w:rPr>
        <w:t>3</w:t>
      </w:r>
    </w:p>
    <w:p w:rsidR="0065295A" w:rsidRPr="0065043C" w:rsidRDefault="0065295A" w:rsidP="008D612B">
      <w:pPr>
        <w:jc w:val="center"/>
        <w:rPr>
          <w:b/>
          <w:i/>
          <w:sz w:val="28"/>
          <w:szCs w:val="28"/>
        </w:rPr>
      </w:pPr>
    </w:p>
    <w:p w:rsidR="0065295A" w:rsidRDefault="0065295A" w:rsidP="008D612B">
      <w:pPr>
        <w:jc w:val="center"/>
        <w:rPr>
          <w:b/>
          <w:i/>
          <w:sz w:val="28"/>
          <w:szCs w:val="28"/>
        </w:rPr>
      </w:pPr>
    </w:p>
    <w:p w:rsidR="0065295A" w:rsidRDefault="0065295A" w:rsidP="008D612B">
      <w:pPr>
        <w:jc w:val="center"/>
        <w:rPr>
          <w:b/>
          <w:i/>
          <w:sz w:val="28"/>
          <w:szCs w:val="28"/>
        </w:rPr>
      </w:pPr>
    </w:p>
    <w:p w:rsidR="0065295A" w:rsidRPr="0065043C" w:rsidRDefault="0065295A" w:rsidP="008D612B">
      <w:pPr>
        <w:jc w:val="center"/>
        <w:rPr>
          <w:b/>
          <w:i/>
          <w:sz w:val="28"/>
          <w:szCs w:val="28"/>
        </w:rPr>
      </w:pPr>
    </w:p>
    <w:p w:rsidR="0065295A" w:rsidRPr="006D636E" w:rsidRDefault="0065295A" w:rsidP="006D636E">
      <w:pPr>
        <w:spacing w:after="120"/>
        <w:rPr>
          <w:b/>
        </w:rPr>
      </w:pPr>
      <w:r w:rsidRPr="0065043C">
        <w:rPr>
          <w:b/>
        </w:rPr>
        <w:t>General Outline</w:t>
      </w:r>
    </w:p>
    <w:p w:rsidR="0065295A" w:rsidRDefault="0065295A" w:rsidP="00236596">
      <w:pPr>
        <w:rPr>
          <w:bCs/>
        </w:rPr>
      </w:pPr>
      <w:r>
        <w:rPr>
          <w:bCs/>
        </w:rPr>
        <w:t xml:space="preserve">Section 7 of the </w:t>
      </w:r>
      <w:r w:rsidRPr="00801B57">
        <w:rPr>
          <w:i/>
        </w:rPr>
        <w:t>Australian Renewable Energy Act 201</w:t>
      </w:r>
      <w:r>
        <w:rPr>
          <w:i/>
        </w:rPr>
        <w:t xml:space="preserve">1 </w:t>
      </w:r>
      <w:r w:rsidRPr="0065043C">
        <w:rPr>
          <w:bCs/>
        </w:rPr>
        <w:t>(</w:t>
      </w:r>
      <w:r w:rsidRPr="00801B57">
        <w:rPr>
          <w:b/>
          <w:bCs/>
        </w:rPr>
        <w:t>the Act</w:t>
      </w:r>
      <w:r w:rsidRPr="0065043C">
        <w:rPr>
          <w:bCs/>
        </w:rPr>
        <w:t>)</w:t>
      </w:r>
      <w:r>
        <w:rPr>
          <w:bCs/>
        </w:rPr>
        <w:t xml:space="preserve"> establishes the Australian Renewable Energy Agency (</w:t>
      </w:r>
      <w:r w:rsidRPr="00DD42F5">
        <w:rPr>
          <w:b/>
          <w:bCs/>
        </w:rPr>
        <w:t>ARENA</w:t>
      </w:r>
      <w:r>
        <w:rPr>
          <w:bCs/>
        </w:rPr>
        <w:t>).  Section 17 of the Act establishes the Board of the Australian Renewable Energy Agency (</w:t>
      </w:r>
      <w:r w:rsidRPr="00DD42F5">
        <w:rPr>
          <w:b/>
          <w:bCs/>
        </w:rPr>
        <w:t>the Board</w:t>
      </w:r>
      <w:r>
        <w:rPr>
          <w:bCs/>
        </w:rPr>
        <w:t>).</w:t>
      </w:r>
    </w:p>
    <w:p w:rsidR="0065295A" w:rsidRDefault="0065295A" w:rsidP="00236596">
      <w:pPr>
        <w:rPr>
          <w:bCs/>
        </w:rPr>
      </w:pPr>
    </w:p>
    <w:p w:rsidR="0065295A" w:rsidRDefault="0065295A" w:rsidP="00236596">
      <w:pPr>
        <w:rPr>
          <w:bCs/>
        </w:rPr>
      </w:pPr>
      <w:r>
        <w:rPr>
          <w:bCs/>
        </w:rPr>
        <w:t>Section 20 of the</w:t>
      </w:r>
      <w:r w:rsidRPr="0065043C">
        <w:rPr>
          <w:bCs/>
        </w:rPr>
        <w:t xml:space="preserve"> </w:t>
      </w:r>
      <w:r>
        <w:rPr>
          <w:bCs/>
        </w:rPr>
        <w:t>Act provides that a general funding strategy must be developed by the Board and approved by the Minister</w:t>
      </w:r>
      <w:r w:rsidRPr="00680336">
        <w:rPr>
          <w:bCs/>
        </w:rPr>
        <w:t xml:space="preserve"> </w:t>
      </w:r>
      <w:r>
        <w:rPr>
          <w:bCs/>
        </w:rPr>
        <w:t>for Resources and Energy (</w:t>
      </w:r>
      <w:r w:rsidRPr="00236596">
        <w:rPr>
          <w:b/>
          <w:bCs/>
        </w:rPr>
        <w:t>the Minister</w:t>
      </w:r>
      <w:r>
        <w:rPr>
          <w:bCs/>
        </w:rPr>
        <w:t>).</w:t>
      </w:r>
      <w:r w:rsidRPr="0065043C">
        <w:rPr>
          <w:bCs/>
        </w:rPr>
        <w:t xml:space="preserve">  </w:t>
      </w:r>
      <w:bookmarkStart w:id="3" w:name="OLE_LINK25"/>
      <w:bookmarkStart w:id="4" w:name="OLE_LINK26"/>
    </w:p>
    <w:p w:rsidR="0065295A" w:rsidRDefault="0065295A" w:rsidP="00236596">
      <w:pPr>
        <w:rPr>
          <w:bCs/>
        </w:rPr>
      </w:pPr>
      <w:r>
        <w:rPr>
          <w:bCs/>
        </w:rPr>
        <w:t>Subsection 19(1) of the Act provides that the Board must, for the 2012-13 financial year and each later financial year, develop a general funding strategy for the provision of financial assistance under the Act.</w:t>
      </w:r>
    </w:p>
    <w:p w:rsidR="0065295A" w:rsidRDefault="0065295A" w:rsidP="00236596">
      <w:pPr>
        <w:rPr>
          <w:bCs/>
        </w:rPr>
      </w:pPr>
    </w:p>
    <w:p w:rsidR="0065295A" w:rsidRDefault="00920A49" w:rsidP="00236596">
      <w:pPr>
        <w:rPr>
          <w:bCs/>
        </w:rPr>
      </w:pPr>
      <w:r>
        <w:rPr>
          <w:bCs/>
        </w:rPr>
        <w:t>A</w:t>
      </w:r>
      <w:r w:rsidR="0065295A">
        <w:rPr>
          <w:bCs/>
        </w:rPr>
        <w:t xml:space="preserve"> general funding strategy for </w:t>
      </w:r>
      <w:r>
        <w:rPr>
          <w:bCs/>
        </w:rPr>
        <w:t>a financial year must be developed during the previous financial year</w:t>
      </w:r>
      <w:r w:rsidR="0065295A">
        <w:rPr>
          <w:bCs/>
        </w:rPr>
        <w:t xml:space="preserve"> (</w:t>
      </w:r>
      <w:proofErr w:type="gramStart"/>
      <w:r w:rsidR="0065295A">
        <w:rPr>
          <w:bCs/>
        </w:rPr>
        <w:t>s.19(</w:t>
      </w:r>
      <w:proofErr w:type="gramEnd"/>
      <w:r w:rsidR="0065295A">
        <w:rPr>
          <w:bCs/>
        </w:rPr>
        <w:t>2) of the Act).</w:t>
      </w:r>
    </w:p>
    <w:p w:rsidR="0065295A" w:rsidRDefault="0065295A" w:rsidP="00236596">
      <w:pPr>
        <w:rPr>
          <w:bCs/>
        </w:rPr>
      </w:pPr>
    </w:p>
    <w:p w:rsidR="0065295A" w:rsidRDefault="0065295A" w:rsidP="00236596">
      <w:pPr>
        <w:rPr>
          <w:bCs/>
        </w:rPr>
      </w:pPr>
      <w:r>
        <w:rPr>
          <w:bCs/>
        </w:rPr>
        <w:t>A general funding strategy is required to be in writing and be expressed to relate to the financial year for which the strategy is developed and the next two financial years.  It must also state ARENA’s principal objectives and priorities for the provision of financial assistance under the Act during the three year period.</w:t>
      </w:r>
    </w:p>
    <w:p w:rsidR="0065295A" w:rsidRDefault="0065295A" w:rsidP="00236596">
      <w:pPr>
        <w:rPr>
          <w:bCs/>
        </w:rPr>
      </w:pPr>
    </w:p>
    <w:p w:rsidR="0065295A" w:rsidRDefault="0065295A" w:rsidP="00236596">
      <w:pPr>
        <w:rPr>
          <w:bCs/>
        </w:rPr>
      </w:pPr>
      <w:r>
        <w:rPr>
          <w:bCs/>
        </w:rPr>
        <w:t>Subsection 19(4) of the Act provides that a general funding strategy must not require financial assistance to be provided to a particular person, or for a particular project.  Section 10 of the Act requires that ARENA must not enter into an agreement for the provision of financial assistance unless the financial assistance provided for is in accordance with the general funding strategy approved by the Minister pursuant to subsection 20(2) of the Act.</w:t>
      </w:r>
    </w:p>
    <w:bookmarkEnd w:id="3"/>
    <w:bookmarkEnd w:id="4"/>
    <w:p w:rsidR="0065295A" w:rsidRDefault="0065295A" w:rsidP="00236596">
      <w:pPr>
        <w:rPr>
          <w:bCs/>
        </w:rPr>
      </w:pPr>
    </w:p>
    <w:p w:rsidR="0065295A" w:rsidRPr="00F53FE3" w:rsidRDefault="0065295A" w:rsidP="00236596">
      <w:pPr>
        <w:rPr>
          <w:bCs/>
        </w:rPr>
      </w:pPr>
      <w:r>
        <w:rPr>
          <w:bCs/>
        </w:rPr>
        <w:t xml:space="preserve">On </w:t>
      </w:r>
      <w:r w:rsidR="00920A49">
        <w:rPr>
          <w:bCs/>
        </w:rPr>
        <w:t>9 November</w:t>
      </w:r>
      <w:r>
        <w:rPr>
          <w:bCs/>
        </w:rPr>
        <w:t xml:space="preserve"> 2012 the </w:t>
      </w:r>
      <w:r w:rsidRPr="00236596">
        <w:rPr>
          <w:bCs/>
          <w:i/>
        </w:rPr>
        <w:t xml:space="preserve">Australian Renewable Energy Agency Determination </w:t>
      </w:r>
      <w:r w:rsidR="00920A49">
        <w:rPr>
          <w:bCs/>
          <w:i/>
        </w:rPr>
        <w:t xml:space="preserve">No 2 of </w:t>
      </w:r>
      <w:r w:rsidRPr="00236596">
        <w:rPr>
          <w:bCs/>
          <w:i/>
        </w:rPr>
        <w:t>2012</w:t>
      </w:r>
      <w:r>
        <w:rPr>
          <w:bCs/>
        </w:rPr>
        <w:t xml:space="preserve"> (</w:t>
      </w:r>
      <w:r w:rsidRPr="003603E4">
        <w:rPr>
          <w:b/>
          <w:bCs/>
        </w:rPr>
        <w:t xml:space="preserve">the </w:t>
      </w:r>
      <w:r w:rsidR="00920A49" w:rsidRPr="003603E4">
        <w:rPr>
          <w:b/>
          <w:bCs/>
        </w:rPr>
        <w:t>Previous</w:t>
      </w:r>
      <w:r w:rsidRPr="003603E4">
        <w:rPr>
          <w:b/>
          <w:bCs/>
        </w:rPr>
        <w:t xml:space="preserve"> Determination</w:t>
      </w:r>
      <w:r>
        <w:rPr>
          <w:bCs/>
        </w:rPr>
        <w:t xml:space="preserve">) was made in accordance with the </w:t>
      </w:r>
      <w:r w:rsidRPr="00801B57">
        <w:rPr>
          <w:i/>
        </w:rPr>
        <w:t>Australian Renewable Energy Agency Act 201</w:t>
      </w:r>
      <w:r>
        <w:rPr>
          <w:i/>
        </w:rPr>
        <w:t>1</w:t>
      </w:r>
      <w:r>
        <w:rPr>
          <w:bCs/>
          <w:i/>
        </w:rPr>
        <w:t xml:space="preserve">. </w:t>
      </w:r>
      <w:r>
        <w:rPr>
          <w:bCs/>
        </w:rPr>
        <w:t xml:space="preserve"> </w:t>
      </w:r>
    </w:p>
    <w:p w:rsidR="0065295A" w:rsidRDefault="0065295A" w:rsidP="00236596">
      <w:pPr>
        <w:rPr>
          <w:bCs/>
          <w:i/>
        </w:rPr>
      </w:pPr>
    </w:p>
    <w:p w:rsidR="0065295A" w:rsidRPr="006D636E" w:rsidRDefault="0065295A" w:rsidP="006D636E">
      <w:pPr>
        <w:spacing w:after="120"/>
        <w:rPr>
          <w:b/>
        </w:rPr>
      </w:pPr>
      <w:r>
        <w:rPr>
          <w:b/>
        </w:rPr>
        <w:t>Determination of the general funding strategy</w:t>
      </w:r>
    </w:p>
    <w:p w:rsidR="0065295A" w:rsidRDefault="0065295A" w:rsidP="00236596">
      <w:pPr>
        <w:rPr>
          <w:bCs/>
        </w:rPr>
      </w:pPr>
      <w:r>
        <w:rPr>
          <w:bCs/>
        </w:rPr>
        <w:t xml:space="preserve">The general funding strategy attached to the </w:t>
      </w:r>
      <w:r w:rsidRPr="00DD42F5">
        <w:rPr>
          <w:bCs/>
          <w:i/>
        </w:rPr>
        <w:t xml:space="preserve">Australian Renewable Energy Determination </w:t>
      </w:r>
      <w:r w:rsidR="003603E4">
        <w:rPr>
          <w:bCs/>
          <w:i/>
        </w:rPr>
        <w:t>No 1</w:t>
      </w:r>
      <w:r>
        <w:rPr>
          <w:bCs/>
          <w:i/>
        </w:rPr>
        <w:t xml:space="preserve"> of </w:t>
      </w:r>
      <w:r w:rsidRPr="00DD42F5">
        <w:rPr>
          <w:bCs/>
          <w:i/>
        </w:rPr>
        <w:t>201</w:t>
      </w:r>
      <w:r w:rsidR="00920A49">
        <w:rPr>
          <w:bCs/>
          <w:i/>
        </w:rPr>
        <w:t>3</w:t>
      </w:r>
      <w:r>
        <w:rPr>
          <w:bCs/>
        </w:rPr>
        <w:t xml:space="preserve"> has been developed by the Board and approved by the Minister for Resources and Energy and is determined to be the general funding strategy for the purp</w:t>
      </w:r>
      <w:r w:rsidR="00920A49">
        <w:rPr>
          <w:bCs/>
        </w:rPr>
        <w:t xml:space="preserve">oses of section 19 of the Act. </w:t>
      </w:r>
    </w:p>
    <w:p w:rsidR="0065295A" w:rsidRDefault="0065295A" w:rsidP="00236596">
      <w:pPr>
        <w:rPr>
          <w:bCs/>
        </w:rPr>
      </w:pPr>
    </w:p>
    <w:p w:rsidR="0065295A" w:rsidRDefault="0065295A" w:rsidP="00236596">
      <w:pPr>
        <w:rPr>
          <w:bCs/>
        </w:rPr>
      </w:pPr>
      <w:r>
        <w:rPr>
          <w:bCs/>
        </w:rPr>
        <w:t>ARENA may release other documents that explain specific activities that ARENA will undertake within the framework set out in the general funding strategy, for example, an Investment Plan.  The intention is that other Investment Plans may be released during the financial year without the need to amend the general funding strategy.  The Investment Plan does not constitute part of the Determination.</w:t>
      </w:r>
    </w:p>
    <w:p w:rsidR="0065295A" w:rsidRDefault="0065295A" w:rsidP="00236596">
      <w:pPr>
        <w:rPr>
          <w:bCs/>
        </w:rPr>
      </w:pPr>
    </w:p>
    <w:p w:rsidR="0065295A" w:rsidRPr="006D636E" w:rsidRDefault="0065295A" w:rsidP="006D636E">
      <w:pPr>
        <w:spacing w:after="120"/>
        <w:rPr>
          <w:b/>
        </w:rPr>
      </w:pPr>
      <w:r w:rsidRPr="0065043C">
        <w:rPr>
          <w:b/>
        </w:rPr>
        <w:t>Legislative Authority</w:t>
      </w:r>
    </w:p>
    <w:p w:rsidR="0065295A" w:rsidRDefault="0065295A" w:rsidP="00D33AF3">
      <w:pPr>
        <w:rPr>
          <w:bCs/>
        </w:rPr>
      </w:pPr>
      <w:r>
        <w:rPr>
          <w:bCs/>
        </w:rPr>
        <w:t>Subsection 21(2) of the Act provides that a general funding strategy for a financial year ceases to be in force when the general funding strategy for the next financial year comes into force.</w:t>
      </w:r>
    </w:p>
    <w:p w:rsidR="0065295A" w:rsidRDefault="0065295A" w:rsidP="008D612B"/>
    <w:p w:rsidR="0065295A" w:rsidRDefault="0065295A" w:rsidP="008D612B">
      <w:r w:rsidRPr="0065043C">
        <w:t xml:space="preserve">The </w:t>
      </w:r>
      <w:r>
        <w:t>Act</w:t>
      </w:r>
      <w:r w:rsidRPr="0065043C">
        <w:t xml:space="preserve"> may be found at:</w:t>
      </w:r>
    </w:p>
    <w:p w:rsidR="0065295A" w:rsidRDefault="0065295A" w:rsidP="008D612B"/>
    <w:p w:rsidR="0065295A" w:rsidRDefault="007E445C" w:rsidP="008D612B">
      <w:hyperlink r:id="rId8" w:history="1">
        <w:r w:rsidR="0065295A" w:rsidRPr="007844E9">
          <w:rPr>
            <w:rStyle w:val="Hyperlink"/>
          </w:rPr>
          <w:t>http://www.comlaw.gov.au/Details/C2011A00152</w:t>
        </w:r>
      </w:hyperlink>
      <w:r w:rsidR="0065295A">
        <w:t>.</w:t>
      </w:r>
    </w:p>
    <w:p w:rsidR="0065295A" w:rsidRPr="008B25A2" w:rsidRDefault="0065295A" w:rsidP="008D612B"/>
    <w:p w:rsidR="0065295A" w:rsidRDefault="0065295A" w:rsidP="00ED5FB3">
      <w:r>
        <w:rPr>
          <w:bCs/>
        </w:rPr>
        <w:t xml:space="preserve">Once the </w:t>
      </w:r>
      <w:r w:rsidRPr="00EF30F9">
        <w:rPr>
          <w:bCs/>
        </w:rPr>
        <w:t xml:space="preserve">Determination has </w:t>
      </w:r>
      <w:r>
        <w:rPr>
          <w:bCs/>
        </w:rPr>
        <w:t>been placed on the Federal Register of Legislative Instruments it can be found at:</w:t>
      </w:r>
    </w:p>
    <w:p w:rsidR="0065295A" w:rsidRDefault="0065295A" w:rsidP="00ED5FB3">
      <w:pPr>
        <w:rPr>
          <w:bCs/>
        </w:rPr>
      </w:pPr>
    </w:p>
    <w:p w:rsidR="0065295A" w:rsidRDefault="007E445C" w:rsidP="00ED5FB3">
      <w:pPr>
        <w:rPr>
          <w:bCs/>
        </w:rPr>
      </w:pPr>
      <w:hyperlink r:id="rId9" w:history="1">
        <w:r w:rsidR="0065295A" w:rsidRPr="002A37FC">
          <w:rPr>
            <w:rStyle w:val="Hyperlink"/>
            <w:bCs/>
          </w:rPr>
          <w:t>http://www.frli.gov.au/ComLaw/legislation/legislativeinstrument1.nsf/sh/browse&amp;CATEGORY=legislativeinstrument</w:t>
        </w:r>
      </w:hyperlink>
    </w:p>
    <w:p w:rsidR="0065295A" w:rsidRDefault="0065295A" w:rsidP="00ED5FB3">
      <w:pPr>
        <w:rPr>
          <w:bCs/>
          <w:i/>
        </w:rPr>
      </w:pPr>
    </w:p>
    <w:p w:rsidR="0065295A" w:rsidRDefault="0065295A" w:rsidP="00ED5FB3">
      <w:pPr>
        <w:rPr>
          <w:bCs/>
          <w:i/>
        </w:rPr>
      </w:pPr>
    </w:p>
    <w:p w:rsidR="0065295A" w:rsidRDefault="0065295A" w:rsidP="00292023">
      <w:pPr>
        <w:spacing w:after="120"/>
        <w:rPr>
          <w:b/>
        </w:rPr>
      </w:pPr>
      <w:r w:rsidRPr="0065043C">
        <w:rPr>
          <w:b/>
        </w:rPr>
        <w:t>Consultation</w:t>
      </w:r>
    </w:p>
    <w:p w:rsidR="0065295A" w:rsidRDefault="0065295A" w:rsidP="00292023">
      <w:r>
        <w:t>The following consultation occurred in relation to the making of the general funding strategy:</w:t>
      </w:r>
    </w:p>
    <w:p w:rsidR="0065295A" w:rsidRDefault="0065295A" w:rsidP="00292023"/>
    <w:p w:rsidR="0065295A" w:rsidRPr="0022078E" w:rsidRDefault="0065295A" w:rsidP="0022078E">
      <w:r w:rsidRPr="00FE0910">
        <w:t xml:space="preserve">The ARENA Board and CEO held a National Forum in Melbourne on </w:t>
      </w:r>
      <w:r w:rsidR="00920A49">
        <w:t>3 May 2013</w:t>
      </w:r>
      <w:r w:rsidRPr="00FE0910">
        <w:t xml:space="preserve">.  </w:t>
      </w:r>
      <w:r w:rsidRPr="00FE0910">
        <w:rPr>
          <w:bCs/>
        </w:rPr>
        <w:t xml:space="preserve">The consultation process also allowed for written submission; the submissions deadline was set at </w:t>
      </w:r>
      <w:r w:rsidR="00920A49">
        <w:rPr>
          <w:bCs/>
        </w:rPr>
        <w:t>17 May 2013</w:t>
      </w:r>
      <w:r w:rsidRPr="00FE0910">
        <w:rPr>
          <w:bCs/>
        </w:rPr>
        <w:t xml:space="preserve">.  ARENA received </w:t>
      </w:r>
      <w:r w:rsidR="00920A49">
        <w:rPr>
          <w:bCs/>
        </w:rPr>
        <w:t>8</w:t>
      </w:r>
      <w:r w:rsidRPr="00FE0910">
        <w:rPr>
          <w:bCs/>
        </w:rPr>
        <w:t xml:space="preserve"> submissions in this process</w:t>
      </w:r>
      <w:r w:rsidRPr="00FE0910">
        <w:t>.</w:t>
      </w:r>
      <w:r w:rsidRPr="0022078E">
        <w:t xml:space="preserve"> </w:t>
      </w:r>
      <w:r>
        <w:t xml:space="preserve">In developing this general funding strategy, the ARENA Board considered the input provided in written </w:t>
      </w:r>
      <w:smartTag w:uri="urn:schemas-microsoft-com:office:smarttags" w:element="PersonName">
        <w:r>
          <w:t>submissions</w:t>
        </w:r>
      </w:smartTag>
      <w:r>
        <w:t xml:space="preserve"> and feedback in the consultation sessions.</w:t>
      </w:r>
    </w:p>
    <w:p w:rsidR="0065295A" w:rsidRDefault="0065295A" w:rsidP="00292023">
      <w:pPr>
        <w:rPr>
          <w:b/>
          <w:sz w:val="28"/>
          <w:szCs w:val="28"/>
          <w:u w:val="single"/>
        </w:rPr>
      </w:pPr>
    </w:p>
    <w:p w:rsidR="0065295A" w:rsidRDefault="0065295A" w:rsidP="00292023">
      <w:r>
        <w:t>The Minister is satisfied that the requirements of section 17 of the LIA have been complied with and that appropriate consultation has been undertaken.</w:t>
      </w:r>
    </w:p>
    <w:p w:rsidR="0065295A" w:rsidRPr="00041417" w:rsidRDefault="0065295A" w:rsidP="00292023"/>
    <w:p w:rsidR="0065295A" w:rsidRPr="00292023" w:rsidRDefault="0065295A" w:rsidP="00292023">
      <w:pPr>
        <w:spacing w:after="120"/>
        <w:rPr>
          <w:b/>
        </w:rPr>
      </w:pPr>
      <w:r w:rsidRPr="00292023">
        <w:rPr>
          <w:b/>
        </w:rPr>
        <w:t>Statement of Compatibility with Human Rights</w:t>
      </w:r>
    </w:p>
    <w:p w:rsidR="0065295A" w:rsidRPr="00292023" w:rsidRDefault="0065295A" w:rsidP="00292023">
      <w:pPr>
        <w:spacing w:after="120"/>
      </w:pPr>
      <w:r w:rsidRPr="00292023">
        <w:lastRenderedPageBreak/>
        <w:t xml:space="preserve">This Legislative Instrument is compatible with the human rights and freedoms recognised or declared in the international instruments listed in section 3 of the </w:t>
      </w:r>
      <w:r w:rsidRPr="00292023">
        <w:rPr>
          <w:i/>
        </w:rPr>
        <w:t>Human Rights (Parliamentary Scrutiny) Act 2011</w:t>
      </w:r>
      <w:r w:rsidRPr="00292023">
        <w:t>.</w:t>
      </w:r>
    </w:p>
    <w:p w:rsidR="0065295A" w:rsidRPr="00292023" w:rsidRDefault="0065295A" w:rsidP="00292023">
      <w:pPr>
        <w:spacing w:after="120"/>
      </w:pPr>
      <w:r w:rsidRPr="00292023">
        <w:rPr>
          <w:u w:val="single"/>
        </w:rPr>
        <w:t>Human rights implications</w:t>
      </w:r>
    </w:p>
    <w:p w:rsidR="0065295A" w:rsidRPr="00292023" w:rsidRDefault="0065295A" w:rsidP="00292023">
      <w:pPr>
        <w:spacing w:after="120"/>
      </w:pPr>
      <w:r w:rsidRPr="00292023">
        <w:t>This Legislative Instrument does not engage any of the applicable rights or freedoms.</w:t>
      </w:r>
    </w:p>
    <w:p w:rsidR="0065295A" w:rsidRPr="00292023" w:rsidRDefault="0065295A" w:rsidP="00292023">
      <w:pPr>
        <w:spacing w:after="120"/>
      </w:pPr>
      <w:r w:rsidRPr="00292023">
        <w:rPr>
          <w:u w:val="single"/>
        </w:rPr>
        <w:t>Conclusion</w:t>
      </w:r>
    </w:p>
    <w:p w:rsidR="0065295A" w:rsidRPr="00AE1A8F" w:rsidRDefault="0065295A" w:rsidP="00292023">
      <w:pPr>
        <w:spacing w:after="120"/>
      </w:pPr>
      <w:r w:rsidRPr="00292023">
        <w:t>This Legislative Instrument is compatible with human rights as it does not raise any human rights issues.</w:t>
      </w:r>
    </w:p>
    <w:p w:rsidR="0065295A" w:rsidRDefault="0065295A" w:rsidP="00236596"/>
    <w:p w:rsidR="0065295A" w:rsidRDefault="0065295A" w:rsidP="006D636E">
      <w:pPr>
        <w:spacing w:after="120"/>
        <w:rPr>
          <w:b/>
        </w:rPr>
      </w:pPr>
      <w:r w:rsidRPr="009D6D34">
        <w:rPr>
          <w:b/>
        </w:rPr>
        <w:t>Financial Implications</w:t>
      </w:r>
    </w:p>
    <w:p w:rsidR="0065295A" w:rsidRPr="009D6D34" w:rsidRDefault="0065295A" w:rsidP="00CB06EE">
      <w:r>
        <w:t>There are no financial implications.</w:t>
      </w:r>
    </w:p>
    <w:p w:rsidR="0065295A" w:rsidRDefault="0065295A" w:rsidP="00CB06EE">
      <w:pPr>
        <w:rPr>
          <w:b/>
          <w:sz w:val="28"/>
          <w:szCs w:val="28"/>
          <w:u w:val="single"/>
        </w:rPr>
      </w:pPr>
    </w:p>
    <w:p w:rsidR="0065295A" w:rsidRPr="006D636E" w:rsidRDefault="0065295A" w:rsidP="006D636E">
      <w:pPr>
        <w:spacing w:after="120"/>
        <w:rPr>
          <w:b/>
        </w:rPr>
      </w:pPr>
      <w:r>
        <w:rPr>
          <w:b/>
        </w:rPr>
        <w:t>Date of Effect</w:t>
      </w:r>
    </w:p>
    <w:p w:rsidR="0065295A" w:rsidRPr="0065043C" w:rsidRDefault="0065295A" w:rsidP="009D6D34">
      <w:pPr>
        <w:rPr>
          <w:b/>
        </w:rPr>
      </w:pPr>
      <w:r w:rsidRPr="00236596">
        <w:t xml:space="preserve">The Determination will commence on </w:t>
      </w:r>
      <w:r w:rsidR="00920A49" w:rsidRPr="003603E4">
        <w:t>1 July 2013</w:t>
      </w:r>
      <w:r w:rsidRPr="00CB06EE">
        <w:t>.</w:t>
      </w:r>
    </w:p>
    <w:p w:rsidR="0065295A" w:rsidRPr="0065043C" w:rsidRDefault="0065295A" w:rsidP="00253C51">
      <w:pPr>
        <w:rPr>
          <w:b/>
          <w:sz w:val="28"/>
          <w:szCs w:val="28"/>
          <w:u w:val="single"/>
        </w:rPr>
      </w:pPr>
      <w:r>
        <w:br w:type="page"/>
      </w:r>
      <w:r w:rsidRPr="0065043C">
        <w:rPr>
          <w:b/>
          <w:sz w:val="28"/>
          <w:szCs w:val="28"/>
          <w:u w:val="single"/>
        </w:rPr>
        <w:lastRenderedPageBreak/>
        <w:t>Notes on Provisions</w:t>
      </w:r>
    </w:p>
    <w:p w:rsidR="0065295A" w:rsidRPr="0065043C" w:rsidRDefault="0065295A" w:rsidP="00253C51">
      <w:pPr>
        <w:rPr>
          <w:b/>
        </w:rPr>
      </w:pPr>
    </w:p>
    <w:p w:rsidR="0065295A" w:rsidRPr="0065043C" w:rsidRDefault="0065295A" w:rsidP="007A226E">
      <w:pPr>
        <w:rPr>
          <w:b/>
        </w:rPr>
      </w:pPr>
      <w:r>
        <w:rPr>
          <w:b/>
        </w:rPr>
        <w:t>Clause 1 – Name of Determination</w:t>
      </w:r>
    </w:p>
    <w:p w:rsidR="0065295A" w:rsidRPr="0065043C" w:rsidRDefault="0065295A" w:rsidP="007A226E">
      <w:pPr>
        <w:rPr>
          <w:i/>
        </w:rPr>
      </w:pPr>
    </w:p>
    <w:p w:rsidR="0065295A" w:rsidRPr="0065043C" w:rsidRDefault="0065295A" w:rsidP="007A226E">
      <w:pPr>
        <w:rPr>
          <w:i/>
        </w:rPr>
      </w:pPr>
      <w:r w:rsidRPr="0065043C">
        <w:t>This presc</w:t>
      </w:r>
      <w:r>
        <w:t>ribes the name of the Determination</w:t>
      </w:r>
      <w:r w:rsidRPr="0065043C">
        <w:t xml:space="preserve"> as the</w:t>
      </w:r>
      <w:r w:rsidRPr="0065043C">
        <w:rPr>
          <w:i/>
        </w:rPr>
        <w:t xml:space="preserve"> </w:t>
      </w:r>
      <w:r w:rsidRPr="00D72B70">
        <w:rPr>
          <w:i/>
        </w:rPr>
        <w:t xml:space="preserve">Australian Renewable Energy Agency Determination </w:t>
      </w:r>
      <w:r w:rsidR="003603E4">
        <w:rPr>
          <w:i/>
        </w:rPr>
        <w:t>No 1</w:t>
      </w:r>
      <w:r>
        <w:rPr>
          <w:i/>
        </w:rPr>
        <w:t xml:space="preserve"> of </w:t>
      </w:r>
      <w:r w:rsidRPr="00D72B70">
        <w:rPr>
          <w:i/>
        </w:rPr>
        <w:t>201</w:t>
      </w:r>
      <w:r w:rsidR="006B154E">
        <w:rPr>
          <w:i/>
        </w:rPr>
        <w:t>3</w:t>
      </w:r>
      <w:r w:rsidRPr="0065043C">
        <w:rPr>
          <w:i/>
        </w:rPr>
        <w:t>.</w:t>
      </w:r>
    </w:p>
    <w:p w:rsidR="0065295A" w:rsidRPr="0065043C" w:rsidRDefault="0065295A" w:rsidP="007A226E">
      <w:pPr>
        <w:rPr>
          <w:i/>
        </w:rPr>
      </w:pPr>
    </w:p>
    <w:p w:rsidR="0065295A" w:rsidRPr="0065043C" w:rsidRDefault="0065295A" w:rsidP="007A226E">
      <w:pPr>
        <w:rPr>
          <w:b/>
        </w:rPr>
      </w:pPr>
      <w:r>
        <w:rPr>
          <w:b/>
        </w:rPr>
        <w:t xml:space="preserve">Clause </w:t>
      </w:r>
      <w:r w:rsidRPr="0065043C">
        <w:rPr>
          <w:b/>
        </w:rPr>
        <w:t>2 - Commencement</w:t>
      </w:r>
    </w:p>
    <w:p w:rsidR="0065295A" w:rsidRPr="0065043C" w:rsidRDefault="0065295A" w:rsidP="007A226E">
      <w:pPr>
        <w:rPr>
          <w:i/>
        </w:rPr>
      </w:pPr>
    </w:p>
    <w:p w:rsidR="005822CA" w:rsidRPr="0065043C" w:rsidRDefault="0065295A" w:rsidP="007A226E">
      <w:r w:rsidRPr="00CB06EE">
        <w:t xml:space="preserve">Clause 2 provides for the Determination to commence on </w:t>
      </w:r>
      <w:r w:rsidR="006B154E">
        <w:t>1</w:t>
      </w:r>
      <w:r>
        <w:t xml:space="preserve"> </w:t>
      </w:r>
      <w:r w:rsidR="003603E4">
        <w:t>July</w:t>
      </w:r>
      <w:r w:rsidRPr="00236596">
        <w:t xml:space="preserve"> 201</w:t>
      </w:r>
      <w:r w:rsidR="006B154E">
        <w:t>3</w:t>
      </w:r>
      <w:r w:rsidR="00C12441" w:rsidRPr="00770A0C">
        <w:t>, consistent with subsection 21(1) of the Act</w:t>
      </w:r>
      <w:r w:rsidRPr="00770A0C">
        <w:t>.</w:t>
      </w:r>
      <w:r w:rsidR="00C12441" w:rsidRPr="00770A0C">
        <w:t xml:space="preserve"> </w:t>
      </w:r>
      <w:r w:rsidR="007246EA" w:rsidRPr="00770A0C">
        <w:t xml:space="preserve">This Determination will take effect prior to registration as it is beneficial in nature by permitting funding and does not operate so as to disadvantage any person nor impose any liabilities in respect of anything done or omitted to be done before registration of the Determination. </w:t>
      </w:r>
    </w:p>
    <w:p w:rsidR="0065295A" w:rsidRPr="0065043C" w:rsidRDefault="0065295A" w:rsidP="007A226E">
      <w:pPr>
        <w:rPr>
          <w:i/>
        </w:rPr>
      </w:pPr>
    </w:p>
    <w:p w:rsidR="0065295A" w:rsidRPr="0065043C" w:rsidRDefault="0065295A" w:rsidP="007A226E">
      <w:pPr>
        <w:rPr>
          <w:b/>
        </w:rPr>
      </w:pPr>
      <w:r w:rsidRPr="0065043C">
        <w:rPr>
          <w:b/>
        </w:rPr>
        <w:t>Clause 3 - Defin</w:t>
      </w:r>
      <w:r>
        <w:rPr>
          <w:b/>
        </w:rPr>
        <w:t>ition</w:t>
      </w:r>
    </w:p>
    <w:p w:rsidR="0065295A" w:rsidRPr="0065043C" w:rsidRDefault="0065295A" w:rsidP="007A226E">
      <w:pPr>
        <w:rPr>
          <w:i/>
        </w:rPr>
      </w:pPr>
    </w:p>
    <w:p w:rsidR="0065295A" w:rsidRDefault="0065295A" w:rsidP="007A226E">
      <w:r w:rsidRPr="0065043C">
        <w:t xml:space="preserve">Clause </w:t>
      </w:r>
      <w:r>
        <w:t xml:space="preserve">3, for the purpose of this Determination, provides a definition of the Act authorising the making of the Determination.  That is the </w:t>
      </w:r>
      <w:r w:rsidRPr="00801B57">
        <w:rPr>
          <w:i/>
        </w:rPr>
        <w:t>Australian Renewable Energy Agency Act 201</w:t>
      </w:r>
      <w:r>
        <w:rPr>
          <w:i/>
        </w:rPr>
        <w:t>1</w:t>
      </w:r>
      <w:r>
        <w:t xml:space="preserve">. It also provides a definition for the Board and ARENA. </w:t>
      </w:r>
    </w:p>
    <w:p w:rsidR="0065295A" w:rsidRPr="0065043C" w:rsidRDefault="0065295A" w:rsidP="00253C51"/>
    <w:p w:rsidR="0065295A" w:rsidRPr="007A226E" w:rsidRDefault="0065295A" w:rsidP="00253C51">
      <w:pPr>
        <w:rPr>
          <w:b/>
        </w:rPr>
      </w:pPr>
      <w:r w:rsidRPr="007A226E">
        <w:rPr>
          <w:b/>
        </w:rPr>
        <w:t xml:space="preserve">Clause 4 – </w:t>
      </w:r>
      <w:r>
        <w:rPr>
          <w:b/>
        </w:rPr>
        <w:t xml:space="preserve">Approval of the </w:t>
      </w:r>
      <w:r w:rsidR="003603E4">
        <w:rPr>
          <w:b/>
        </w:rPr>
        <w:t>general</w:t>
      </w:r>
      <w:r>
        <w:rPr>
          <w:b/>
        </w:rPr>
        <w:t xml:space="preserve"> funding strategy</w:t>
      </w:r>
    </w:p>
    <w:p w:rsidR="0065295A" w:rsidRDefault="0065295A" w:rsidP="00253C51"/>
    <w:p w:rsidR="0065295A" w:rsidRDefault="0065295A" w:rsidP="001C434C">
      <w:pPr>
        <w:rPr>
          <w:bCs/>
        </w:rPr>
      </w:pPr>
      <w:r>
        <w:t>Clause 4 specifies that the funding strategy developed by the Board, approved by the Minister and published on ARENA’s website, is the general funding strategy for the purposes of subsection 2</w:t>
      </w:r>
      <w:r w:rsidR="003603E4">
        <w:t>1</w:t>
      </w:r>
      <w:r>
        <w:t>(</w:t>
      </w:r>
      <w:r w:rsidR="003603E4">
        <w:t>2</w:t>
      </w:r>
      <w:r>
        <w:t>) of the Act.</w:t>
      </w:r>
    </w:p>
    <w:p w:rsidR="0065295A" w:rsidRPr="0065043C" w:rsidRDefault="0065295A" w:rsidP="00253C51"/>
    <w:p w:rsidR="0065295A" w:rsidRDefault="0065295A"/>
    <w:sectPr w:rsidR="0065295A" w:rsidSect="00F039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87" w:rsidRDefault="00B37987">
      <w:r>
        <w:separator/>
      </w:r>
    </w:p>
  </w:endnote>
  <w:endnote w:type="continuationSeparator" w:id="0">
    <w:p w:rsidR="00B37987" w:rsidRDefault="00B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87" w:rsidRDefault="00B37987">
      <w:r>
        <w:separator/>
      </w:r>
    </w:p>
  </w:footnote>
  <w:footnote w:type="continuationSeparator" w:id="0">
    <w:p w:rsidR="00B37987" w:rsidRDefault="00B37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02C2"/>
    <w:multiLevelType w:val="hybridMultilevel"/>
    <w:tmpl w:val="2288FE46"/>
    <w:lvl w:ilvl="0" w:tplc="91562B50">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300742F7"/>
    <w:multiLevelType w:val="hybridMultilevel"/>
    <w:tmpl w:val="874A8594"/>
    <w:lvl w:ilvl="0" w:tplc="16F051C6">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nsid w:val="55FF607D"/>
    <w:multiLevelType w:val="hybridMultilevel"/>
    <w:tmpl w:val="E3B4EB32"/>
    <w:lvl w:ilvl="0" w:tplc="B192E39E">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76879CC"/>
    <w:multiLevelType w:val="hybridMultilevel"/>
    <w:tmpl w:val="902EC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2B"/>
    <w:rsid w:val="0000101C"/>
    <w:rsid w:val="000105EC"/>
    <w:rsid w:val="00030449"/>
    <w:rsid w:val="00041417"/>
    <w:rsid w:val="000664E4"/>
    <w:rsid w:val="000964C7"/>
    <w:rsid w:val="000B0545"/>
    <w:rsid w:val="000C33CE"/>
    <w:rsid w:val="000E1A18"/>
    <w:rsid w:val="00105B3B"/>
    <w:rsid w:val="00110BE7"/>
    <w:rsid w:val="00116B2F"/>
    <w:rsid w:val="00127176"/>
    <w:rsid w:val="00132005"/>
    <w:rsid w:val="00163D49"/>
    <w:rsid w:val="00196209"/>
    <w:rsid w:val="001C1B82"/>
    <w:rsid w:val="001C434C"/>
    <w:rsid w:val="00204D5B"/>
    <w:rsid w:val="00210461"/>
    <w:rsid w:val="0022078E"/>
    <w:rsid w:val="00236596"/>
    <w:rsid w:val="00253C51"/>
    <w:rsid w:val="002746BE"/>
    <w:rsid w:val="00292023"/>
    <w:rsid w:val="00293247"/>
    <w:rsid w:val="002A37FC"/>
    <w:rsid w:val="002B6C9A"/>
    <w:rsid w:val="002D493D"/>
    <w:rsid w:val="002D610D"/>
    <w:rsid w:val="0030457F"/>
    <w:rsid w:val="00321C5E"/>
    <w:rsid w:val="00343C3F"/>
    <w:rsid w:val="003453E6"/>
    <w:rsid w:val="003603E4"/>
    <w:rsid w:val="0037491C"/>
    <w:rsid w:val="0039652D"/>
    <w:rsid w:val="003E58C0"/>
    <w:rsid w:val="0042123B"/>
    <w:rsid w:val="00446D4F"/>
    <w:rsid w:val="00466D70"/>
    <w:rsid w:val="004903B6"/>
    <w:rsid w:val="00494449"/>
    <w:rsid w:val="004B2E63"/>
    <w:rsid w:val="005258BD"/>
    <w:rsid w:val="0057137B"/>
    <w:rsid w:val="005822CA"/>
    <w:rsid w:val="005A7FF2"/>
    <w:rsid w:val="00642205"/>
    <w:rsid w:val="0065043C"/>
    <w:rsid w:val="0065295A"/>
    <w:rsid w:val="00676D03"/>
    <w:rsid w:val="00680336"/>
    <w:rsid w:val="00690909"/>
    <w:rsid w:val="00697DF9"/>
    <w:rsid w:val="006B154E"/>
    <w:rsid w:val="006C5928"/>
    <w:rsid w:val="006D636E"/>
    <w:rsid w:val="006E2F4E"/>
    <w:rsid w:val="006F531D"/>
    <w:rsid w:val="007246EA"/>
    <w:rsid w:val="00751629"/>
    <w:rsid w:val="00752954"/>
    <w:rsid w:val="00770A0C"/>
    <w:rsid w:val="007844E9"/>
    <w:rsid w:val="007A226E"/>
    <w:rsid w:val="007E445C"/>
    <w:rsid w:val="007F6F4A"/>
    <w:rsid w:val="00801B57"/>
    <w:rsid w:val="00843881"/>
    <w:rsid w:val="00846872"/>
    <w:rsid w:val="008B25A2"/>
    <w:rsid w:val="008B444E"/>
    <w:rsid w:val="008C6D10"/>
    <w:rsid w:val="008D612B"/>
    <w:rsid w:val="008F2980"/>
    <w:rsid w:val="00920A49"/>
    <w:rsid w:val="00934583"/>
    <w:rsid w:val="009647D2"/>
    <w:rsid w:val="00965BCE"/>
    <w:rsid w:val="00966640"/>
    <w:rsid w:val="00977014"/>
    <w:rsid w:val="00984C1F"/>
    <w:rsid w:val="0099506C"/>
    <w:rsid w:val="009D6717"/>
    <w:rsid w:val="009D6D34"/>
    <w:rsid w:val="009E1E97"/>
    <w:rsid w:val="00A10264"/>
    <w:rsid w:val="00A20D6F"/>
    <w:rsid w:val="00A85374"/>
    <w:rsid w:val="00A940EB"/>
    <w:rsid w:val="00AA28FC"/>
    <w:rsid w:val="00AC7E3B"/>
    <w:rsid w:val="00AE1A8F"/>
    <w:rsid w:val="00B278ED"/>
    <w:rsid w:val="00B30B43"/>
    <w:rsid w:val="00B37987"/>
    <w:rsid w:val="00B76730"/>
    <w:rsid w:val="00BB3194"/>
    <w:rsid w:val="00BC2B57"/>
    <w:rsid w:val="00BD5349"/>
    <w:rsid w:val="00BF5BA0"/>
    <w:rsid w:val="00C04807"/>
    <w:rsid w:val="00C12441"/>
    <w:rsid w:val="00C203CF"/>
    <w:rsid w:val="00C23E3F"/>
    <w:rsid w:val="00C32A03"/>
    <w:rsid w:val="00C50869"/>
    <w:rsid w:val="00C61D7D"/>
    <w:rsid w:val="00C81A44"/>
    <w:rsid w:val="00CA1E5F"/>
    <w:rsid w:val="00CA35D4"/>
    <w:rsid w:val="00CA4AA6"/>
    <w:rsid w:val="00CB06EE"/>
    <w:rsid w:val="00CB2EA3"/>
    <w:rsid w:val="00CC0620"/>
    <w:rsid w:val="00CD54EE"/>
    <w:rsid w:val="00D01315"/>
    <w:rsid w:val="00D125FD"/>
    <w:rsid w:val="00D20DE5"/>
    <w:rsid w:val="00D20DEC"/>
    <w:rsid w:val="00D33AF3"/>
    <w:rsid w:val="00D45AA8"/>
    <w:rsid w:val="00D72B70"/>
    <w:rsid w:val="00D75496"/>
    <w:rsid w:val="00DC313A"/>
    <w:rsid w:val="00DD42F5"/>
    <w:rsid w:val="00DE498B"/>
    <w:rsid w:val="00DF7DCD"/>
    <w:rsid w:val="00E076A0"/>
    <w:rsid w:val="00E102D6"/>
    <w:rsid w:val="00E2577C"/>
    <w:rsid w:val="00E44708"/>
    <w:rsid w:val="00E57825"/>
    <w:rsid w:val="00E65040"/>
    <w:rsid w:val="00E656D3"/>
    <w:rsid w:val="00E86754"/>
    <w:rsid w:val="00EC3BEC"/>
    <w:rsid w:val="00ED5FB3"/>
    <w:rsid w:val="00EF30F9"/>
    <w:rsid w:val="00F03948"/>
    <w:rsid w:val="00F3596B"/>
    <w:rsid w:val="00F53FE3"/>
    <w:rsid w:val="00F55EE1"/>
    <w:rsid w:val="00F62380"/>
    <w:rsid w:val="00F6251E"/>
    <w:rsid w:val="00F648BF"/>
    <w:rsid w:val="00F671E9"/>
    <w:rsid w:val="00FA3410"/>
    <w:rsid w:val="00FB2EE4"/>
    <w:rsid w:val="00FC5827"/>
    <w:rsid w:val="00FE0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6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264"/>
    <w:rPr>
      <w:rFonts w:cs="Times New Roman"/>
      <w:sz w:val="2"/>
    </w:rPr>
  </w:style>
  <w:style w:type="character" w:styleId="CommentReference">
    <w:name w:val="annotation reference"/>
    <w:basedOn w:val="DefaultParagraphFont"/>
    <w:uiPriority w:val="99"/>
    <w:semiHidden/>
    <w:rsid w:val="008D612B"/>
    <w:rPr>
      <w:rFonts w:cs="Times New Roman"/>
      <w:sz w:val="16"/>
      <w:szCs w:val="16"/>
    </w:rPr>
  </w:style>
  <w:style w:type="paragraph" w:styleId="CommentText">
    <w:name w:val="annotation text"/>
    <w:basedOn w:val="Normal"/>
    <w:link w:val="CommentTextChar"/>
    <w:uiPriority w:val="99"/>
    <w:semiHidden/>
    <w:rsid w:val="008D612B"/>
    <w:rPr>
      <w:sz w:val="20"/>
      <w:szCs w:val="20"/>
    </w:rPr>
  </w:style>
  <w:style w:type="character" w:customStyle="1" w:styleId="CommentTextChar">
    <w:name w:val="Comment Text Char"/>
    <w:basedOn w:val="DefaultParagraphFont"/>
    <w:link w:val="CommentText"/>
    <w:uiPriority w:val="99"/>
    <w:semiHidden/>
    <w:locked/>
    <w:rsid w:val="00A10264"/>
    <w:rPr>
      <w:rFonts w:cs="Times New Roman"/>
      <w:sz w:val="20"/>
      <w:szCs w:val="20"/>
    </w:rPr>
  </w:style>
  <w:style w:type="character" w:styleId="Hyperlink">
    <w:name w:val="Hyperlink"/>
    <w:basedOn w:val="DefaultParagraphFont"/>
    <w:uiPriority w:val="99"/>
    <w:rsid w:val="00ED5FB3"/>
    <w:rPr>
      <w:rFonts w:cs="Times New Roman"/>
      <w:color w:val="0000FF"/>
      <w:u w:val="single"/>
    </w:rPr>
  </w:style>
  <w:style w:type="character" w:styleId="FollowedHyperlink">
    <w:name w:val="FollowedHyperlink"/>
    <w:basedOn w:val="DefaultParagraphFont"/>
    <w:uiPriority w:val="99"/>
    <w:rsid w:val="00EF30F9"/>
    <w:rPr>
      <w:rFonts w:cs="Times New Roman"/>
      <w:color w:val="800080"/>
      <w:u w:val="single"/>
    </w:rPr>
  </w:style>
  <w:style w:type="paragraph" w:styleId="Header">
    <w:name w:val="header"/>
    <w:basedOn w:val="Normal"/>
    <w:link w:val="HeaderChar"/>
    <w:uiPriority w:val="99"/>
    <w:rsid w:val="00AE1A8F"/>
    <w:pPr>
      <w:tabs>
        <w:tab w:val="center" w:pos="4153"/>
        <w:tab w:val="right" w:pos="8306"/>
      </w:tabs>
    </w:pPr>
  </w:style>
  <w:style w:type="character" w:customStyle="1" w:styleId="HeaderChar">
    <w:name w:val="Header Char"/>
    <w:basedOn w:val="DefaultParagraphFont"/>
    <w:link w:val="Header"/>
    <w:uiPriority w:val="99"/>
    <w:semiHidden/>
    <w:locked/>
    <w:rsid w:val="00A10264"/>
    <w:rPr>
      <w:rFonts w:cs="Times New Roman"/>
      <w:sz w:val="24"/>
      <w:szCs w:val="24"/>
    </w:rPr>
  </w:style>
  <w:style w:type="paragraph" w:styleId="Footer">
    <w:name w:val="footer"/>
    <w:basedOn w:val="Normal"/>
    <w:link w:val="FooterChar"/>
    <w:uiPriority w:val="99"/>
    <w:rsid w:val="00AE1A8F"/>
    <w:pPr>
      <w:tabs>
        <w:tab w:val="center" w:pos="4153"/>
        <w:tab w:val="right" w:pos="8306"/>
      </w:tabs>
    </w:pPr>
  </w:style>
  <w:style w:type="character" w:customStyle="1" w:styleId="FooterChar">
    <w:name w:val="Footer Char"/>
    <w:basedOn w:val="DefaultParagraphFont"/>
    <w:link w:val="Footer"/>
    <w:uiPriority w:val="99"/>
    <w:semiHidden/>
    <w:locked/>
    <w:rsid w:val="00A10264"/>
    <w:rPr>
      <w:rFonts w:cs="Times New Roman"/>
      <w:sz w:val="24"/>
      <w:szCs w:val="24"/>
    </w:rPr>
  </w:style>
  <w:style w:type="paragraph" w:styleId="CommentSubject">
    <w:name w:val="annotation subject"/>
    <w:basedOn w:val="CommentText"/>
    <w:next w:val="CommentText"/>
    <w:link w:val="CommentSubjectChar"/>
    <w:uiPriority w:val="99"/>
    <w:semiHidden/>
    <w:rsid w:val="00680336"/>
    <w:rPr>
      <w:b/>
      <w:bCs/>
    </w:rPr>
  </w:style>
  <w:style w:type="character" w:customStyle="1" w:styleId="CommentSubjectChar">
    <w:name w:val="Comment Subject Char"/>
    <w:basedOn w:val="CommentTextChar"/>
    <w:link w:val="CommentSubject"/>
    <w:uiPriority w:val="99"/>
    <w:semiHidden/>
    <w:locked/>
    <w:rsid w:val="00A10264"/>
    <w:rPr>
      <w:rFonts w:cs="Times New Roman"/>
      <w:b/>
      <w:bCs/>
      <w:sz w:val="20"/>
      <w:szCs w:val="20"/>
    </w:rPr>
  </w:style>
  <w:style w:type="paragraph" w:customStyle="1" w:styleId="subsection">
    <w:name w:val="subsection"/>
    <w:aliases w:val="ss"/>
    <w:basedOn w:val="Normal"/>
    <w:link w:val="subsectionChar"/>
    <w:uiPriority w:val="99"/>
    <w:rsid w:val="00CB06EE"/>
    <w:pPr>
      <w:spacing w:before="100" w:beforeAutospacing="1" w:after="100" w:afterAutospacing="1"/>
    </w:pPr>
  </w:style>
  <w:style w:type="paragraph" w:customStyle="1" w:styleId="paragraph">
    <w:name w:val="paragraph"/>
    <w:aliases w:val="a"/>
    <w:basedOn w:val="Normal"/>
    <w:link w:val="paragraphChar"/>
    <w:uiPriority w:val="99"/>
    <w:rsid w:val="00CB06EE"/>
    <w:pPr>
      <w:spacing w:before="100" w:beforeAutospacing="1" w:after="100" w:afterAutospacing="1"/>
    </w:pPr>
  </w:style>
  <w:style w:type="paragraph" w:customStyle="1" w:styleId="ActHead5">
    <w:name w:val="ActHead 5"/>
    <w:aliases w:val="s"/>
    <w:basedOn w:val="Normal"/>
    <w:next w:val="Normal"/>
    <w:uiPriority w:val="99"/>
    <w:rsid w:val="00041417"/>
    <w:pPr>
      <w:keepNext/>
      <w:keepLines/>
      <w:spacing w:before="280"/>
      <w:ind w:left="1134" w:hanging="1134"/>
      <w:outlineLvl w:val="4"/>
    </w:pPr>
    <w:rPr>
      <w:b/>
      <w:bCs/>
      <w:kern w:val="28"/>
      <w:szCs w:val="32"/>
    </w:rPr>
  </w:style>
  <w:style w:type="character" w:customStyle="1" w:styleId="CharSectno">
    <w:name w:val="CharSectno"/>
    <w:basedOn w:val="DefaultParagraphFont"/>
    <w:uiPriority w:val="99"/>
    <w:rsid w:val="00041417"/>
    <w:rPr>
      <w:rFonts w:cs="Times New Roman"/>
    </w:rPr>
  </w:style>
  <w:style w:type="paragraph" w:customStyle="1" w:styleId="notetext">
    <w:name w:val="note(text)"/>
    <w:aliases w:val="n"/>
    <w:uiPriority w:val="99"/>
    <w:rsid w:val="00041417"/>
    <w:pPr>
      <w:spacing w:before="122" w:line="198" w:lineRule="exact"/>
      <w:ind w:left="1985" w:hanging="851"/>
    </w:pPr>
    <w:rPr>
      <w:sz w:val="18"/>
      <w:szCs w:val="24"/>
    </w:rPr>
  </w:style>
  <w:style w:type="paragraph" w:customStyle="1" w:styleId="subsection2">
    <w:name w:val="subsection2"/>
    <w:aliases w:val="ss2"/>
    <w:basedOn w:val="subsection"/>
    <w:next w:val="subsection"/>
    <w:uiPriority w:val="99"/>
    <w:rsid w:val="00041417"/>
    <w:pPr>
      <w:spacing w:before="40" w:beforeAutospacing="0" w:after="0" w:afterAutospacing="0"/>
      <w:ind w:left="1134"/>
    </w:pPr>
    <w:rPr>
      <w:sz w:val="22"/>
    </w:rPr>
  </w:style>
  <w:style w:type="character" w:customStyle="1" w:styleId="paragraphChar">
    <w:name w:val="paragraph Char"/>
    <w:aliases w:val="a Char"/>
    <w:basedOn w:val="DefaultParagraphFont"/>
    <w:link w:val="paragraph"/>
    <w:uiPriority w:val="99"/>
    <w:locked/>
    <w:rsid w:val="00041417"/>
    <w:rPr>
      <w:rFonts w:cs="Times New Roman"/>
      <w:sz w:val="24"/>
      <w:szCs w:val="24"/>
      <w:lang w:val="en-AU" w:eastAsia="en-AU" w:bidi="ar-SA"/>
    </w:rPr>
  </w:style>
  <w:style w:type="character" w:customStyle="1" w:styleId="subsectionChar">
    <w:name w:val="subsection Char"/>
    <w:aliases w:val="ss Char"/>
    <w:basedOn w:val="DefaultParagraphFont"/>
    <w:link w:val="subsection"/>
    <w:uiPriority w:val="99"/>
    <w:locked/>
    <w:rsid w:val="00041417"/>
    <w:rPr>
      <w:rFonts w:cs="Times New Roman"/>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6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264"/>
    <w:rPr>
      <w:rFonts w:cs="Times New Roman"/>
      <w:sz w:val="2"/>
    </w:rPr>
  </w:style>
  <w:style w:type="character" w:styleId="CommentReference">
    <w:name w:val="annotation reference"/>
    <w:basedOn w:val="DefaultParagraphFont"/>
    <w:uiPriority w:val="99"/>
    <w:semiHidden/>
    <w:rsid w:val="008D612B"/>
    <w:rPr>
      <w:rFonts w:cs="Times New Roman"/>
      <w:sz w:val="16"/>
      <w:szCs w:val="16"/>
    </w:rPr>
  </w:style>
  <w:style w:type="paragraph" w:styleId="CommentText">
    <w:name w:val="annotation text"/>
    <w:basedOn w:val="Normal"/>
    <w:link w:val="CommentTextChar"/>
    <w:uiPriority w:val="99"/>
    <w:semiHidden/>
    <w:rsid w:val="008D612B"/>
    <w:rPr>
      <w:sz w:val="20"/>
      <w:szCs w:val="20"/>
    </w:rPr>
  </w:style>
  <w:style w:type="character" w:customStyle="1" w:styleId="CommentTextChar">
    <w:name w:val="Comment Text Char"/>
    <w:basedOn w:val="DefaultParagraphFont"/>
    <w:link w:val="CommentText"/>
    <w:uiPriority w:val="99"/>
    <w:semiHidden/>
    <w:locked/>
    <w:rsid w:val="00A10264"/>
    <w:rPr>
      <w:rFonts w:cs="Times New Roman"/>
      <w:sz w:val="20"/>
      <w:szCs w:val="20"/>
    </w:rPr>
  </w:style>
  <w:style w:type="character" w:styleId="Hyperlink">
    <w:name w:val="Hyperlink"/>
    <w:basedOn w:val="DefaultParagraphFont"/>
    <w:uiPriority w:val="99"/>
    <w:rsid w:val="00ED5FB3"/>
    <w:rPr>
      <w:rFonts w:cs="Times New Roman"/>
      <w:color w:val="0000FF"/>
      <w:u w:val="single"/>
    </w:rPr>
  </w:style>
  <w:style w:type="character" w:styleId="FollowedHyperlink">
    <w:name w:val="FollowedHyperlink"/>
    <w:basedOn w:val="DefaultParagraphFont"/>
    <w:uiPriority w:val="99"/>
    <w:rsid w:val="00EF30F9"/>
    <w:rPr>
      <w:rFonts w:cs="Times New Roman"/>
      <w:color w:val="800080"/>
      <w:u w:val="single"/>
    </w:rPr>
  </w:style>
  <w:style w:type="paragraph" w:styleId="Header">
    <w:name w:val="header"/>
    <w:basedOn w:val="Normal"/>
    <w:link w:val="HeaderChar"/>
    <w:uiPriority w:val="99"/>
    <w:rsid w:val="00AE1A8F"/>
    <w:pPr>
      <w:tabs>
        <w:tab w:val="center" w:pos="4153"/>
        <w:tab w:val="right" w:pos="8306"/>
      </w:tabs>
    </w:pPr>
  </w:style>
  <w:style w:type="character" w:customStyle="1" w:styleId="HeaderChar">
    <w:name w:val="Header Char"/>
    <w:basedOn w:val="DefaultParagraphFont"/>
    <w:link w:val="Header"/>
    <w:uiPriority w:val="99"/>
    <w:semiHidden/>
    <w:locked/>
    <w:rsid w:val="00A10264"/>
    <w:rPr>
      <w:rFonts w:cs="Times New Roman"/>
      <w:sz w:val="24"/>
      <w:szCs w:val="24"/>
    </w:rPr>
  </w:style>
  <w:style w:type="paragraph" w:styleId="Footer">
    <w:name w:val="footer"/>
    <w:basedOn w:val="Normal"/>
    <w:link w:val="FooterChar"/>
    <w:uiPriority w:val="99"/>
    <w:rsid w:val="00AE1A8F"/>
    <w:pPr>
      <w:tabs>
        <w:tab w:val="center" w:pos="4153"/>
        <w:tab w:val="right" w:pos="8306"/>
      </w:tabs>
    </w:pPr>
  </w:style>
  <w:style w:type="character" w:customStyle="1" w:styleId="FooterChar">
    <w:name w:val="Footer Char"/>
    <w:basedOn w:val="DefaultParagraphFont"/>
    <w:link w:val="Footer"/>
    <w:uiPriority w:val="99"/>
    <w:semiHidden/>
    <w:locked/>
    <w:rsid w:val="00A10264"/>
    <w:rPr>
      <w:rFonts w:cs="Times New Roman"/>
      <w:sz w:val="24"/>
      <w:szCs w:val="24"/>
    </w:rPr>
  </w:style>
  <w:style w:type="paragraph" w:styleId="CommentSubject">
    <w:name w:val="annotation subject"/>
    <w:basedOn w:val="CommentText"/>
    <w:next w:val="CommentText"/>
    <w:link w:val="CommentSubjectChar"/>
    <w:uiPriority w:val="99"/>
    <w:semiHidden/>
    <w:rsid w:val="00680336"/>
    <w:rPr>
      <w:b/>
      <w:bCs/>
    </w:rPr>
  </w:style>
  <w:style w:type="character" w:customStyle="1" w:styleId="CommentSubjectChar">
    <w:name w:val="Comment Subject Char"/>
    <w:basedOn w:val="CommentTextChar"/>
    <w:link w:val="CommentSubject"/>
    <w:uiPriority w:val="99"/>
    <w:semiHidden/>
    <w:locked/>
    <w:rsid w:val="00A10264"/>
    <w:rPr>
      <w:rFonts w:cs="Times New Roman"/>
      <w:b/>
      <w:bCs/>
      <w:sz w:val="20"/>
      <w:szCs w:val="20"/>
    </w:rPr>
  </w:style>
  <w:style w:type="paragraph" w:customStyle="1" w:styleId="subsection">
    <w:name w:val="subsection"/>
    <w:aliases w:val="ss"/>
    <w:basedOn w:val="Normal"/>
    <w:link w:val="subsectionChar"/>
    <w:uiPriority w:val="99"/>
    <w:rsid w:val="00CB06EE"/>
    <w:pPr>
      <w:spacing w:before="100" w:beforeAutospacing="1" w:after="100" w:afterAutospacing="1"/>
    </w:pPr>
  </w:style>
  <w:style w:type="paragraph" w:customStyle="1" w:styleId="paragraph">
    <w:name w:val="paragraph"/>
    <w:aliases w:val="a"/>
    <w:basedOn w:val="Normal"/>
    <w:link w:val="paragraphChar"/>
    <w:uiPriority w:val="99"/>
    <w:rsid w:val="00CB06EE"/>
    <w:pPr>
      <w:spacing w:before="100" w:beforeAutospacing="1" w:after="100" w:afterAutospacing="1"/>
    </w:pPr>
  </w:style>
  <w:style w:type="paragraph" w:customStyle="1" w:styleId="ActHead5">
    <w:name w:val="ActHead 5"/>
    <w:aliases w:val="s"/>
    <w:basedOn w:val="Normal"/>
    <w:next w:val="Normal"/>
    <w:uiPriority w:val="99"/>
    <w:rsid w:val="00041417"/>
    <w:pPr>
      <w:keepNext/>
      <w:keepLines/>
      <w:spacing w:before="280"/>
      <w:ind w:left="1134" w:hanging="1134"/>
      <w:outlineLvl w:val="4"/>
    </w:pPr>
    <w:rPr>
      <w:b/>
      <w:bCs/>
      <w:kern w:val="28"/>
      <w:szCs w:val="32"/>
    </w:rPr>
  </w:style>
  <w:style w:type="character" w:customStyle="1" w:styleId="CharSectno">
    <w:name w:val="CharSectno"/>
    <w:basedOn w:val="DefaultParagraphFont"/>
    <w:uiPriority w:val="99"/>
    <w:rsid w:val="00041417"/>
    <w:rPr>
      <w:rFonts w:cs="Times New Roman"/>
    </w:rPr>
  </w:style>
  <w:style w:type="paragraph" w:customStyle="1" w:styleId="notetext">
    <w:name w:val="note(text)"/>
    <w:aliases w:val="n"/>
    <w:uiPriority w:val="99"/>
    <w:rsid w:val="00041417"/>
    <w:pPr>
      <w:spacing w:before="122" w:line="198" w:lineRule="exact"/>
      <w:ind w:left="1985" w:hanging="851"/>
    </w:pPr>
    <w:rPr>
      <w:sz w:val="18"/>
      <w:szCs w:val="24"/>
    </w:rPr>
  </w:style>
  <w:style w:type="paragraph" w:customStyle="1" w:styleId="subsection2">
    <w:name w:val="subsection2"/>
    <w:aliases w:val="ss2"/>
    <w:basedOn w:val="subsection"/>
    <w:next w:val="subsection"/>
    <w:uiPriority w:val="99"/>
    <w:rsid w:val="00041417"/>
    <w:pPr>
      <w:spacing w:before="40" w:beforeAutospacing="0" w:after="0" w:afterAutospacing="0"/>
      <w:ind w:left="1134"/>
    </w:pPr>
    <w:rPr>
      <w:sz w:val="22"/>
    </w:rPr>
  </w:style>
  <w:style w:type="character" w:customStyle="1" w:styleId="paragraphChar">
    <w:name w:val="paragraph Char"/>
    <w:aliases w:val="a Char"/>
    <w:basedOn w:val="DefaultParagraphFont"/>
    <w:link w:val="paragraph"/>
    <w:uiPriority w:val="99"/>
    <w:locked/>
    <w:rsid w:val="00041417"/>
    <w:rPr>
      <w:rFonts w:cs="Times New Roman"/>
      <w:sz w:val="24"/>
      <w:szCs w:val="24"/>
      <w:lang w:val="en-AU" w:eastAsia="en-AU" w:bidi="ar-SA"/>
    </w:rPr>
  </w:style>
  <w:style w:type="character" w:customStyle="1" w:styleId="subsectionChar">
    <w:name w:val="subsection Char"/>
    <w:aliases w:val="ss Char"/>
    <w:basedOn w:val="DefaultParagraphFont"/>
    <w:link w:val="subsection"/>
    <w:uiPriority w:val="99"/>
    <w:locked/>
    <w:rsid w:val="00041417"/>
    <w:rPr>
      <w:rFonts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39444">
      <w:marLeft w:val="0"/>
      <w:marRight w:val="0"/>
      <w:marTop w:val="0"/>
      <w:marBottom w:val="0"/>
      <w:divBdr>
        <w:top w:val="none" w:sz="0" w:space="0" w:color="auto"/>
        <w:left w:val="none" w:sz="0" w:space="0" w:color="auto"/>
        <w:bottom w:val="none" w:sz="0" w:space="0" w:color="auto"/>
        <w:right w:val="none" w:sz="0" w:space="0" w:color="auto"/>
      </w:divBdr>
      <w:divsChild>
        <w:div w:id="1979339438">
          <w:marLeft w:val="0"/>
          <w:marRight w:val="0"/>
          <w:marTop w:val="0"/>
          <w:marBottom w:val="0"/>
          <w:divBdr>
            <w:top w:val="none" w:sz="0" w:space="0" w:color="auto"/>
            <w:left w:val="none" w:sz="0" w:space="0" w:color="auto"/>
            <w:bottom w:val="none" w:sz="0" w:space="0" w:color="auto"/>
            <w:right w:val="none" w:sz="0" w:space="0" w:color="auto"/>
          </w:divBdr>
          <w:divsChild>
            <w:div w:id="1979339439">
              <w:marLeft w:val="0"/>
              <w:marRight w:val="0"/>
              <w:marTop w:val="0"/>
              <w:marBottom w:val="0"/>
              <w:divBdr>
                <w:top w:val="none" w:sz="0" w:space="0" w:color="auto"/>
                <w:left w:val="none" w:sz="0" w:space="0" w:color="auto"/>
                <w:bottom w:val="none" w:sz="0" w:space="0" w:color="auto"/>
                <w:right w:val="none" w:sz="0" w:space="0" w:color="auto"/>
              </w:divBdr>
              <w:divsChild>
                <w:div w:id="1979339441">
                  <w:marLeft w:val="0"/>
                  <w:marRight w:val="0"/>
                  <w:marTop w:val="0"/>
                  <w:marBottom w:val="0"/>
                  <w:divBdr>
                    <w:top w:val="none" w:sz="0" w:space="0" w:color="auto"/>
                    <w:left w:val="none" w:sz="0" w:space="0" w:color="auto"/>
                    <w:bottom w:val="none" w:sz="0" w:space="0" w:color="auto"/>
                    <w:right w:val="none" w:sz="0" w:space="0" w:color="auto"/>
                  </w:divBdr>
                  <w:divsChild>
                    <w:div w:id="1979339443">
                      <w:marLeft w:val="0"/>
                      <w:marRight w:val="0"/>
                      <w:marTop w:val="0"/>
                      <w:marBottom w:val="0"/>
                      <w:divBdr>
                        <w:top w:val="none" w:sz="0" w:space="0" w:color="auto"/>
                        <w:left w:val="none" w:sz="0" w:space="0" w:color="auto"/>
                        <w:bottom w:val="none" w:sz="0" w:space="0" w:color="auto"/>
                        <w:right w:val="none" w:sz="0" w:space="0" w:color="auto"/>
                      </w:divBdr>
                      <w:divsChild>
                        <w:div w:id="1979339436">
                          <w:marLeft w:val="0"/>
                          <w:marRight w:val="0"/>
                          <w:marTop w:val="0"/>
                          <w:marBottom w:val="0"/>
                          <w:divBdr>
                            <w:top w:val="single" w:sz="4" w:space="0" w:color="828282"/>
                            <w:left w:val="single" w:sz="4" w:space="0" w:color="828282"/>
                            <w:bottom w:val="single" w:sz="4" w:space="0" w:color="828282"/>
                            <w:right w:val="single" w:sz="4" w:space="0" w:color="828282"/>
                          </w:divBdr>
                          <w:divsChild>
                            <w:div w:id="1979339447">
                              <w:marLeft w:val="0"/>
                              <w:marRight w:val="0"/>
                              <w:marTop w:val="0"/>
                              <w:marBottom w:val="0"/>
                              <w:divBdr>
                                <w:top w:val="none" w:sz="0" w:space="0" w:color="auto"/>
                                <w:left w:val="none" w:sz="0" w:space="0" w:color="auto"/>
                                <w:bottom w:val="none" w:sz="0" w:space="0" w:color="auto"/>
                                <w:right w:val="none" w:sz="0" w:space="0" w:color="auto"/>
                              </w:divBdr>
                              <w:divsChild>
                                <w:div w:id="1979339435">
                                  <w:marLeft w:val="0"/>
                                  <w:marRight w:val="0"/>
                                  <w:marTop w:val="0"/>
                                  <w:marBottom w:val="0"/>
                                  <w:divBdr>
                                    <w:top w:val="none" w:sz="0" w:space="0" w:color="auto"/>
                                    <w:left w:val="none" w:sz="0" w:space="0" w:color="auto"/>
                                    <w:bottom w:val="none" w:sz="0" w:space="0" w:color="auto"/>
                                    <w:right w:val="none" w:sz="0" w:space="0" w:color="auto"/>
                                  </w:divBdr>
                                  <w:divsChild>
                                    <w:div w:id="1979339437">
                                      <w:marLeft w:val="0"/>
                                      <w:marRight w:val="0"/>
                                      <w:marTop w:val="0"/>
                                      <w:marBottom w:val="0"/>
                                      <w:divBdr>
                                        <w:top w:val="none" w:sz="0" w:space="0" w:color="auto"/>
                                        <w:left w:val="none" w:sz="0" w:space="0" w:color="auto"/>
                                        <w:bottom w:val="none" w:sz="0" w:space="0" w:color="auto"/>
                                        <w:right w:val="none" w:sz="0" w:space="0" w:color="auto"/>
                                      </w:divBdr>
                                      <w:divsChild>
                                        <w:div w:id="1979339442">
                                          <w:marLeft w:val="0"/>
                                          <w:marRight w:val="0"/>
                                          <w:marTop w:val="0"/>
                                          <w:marBottom w:val="0"/>
                                          <w:divBdr>
                                            <w:top w:val="none" w:sz="0" w:space="0" w:color="auto"/>
                                            <w:left w:val="none" w:sz="0" w:space="0" w:color="auto"/>
                                            <w:bottom w:val="none" w:sz="0" w:space="0" w:color="auto"/>
                                            <w:right w:val="none" w:sz="0" w:space="0" w:color="auto"/>
                                          </w:divBdr>
                                          <w:divsChild>
                                            <w:div w:id="1979339440">
                                              <w:marLeft w:val="0"/>
                                              <w:marRight w:val="0"/>
                                              <w:marTop w:val="0"/>
                                              <w:marBottom w:val="0"/>
                                              <w:divBdr>
                                                <w:top w:val="none" w:sz="0" w:space="0" w:color="auto"/>
                                                <w:left w:val="none" w:sz="0" w:space="0" w:color="auto"/>
                                                <w:bottom w:val="none" w:sz="0" w:space="0" w:color="auto"/>
                                                <w:right w:val="none" w:sz="0" w:space="0" w:color="auto"/>
                                              </w:divBdr>
                                              <w:divsChild>
                                                <w:div w:id="19793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339446">
      <w:marLeft w:val="0"/>
      <w:marRight w:val="0"/>
      <w:marTop w:val="0"/>
      <w:marBottom w:val="0"/>
      <w:divBdr>
        <w:top w:val="none" w:sz="0" w:space="0" w:color="auto"/>
        <w:left w:val="none" w:sz="0" w:space="0" w:color="auto"/>
        <w:bottom w:val="none" w:sz="0" w:space="0" w:color="auto"/>
        <w:right w:val="none" w:sz="0" w:space="0" w:color="auto"/>
      </w:divBdr>
    </w:div>
    <w:div w:id="1979339457">
      <w:marLeft w:val="0"/>
      <w:marRight w:val="0"/>
      <w:marTop w:val="0"/>
      <w:marBottom w:val="0"/>
      <w:divBdr>
        <w:top w:val="none" w:sz="0" w:space="0" w:color="auto"/>
        <w:left w:val="none" w:sz="0" w:space="0" w:color="auto"/>
        <w:bottom w:val="none" w:sz="0" w:space="0" w:color="auto"/>
        <w:right w:val="none" w:sz="0" w:space="0" w:color="auto"/>
      </w:divBdr>
      <w:divsChild>
        <w:div w:id="1979339459">
          <w:marLeft w:val="0"/>
          <w:marRight w:val="0"/>
          <w:marTop w:val="0"/>
          <w:marBottom w:val="0"/>
          <w:divBdr>
            <w:top w:val="none" w:sz="0" w:space="0" w:color="auto"/>
            <w:left w:val="none" w:sz="0" w:space="0" w:color="auto"/>
            <w:bottom w:val="none" w:sz="0" w:space="0" w:color="auto"/>
            <w:right w:val="none" w:sz="0" w:space="0" w:color="auto"/>
          </w:divBdr>
          <w:divsChild>
            <w:div w:id="1979339453">
              <w:marLeft w:val="0"/>
              <w:marRight w:val="0"/>
              <w:marTop w:val="0"/>
              <w:marBottom w:val="0"/>
              <w:divBdr>
                <w:top w:val="none" w:sz="0" w:space="0" w:color="auto"/>
                <w:left w:val="none" w:sz="0" w:space="0" w:color="auto"/>
                <w:bottom w:val="none" w:sz="0" w:space="0" w:color="auto"/>
                <w:right w:val="none" w:sz="0" w:space="0" w:color="auto"/>
              </w:divBdr>
              <w:divsChild>
                <w:div w:id="1979339461">
                  <w:marLeft w:val="0"/>
                  <w:marRight w:val="0"/>
                  <w:marTop w:val="0"/>
                  <w:marBottom w:val="0"/>
                  <w:divBdr>
                    <w:top w:val="none" w:sz="0" w:space="0" w:color="auto"/>
                    <w:left w:val="none" w:sz="0" w:space="0" w:color="auto"/>
                    <w:bottom w:val="none" w:sz="0" w:space="0" w:color="auto"/>
                    <w:right w:val="none" w:sz="0" w:space="0" w:color="auto"/>
                  </w:divBdr>
                  <w:divsChild>
                    <w:div w:id="1979339448">
                      <w:marLeft w:val="0"/>
                      <w:marRight w:val="0"/>
                      <w:marTop w:val="0"/>
                      <w:marBottom w:val="0"/>
                      <w:divBdr>
                        <w:top w:val="none" w:sz="0" w:space="0" w:color="auto"/>
                        <w:left w:val="none" w:sz="0" w:space="0" w:color="auto"/>
                        <w:bottom w:val="none" w:sz="0" w:space="0" w:color="auto"/>
                        <w:right w:val="none" w:sz="0" w:space="0" w:color="auto"/>
                      </w:divBdr>
                      <w:divsChild>
                        <w:div w:id="1979339449">
                          <w:marLeft w:val="0"/>
                          <w:marRight w:val="0"/>
                          <w:marTop w:val="0"/>
                          <w:marBottom w:val="0"/>
                          <w:divBdr>
                            <w:top w:val="none" w:sz="0" w:space="0" w:color="auto"/>
                            <w:left w:val="none" w:sz="0" w:space="0" w:color="auto"/>
                            <w:bottom w:val="none" w:sz="0" w:space="0" w:color="auto"/>
                            <w:right w:val="none" w:sz="0" w:space="0" w:color="auto"/>
                          </w:divBdr>
                          <w:divsChild>
                            <w:div w:id="1979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339458">
      <w:marLeft w:val="0"/>
      <w:marRight w:val="0"/>
      <w:marTop w:val="0"/>
      <w:marBottom w:val="0"/>
      <w:divBdr>
        <w:top w:val="none" w:sz="0" w:space="0" w:color="auto"/>
        <w:left w:val="none" w:sz="0" w:space="0" w:color="auto"/>
        <w:bottom w:val="none" w:sz="0" w:space="0" w:color="auto"/>
        <w:right w:val="none" w:sz="0" w:space="0" w:color="auto"/>
      </w:divBdr>
      <w:divsChild>
        <w:div w:id="1979339456">
          <w:marLeft w:val="0"/>
          <w:marRight w:val="0"/>
          <w:marTop w:val="0"/>
          <w:marBottom w:val="0"/>
          <w:divBdr>
            <w:top w:val="none" w:sz="0" w:space="0" w:color="auto"/>
            <w:left w:val="none" w:sz="0" w:space="0" w:color="auto"/>
            <w:bottom w:val="none" w:sz="0" w:space="0" w:color="auto"/>
            <w:right w:val="none" w:sz="0" w:space="0" w:color="auto"/>
          </w:divBdr>
          <w:divsChild>
            <w:div w:id="1979339454">
              <w:marLeft w:val="0"/>
              <w:marRight w:val="0"/>
              <w:marTop w:val="0"/>
              <w:marBottom w:val="0"/>
              <w:divBdr>
                <w:top w:val="none" w:sz="0" w:space="0" w:color="auto"/>
                <w:left w:val="none" w:sz="0" w:space="0" w:color="auto"/>
                <w:bottom w:val="none" w:sz="0" w:space="0" w:color="auto"/>
                <w:right w:val="none" w:sz="0" w:space="0" w:color="auto"/>
              </w:divBdr>
              <w:divsChild>
                <w:div w:id="1979339452">
                  <w:marLeft w:val="0"/>
                  <w:marRight w:val="0"/>
                  <w:marTop w:val="0"/>
                  <w:marBottom w:val="0"/>
                  <w:divBdr>
                    <w:top w:val="none" w:sz="0" w:space="0" w:color="auto"/>
                    <w:left w:val="none" w:sz="0" w:space="0" w:color="auto"/>
                    <w:bottom w:val="none" w:sz="0" w:space="0" w:color="auto"/>
                    <w:right w:val="none" w:sz="0" w:space="0" w:color="auto"/>
                  </w:divBdr>
                  <w:divsChild>
                    <w:div w:id="1979339450">
                      <w:marLeft w:val="0"/>
                      <w:marRight w:val="0"/>
                      <w:marTop w:val="0"/>
                      <w:marBottom w:val="0"/>
                      <w:divBdr>
                        <w:top w:val="none" w:sz="0" w:space="0" w:color="auto"/>
                        <w:left w:val="none" w:sz="0" w:space="0" w:color="auto"/>
                        <w:bottom w:val="none" w:sz="0" w:space="0" w:color="auto"/>
                        <w:right w:val="none" w:sz="0" w:space="0" w:color="auto"/>
                      </w:divBdr>
                      <w:divsChild>
                        <w:div w:id="1979339455">
                          <w:marLeft w:val="0"/>
                          <w:marRight w:val="0"/>
                          <w:marTop w:val="0"/>
                          <w:marBottom w:val="0"/>
                          <w:divBdr>
                            <w:top w:val="none" w:sz="0" w:space="0" w:color="auto"/>
                            <w:left w:val="none" w:sz="0" w:space="0" w:color="auto"/>
                            <w:bottom w:val="none" w:sz="0" w:space="0" w:color="auto"/>
                            <w:right w:val="none" w:sz="0" w:space="0" w:color="auto"/>
                          </w:divBdr>
                          <w:divsChild>
                            <w:div w:id="19793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Details/C2011A0015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li.gov.au/ComLaw/legislation/legislativeinstrument1.nsf/sh/browse&amp;CATEGORY=legislativeinstr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4998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
  <cp:lastModifiedBy/>
  <cp:revision>1</cp:revision>
  <cp:lastPrinted>2012-11-07T06:48:00Z</cp:lastPrinted>
  <dcterms:created xsi:type="dcterms:W3CDTF">2013-07-18T00:39:00Z</dcterms:created>
  <dcterms:modified xsi:type="dcterms:W3CDTF">2013-07-18T00:39:00Z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y fmtid="{D5CDD505-2E9C-101B-9397-08002B2CF9AE}" pid="7" name="_TentativeReviewCycleID">
    <vt:i4>1142660312</vt:i4>
  </property>
  <property fmtid="{D5CDD505-2E9C-101B-9397-08002B2CF9AE}" pid="8" name="_ReviewCycleID">
    <vt:i4>1142660312</vt:i4>
  </property>
  <property fmtid="{D5CDD505-2E9C-101B-9397-08002B2CF9AE}" pid="9" name="_EmailEntryID">
    <vt:lpwstr>00000000799BD3A8C2845D4790E62317661EFC810700FDF745AC0281BC47B4BECD20C63DE0EE0000006B3CFA00000CAF4A5B885B1B4092A06E5803270286000002534ABA0000</vt:lpwstr>
  </property>
  <property fmtid="{D5CDD505-2E9C-101B-9397-08002B2CF9AE}" pid="10" name="_ReviewingToolsShownOnce">
    <vt:lpwstr/>
  </property>
</Properties>
</file>