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2" w:rsidRPr="00BA3E4A" w:rsidRDefault="00AC3C48" w:rsidP="00C9011E">
      <w:pPr>
        <w:spacing w:line="360" w:lineRule="auto"/>
        <w:jc w:val="center"/>
        <w:rPr>
          <w:rFonts w:ascii="Times New Roman" w:hAnsi="Times New Roman"/>
          <w:color w:val="404040"/>
        </w:rPr>
      </w:pPr>
      <w:bookmarkStart w:id="0" w:name="_GoBack"/>
      <w:bookmarkEnd w:id="0"/>
      <w:r w:rsidRPr="00BA3E4A">
        <w:rPr>
          <w:rFonts w:ascii="Times New Roman" w:hAnsi="Times New Roman"/>
          <w:b/>
          <w:color w:val="404040"/>
          <w:sz w:val="28"/>
          <w:szCs w:val="28"/>
        </w:rPr>
        <w:t>Explanatory S</w:t>
      </w:r>
      <w:r w:rsidR="00A11BD9" w:rsidRPr="00BA3E4A">
        <w:rPr>
          <w:rFonts w:ascii="Times New Roman" w:hAnsi="Times New Roman"/>
          <w:b/>
          <w:color w:val="404040"/>
          <w:sz w:val="28"/>
          <w:szCs w:val="28"/>
        </w:rPr>
        <w:t>tatement</w:t>
      </w:r>
    </w:p>
    <w:p w:rsidR="00A11BD9" w:rsidRPr="00BA3E4A" w:rsidRDefault="0091496C" w:rsidP="00C9011E">
      <w:pPr>
        <w:pStyle w:val="Heading1"/>
        <w:keepNext w:val="0"/>
        <w:pageBreakBefore w:val="0"/>
        <w:spacing w:after="240" w:line="360" w:lineRule="auto"/>
        <w:jc w:val="center"/>
        <w:rPr>
          <w:rFonts w:ascii="Times New Roman" w:hAnsi="Times New Roman" w:cs="Times New Roman"/>
          <w:b/>
          <w:i/>
          <w:color w:val="404040"/>
          <w:sz w:val="28"/>
          <w:szCs w:val="28"/>
        </w:rPr>
      </w:pPr>
      <w:r w:rsidRPr="00BA3E4A">
        <w:rPr>
          <w:rFonts w:ascii="Times New Roman" w:hAnsi="Times New Roman" w:cs="Times New Roman"/>
          <w:b/>
          <w:color w:val="404040"/>
          <w:sz w:val="28"/>
          <w:szCs w:val="28"/>
        </w:rPr>
        <w:t>National Vocational Education and Training Regulator (Charges) Determination 201</w:t>
      </w:r>
      <w:r w:rsidR="009C011C" w:rsidRPr="00BA3E4A">
        <w:rPr>
          <w:rFonts w:ascii="Times New Roman" w:hAnsi="Times New Roman" w:cs="Times New Roman"/>
          <w:b/>
          <w:color w:val="404040"/>
          <w:sz w:val="28"/>
          <w:szCs w:val="28"/>
        </w:rPr>
        <w:t>3</w:t>
      </w:r>
      <w:r w:rsidRPr="00BA3E4A">
        <w:rPr>
          <w:rFonts w:ascii="Times New Roman" w:hAnsi="Times New Roman" w:cs="Times New Roman"/>
          <w:b/>
          <w:color w:val="404040"/>
          <w:sz w:val="28"/>
          <w:szCs w:val="28"/>
        </w:rPr>
        <w:t xml:space="preserve"> (No. 1)</w:t>
      </w:r>
      <w:r w:rsidR="00BE1BBC" w:rsidRPr="00BA3E4A">
        <w:rPr>
          <w:rFonts w:ascii="Times New Roman" w:hAnsi="Times New Roman" w:cs="Times New Roman"/>
          <w:b/>
          <w:color w:val="404040"/>
          <w:sz w:val="28"/>
          <w:szCs w:val="28"/>
        </w:rPr>
        <w:t xml:space="preserve"> </w:t>
      </w:r>
      <w:r w:rsidR="00A11BD9" w:rsidRPr="00BA3E4A">
        <w:rPr>
          <w:rFonts w:ascii="Times New Roman" w:hAnsi="Times New Roman" w:cs="Times New Roman"/>
          <w:b/>
          <w:color w:val="404040"/>
          <w:sz w:val="28"/>
          <w:szCs w:val="28"/>
        </w:rPr>
        <w:t xml:space="preserve">made under the </w:t>
      </w:r>
      <w:r w:rsidR="00BE1BBC" w:rsidRPr="00BA3E4A">
        <w:rPr>
          <w:rFonts w:ascii="Times New Roman" w:hAnsi="Times New Roman" w:cs="Times New Roman"/>
          <w:b/>
          <w:i/>
          <w:color w:val="404040"/>
          <w:sz w:val="28"/>
          <w:szCs w:val="28"/>
        </w:rPr>
        <w:t>National Vocational Education and Training Regulator</w:t>
      </w:r>
      <w:r w:rsidRPr="00BA3E4A">
        <w:rPr>
          <w:rFonts w:ascii="Times New Roman" w:hAnsi="Times New Roman" w:cs="Times New Roman"/>
          <w:b/>
          <w:i/>
          <w:color w:val="404040"/>
          <w:sz w:val="28"/>
          <w:szCs w:val="28"/>
        </w:rPr>
        <w:t xml:space="preserve"> (Charges)</w:t>
      </w:r>
      <w:r w:rsidR="00BE1BBC" w:rsidRPr="00BA3E4A">
        <w:rPr>
          <w:rFonts w:ascii="Times New Roman" w:hAnsi="Times New Roman" w:cs="Times New Roman"/>
          <w:b/>
          <w:i/>
          <w:color w:val="404040"/>
          <w:sz w:val="28"/>
          <w:szCs w:val="28"/>
        </w:rPr>
        <w:t xml:space="preserve"> Act 201</w:t>
      </w:r>
      <w:r w:rsidRPr="00BA3E4A">
        <w:rPr>
          <w:rFonts w:ascii="Times New Roman" w:hAnsi="Times New Roman" w:cs="Times New Roman"/>
          <w:b/>
          <w:i/>
          <w:color w:val="404040"/>
          <w:sz w:val="28"/>
          <w:szCs w:val="28"/>
        </w:rPr>
        <w:t>2</w:t>
      </w:r>
    </w:p>
    <w:p w:rsidR="0045133E" w:rsidRPr="00BA3E4A" w:rsidRDefault="00182D93" w:rsidP="00C9011E">
      <w:pPr>
        <w:spacing w:line="360" w:lineRule="auto"/>
        <w:rPr>
          <w:rFonts w:ascii="Times New Roman" w:hAnsi="Times New Roman"/>
          <w:color w:val="404040"/>
        </w:rPr>
      </w:pPr>
      <w:r w:rsidRPr="00BA3E4A">
        <w:rPr>
          <w:rFonts w:ascii="Times New Roman" w:hAnsi="Times New Roman"/>
          <w:color w:val="404040"/>
        </w:rPr>
        <w:t xml:space="preserve">Issued by the authority of the </w:t>
      </w:r>
      <w:r w:rsidR="00C9011E" w:rsidRPr="00C9011E">
        <w:rPr>
          <w:rFonts w:ascii="Times New Roman" w:hAnsi="Times New Roman"/>
          <w:color w:val="404040"/>
        </w:rPr>
        <w:t>Minister for Skills and Training</w:t>
      </w:r>
    </w:p>
    <w:p w:rsidR="00182D93" w:rsidRPr="00BA3E4A" w:rsidRDefault="00182D93" w:rsidP="00C9011E">
      <w:pPr>
        <w:spacing w:line="360" w:lineRule="auto"/>
        <w:ind w:left="2160" w:hanging="2160"/>
        <w:rPr>
          <w:rFonts w:ascii="Times New Roman" w:hAnsi="Times New Roman"/>
          <w:color w:val="404040"/>
        </w:rPr>
      </w:pPr>
      <w:r w:rsidRPr="00BA3E4A">
        <w:rPr>
          <w:rFonts w:ascii="Times New Roman" w:hAnsi="Times New Roman"/>
          <w:color w:val="404040"/>
        </w:rPr>
        <w:t>Subject:</w:t>
      </w:r>
      <w:r w:rsidRPr="00BA3E4A">
        <w:rPr>
          <w:rFonts w:ascii="Times New Roman" w:hAnsi="Times New Roman"/>
          <w:color w:val="404040"/>
        </w:rPr>
        <w:tab/>
      </w:r>
      <w:r w:rsidRPr="00BA3E4A">
        <w:rPr>
          <w:rFonts w:ascii="Times New Roman" w:hAnsi="Times New Roman"/>
          <w:i/>
          <w:color w:val="404040"/>
        </w:rPr>
        <w:t xml:space="preserve">National Vocational Education and Training Regulator </w:t>
      </w:r>
      <w:r w:rsidR="0091496C" w:rsidRPr="00BA3E4A">
        <w:rPr>
          <w:rFonts w:ascii="Times New Roman" w:hAnsi="Times New Roman"/>
          <w:i/>
          <w:color w:val="404040"/>
        </w:rPr>
        <w:t xml:space="preserve">(Charges) </w:t>
      </w:r>
      <w:r w:rsidRPr="00BA3E4A">
        <w:rPr>
          <w:rFonts w:ascii="Times New Roman" w:hAnsi="Times New Roman"/>
          <w:i/>
          <w:color w:val="404040"/>
        </w:rPr>
        <w:t>Act 201</w:t>
      </w:r>
      <w:r w:rsidR="0091496C" w:rsidRPr="00BA3E4A">
        <w:rPr>
          <w:rFonts w:ascii="Times New Roman" w:hAnsi="Times New Roman"/>
          <w:i/>
          <w:color w:val="404040"/>
        </w:rPr>
        <w:t>2</w:t>
      </w:r>
    </w:p>
    <w:p w:rsidR="00182D93" w:rsidRPr="00C9011E" w:rsidRDefault="0091496C" w:rsidP="00C9011E">
      <w:pPr>
        <w:spacing w:line="360" w:lineRule="auto"/>
        <w:ind w:left="2160"/>
        <w:rPr>
          <w:rFonts w:ascii="Times New Roman" w:hAnsi="Times New Roman"/>
          <w:color w:val="404040"/>
        </w:rPr>
      </w:pPr>
      <w:r w:rsidRPr="00BA3E4A">
        <w:rPr>
          <w:rFonts w:ascii="Times New Roman" w:hAnsi="Times New Roman"/>
          <w:i/>
          <w:color w:val="404040"/>
        </w:rPr>
        <w:t xml:space="preserve">National Vocational Education and Training </w:t>
      </w:r>
      <w:r w:rsidR="00215BE4" w:rsidRPr="00BA3E4A">
        <w:rPr>
          <w:rFonts w:ascii="Times New Roman" w:hAnsi="Times New Roman"/>
          <w:i/>
          <w:color w:val="404040"/>
        </w:rPr>
        <w:t>Regulator</w:t>
      </w:r>
      <w:r w:rsidRPr="00BA3E4A">
        <w:rPr>
          <w:rFonts w:ascii="Times New Roman" w:hAnsi="Times New Roman"/>
          <w:i/>
          <w:color w:val="404040"/>
        </w:rPr>
        <w:t xml:space="preserve"> (Charges) Determination 201</w:t>
      </w:r>
      <w:r w:rsidR="006939E2" w:rsidRPr="00BA3E4A">
        <w:rPr>
          <w:rFonts w:ascii="Times New Roman" w:hAnsi="Times New Roman"/>
          <w:i/>
          <w:color w:val="404040"/>
        </w:rPr>
        <w:t>3</w:t>
      </w:r>
      <w:r w:rsidRPr="00BA3E4A">
        <w:rPr>
          <w:rFonts w:ascii="Times New Roman" w:hAnsi="Times New Roman"/>
          <w:i/>
          <w:color w:val="404040"/>
        </w:rPr>
        <w:t xml:space="preserve"> (No. 1)</w:t>
      </w:r>
    </w:p>
    <w:p w:rsidR="00182D93" w:rsidRPr="00BA3E4A" w:rsidRDefault="00182D93" w:rsidP="00C9011E">
      <w:pPr>
        <w:pStyle w:val="Heading2"/>
        <w:spacing w:line="360" w:lineRule="auto"/>
        <w:rPr>
          <w:rFonts w:ascii="Times New Roman" w:hAnsi="Times New Roman" w:cs="Times New Roman"/>
          <w:color w:val="404040"/>
          <w:sz w:val="28"/>
          <w:szCs w:val="28"/>
        </w:rPr>
      </w:pPr>
      <w:r w:rsidRPr="00BA3E4A">
        <w:rPr>
          <w:rFonts w:ascii="Times New Roman" w:hAnsi="Times New Roman" w:cs="Times New Roman"/>
          <w:color w:val="404040"/>
          <w:sz w:val="28"/>
          <w:szCs w:val="28"/>
        </w:rPr>
        <w:t>Authority</w:t>
      </w:r>
    </w:p>
    <w:p w:rsidR="00182D93" w:rsidRPr="00BA3E4A" w:rsidRDefault="0091496C" w:rsidP="00C9011E">
      <w:pPr>
        <w:spacing w:line="360" w:lineRule="auto"/>
        <w:jc w:val="both"/>
        <w:rPr>
          <w:rFonts w:ascii="Times New Roman" w:hAnsi="Times New Roman"/>
          <w:color w:val="404040"/>
        </w:rPr>
      </w:pPr>
      <w:r w:rsidRPr="00BA3E4A">
        <w:rPr>
          <w:rFonts w:ascii="Times New Roman" w:hAnsi="Times New Roman"/>
          <w:color w:val="404040"/>
        </w:rPr>
        <w:t>Subsections 9(2) and 12(2)</w:t>
      </w:r>
      <w:r w:rsidR="0045133E" w:rsidRPr="00BA3E4A">
        <w:rPr>
          <w:rFonts w:ascii="Times New Roman" w:hAnsi="Times New Roman"/>
          <w:color w:val="404040"/>
        </w:rPr>
        <w:t xml:space="preserve"> </w:t>
      </w:r>
      <w:r w:rsidR="00F97205" w:rsidRPr="00BA3E4A">
        <w:rPr>
          <w:rFonts w:ascii="Times New Roman" w:hAnsi="Times New Roman"/>
          <w:color w:val="404040"/>
        </w:rPr>
        <w:t xml:space="preserve">of the </w:t>
      </w:r>
      <w:r w:rsidR="00F97205" w:rsidRPr="00BA3E4A">
        <w:rPr>
          <w:rFonts w:ascii="Times New Roman" w:hAnsi="Times New Roman"/>
          <w:i/>
          <w:color w:val="404040"/>
        </w:rPr>
        <w:t>National Vocational Education</w:t>
      </w:r>
      <w:r w:rsidR="00161137" w:rsidRPr="00BA3E4A">
        <w:rPr>
          <w:rFonts w:ascii="Times New Roman" w:hAnsi="Times New Roman"/>
          <w:i/>
          <w:color w:val="404040"/>
        </w:rPr>
        <w:t xml:space="preserve"> and</w:t>
      </w:r>
      <w:r w:rsidR="00F97205" w:rsidRPr="00BA3E4A">
        <w:rPr>
          <w:rFonts w:ascii="Times New Roman" w:hAnsi="Times New Roman"/>
          <w:i/>
          <w:color w:val="404040"/>
        </w:rPr>
        <w:t xml:space="preserve"> Training Regulator </w:t>
      </w:r>
      <w:r w:rsidRPr="00BA3E4A">
        <w:rPr>
          <w:rFonts w:ascii="Times New Roman" w:hAnsi="Times New Roman"/>
          <w:i/>
          <w:color w:val="404040"/>
        </w:rPr>
        <w:t xml:space="preserve">(Charges) </w:t>
      </w:r>
      <w:r w:rsidR="00F97205" w:rsidRPr="00BA3E4A">
        <w:rPr>
          <w:rFonts w:ascii="Times New Roman" w:hAnsi="Times New Roman"/>
          <w:i/>
          <w:color w:val="404040"/>
        </w:rPr>
        <w:t>Act 201</w:t>
      </w:r>
      <w:r w:rsidRPr="00BA3E4A">
        <w:rPr>
          <w:rFonts w:ascii="Times New Roman" w:hAnsi="Times New Roman"/>
          <w:i/>
          <w:color w:val="404040"/>
        </w:rPr>
        <w:t>2</w:t>
      </w:r>
      <w:r w:rsidR="00F97205" w:rsidRPr="00BA3E4A">
        <w:rPr>
          <w:rFonts w:ascii="Times New Roman" w:hAnsi="Times New Roman"/>
          <w:i/>
          <w:color w:val="404040"/>
        </w:rPr>
        <w:t xml:space="preserve"> </w:t>
      </w:r>
      <w:r w:rsidR="00F97205" w:rsidRPr="00BA3E4A">
        <w:rPr>
          <w:rFonts w:ascii="Times New Roman" w:hAnsi="Times New Roman"/>
          <w:color w:val="404040"/>
        </w:rPr>
        <w:t xml:space="preserve">(the </w:t>
      </w:r>
      <w:r w:rsidRPr="00BA3E4A">
        <w:rPr>
          <w:rFonts w:ascii="Times New Roman" w:hAnsi="Times New Roman"/>
          <w:color w:val="404040"/>
        </w:rPr>
        <w:t xml:space="preserve">Charges </w:t>
      </w:r>
      <w:r w:rsidR="009B5E52" w:rsidRPr="00BA3E4A">
        <w:rPr>
          <w:rFonts w:ascii="Times New Roman" w:hAnsi="Times New Roman"/>
          <w:color w:val="404040"/>
        </w:rPr>
        <w:t>Act</w:t>
      </w:r>
      <w:r w:rsidR="00494750" w:rsidRPr="00BA3E4A">
        <w:rPr>
          <w:rFonts w:ascii="Times New Roman" w:hAnsi="Times New Roman"/>
          <w:color w:val="404040"/>
        </w:rPr>
        <w:t>)</w:t>
      </w:r>
      <w:r w:rsidR="00182D93" w:rsidRPr="00BA3E4A">
        <w:rPr>
          <w:rFonts w:ascii="Times New Roman" w:hAnsi="Times New Roman"/>
          <w:color w:val="404040"/>
        </w:rPr>
        <w:t xml:space="preserve"> provide that the Minister </w:t>
      </w:r>
      <w:r w:rsidRPr="00BA3E4A">
        <w:rPr>
          <w:rFonts w:ascii="Times New Roman" w:hAnsi="Times New Roman"/>
          <w:color w:val="404040"/>
        </w:rPr>
        <w:t>must</w:t>
      </w:r>
      <w:r w:rsidR="00182D93" w:rsidRPr="00BA3E4A">
        <w:rPr>
          <w:rFonts w:ascii="Times New Roman" w:hAnsi="Times New Roman"/>
          <w:color w:val="404040"/>
        </w:rPr>
        <w:t xml:space="preserve">, by legislative instrument, </w:t>
      </w:r>
      <w:r w:rsidR="0045133E" w:rsidRPr="00BA3E4A">
        <w:rPr>
          <w:rFonts w:ascii="Times New Roman" w:hAnsi="Times New Roman"/>
          <w:color w:val="404040"/>
        </w:rPr>
        <w:t xml:space="preserve">determine the </w:t>
      </w:r>
      <w:r w:rsidRPr="00BA3E4A">
        <w:rPr>
          <w:rFonts w:ascii="Times New Roman" w:hAnsi="Times New Roman"/>
          <w:color w:val="404040"/>
        </w:rPr>
        <w:t>formula for calculating a charge payable under Part 2</w:t>
      </w:r>
      <w:r w:rsidR="00DB78EB" w:rsidRPr="00BA3E4A">
        <w:rPr>
          <w:rFonts w:ascii="Times New Roman" w:hAnsi="Times New Roman"/>
          <w:color w:val="404040"/>
        </w:rPr>
        <w:t xml:space="preserve"> and Part 3 of the Charges Act.</w:t>
      </w:r>
    </w:p>
    <w:p w:rsidR="006939E2" w:rsidRPr="00BA3E4A" w:rsidRDefault="006939E2" w:rsidP="00C9011E">
      <w:pPr>
        <w:spacing w:line="360" w:lineRule="auto"/>
        <w:jc w:val="both"/>
        <w:rPr>
          <w:rFonts w:ascii="Times New Roman" w:hAnsi="Times New Roman"/>
          <w:color w:val="404040"/>
        </w:rPr>
      </w:pPr>
      <w:r w:rsidRPr="00BA3E4A">
        <w:rPr>
          <w:rFonts w:ascii="Times New Roman" w:hAnsi="Times New Roman"/>
          <w:color w:val="404040"/>
        </w:rPr>
        <w:t xml:space="preserve">Section 13 of the Charges Act provides that the Minister may, by legislative instrument, determine the circumstances in which a charge payable under the Charges Act may be paid in instalments, or waived, in </w:t>
      </w:r>
      <w:r w:rsidR="00BB4CC7" w:rsidRPr="00BA3E4A">
        <w:rPr>
          <w:rFonts w:ascii="Times New Roman" w:hAnsi="Times New Roman"/>
          <w:color w:val="404040"/>
        </w:rPr>
        <w:t xml:space="preserve">whole </w:t>
      </w:r>
      <w:r w:rsidRPr="00BA3E4A">
        <w:rPr>
          <w:rFonts w:ascii="Times New Roman" w:hAnsi="Times New Roman"/>
          <w:color w:val="404040"/>
        </w:rPr>
        <w:t xml:space="preserve">or in part. </w:t>
      </w:r>
    </w:p>
    <w:p w:rsidR="000D0FBA" w:rsidRPr="00BA3E4A" w:rsidRDefault="000D0FBA" w:rsidP="00C9011E">
      <w:pPr>
        <w:pStyle w:val="Heading2"/>
        <w:spacing w:line="360" w:lineRule="auto"/>
        <w:jc w:val="both"/>
        <w:rPr>
          <w:rFonts w:ascii="Times New Roman" w:hAnsi="Times New Roman" w:cs="Times New Roman"/>
          <w:color w:val="404040"/>
          <w:sz w:val="28"/>
          <w:szCs w:val="28"/>
        </w:rPr>
      </w:pPr>
      <w:r w:rsidRPr="00BA3E4A">
        <w:rPr>
          <w:rFonts w:ascii="Times New Roman" w:hAnsi="Times New Roman" w:cs="Times New Roman"/>
          <w:color w:val="404040"/>
          <w:sz w:val="28"/>
          <w:szCs w:val="28"/>
        </w:rPr>
        <w:t>Purpose and Operation</w:t>
      </w:r>
    </w:p>
    <w:p w:rsidR="00177B00" w:rsidRPr="00AB08E3" w:rsidRDefault="000D0FBA" w:rsidP="00C9011E">
      <w:pPr>
        <w:spacing w:line="360" w:lineRule="auto"/>
        <w:jc w:val="both"/>
        <w:rPr>
          <w:rFonts w:ascii="Times New Roman" w:hAnsi="Times New Roman"/>
          <w:color w:val="404040"/>
        </w:rPr>
      </w:pPr>
      <w:r w:rsidRPr="00BA3E4A">
        <w:rPr>
          <w:rFonts w:ascii="Times New Roman" w:hAnsi="Times New Roman"/>
          <w:color w:val="404040"/>
        </w:rPr>
        <w:t xml:space="preserve">The </w:t>
      </w:r>
      <w:r w:rsidR="007D476D" w:rsidRPr="00BA3E4A">
        <w:rPr>
          <w:rFonts w:ascii="Times New Roman" w:hAnsi="Times New Roman"/>
          <w:color w:val="404040"/>
        </w:rPr>
        <w:t xml:space="preserve">purpose of the </w:t>
      </w:r>
      <w:r w:rsidR="006E024D" w:rsidRPr="00C9011E">
        <w:rPr>
          <w:rFonts w:ascii="Times New Roman" w:hAnsi="Times New Roman"/>
          <w:i/>
          <w:color w:val="404040"/>
        </w:rPr>
        <w:t>National Vocational Education and Training Regulator (Charges) Determination 2013 (No. 1)</w:t>
      </w:r>
      <w:r w:rsidR="006E024D">
        <w:rPr>
          <w:rFonts w:ascii="Times New Roman" w:hAnsi="Times New Roman"/>
          <w:color w:val="404040"/>
        </w:rPr>
        <w:t xml:space="preserve"> (the Determination) </w:t>
      </w:r>
      <w:r w:rsidR="000E26FA" w:rsidRPr="00BA3E4A">
        <w:rPr>
          <w:rFonts w:ascii="Times New Roman" w:hAnsi="Times New Roman"/>
          <w:color w:val="404040"/>
        </w:rPr>
        <w:t xml:space="preserve">is </w:t>
      </w:r>
      <w:r w:rsidR="00B230D2" w:rsidRPr="00BA3E4A">
        <w:rPr>
          <w:rFonts w:ascii="Times New Roman" w:hAnsi="Times New Roman"/>
          <w:color w:val="404040"/>
        </w:rPr>
        <w:t>to</w:t>
      </w:r>
      <w:r w:rsidR="007D476D" w:rsidRPr="00BA3E4A">
        <w:rPr>
          <w:rFonts w:ascii="Times New Roman" w:hAnsi="Times New Roman"/>
          <w:color w:val="404040"/>
        </w:rPr>
        <w:t xml:space="preserve"> </w:t>
      </w:r>
      <w:r w:rsidR="002C35EB">
        <w:rPr>
          <w:rFonts w:ascii="Times New Roman" w:hAnsi="Times New Roman"/>
          <w:color w:val="404040"/>
        </w:rPr>
        <w:t>i</w:t>
      </w:r>
      <w:r w:rsidR="00177B00" w:rsidRPr="00BA3E4A">
        <w:rPr>
          <w:rFonts w:ascii="Times New Roman" w:hAnsi="Times New Roman"/>
          <w:color w:val="404040"/>
        </w:rPr>
        <w:t xml:space="preserve">dentify the </w:t>
      </w:r>
      <w:r w:rsidR="0091496C" w:rsidRPr="00BA3E4A">
        <w:rPr>
          <w:rFonts w:ascii="Times New Roman" w:hAnsi="Times New Roman"/>
          <w:color w:val="404040"/>
        </w:rPr>
        <w:t>formula for calculating a charge payable under Part</w:t>
      </w:r>
      <w:r w:rsidR="001B7F28">
        <w:rPr>
          <w:rFonts w:ascii="Times New Roman" w:hAnsi="Times New Roman"/>
          <w:color w:val="404040"/>
        </w:rPr>
        <w:t> </w:t>
      </w:r>
      <w:r w:rsidR="0091496C" w:rsidRPr="00BA3E4A">
        <w:rPr>
          <w:rFonts w:ascii="Times New Roman" w:hAnsi="Times New Roman"/>
          <w:color w:val="404040"/>
        </w:rPr>
        <w:t>2</w:t>
      </w:r>
      <w:r w:rsidR="006939E2" w:rsidRPr="00BA3E4A">
        <w:rPr>
          <w:rFonts w:ascii="Times New Roman" w:hAnsi="Times New Roman"/>
          <w:color w:val="404040"/>
        </w:rPr>
        <w:t xml:space="preserve"> and Part 3 of the Charges Act, and to formally identify the circumstances in which a charge payable under the Charges Act may be paid in instalments, or waived, in </w:t>
      </w:r>
      <w:r w:rsidR="006C3C12" w:rsidRPr="00BA3E4A">
        <w:rPr>
          <w:rFonts w:ascii="Times New Roman" w:hAnsi="Times New Roman"/>
          <w:color w:val="404040"/>
        </w:rPr>
        <w:t xml:space="preserve">whole </w:t>
      </w:r>
      <w:r w:rsidR="006939E2" w:rsidRPr="00BA3E4A">
        <w:rPr>
          <w:rFonts w:ascii="Times New Roman" w:hAnsi="Times New Roman"/>
          <w:color w:val="404040"/>
        </w:rPr>
        <w:t>or in part.</w:t>
      </w:r>
      <w:r w:rsidR="006939E2">
        <w:rPr>
          <w:rFonts w:ascii="Times New Roman" w:hAnsi="Times New Roman"/>
          <w:color w:val="404040"/>
        </w:rPr>
        <w:t xml:space="preserve"> </w:t>
      </w:r>
    </w:p>
    <w:p w:rsidR="0091496C" w:rsidRPr="00AB08E3" w:rsidRDefault="0091496C" w:rsidP="00C9011E">
      <w:pPr>
        <w:spacing w:line="360" w:lineRule="auto"/>
        <w:jc w:val="both"/>
        <w:rPr>
          <w:rFonts w:ascii="Times New Roman" w:hAnsi="Times New Roman"/>
          <w:color w:val="404040"/>
        </w:rPr>
      </w:pPr>
      <w:r w:rsidRPr="00AB08E3">
        <w:rPr>
          <w:rFonts w:ascii="Times New Roman" w:hAnsi="Times New Roman"/>
          <w:color w:val="404040"/>
        </w:rPr>
        <w:t xml:space="preserve">Charges are payable </w:t>
      </w:r>
      <w:r w:rsidR="004D41A7" w:rsidRPr="00AB08E3">
        <w:rPr>
          <w:rFonts w:ascii="Times New Roman" w:hAnsi="Times New Roman"/>
          <w:color w:val="404040"/>
        </w:rPr>
        <w:t xml:space="preserve">by a </w:t>
      </w:r>
      <w:r w:rsidR="00E50697">
        <w:rPr>
          <w:rFonts w:ascii="Times New Roman" w:hAnsi="Times New Roman"/>
          <w:color w:val="404040"/>
        </w:rPr>
        <w:t xml:space="preserve">NVR </w:t>
      </w:r>
      <w:r w:rsidR="00F810D8">
        <w:rPr>
          <w:rFonts w:ascii="Times New Roman" w:hAnsi="Times New Roman"/>
          <w:color w:val="404040"/>
        </w:rPr>
        <w:t>R</w:t>
      </w:r>
      <w:r w:rsidR="004D41A7" w:rsidRPr="00AB08E3">
        <w:rPr>
          <w:rFonts w:ascii="Times New Roman" w:hAnsi="Times New Roman"/>
          <w:color w:val="404040"/>
        </w:rPr>
        <w:t xml:space="preserve">egistered </w:t>
      </w:r>
      <w:r w:rsidR="00F810D8">
        <w:rPr>
          <w:rFonts w:ascii="Times New Roman" w:hAnsi="Times New Roman"/>
          <w:color w:val="404040"/>
        </w:rPr>
        <w:t>T</w:t>
      </w:r>
      <w:r w:rsidR="004D41A7" w:rsidRPr="00AB08E3">
        <w:rPr>
          <w:rFonts w:ascii="Times New Roman" w:hAnsi="Times New Roman"/>
          <w:color w:val="404040"/>
        </w:rPr>
        <w:t xml:space="preserve">raining </w:t>
      </w:r>
      <w:r w:rsidR="00F810D8">
        <w:rPr>
          <w:rFonts w:ascii="Times New Roman" w:hAnsi="Times New Roman"/>
          <w:color w:val="404040"/>
        </w:rPr>
        <w:t>O</w:t>
      </w:r>
      <w:r w:rsidR="004D41A7" w:rsidRPr="00AB08E3">
        <w:rPr>
          <w:rFonts w:ascii="Times New Roman" w:hAnsi="Times New Roman"/>
          <w:color w:val="404040"/>
        </w:rPr>
        <w:t>rganisation (</w:t>
      </w:r>
      <w:r w:rsidR="006C3C12">
        <w:rPr>
          <w:rFonts w:ascii="Times New Roman" w:hAnsi="Times New Roman"/>
          <w:color w:val="404040"/>
        </w:rPr>
        <w:t xml:space="preserve">NVR </w:t>
      </w:r>
      <w:r w:rsidR="004D41A7" w:rsidRPr="00AB08E3">
        <w:rPr>
          <w:rFonts w:ascii="Times New Roman" w:hAnsi="Times New Roman"/>
          <w:color w:val="404040"/>
        </w:rPr>
        <w:t xml:space="preserve">RTO) </w:t>
      </w:r>
      <w:r w:rsidRPr="00AB08E3">
        <w:rPr>
          <w:rFonts w:ascii="Times New Roman" w:hAnsi="Times New Roman"/>
          <w:color w:val="404040"/>
        </w:rPr>
        <w:t>under the Charges Act for the costs and expenses incurred by the Australian Skills Quality Authority (ASQA) when undertaking compliance audits</w:t>
      </w:r>
      <w:r w:rsidR="000E26FA">
        <w:rPr>
          <w:rFonts w:ascii="Times New Roman" w:hAnsi="Times New Roman"/>
          <w:color w:val="404040"/>
        </w:rPr>
        <w:t xml:space="preserve"> (Part 2)</w:t>
      </w:r>
      <w:r w:rsidRPr="00AB08E3">
        <w:rPr>
          <w:rFonts w:ascii="Times New Roman" w:hAnsi="Times New Roman"/>
          <w:color w:val="404040"/>
        </w:rPr>
        <w:t xml:space="preserve"> and in circumstances where ASQA has investigated a complaint about </w:t>
      </w:r>
      <w:r w:rsidR="000E26FA">
        <w:rPr>
          <w:rFonts w:ascii="Times New Roman" w:hAnsi="Times New Roman"/>
          <w:color w:val="404040"/>
        </w:rPr>
        <w:t xml:space="preserve">an </w:t>
      </w:r>
      <w:r w:rsidR="006C3C12">
        <w:rPr>
          <w:rFonts w:ascii="Times New Roman" w:hAnsi="Times New Roman"/>
          <w:color w:val="404040"/>
        </w:rPr>
        <w:t xml:space="preserve">NVR </w:t>
      </w:r>
      <w:r w:rsidR="000E26FA">
        <w:rPr>
          <w:rFonts w:ascii="Times New Roman" w:hAnsi="Times New Roman"/>
          <w:color w:val="404040"/>
        </w:rPr>
        <w:t>RTO</w:t>
      </w:r>
      <w:r w:rsidRPr="00AB08E3">
        <w:rPr>
          <w:rFonts w:ascii="Times New Roman" w:hAnsi="Times New Roman"/>
          <w:color w:val="404040"/>
        </w:rPr>
        <w:t xml:space="preserve"> and finds the complaint substantiated</w:t>
      </w:r>
      <w:r w:rsidR="000E26FA">
        <w:rPr>
          <w:rFonts w:ascii="Times New Roman" w:hAnsi="Times New Roman"/>
          <w:color w:val="404040"/>
        </w:rPr>
        <w:t xml:space="preserve"> (Part 3)</w:t>
      </w:r>
      <w:r w:rsidRPr="00AB08E3">
        <w:rPr>
          <w:rFonts w:ascii="Times New Roman" w:hAnsi="Times New Roman"/>
          <w:color w:val="404040"/>
        </w:rPr>
        <w:t xml:space="preserve">. </w:t>
      </w:r>
      <w:r w:rsidR="00AE67EA">
        <w:rPr>
          <w:rFonts w:ascii="Times New Roman" w:hAnsi="Times New Roman"/>
          <w:color w:val="404040"/>
        </w:rPr>
        <w:t xml:space="preserve">The charges determined by this instrument were based on a cost recovery impact statement which can be found at </w:t>
      </w:r>
      <w:r w:rsidR="00C10BD2" w:rsidRPr="001B7F28">
        <w:rPr>
          <w:rFonts w:ascii="Times New Roman" w:hAnsi="Times New Roman"/>
          <w:color w:val="404040"/>
        </w:rPr>
        <w:t>www.asqa.gov.au</w:t>
      </w:r>
      <w:r w:rsidR="00E50697" w:rsidRPr="001B7F28">
        <w:rPr>
          <w:rFonts w:ascii="Times New Roman" w:hAnsi="Times New Roman"/>
          <w:color w:val="404040"/>
        </w:rPr>
        <w:t>/about-asqa/consultation/consultation.html</w:t>
      </w:r>
      <w:r w:rsidR="00AE67EA" w:rsidRPr="001B7F28">
        <w:rPr>
          <w:rFonts w:ascii="Times New Roman" w:hAnsi="Times New Roman"/>
          <w:color w:val="404040"/>
        </w:rPr>
        <w:t>.</w:t>
      </w:r>
    </w:p>
    <w:p w:rsidR="00A11BD9" w:rsidRPr="00BA3E4A" w:rsidRDefault="00A11BD9" w:rsidP="00C9011E">
      <w:pPr>
        <w:pStyle w:val="Heading2"/>
        <w:spacing w:line="360" w:lineRule="auto"/>
        <w:jc w:val="both"/>
        <w:rPr>
          <w:rFonts w:ascii="Times New Roman" w:hAnsi="Times New Roman" w:cs="Times New Roman"/>
          <w:color w:val="404040"/>
        </w:rPr>
      </w:pPr>
      <w:r w:rsidRPr="00BA3E4A">
        <w:rPr>
          <w:rFonts w:ascii="Times New Roman" w:hAnsi="Times New Roman" w:cs="Times New Roman"/>
          <w:color w:val="404040"/>
          <w:sz w:val="28"/>
          <w:szCs w:val="28"/>
        </w:rPr>
        <w:t>Consultation</w:t>
      </w:r>
    </w:p>
    <w:p w:rsidR="00AF1206" w:rsidRPr="00BA3E4A" w:rsidRDefault="006C3C12" w:rsidP="00C9011E">
      <w:pPr>
        <w:spacing w:line="360" w:lineRule="auto"/>
        <w:jc w:val="both"/>
        <w:rPr>
          <w:rFonts w:ascii="Times New Roman" w:hAnsi="Times New Roman"/>
          <w:color w:val="404040"/>
        </w:rPr>
      </w:pPr>
      <w:r w:rsidRPr="00BA3E4A">
        <w:rPr>
          <w:rFonts w:ascii="Times New Roman" w:hAnsi="Times New Roman"/>
          <w:color w:val="404040"/>
        </w:rPr>
        <w:t xml:space="preserve">Consultation concerning the </w:t>
      </w:r>
      <w:r w:rsidR="000E26FA" w:rsidRPr="00BA3E4A">
        <w:rPr>
          <w:rFonts w:ascii="Times New Roman" w:hAnsi="Times New Roman"/>
          <w:color w:val="404040"/>
        </w:rPr>
        <w:t xml:space="preserve">formulas contained in the instrument </w:t>
      </w:r>
      <w:r w:rsidRPr="00BA3E4A">
        <w:rPr>
          <w:rFonts w:ascii="Times New Roman" w:hAnsi="Times New Roman"/>
          <w:color w:val="404040"/>
        </w:rPr>
        <w:t>occurred</w:t>
      </w:r>
      <w:r w:rsidR="000E26FA" w:rsidRPr="00BA3E4A">
        <w:rPr>
          <w:rFonts w:ascii="Times New Roman" w:hAnsi="Times New Roman"/>
          <w:color w:val="404040"/>
        </w:rPr>
        <w:t xml:space="preserve"> </w:t>
      </w:r>
      <w:r w:rsidR="00AF1206" w:rsidRPr="00BA3E4A">
        <w:rPr>
          <w:rFonts w:ascii="Times New Roman" w:hAnsi="Times New Roman"/>
          <w:color w:val="404040"/>
        </w:rPr>
        <w:t>with stakeholders (</w:t>
      </w:r>
      <w:r w:rsidR="009C011C" w:rsidRPr="00BA3E4A">
        <w:rPr>
          <w:rFonts w:ascii="Times New Roman" w:hAnsi="Times New Roman"/>
          <w:color w:val="404040"/>
        </w:rPr>
        <w:t xml:space="preserve">individual </w:t>
      </w:r>
      <w:r w:rsidRPr="00BA3E4A">
        <w:rPr>
          <w:rFonts w:ascii="Times New Roman" w:hAnsi="Times New Roman"/>
          <w:color w:val="404040"/>
        </w:rPr>
        <w:t xml:space="preserve">NVR </w:t>
      </w:r>
      <w:r w:rsidR="009C011C" w:rsidRPr="00BA3E4A">
        <w:rPr>
          <w:rFonts w:ascii="Times New Roman" w:hAnsi="Times New Roman"/>
          <w:color w:val="404040"/>
        </w:rPr>
        <w:t>RTOs</w:t>
      </w:r>
      <w:r w:rsidR="00AF1206" w:rsidRPr="00BA3E4A">
        <w:rPr>
          <w:rFonts w:ascii="Times New Roman" w:hAnsi="Times New Roman"/>
          <w:color w:val="404040"/>
        </w:rPr>
        <w:t xml:space="preserve">, peak RTO organisations, peak employee associations and industry representatives) in </w:t>
      </w:r>
      <w:r w:rsidR="009C011C" w:rsidRPr="00BA3E4A">
        <w:rPr>
          <w:rFonts w:ascii="Times New Roman" w:hAnsi="Times New Roman"/>
          <w:color w:val="404040"/>
        </w:rPr>
        <w:t>April</w:t>
      </w:r>
      <w:r w:rsidR="002C35EB">
        <w:rPr>
          <w:rFonts w:ascii="Times New Roman" w:hAnsi="Times New Roman"/>
          <w:color w:val="404040"/>
        </w:rPr>
        <w:t xml:space="preserve"> and</w:t>
      </w:r>
      <w:r w:rsidR="006E024D">
        <w:rPr>
          <w:rFonts w:ascii="Times New Roman" w:hAnsi="Times New Roman"/>
          <w:color w:val="404040"/>
        </w:rPr>
        <w:t xml:space="preserve"> </w:t>
      </w:r>
      <w:r w:rsidR="009C011C" w:rsidRPr="00BA3E4A">
        <w:rPr>
          <w:rFonts w:ascii="Times New Roman" w:hAnsi="Times New Roman"/>
          <w:color w:val="404040"/>
        </w:rPr>
        <w:t>May 2013</w:t>
      </w:r>
      <w:r w:rsidR="00AF1206" w:rsidRPr="00BA3E4A">
        <w:rPr>
          <w:rFonts w:ascii="Times New Roman" w:hAnsi="Times New Roman"/>
          <w:color w:val="404040"/>
        </w:rPr>
        <w:t xml:space="preserve"> as part of the consultation for </w:t>
      </w:r>
      <w:r w:rsidR="000E26FA" w:rsidRPr="00BA3E4A">
        <w:rPr>
          <w:rFonts w:ascii="Times New Roman" w:hAnsi="Times New Roman"/>
          <w:color w:val="404040"/>
        </w:rPr>
        <w:t xml:space="preserve">ASQA’s </w:t>
      </w:r>
      <w:r w:rsidR="00AF1206" w:rsidRPr="00BA3E4A">
        <w:rPr>
          <w:rFonts w:ascii="Times New Roman" w:hAnsi="Times New Roman"/>
          <w:color w:val="404040"/>
        </w:rPr>
        <w:t xml:space="preserve">approved </w:t>
      </w:r>
      <w:r w:rsidR="000E26FA" w:rsidRPr="00BA3E4A">
        <w:rPr>
          <w:rFonts w:ascii="Times New Roman" w:hAnsi="Times New Roman"/>
          <w:color w:val="404040"/>
        </w:rPr>
        <w:t>cost recovery impact statement</w:t>
      </w:r>
      <w:r w:rsidR="008406B6" w:rsidRPr="00BA3E4A">
        <w:rPr>
          <w:rFonts w:ascii="Times New Roman" w:hAnsi="Times New Roman"/>
          <w:color w:val="404040"/>
        </w:rPr>
        <w:t xml:space="preserve">. </w:t>
      </w:r>
    </w:p>
    <w:p w:rsidR="00955F6B" w:rsidRPr="00AB08E3" w:rsidRDefault="000E26FA" w:rsidP="00C9011E">
      <w:pPr>
        <w:spacing w:after="0" w:line="360" w:lineRule="auto"/>
        <w:jc w:val="both"/>
        <w:rPr>
          <w:rFonts w:ascii="Times New Roman" w:hAnsi="Times New Roman"/>
          <w:color w:val="404040"/>
        </w:rPr>
      </w:pPr>
      <w:r w:rsidRPr="00BA3E4A">
        <w:rPr>
          <w:rFonts w:ascii="Times New Roman" w:hAnsi="Times New Roman"/>
          <w:color w:val="404040"/>
        </w:rPr>
        <w:lastRenderedPageBreak/>
        <w:t xml:space="preserve">ASQA was </w:t>
      </w:r>
      <w:r w:rsidR="006E024D">
        <w:rPr>
          <w:rFonts w:ascii="Times New Roman" w:hAnsi="Times New Roman"/>
          <w:color w:val="404040"/>
        </w:rPr>
        <w:t xml:space="preserve">also </w:t>
      </w:r>
      <w:r w:rsidRPr="00BA3E4A">
        <w:rPr>
          <w:rFonts w:ascii="Times New Roman" w:hAnsi="Times New Roman"/>
          <w:color w:val="404040"/>
        </w:rPr>
        <w:t>consulted on the content of th</w:t>
      </w:r>
      <w:r w:rsidR="00AF1206" w:rsidRPr="00BA3E4A">
        <w:rPr>
          <w:rFonts w:ascii="Times New Roman" w:hAnsi="Times New Roman"/>
          <w:color w:val="404040"/>
        </w:rPr>
        <w:t>e</w:t>
      </w:r>
      <w:r w:rsidRPr="00BA3E4A">
        <w:rPr>
          <w:rFonts w:ascii="Times New Roman" w:hAnsi="Times New Roman"/>
          <w:color w:val="404040"/>
        </w:rPr>
        <w:t xml:space="preserve"> instrument.</w:t>
      </w:r>
    </w:p>
    <w:p w:rsidR="00C96725" w:rsidRDefault="00C96725" w:rsidP="00C9011E">
      <w:pPr>
        <w:spacing w:after="0" w:line="360" w:lineRule="auto"/>
        <w:rPr>
          <w:rFonts w:ascii="Times New Roman" w:hAnsi="Times New Roman"/>
          <w:color w:val="404040"/>
          <w:sz w:val="28"/>
          <w:szCs w:val="28"/>
        </w:rPr>
      </w:pPr>
    </w:p>
    <w:p w:rsidR="00A11BD9" w:rsidRPr="00BA3E4A" w:rsidRDefault="00A11BD9" w:rsidP="00C9011E">
      <w:pPr>
        <w:spacing w:after="0" w:line="360" w:lineRule="auto"/>
        <w:rPr>
          <w:rFonts w:ascii="Times New Roman" w:hAnsi="Times New Roman"/>
          <w:color w:val="404040"/>
          <w:sz w:val="28"/>
          <w:szCs w:val="28"/>
        </w:rPr>
      </w:pPr>
      <w:r w:rsidRPr="00AB08E3">
        <w:rPr>
          <w:rFonts w:ascii="Times New Roman" w:hAnsi="Times New Roman"/>
          <w:color w:val="404040"/>
          <w:sz w:val="28"/>
          <w:szCs w:val="28"/>
        </w:rPr>
        <w:t xml:space="preserve">Description of the provisions of the </w:t>
      </w:r>
      <w:r w:rsidR="003D6409" w:rsidRPr="00BA3E4A">
        <w:rPr>
          <w:rFonts w:ascii="Times New Roman" w:hAnsi="Times New Roman"/>
          <w:color w:val="404040"/>
          <w:sz w:val="28"/>
          <w:szCs w:val="28"/>
        </w:rPr>
        <w:t>National Vocational Education and Training Regulator (Charges) Determination 201</w:t>
      </w:r>
      <w:r w:rsidR="006939E2" w:rsidRPr="00BA3E4A">
        <w:rPr>
          <w:rFonts w:ascii="Times New Roman" w:hAnsi="Times New Roman"/>
          <w:color w:val="404040"/>
          <w:sz w:val="28"/>
          <w:szCs w:val="28"/>
        </w:rPr>
        <w:t>3</w:t>
      </w:r>
      <w:r w:rsidR="003D6409" w:rsidRPr="00BA3E4A">
        <w:rPr>
          <w:rFonts w:ascii="Times New Roman" w:hAnsi="Times New Roman"/>
          <w:color w:val="404040"/>
          <w:sz w:val="28"/>
          <w:szCs w:val="28"/>
        </w:rPr>
        <w:t xml:space="preserve"> (No. 1)</w:t>
      </w:r>
    </w:p>
    <w:p w:rsidR="00A11BD9" w:rsidRPr="00AB08E3" w:rsidRDefault="00A11BD9" w:rsidP="00C9011E">
      <w:pPr>
        <w:pStyle w:val="Heading2"/>
        <w:spacing w:line="360" w:lineRule="auto"/>
        <w:rPr>
          <w:rFonts w:ascii="Times New Roman" w:hAnsi="Times New Roman" w:cs="Times New Roman"/>
          <w:color w:val="404040"/>
          <w:sz w:val="28"/>
          <w:szCs w:val="28"/>
        </w:rPr>
      </w:pPr>
      <w:r w:rsidRPr="00BA3E4A">
        <w:rPr>
          <w:rFonts w:ascii="Times New Roman" w:hAnsi="Times New Roman" w:cs="Times New Roman"/>
          <w:color w:val="404040"/>
          <w:sz w:val="28"/>
          <w:szCs w:val="28"/>
        </w:rPr>
        <w:t>Part 1</w:t>
      </w:r>
      <w:r w:rsidR="00F41D70" w:rsidRPr="00BA3E4A">
        <w:rPr>
          <w:rFonts w:ascii="Times New Roman" w:hAnsi="Times New Roman" w:cs="Times New Roman"/>
          <w:color w:val="404040"/>
          <w:sz w:val="28"/>
          <w:szCs w:val="28"/>
        </w:rPr>
        <w:t>—</w:t>
      </w:r>
      <w:r w:rsidRPr="00BA3E4A">
        <w:rPr>
          <w:rFonts w:ascii="Times New Roman" w:hAnsi="Times New Roman" w:cs="Times New Roman"/>
          <w:color w:val="404040"/>
          <w:sz w:val="28"/>
          <w:szCs w:val="28"/>
        </w:rPr>
        <w:t>Preliminary</w:t>
      </w:r>
      <w:r w:rsidRPr="00AB08E3">
        <w:rPr>
          <w:rFonts w:ascii="Times New Roman" w:hAnsi="Times New Roman" w:cs="Times New Roman"/>
          <w:color w:val="404040"/>
          <w:sz w:val="28"/>
          <w:szCs w:val="28"/>
        </w:rPr>
        <w:t xml:space="preserve"> </w:t>
      </w:r>
    </w:p>
    <w:p w:rsidR="00A11BD9" w:rsidRPr="00AB08E3" w:rsidRDefault="00A11BD9" w:rsidP="00C9011E">
      <w:pPr>
        <w:spacing w:line="360" w:lineRule="auto"/>
        <w:rPr>
          <w:rFonts w:ascii="Times New Roman" w:hAnsi="Times New Roman"/>
          <w:b/>
          <w:color w:val="404040"/>
          <w:u w:val="single"/>
        </w:rPr>
      </w:pPr>
      <w:r w:rsidRPr="00AB08E3">
        <w:rPr>
          <w:rFonts w:ascii="Times New Roman" w:hAnsi="Times New Roman"/>
          <w:b/>
          <w:color w:val="404040"/>
          <w:u w:val="single"/>
        </w:rPr>
        <w:t>Division 1</w:t>
      </w:r>
      <w:r w:rsidR="00F41D70" w:rsidRPr="00AB08E3">
        <w:rPr>
          <w:rFonts w:ascii="Times New Roman" w:hAnsi="Times New Roman"/>
          <w:b/>
          <w:color w:val="404040"/>
          <w:u w:val="single"/>
        </w:rPr>
        <w:t>—</w:t>
      </w:r>
      <w:r w:rsidRPr="00AB08E3">
        <w:rPr>
          <w:rFonts w:ascii="Times New Roman" w:hAnsi="Times New Roman"/>
          <w:b/>
          <w:color w:val="404040"/>
          <w:u w:val="single"/>
        </w:rPr>
        <w:t xml:space="preserve">Arrangements </w:t>
      </w:r>
      <w:r w:rsidR="007D476D" w:rsidRPr="00AB08E3">
        <w:rPr>
          <w:rFonts w:ascii="Times New Roman" w:hAnsi="Times New Roman"/>
          <w:b/>
          <w:color w:val="404040"/>
          <w:u w:val="single"/>
        </w:rPr>
        <w:t>on commencement</w:t>
      </w:r>
    </w:p>
    <w:p w:rsidR="00A11BD9" w:rsidRPr="00AB08E3" w:rsidRDefault="00FC7E10" w:rsidP="00C9011E">
      <w:pPr>
        <w:spacing w:after="0" w:line="360" w:lineRule="auto"/>
        <w:rPr>
          <w:rFonts w:ascii="Times New Roman" w:hAnsi="Times New Roman"/>
          <w:b/>
          <w:color w:val="404040"/>
        </w:rPr>
      </w:pPr>
      <w:r w:rsidRPr="00AB08E3">
        <w:rPr>
          <w:rFonts w:ascii="Times New Roman" w:hAnsi="Times New Roman"/>
          <w:b/>
          <w:color w:val="404040"/>
        </w:rPr>
        <w:t xml:space="preserve">1: </w:t>
      </w:r>
      <w:r w:rsidR="00B230D2" w:rsidRPr="00AB08E3">
        <w:rPr>
          <w:rFonts w:ascii="Times New Roman" w:hAnsi="Times New Roman"/>
          <w:b/>
          <w:color w:val="404040"/>
        </w:rPr>
        <w:t>Name of Instrument</w:t>
      </w:r>
      <w:r w:rsidR="00F41D70" w:rsidRPr="00AB08E3">
        <w:rPr>
          <w:rFonts w:ascii="Times New Roman" w:hAnsi="Times New Roman"/>
          <w:b/>
          <w:color w:val="404040"/>
        </w:rPr>
        <w:br/>
      </w:r>
      <w:r w:rsidR="00215BE4" w:rsidRPr="00BA3E4A">
        <w:rPr>
          <w:rFonts w:ascii="Times New Roman" w:hAnsi="Times New Roman"/>
          <w:color w:val="404040"/>
        </w:rPr>
        <w:t>Item</w:t>
      </w:r>
      <w:r w:rsidR="00B230D2" w:rsidRPr="00BA3E4A">
        <w:rPr>
          <w:rFonts w:ascii="Times New Roman" w:hAnsi="Times New Roman"/>
          <w:color w:val="404040"/>
        </w:rPr>
        <w:t xml:space="preserve"> 1 names</w:t>
      </w:r>
      <w:r w:rsidR="006E024D">
        <w:rPr>
          <w:rFonts w:ascii="Times New Roman" w:hAnsi="Times New Roman"/>
          <w:color w:val="404040"/>
        </w:rPr>
        <w:t xml:space="preserve"> the instrument as</w:t>
      </w:r>
      <w:r w:rsidR="00B230D2" w:rsidRPr="00BA3E4A">
        <w:rPr>
          <w:rFonts w:ascii="Times New Roman" w:hAnsi="Times New Roman"/>
          <w:color w:val="404040"/>
        </w:rPr>
        <w:t xml:space="preserve"> the </w:t>
      </w:r>
      <w:r w:rsidR="0091496C" w:rsidRPr="00C9011E">
        <w:rPr>
          <w:rFonts w:ascii="Times New Roman" w:hAnsi="Times New Roman"/>
          <w:i/>
          <w:color w:val="404040"/>
        </w:rPr>
        <w:t>National Vocational Education and Training Regulator (Charges) Determination 201</w:t>
      </w:r>
      <w:r w:rsidR="009C011C" w:rsidRPr="00C9011E">
        <w:rPr>
          <w:rFonts w:ascii="Times New Roman" w:hAnsi="Times New Roman"/>
          <w:i/>
          <w:color w:val="404040"/>
        </w:rPr>
        <w:t>3</w:t>
      </w:r>
      <w:r w:rsidR="0091496C" w:rsidRPr="00C9011E">
        <w:rPr>
          <w:rFonts w:ascii="Times New Roman" w:hAnsi="Times New Roman"/>
          <w:i/>
          <w:color w:val="404040"/>
        </w:rPr>
        <w:t xml:space="preserve"> (No.1)</w:t>
      </w:r>
      <w:r w:rsidR="00B230D2" w:rsidRPr="00BA3E4A">
        <w:rPr>
          <w:rFonts w:ascii="Times New Roman" w:hAnsi="Times New Roman"/>
          <w:color w:val="404040"/>
        </w:rPr>
        <w:t>.</w:t>
      </w:r>
      <w:r w:rsidR="00B230D2" w:rsidRPr="00AB08E3">
        <w:rPr>
          <w:rFonts w:ascii="Times New Roman" w:hAnsi="Times New Roman"/>
          <w:color w:val="404040"/>
        </w:rPr>
        <w:t xml:space="preserve"> </w:t>
      </w:r>
    </w:p>
    <w:p w:rsidR="00E622A7" w:rsidRPr="00AB08E3" w:rsidRDefault="00E622A7" w:rsidP="00C9011E">
      <w:pPr>
        <w:spacing w:after="0" w:line="360" w:lineRule="auto"/>
        <w:rPr>
          <w:rFonts w:ascii="Times New Roman" w:hAnsi="Times New Roman"/>
          <w:b/>
          <w:color w:val="404040"/>
        </w:rPr>
      </w:pPr>
    </w:p>
    <w:p w:rsidR="00E622A7" w:rsidRPr="00AB08E3" w:rsidRDefault="00FC7E10" w:rsidP="00C9011E">
      <w:pPr>
        <w:spacing w:after="0" w:line="360" w:lineRule="auto"/>
        <w:rPr>
          <w:rFonts w:ascii="Times New Roman" w:hAnsi="Times New Roman"/>
          <w:b/>
          <w:color w:val="404040"/>
        </w:rPr>
      </w:pPr>
      <w:r w:rsidRPr="00AB08E3">
        <w:rPr>
          <w:rFonts w:ascii="Times New Roman" w:hAnsi="Times New Roman"/>
          <w:b/>
          <w:color w:val="404040"/>
        </w:rPr>
        <w:t xml:space="preserve">2: </w:t>
      </w:r>
      <w:r w:rsidR="00A11BD9" w:rsidRPr="00AB08E3">
        <w:rPr>
          <w:rFonts w:ascii="Times New Roman" w:hAnsi="Times New Roman"/>
          <w:b/>
          <w:color w:val="404040"/>
        </w:rPr>
        <w:t>Commencement</w:t>
      </w:r>
    </w:p>
    <w:p w:rsidR="00247D98" w:rsidRPr="00BA3E4A" w:rsidRDefault="00215BE4" w:rsidP="00C9011E">
      <w:pPr>
        <w:spacing w:after="0" w:line="360" w:lineRule="auto"/>
        <w:rPr>
          <w:rFonts w:ascii="Times New Roman" w:hAnsi="Times New Roman"/>
          <w:color w:val="404040"/>
        </w:rPr>
      </w:pPr>
      <w:r>
        <w:rPr>
          <w:rFonts w:ascii="Times New Roman" w:hAnsi="Times New Roman"/>
          <w:color w:val="404040"/>
        </w:rPr>
        <w:t>Item</w:t>
      </w:r>
      <w:r w:rsidR="005778F6" w:rsidRPr="00AB08E3">
        <w:rPr>
          <w:rFonts w:ascii="Times New Roman" w:hAnsi="Times New Roman"/>
          <w:color w:val="404040"/>
        </w:rPr>
        <w:t xml:space="preserve"> 2 identifies that the legislative instrument will </w:t>
      </w:r>
      <w:r w:rsidR="00E50697">
        <w:rPr>
          <w:rFonts w:ascii="Times New Roman" w:hAnsi="Times New Roman"/>
          <w:color w:val="404040"/>
        </w:rPr>
        <w:t xml:space="preserve">commence </w:t>
      </w:r>
      <w:r w:rsidR="002C35EB" w:rsidRPr="002C35EB">
        <w:rPr>
          <w:rFonts w:ascii="Times New Roman" w:hAnsi="Times New Roman"/>
          <w:color w:val="404040"/>
        </w:rPr>
        <w:t>on the day after it is registered on the Federal Register of Legislative Instruments.</w:t>
      </w:r>
    </w:p>
    <w:p w:rsidR="00E622A7" w:rsidRPr="00607A97" w:rsidRDefault="00E622A7" w:rsidP="00C9011E">
      <w:pPr>
        <w:spacing w:after="0" w:line="360" w:lineRule="auto"/>
        <w:rPr>
          <w:rFonts w:ascii="Times New Roman" w:hAnsi="Times New Roman"/>
          <w:b/>
          <w:color w:val="404040"/>
        </w:rPr>
      </w:pPr>
    </w:p>
    <w:p w:rsidR="002C35EB" w:rsidRDefault="002C35EB" w:rsidP="00C9011E">
      <w:pPr>
        <w:spacing w:after="0" w:line="360" w:lineRule="auto"/>
        <w:rPr>
          <w:rFonts w:ascii="Times New Roman" w:hAnsi="Times New Roman"/>
          <w:b/>
          <w:color w:val="404040"/>
        </w:rPr>
      </w:pPr>
      <w:r>
        <w:rPr>
          <w:rFonts w:ascii="Times New Roman" w:hAnsi="Times New Roman"/>
          <w:b/>
          <w:color w:val="404040"/>
        </w:rPr>
        <w:t>3: Revocation</w:t>
      </w:r>
    </w:p>
    <w:p w:rsidR="002C35EB" w:rsidRDefault="002C35EB" w:rsidP="00C9011E">
      <w:pPr>
        <w:spacing w:after="0" w:line="360" w:lineRule="auto"/>
        <w:rPr>
          <w:rFonts w:ascii="Times New Roman" w:hAnsi="Times New Roman"/>
          <w:color w:val="404040"/>
        </w:rPr>
      </w:pPr>
      <w:r>
        <w:rPr>
          <w:rFonts w:ascii="Times New Roman" w:hAnsi="Times New Roman"/>
          <w:color w:val="404040"/>
        </w:rPr>
        <w:t xml:space="preserve">Item </w:t>
      </w:r>
      <w:r w:rsidR="00671F61">
        <w:rPr>
          <w:rFonts w:ascii="Times New Roman" w:hAnsi="Times New Roman"/>
          <w:color w:val="404040"/>
        </w:rPr>
        <w:t xml:space="preserve">3 </w:t>
      </w:r>
      <w:r>
        <w:rPr>
          <w:rFonts w:ascii="Times New Roman" w:hAnsi="Times New Roman"/>
          <w:color w:val="404040"/>
        </w:rPr>
        <w:t xml:space="preserve">revokes the </w:t>
      </w:r>
      <w:r w:rsidRPr="002C35EB">
        <w:rPr>
          <w:rFonts w:ascii="Times New Roman" w:hAnsi="Times New Roman"/>
          <w:color w:val="404040"/>
        </w:rPr>
        <w:t>National Vocational Education and Training Regulator (Charges) Determination 2012 (No. 1) (old determination)</w:t>
      </w:r>
      <w:r w:rsidRPr="002C35EB">
        <w:t xml:space="preserve"> </w:t>
      </w:r>
      <w:r w:rsidRPr="002C35EB">
        <w:rPr>
          <w:rFonts w:ascii="Times New Roman" w:hAnsi="Times New Roman"/>
          <w:color w:val="404040"/>
        </w:rPr>
        <w:t>(F2012L02582)</w:t>
      </w:r>
      <w:r>
        <w:rPr>
          <w:rFonts w:ascii="Times New Roman" w:hAnsi="Times New Roman"/>
          <w:color w:val="404040"/>
        </w:rPr>
        <w:t>.</w:t>
      </w:r>
    </w:p>
    <w:p w:rsidR="002C35EB" w:rsidRDefault="002C35EB" w:rsidP="00C9011E">
      <w:pPr>
        <w:spacing w:after="0" w:line="360" w:lineRule="auto"/>
        <w:rPr>
          <w:rFonts w:ascii="Times New Roman" w:hAnsi="Times New Roman"/>
          <w:color w:val="404040"/>
        </w:rPr>
      </w:pPr>
    </w:p>
    <w:p w:rsidR="002C35EB" w:rsidRDefault="002C35EB" w:rsidP="00C9011E">
      <w:pPr>
        <w:spacing w:after="0" w:line="360" w:lineRule="auto"/>
        <w:rPr>
          <w:rFonts w:ascii="Times New Roman" w:hAnsi="Times New Roman"/>
          <w:b/>
          <w:color w:val="404040"/>
        </w:rPr>
      </w:pPr>
      <w:r w:rsidRPr="00C9011E">
        <w:rPr>
          <w:rFonts w:ascii="Times New Roman" w:hAnsi="Times New Roman"/>
          <w:b/>
          <w:color w:val="404040"/>
        </w:rPr>
        <w:t>4: Savings</w:t>
      </w:r>
    </w:p>
    <w:p w:rsidR="002C35EB" w:rsidRDefault="002C35EB" w:rsidP="00C9011E">
      <w:pPr>
        <w:spacing w:after="0" w:line="360" w:lineRule="auto"/>
        <w:rPr>
          <w:rFonts w:ascii="Times New Roman" w:hAnsi="Times New Roman"/>
          <w:color w:val="404040"/>
        </w:rPr>
      </w:pPr>
      <w:r>
        <w:rPr>
          <w:rFonts w:ascii="Times New Roman" w:hAnsi="Times New Roman"/>
          <w:color w:val="404040"/>
        </w:rPr>
        <w:t>Subitem 4(1) provides that the charges for any ongoing compliance</w:t>
      </w:r>
      <w:r w:rsidRPr="002C35EB">
        <w:rPr>
          <w:rFonts w:ascii="Times New Roman" w:hAnsi="Times New Roman"/>
          <w:color w:val="404040"/>
        </w:rPr>
        <w:t xml:space="preserve"> audits </w:t>
      </w:r>
      <w:r>
        <w:rPr>
          <w:rFonts w:ascii="Times New Roman" w:hAnsi="Times New Roman"/>
          <w:color w:val="404040"/>
        </w:rPr>
        <w:t>or</w:t>
      </w:r>
      <w:r w:rsidRPr="002C35EB">
        <w:rPr>
          <w:rFonts w:ascii="Times New Roman" w:hAnsi="Times New Roman"/>
          <w:color w:val="404040"/>
        </w:rPr>
        <w:t xml:space="preserve"> investigations</w:t>
      </w:r>
      <w:r>
        <w:rPr>
          <w:rFonts w:ascii="Times New Roman" w:hAnsi="Times New Roman"/>
          <w:color w:val="404040"/>
        </w:rPr>
        <w:t xml:space="preserve"> that are current at the time of the commencement of the Determination</w:t>
      </w:r>
      <w:r w:rsidR="00C9011E">
        <w:rPr>
          <w:rFonts w:ascii="Times New Roman" w:hAnsi="Times New Roman"/>
          <w:color w:val="404040"/>
        </w:rPr>
        <w:t>, or</w:t>
      </w:r>
      <w:r w:rsidR="008B1CC8" w:rsidRPr="008B1CC8">
        <w:t xml:space="preserve"> </w:t>
      </w:r>
      <w:r w:rsidR="008B1CC8" w:rsidRPr="008B1CC8">
        <w:rPr>
          <w:rFonts w:ascii="Times New Roman" w:hAnsi="Times New Roman"/>
          <w:color w:val="404040"/>
        </w:rPr>
        <w:t>charges for</w:t>
      </w:r>
      <w:r w:rsidR="00C9011E">
        <w:rPr>
          <w:rFonts w:ascii="Times New Roman" w:hAnsi="Times New Roman"/>
          <w:color w:val="404040"/>
        </w:rPr>
        <w:t xml:space="preserve"> an investigation as a result of a compl</w:t>
      </w:r>
      <w:r w:rsidR="00AB2238">
        <w:rPr>
          <w:rFonts w:ascii="Times New Roman" w:hAnsi="Times New Roman"/>
          <w:color w:val="404040"/>
        </w:rPr>
        <w:t>a</w:t>
      </w:r>
      <w:r w:rsidR="00C9011E">
        <w:rPr>
          <w:rFonts w:ascii="Times New Roman" w:hAnsi="Times New Roman"/>
          <w:color w:val="404040"/>
        </w:rPr>
        <w:t>int given to ASQA prior to the commencement of the Determination,</w:t>
      </w:r>
      <w:r>
        <w:rPr>
          <w:rFonts w:ascii="Times New Roman" w:hAnsi="Times New Roman"/>
          <w:color w:val="404040"/>
        </w:rPr>
        <w:t xml:space="preserve"> will be determined in line with the </w:t>
      </w:r>
      <w:r w:rsidR="00E50697">
        <w:rPr>
          <w:rFonts w:ascii="Times New Roman" w:hAnsi="Times New Roman"/>
          <w:color w:val="404040"/>
        </w:rPr>
        <w:t>charge</w:t>
      </w:r>
      <w:r>
        <w:rPr>
          <w:rFonts w:ascii="Times New Roman" w:hAnsi="Times New Roman"/>
          <w:color w:val="404040"/>
        </w:rPr>
        <w:t xml:space="preserve"> formulas under the old determination. This will ensure that any ongoing </w:t>
      </w:r>
      <w:r w:rsidRPr="002C35EB">
        <w:rPr>
          <w:rFonts w:ascii="Times New Roman" w:hAnsi="Times New Roman"/>
          <w:color w:val="404040"/>
        </w:rPr>
        <w:t>compliance audits or investigations</w:t>
      </w:r>
      <w:r>
        <w:rPr>
          <w:rFonts w:ascii="Times New Roman" w:hAnsi="Times New Roman"/>
          <w:color w:val="404040"/>
        </w:rPr>
        <w:t xml:space="preserve"> will not be subject to the changes to the </w:t>
      </w:r>
      <w:r w:rsidR="00E50697">
        <w:rPr>
          <w:rFonts w:ascii="Times New Roman" w:hAnsi="Times New Roman"/>
          <w:color w:val="404040"/>
        </w:rPr>
        <w:t>charges</w:t>
      </w:r>
      <w:r>
        <w:rPr>
          <w:rFonts w:ascii="Times New Roman" w:hAnsi="Times New Roman"/>
          <w:color w:val="404040"/>
        </w:rPr>
        <w:t xml:space="preserve"> under the Determination.</w:t>
      </w:r>
    </w:p>
    <w:p w:rsidR="002C35EB" w:rsidRDefault="002C35EB" w:rsidP="00C9011E">
      <w:pPr>
        <w:spacing w:after="0" w:line="360" w:lineRule="auto"/>
        <w:rPr>
          <w:rFonts w:ascii="Times New Roman" w:hAnsi="Times New Roman"/>
          <w:color w:val="404040"/>
        </w:rPr>
      </w:pPr>
    </w:p>
    <w:p w:rsidR="002C35EB" w:rsidRPr="00C9011E" w:rsidRDefault="002C35EB" w:rsidP="00C9011E">
      <w:pPr>
        <w:spacing w:after="0" w:line="360" w:lineRule="auto"/>
        <w:rPr>
          <w:rFonts w:ascii="Times New Roman" w:hAnsi="Times New Roman"/>
          <w:color w:val="404040"/>
        </w:rPr>
      </w:pPr>
      <w:r>
        <w:rPr>
          <w:rFonts w:ascii="Times New Roman" w:hAnsi="Times New Roman"/>
          <w:color w:val="404040"/>
        </w:rPr>
        <w:t>Subitem 4(2)</w:t>
      </w:r>
      <w:r w:rsidR="00F64BF9">
        <w:rPr>
          <w:rFonts w:ascii="Times New Roman" w:hAnsi="Times New Roman"/>
          <w:color w:val="404040"/>
        </w:rPr>
        <w:t xml:space="preserve"> provides that </w:t>
      </w:r>
      <w:r w:rsidR="00F64BF9" w:rsidRPr="00F64BF9">
        <w:rPr>
          <w:rFonts w:ascii="Times New Roman" w:hAnsi="Times New Roman"/>
          <w:color w:val="404040"/>
        </w:rPr>
        <w:t xml:space="preserve">any ongoing compliance </w:t>
      </w:r>
      <w:r w:rsidR="00C9011E" w:rsidRPr="00C9011E">
        <w:rPr>
          <w:rFonts w:ascii="Times New Roman" w:hAnsi="Times New Roman"/>
          <w:color w:val="404040"/>
        </w:rPr>
        <w:t xml:space="preserve">audits and investigations into substantiated complaints </w:t>
      </w:r>
      <w:r w:rsidR="00F64BF9" w:rsidRPr="00F64BF9">
        <w:rPr>
          <w:rFonts w:ascii="Times New Roman" w:hAnsi="Times New Roman"/>
          <w:color w:val="404040"/>
        </w:rPr>
        <w:t>that are current at the time of the commen</w:t>
      </w:r>
      <w:r w:rsidR="00631E2E">
        <w:rPr>
          <w:rFonts w:ascii="Times New Roman" w:hAnsi="Times New Roman"/>
          <w:color w:val="404040"/>
        </w:rPr>
        <w:t>cement of the Determination may be waived in accordance Item 9 of the Determination (which is explained below).</w:t>
      </w:r>
    </w:p>
    <w:p w:rsidR="002C35EB" w:rsidRDefault="002C35EB" w:rsidP="00C9011E">
      <w:pPr>
        <w:spacing w:after="0" w:line="360" w:lineRule="auto"/>
        <w:rPr>
          <w:rFonts w:ascii="Times New Roman" w:hAnsi="Times New Roman"/>
          <w:b/>
          <w:color w:val="404040"/>
        </w:rPr>
      </w:pPr>
    </w:p>
    <w:p w:rsidR="009A016B" w:rsidRDefault="009A016B" w:rsidP="00C9011E">
      <w:pPr>
        <w:spacing w:after="0" w:line="360" w:lineRule="auto"/>
        <w:rPr>
          <w:rFonts w:ascii="Times New Roman" w:hAnsi="Times New Roman"/>
          <w:b/>
          <w:color w:val="404040"/>
        </w:rPr>
      </w:pPr>
      <w:r w:rsidRPr="00C9011E">
        <w:rPr>
          <w:rFonts w:ascii="Times New Roman" w:hAnsi="Times New Roman"/>
          <w:b/>
          <w:color w:val="404040"/>
        </w:rPr>
        <w:t>5</w:t>
      </w:r>
      <w:r>
        <w:rPr>
          <w:rFonts w:ascii="Times New Roman" w:hAnsi="Times New Roman"/>
          <w:b/>
          <w:color w:val="404040"/>
        </w:rPr>
        <w:t>: Authority</w:t>
      </w:r>
    </w:p>
    <w:p w:rsidR="009A016B" w:rsidRDefault="009A016B" w:rsidP="00C9011E">
      <w:pPr>
        <w:spacing w:after="0" w:line="360" w:lineRule="auto"/>
        <w:rPr>
          <w:rFonts w:ascii="Times New Roman" w:hAnsi="Times New Roman"/>
          <w:color w:val="404040"/>
        </w:rPr>
      </w:pPr>
      <w:r w:rsidRPr="00C9011E">
        <w:rPr>
          <w:rFonts w:ascii="Times New Roman" w:hAnsi="Times New Roman"/>
          <w:color w:val="404040"/>
        </w:rPr>
        <w:t>Item</w:t>
      </w:r>
      <w:r>
        <w:rPr>
          <w:rFonts w:ascii="Times New Roman" w:hAnsi="Times New Roman"/>
          <w:color w:val="404040"/>
        </w:rPr>
        <w:t xml:space="preserve"> 5 provides that the Determination is made under subsection 9(2), 12(2) and 13 of the Charges Act.</w:t>
      </w:r>
    </w:p>
    <w:p w:rsidR="00E13F3C" w:rsidRDefault="00E13F3C" w:rsidP="00C9011E">
      <w:pPr>
        <w:spacing w:after="0" w:line="360" w:lineRule="auto"/>
        <w:rPr>
          <w:rFonts w:ascii="Times New Roman" w:hAnsi="Times New Roman"/>
          <w:color w:val="404040"/>
        </w:rPr>
      </w:pPr>
    </w:p>
    <w:p w:rsidR="005778F6" w:rsidRPr="00BA3E4A" w:rsidRDefault="00E13F3C" w:rsidP="00C9011E">
      <w:pPr>
        <w:spacing w:after="0" w:line="360" w:lineRule="auto"/>
        <w:rPr>
          <w:rFonts w:ascii="Times New Roman" w:hAnsi="Times New Roman"/>
          <w:b/>
          <w:color w:val="404040"/>
        </w:rPr>
      </w:pPr>
      <w:r>
        <w:rPr>
          <w:rFonts w:ascii="Times New Roman" w:hAnsi="Times New Roman"/>
          <w:b/>
          <w:color w:val="404040"/>
        </w:rPr>
        <w:t>6</w:t>
      </w:r>
      <w:r w:rsidR="00FC7E10" w:rsidRPr="00BA3E4A">
        <w:rPr>
          <w:rFonts w:ascii="Times New Roman" w:hAnsi="Times New Roman"/>
          <w:b/>
          <w:color w:val="404040"/>
        </w:rPr>
        <w:t xml:space="preserve">: </w:t>
      </w:r>
      <w:r w:rsidR="005778F6" w:rsidRPr="00BA3E4A">
        <w:rPr>
          <w:rFonts w:ascii="Times New Roman" w:hAnsi="Times New Roman"/>
          <w:b/>
          <w:color w:val="404040"/>
        </w:rPr>
        <w:t>Purpose</w:t>
      </w:r>
    </w:p>
    <w:p w:rsidR="00A11BD9" w:rsidRPr="00BA3E4A" w:rsidRDefault="00215BE4" w:rsidP="00C9011E">
      <w:pPr>
        <w:spacing w:after="0" w:line="360" w:lineRule="auto"/>
        <w:rPr>
          <w:rFonts w:ascii="Times New Roman" w:hAnsi="Times New Roman"/>
          <w:color w:val="404040"/>
        </w:rPr>
      </w:pPr>
      <w:r w:rsidRPr="00BA3E4A">
        <w:rPr>
          <w:rFonts w:ascii="Times New Roman" w:hAnsi="Times New Roman"/>
          <w:color w:val="404040"/>
        </w:rPr>
        <w:t>Item</w:t>
      </w:r>
      <w:r w:rsidR="005778F6" w:rsidRPr="00BA3E4A">
        <w:rPr>
          <w:rFonts w:ascii="Times New Roman" w:hAnsi="Times New Roman"/>
          <w:color w:val="404040"/>
        </w:rPr>
        <w:t xml:space="preserve"> </w:t>
      </w:r>
      <w:r w:rsidR="006E024D">
        <w:rPr>
          <w:rFonts w:ascii="Times New Roman" w:hAnsi="Times New Roman"/>
          <w:color w:val="404040"/>
        </w:rPr>
        <w:t>6</w:t>
      </w:r>
      <w:r w:rsidR="006E024D" w:rsidRPr="00BA3E4A">
        <w:rPr>
          <w:rFonts w:ascii="Times New Roman" w:hAnsi="Times New Roman"/>
          <w:color w:val="404040"/>
        </w:rPr>
        <w:t xml:space="preserve"> </w:t>
      </w:r>
      <w:r w:rsidR="005778F6" w:rsidRPr="00BA3E4A">
        <w:rPr>
          <w:rFonts w:ascii="Times New Roman" w:hAnsi="Times New Roman"/>
          <w:color w:val="404040"/>
        </w:rPr>
        <w:t>identifies the purpose of the legislative instrumen</w:t>
      </w:r>
      <w:r w:rsidR="006939E2" w:rsidRPr="00BA3E4A">
        <w:rPr>
          <w:rFonts w:ascii="Times New Roman" w:hAnsi="Times New Roman"/>
          <w:color w:val="404040"/>
        </w:rPr>
        <w:t>t</w:t>
      </w:r>
      <w:r w:rsidR="007D476D" w:rsidRPr="00BA3E4A">
        <w:rPr>
          <w:rFonts w:ascii="Times New Roman" w:hAnsi="Times New Roman"/>
          <w:color w:val="404040"/>
        </w:rPr>
        <w:t>.</w:t>
      </w:r>
    </w:p>
    <w:p w:rsidR="00215BE4" w:rsidRPr="00BA3E4A" w:rsidRDefault="00215BE4" w:rsidP="00C9011E">
      <w:pPr>
        <w:spacing w:after="0" w:line="360" w:lineRule="auto"/>
        <w:rPr>
          <w:rFonts w:ascii="Times New Roman" w:hAnsi="Times New Roman"/>
          <w:color w:val="404040"/>
        </w:rPr>
      </w:pPr>
    </w:p>
    <w:p w:rsidR="00E622A7" w:rsidRDefault="0006043E" w:rsidP="00C9011E">
      <w:pPr>
        <w:spacing w:line="360" w:lineRule="auto"/>
        <w:rPr>
          <w:rFonts w:ascii="Times New Roman" w:hAnsi="Times New Roman"/>
          <w:color w:val="404040"/>
        </w:rPr>
      </w:pPr>
      <w:r>
        <w:rPr>
          <w:rFonts w:ascii="Times New Roman" w:hAnsi="Times New Roman"/>
          <w:b/>
          <w:color w:val="404040"/>
        </w:rPr>
        <w:lastRenderedPageBreak/>
        <w:t>7</w:t>
      </w:r>
      <w:r w:rsidR="00A11BD9" w:rsidRPr="00AB08E3">
        <w:rPr>
          <w:rFonts w:ascii="Times New Roman" w:hAnsi="Times New Roman"/>
          <w:b/>
          <w:color w:val="404040"/>
        </w:rPr>
        <w:t xml:space="preserve">: </w:t>
      </w:r>
      <w:r w:rsidR="005778F6" w:rsidRPr="00AB08E3">
        <w:rPr>
          <w:rFonts w:ascii="Times New Roman" w:hAnsi="Times New Roman"/>
          <w:b/>
          <w:color w:val="404040"/>
        </w:rPr>
        <w:t>Definitions</w:t>
      </w:r>
      <w:r w:rsidR="00F41D70" w:rsidRPr="00AB08E3">
        <w:rPr>
          <w:rFonts w:ascii="Times New Roman" w:hAnsi="Times New Roman"/>
          <w:b/>
          <w:color w:val="404040"/>
        </w:rPr>
        <w:br/>
      </w:r>
      <w:r w:rsidR="00215BE4">
        <w:rPr>
          <w:rFonts w:ascii="Times New Roman" w:hAnsi="Times New Roman"/>
          <w:color w:val="404040"/>
        </w:rPr>
        <w:t>Item</w:t>
      </w:r>
      <w:r w:rsidR="005778F6" w:rsidRPr="00AB08E3">
        <w:rPr>
          <w:rFonts w:ascii="Times New Roman" w:hAnsi="Times New Roman"/>
          <w:color w:val="404040"/>
        </w:rPr>
        <w:t xml:space="preserve"> </w:t>
      </w:r>
      <w:r w:rsidR="00A02CFF">
        <w:rPr>
          <w:rFonts w:ascii="Times New Roman" w:hAnsi="Times New Roman"/>
          <w:color w:val="404040"/>
        </w:rPr>
        <w:t>7</w:t>
      </w:r>
      <w:r w:rsidR="005778F6" w:rsidRPr="00AB08E3">
        <w:rPr>
          <w:rFonts w:ascii="Times New Roman" w:hAnsi="Times New Roman"/>
          <w:color w:val="404040"/>
        </w:rPr>
        <w:t xml:space="preserve"> </w:t>
      </w:r>
      <w:r w:rsidR="00E622A7" w:rsidRPr="00AB08E3">
        <w:rPr>
          <w:rFonts w:ascii="Times New Roman" w:hAnsi="Times New Roman"/>
          <w:color w:val="404040"/>
        </w:rPr>
        <w:t xml:space="preserve">defines terms used throughout the legislative instrument. </w:t>
      </w:r>
    </w:p>
    <w:p w:rsidR="00F20FD2" w:rsidRDefault="00F20FD2" w:rsidP="00C9011E">
      <w:pPr>
        <w:spacing w:line="360" w:lineRule="auto"/>
        <w:rPr>
          <w:rFonts w:ascii="Times New Roman" w:hAnsi="Times New Roman"/>
          <w:color w:val="404040"/>
        </w:rPr>
      </w:pPr>
      <w:r w:rsidRPr="00F20FD2">
        <w:rPr>
          <w:rFonts w:ascii="Times New Roman" w:hAnsi="Times New Roman"/>
          <w:b/>
          <w:color w:val="404040"/>
        </w:rPr>
        <w:t>ASQA official travel costs</w:t>
      </w:r>
      <w:r>
        <w:rPr>
          <w:rFonts w:ascii="Times New Roman" w:hAnsi="Times New Roman"/>
          <w:color w:val="404040"/>
        </w:rPr>
        <w:t xml:space="preserve"> are defined as </w:t>
      </w:r>
      <w:r w:rsidR="0064105A">
        <w:rPr>
          <w:rFonts w:ascii="Times New Roman" w:hAnsi="Times New Roman"/>
          <w:color w:val="404040"/>
        </w:rPr>
        <w:t>‘</w:t>
      </w:r>
      <w:r>
        <w:rPr>
          <w:rFonts w:ascii="Times New Roman" w:hAnsi="Times New Roman"/>
          <w:color w:val="404040"/>
        </w:rPr>
        <w:t>reasonably incurred airfares and such other travel expenses which may be reasonably incurred, including but not limited to accommodation, car rental and meals.</w:t>
      </w:r>
      <w:r w:rsidR="0064105A">
        <w:rPr>
          <w:rFonts w:ascii="Times New Roman" w:hAnsi="Times New Roman"/>
          <w:color w:val="404040"/>
        </w:rPr>
        <w:t>’</w:t>
      </w:r>
      <w:r>
        <w:rPr>
          <w:rFonts w:ascii="Times New Roman" w:hAnsi="Times New Roman"/>
          <w:color w:val="404040"/>
        </w:rPr>
        <w:t xml:space="preserve"> </w:t>
      </w:r>
    </w:p>
    <w:p w:rsidR="0003691E" w:rsidRPr="0003691E" w:rsidRDefault="00F20FD2" w:rsidP="00C9011E">
      <w:pPr>
        <w:spacing w:line="360" w:lineRule="auto"/>
        <w:rPr>
          <w:rFonts w:ascii="Times New Roman" w:hAnsi="Times New Roman"/>
          <w:color w:val="404040"/>
        </w:rPr>
      </w:pPr>
      <w:r>
        <w:rPr>
          <w:rFonts w:ascii="Times New Roman" w:hAnsi="Times New Roman"/>
          <w:color w:val="404040"/>
        </w:rPr>
        <w:t xml:space="preserve">When determining what is </w:t>
      </w:r>
      <w:r w:rsidR="00A22BA9">
        <w:rPr>
          <w:rFonts w:ascii="Times New Roman" w:hAnsi="Times New Roman"/>
          <w:color w:val="404040"/>
        </w:rPr>
        <w:t>‘</w:t>
      </w:r>
      <w:r w:rsidRPr="00C1517F">
        <w:rPr>
          <w:rFonts w:ascii="Times New Roman" w:hAnsi="Times New Roman"/>
          <w:color w:val="404040"/>
        </w:rPr>
        <w:t>reasonable</w:t>
      </w:r>
      <w:r w:rsidR="00A22BA9">
        <w:rPr>
          <w:rFonts w:ascii="Times New Roman" w:hAnsi="Times New Roman"/>
          <w:color w:val="404040"/>
        </w:rPr>
        <w:t>’</w:t>
      </w:r>
      <w:r w:rsidR="008F3BCA">
        <w:rPr>
          <w:rFonts w:ascii="Times New Roman" w:hAnsi="Times New Roman"/>
          <w:color w:val="404040"/>
        </w:rPr>
        <w:t xml:space="preserve"> for the purposes of the definition of ASQA official travel costs,</w:t>
      </w:r>
      <w:r>
        <w:rPr>
          <w:rFonts w:ascii="Times New Roman" w:hAnsi="Times New Roman"/>
          <w:color w:val="404040"/>
        </w:rPr>
        <w:t xml:space="preserve"> ASQA must comply with the requirements of the </w:t>
      </w:r>
      <w:r>
        <w:rPr>
          <w:rFonts w:ascii="Times New Roman" w:hAnsi="Times New Roman"/>
          <w:i/>
          <w:color w:val="404040"/>
        </w:rPr>
        <w:t>Financial Management and Accountability</w:t>
      </w:r>
      <w:r w:rsidRPr="00F20FD2">
        <w:rPr>
          <w:rFonts w:ascii="Times New Roman" w:hAnsi="Times New Roman"/>
          <w:i/>
          <w:color w:val="404040"/>
        </w:rPr>
        <w:t xml:space="preserve"> Act </w:t>
      </w:r>
      <w:r>
        <w:rPr>
          <w:rFonts w:ascii="Times New Roman" w:hAnsi="Times New Roman"/>
          <w:i/>
          <w:color w:val="404040"/>
        </w:rPr>
        <w:t>1997</w:t>
      </w:r>
      <w:r>
        <w:rPr>
          <w:rFonts w:ascii="Times New Roman" w:hAnsi="Times New Roman"/>
          <w:color w:val="404040"/>
        </w:rPr>
        <w:t xml:space="preserve"> and </w:t>
      </w:r>
      <w:r w:rsidRPr="00F20FD2">
        <w:rPr>
          <w:rFonts w:ascii="Times New Roman" w:hAnsi="Times New Roman"/>
          <w:i/>
          <w:color w:val="404040"/>
        </w:rPr>
        <w:t>Commonwealth Procurement Rules</w:t>
      </w:r>
      <w:r>
        <w:rPr>
          <w:rFonts w:ascii="Times New Roman" w:hAnsi="Times New Roman"/>
          <w:i/>
          <w:color w:val="404040"/>
        </w:rPr>
        <w:t>- 1 July 2012</w:t>
      </w:r>
      <w:r w:rsidR="00462CF9">
        <w:rPr>
          <w:rFonts w:ascii="Times New Roman" w:hAnsi="Times New Roman"/>
          <w:i/>
          <w:color w:val="404040"/>
        </w:rPr>
        <w:t xml:space="preserve">, </w:t>
      </w:r>
      <w:r w:rsidR="00462CF9">
        <w:rPr>
          <w:rFonts w:ascii="Times New Roman" w:hAnsi="Times New Roman"/>
          <w:color w:val="404040"/>
        </w:rPr>
        <w:t>to</w:t>
      </w:r>
      <w:r>
        <w:rPr>
          <w:rFonts w:ascii="Times New Roman" w:hAnsi="Times New Roman"/>
          <w:color w:val="404040"/>
        </w:rPr>
        <w:t xml:space="preserve"> achieve value for money when purchasing goods and services, including official travel. </w:t>
      </w:r>
      <w:r w:rsidR="00E6745C">
        <w:rPr>
          <w:rFonts w:ascii="Times New Roman" w:hAnsi="Times New Roman"/>
          <w:color w:val="404040"/>
        </w:rPr>
        <w:t xml:space="preserve"> </w:t>
      </w:r>
      <w:r w:rsidR="00462CF9">
        <w:rPr>
          <w:rFonts w:ascii="Times New Roman" w:hAnsi="Times New Roman"/>
          <w:color w:val="404040"/>
        </w:rPr>
        <w:t>In relation to official air travel</w:t>
      </w:r>
      <w:r w:rsidR="0003691E">
        <w:rPr>
          <w:rFonts w:ascii="Times New Roman" w:hAnsi="Times New Roman"/>
          <w:color w:val="404040"/>
        </w:rPr>
        <w:t xml:space="preserve"> ASQA must comply with the requirements of the </w:t>
      </w:r>
      <w:r w:rsidR="0003691E" w:rsidRPr="0003691E">
        <w:rPr>
          <w:rFonts w:ascii="Times New Roman" w:hAnsi="Times New Roman"/>
          <w:color w:val="404040"/>
        </w:rPr>
        <w:t>Commonwealth’s policy on domestic and international travel</w:t>
      </w:r>
      <w:r w:rsidR="00D22516">
        <w:rPr>
          <w:rFonts w:ascii="Times New Roman" w:hAnsi="Times New Roman"/>
          <w:color w:val="404040"/>
        </w:rPr>
        <w:t>.</w:t>
      </w:r>
      <w:r w:rsidR="0003691E" w:rsidRPr="0003691E">
        <w:rPr>
          <w:rFonts w:ascii="Times New Roman" w:hAnsi="Times New Roman"/>
          <w:color w:val="404040"/>
        </w:rPr>
        <w:t xml:space="preserve"> The current policies of the Commonwealth at the time of commencement of this instrument are Finance Circular 2012/05 - Use of the Best Fare of the Day for Official International Air Travel and Finance Circular 2012/04 - Use of the Lowest Practical Fare for Official Domestic Air Travel.</w:t>
      </w:r>
    </w:p>
    <w:p w:rsidR="00462CF9" w:rsidRDefault="0003691E" w:rsidP="00C9011E">
      <w:pPr>
        <w:spacing w:line="360" w:lineRule="auto"/>
        <w:rPr>
          <w:rFonts w:ascii="Times New Roman" w:hAnsi="Times New Roman"/>
          <w:color w:val="404040"/>
        </w:rPr>
      </w:pPr>
      <w:r w:rsidRPr="0003691E">
        <w:rPr>
          <w:rFonts w:ascii="Times New Roman" w:hAnsi="Times New Roman"/>
          <w:color w:val="404040"/>
        </w:rPr>
        <w:t xml:space="preserve">As provided by the note to Item </w:t>
      </w:r>
      <w:r w:rsidR="00671F61">
        <w:rPr>
          <w:rFonts w:ascii="Times New Roman" w:hAnsi="Times New Roman"/>
          <w:color w:val="404040"/>
        </w:rPr>
        <w:t>7</w:t>
      </w:r>
      <w:r w:rsidRPr="0003691E">
        <w:rPr>
          <w:rFonts w:ascii="Times New Roman" w:hAnsi="Times New Roman"/>
          <w:color w:val="404040"/>
        </w:rPr>
        <w:t xml:space="preserve">, unless contrary intention appears, an expression has the same meaning in the legislative instrument as in the </w:t>
      </w:r>
      <w:r w:rsidRPr="00C9011E">
        <w:rPr>
          <w:rFonts w:ascii="Times New Roman" w:hAnsi="Times New Roman"/>
          <w:color w:val="404040"/>
        </w:rPr>
        <w:t>Charges Act.</w:t>
      </w:r>
    </w:p>
    <w:p w:rsidR="00A11BD9" w:rsidRPr="00AB08E3" w:rsidRDefault="00A11BD9" w:rsidP="00EB2286">
      <w:pPr>
        <w:spacing w:before="240" w:after="120" w:line="360" w:lineRule="auto"/>
        <w:rPr>
          <w:rFonts w:ascii="Times New Roman" w:hAnsi="Times New Roman"/>
          <w:b/>
          <w:color w:val="404040"/>
          <w:sz w:val="28"/>
          <w:szCs w:val="28"/>
        </w:rPr>
      </w:pPr>
      <w:r w:rsidRPr="00AB08E3">
        <w:rPr>
          <w:rFonts w:ascii="Times New Roman" w:hAnsi="Times New Roman"/>
          <w:b/>
          <w:color w:val="404040"/>
          <w:sz w:val="28"/>
          <w:szCs w:val="28"/>
        </w:rPr>
        <w:t xml:space="preserve">Part </w:t>
      </w:r>
      <w:r w:rsidR="005778F6" w:rsidRPr="00AB08E3">
        <w:rPr>
          <w:rFonts w:ascii="Times New Roman" w:hAnsi="Times New Roman"/>
          <w:b/>
          <w:color w:val="404040"/>
          <w:sz w:val="28"/>
          <w:szCs w:val="28"/>
        </w:rPr>
        <w:t>2</w:t>
      </w:r>
      <w:r w:rsidRPr="00AB08E3">
        <w:rPr>
          <w:rFonts w:ascii="Times New Roman" w:hAnsi="Times New Roman"/>
          <w:b/>
          <w:color w:val="404040"/>
          <w:sz w:val="28"/>
          <w:szCs w:val="28"/>
        </w:rPr>
        <w:t xml:space="preserve"> – </w:t>
      </w:r>
      <w:r w:rsidR="004D41A7" w:rsidRPr="00AB08E3">
        <w:rPr>
          <w:rFonts w:ascii="Times New Roman" w:hAnsi="Times New Roman"/>
          <w:b/>
          <w:color w:val="404040"/>
          <w:sz w:val="28"/>
          <w:szCs w:val="28"/>
        </w:rPr>
        <w:t>Calculation Formula</w:t>
      </w:r>
      <w:r w:rsidR="006E58B2">
        <w:rPr>
          <w:rFonts w:ascii="Times New Roman" w:hAnsi="Times New Roman"/>
          <w:b/>
          <w:color w:val="404040"/>
          <w:sz w:val="28"/>
          <w:szCs w:val="28"/>
        </w:rPr>
        <w:t>s</w:t>
      </w:r>
    </w:p>
    <w:p w:rsidR="00A96CD3" w:rsidRPr="00AB08E3" w:rsidRDefault="006E58B2" w:rsidP="00C9011E">
      <w:pPr>
        <w:spacing w:after="0" w:line="360" w:lineRule="auto"/>
        <w:jc w:val="both"/>
        <w:rPr>
          <w:rFonts w:ascii="Times New Roman" w:hAnsi="Times New Roman"/>
          <w:b/>
          <w:color w:val="404040"/>
        </w:rPr>
      </w:pPr>
      <w:r>
        <w:rPr>
          <w:rFonts w:ascii="Times New Roman" w:hAnsi="Times New Roman"/>
          <w:b/>
          <w:color w:val="404040"/>
        </w:rPr>
        <w:t>8</w:t>
      </w:r>
      <w:r w:rsidR="00A11BD9" w:rsidRPr="00AB08E3">
        <w:rPr>
          <w:rFonts w:ascii="Times New Roman" w:hAnsi="Times New Roman"/>
          <w:b/>
          <w:color w:val="404040"/>
        </w:rPr>
        <w:t xml:space="preserve">: </w:t>
      </w:r>
      <w:r w:rsidR="004D41A7" w:rsidRPr="00AB08E3">
        <w:rPr>
          <w:rFonts w:ascii="Times New Roman" w:hAnsi="Times New Roman"/>
          <w:b/>
          <w:color w:val="404040"/>
        </w:rPr>
        <w:t>Calculation Formula</w:t>
      </w:r>
      <w:r>
        <w:rPr>
          <w:rFonts w:ascii="Times New Roman" w:hAnsi="Times New Roman"/>
          <w:b/>
          <w:color w:val="404040"/>
        </w:rPr>
        <w:t>s</w:t>
      </w:r>
    </w:p>
    <w:p w:rsidR="004D41A7" w:rsidRDefault="004D41A7" w:rsidP="00F2304D">
      <w:pPr>
        <w:spacing w:after="0" w:line="360" w:lineRule="auto"/>
        <w:rPr>
          <w:rFonts w:ascii="Times New Roman" w:hAnsi="Times New Roman"/>
          <w:color w:val="404040"/>
        </w:rPr>
      </w:pPr>
      <w:r w:rsidRPr="00AB08E3">
        <w:rPr>
          <w:rFonts w:ascii="Times New Roman" w:hAnsi="Times New Roman"/>
          <w:color w:val="404040"/>
        </w:rPr>
        <w:t>Sub</w:t>
      </w:r>
      <w:r w:rsidR="00215BE4">
        <w:rPr>
          <w:rFonts w:ascii="Times New Roman" w:hAnsi="Times New Roman"/>
          <w:color w:val="404040"/>
        </w:rPr>
        <w:t xml:space="preserve">item </w:t>
      </w:r>
      <w:r w:rsidR="00600E24">
        <w:rPr>
          <w:rFonts w:ascii="Times New Roman" w:hAnsi="Times New Roman"/>
          <w:color w:val="404040"/>
        </w:rPr>
        <w:t>8</w:t>
      </w:r>
      <w:r w:rsidRPr="00AB08E3">
        <w:rPr>
          <w:rFonts w:ascii="Times New Roman" w:hAnsi="Times New Roman"/>
          <w:color w:val="404040"/>
        </w:rPr>
        <w:t xml:space="preserve">(1) identifies the formula to calculate the charges payable by a </w:t>
      </w:r>
      <w:r w:rsidR="00D160FF">
        <w:rPr>
          <w:rFonts w:ascii="Times New Roman" w:hAnsi="Times New Roman"/>
          <w:color w:val="404040"/>
        </w:rPr>
        <w:t xml:space="preserve">NVR </w:t>
      </w:r>
      <w:r w:rsidRPr="00AB08E3">
        <w:rPr>
          <w:rFonts w:ascii="Times New Roman" w:hAnsi="Times New Roman"/>
          <w:color w:val="404040"/>
        </w:rPr>
        <w:t xml:space="preserve">RTO subject to a compliance audit undertaken by ASQA.  The formula provides that </w:t>
      </w:r>
      <w:r w:rsidR="00642048">
        <w:rPr>
          <w:rFonts w:ascii="Times New Roman" w:hAnsi="Times New Roman"/>
          <w:color w:val="404040"/>
        </w:rPr>
        <w:t xml:space="preserve">the </w:t>
      </w:r>
      <w:r w:rsidR="00C9011E">
        <w:rPr>
          <w:rFonts w:ascii="Times New Roman" w:hAnsi="Times New Roman"/>
          <w:color w:val="404040"/>
        </w:rPr>
        <w:t>charge is</w:t>
      </w:r>
      <w:r w:rsidRPr="00AB08E3">
        <w:rPr>
          <w:rFonts w:ascii="Times New Roman" w:hAnsi="Times New Roman"/>
          <w:color w:val="404040"/>
        </w:rPr>
        <w:t xml:space="preserve"> </w:t>
      </w:r>
      <w:r w:rsidR="00600E24">
        <w:rPr>
          <w:rFonts w:ascii="Times New Roman" w:hAnsi="Times New Roman"/>
          <w:color w:val="404040"/>
        </w:rPr>
        <w:t xml:space="preserve">$1,000 </w:t>
      </w:r>
      <w:r w:rsidR="00EF1756" w:rsidRPr="00AB08E3">
        <w:rPr>
          <w:rFonts w:ascii="Times New Roman" w:hAnsi="Times New Roman"/>
          <w:color w:val="404040"/>
        </w:rPr>
        <w:t xml:space="preserve">plus </w:t>
      </w:r>
      <w:r w:rsidR="00EF1756">
        <w:rPr>
          <w:rFonts w:ascii="Times New Roman" w:hAnsi="Times New Roman"/>
          <w:color w:val="404040"/>
        </w:rPr>
        <w:t>ASQA official</w:t>
      </w:r>
      <w:r w:rsidR="00EF1756" w:rsidRPr="00AB08E3">
        <w:rPr>
          <w:rFonts w:ascii="Times New Roman" w:hAnsi="Times New Roman"/>
          <w:color w:val="404040"/>
        </w:rPr>
        <w:t xml:space="preserve"> travel costs.</w:t>
      </w:r>
      <w:r w:rsidR="00EF1756">
        <w:rPr>
          <w:rFonts w:ascii="Times New Roman" w:hAnsi="Times New Roman"/>
          <w:color w:val="404040"/>
        </w:rPr>
        <w:t xml:space="preserve"> In the event that the compliance audit exceeds four hours in length, the</w:t>
      </w:r>
      <w:r w:rsidR="00EF1756" w:rsidRPr="00EF1756">
        <w:t xml:space="preserve"> </w:t>
      </w:r>
      <w:r w:rsidR="00EF1756" w:rsidRPr="00EF1756">
        <w:rPr>
          <w:rFonts w:ascii="Times New Roman" w:hAnsi="Times New Roman"/>
          <w:color w:val="404040"/>
        </w:rPr>
        <w:t>NVR RTO</w:t>
      </w:r>
      <w:r w:rsidR="00EF1756">
        <w:rPr>
          <w:rFonts w:ascii="Times New Roman" w:hAnsi="Times New Roman"/>
          <w:color w:val="404040"/>
        </w:rPr>
        <w:t xml:space="preserve"> must pay an addition</w:t>
      </w:r>
      <w:r w:rsidR="00E50697">
        <w:rPr>
          <w:rFonts w:ascii="Times New Roman" w:hAnsi="Times New Roman"/>
          <w:color w:val="404040"/>
        </w:rPr>
        <w:t>al</w:t>
      </w:r>
      <w:r w:rsidRPr="00AB08E3">
        <w:rPr>
          <w:rFonts w:ascii="Times New Roman" w:hAnsi="Times New Roman"/>
          <w:color w:val="404040"/>
        </w:rPr>
        <w:t xml:space="preserve"> </w:t>
      </w:r>
      <w:r w:rsidRPr="00B63298">
        <w:rPr>
          <w:rFonts w:ascii="Times New Roman" w:hAnsi="Times New Roman"/>
          <w:color w:val="404040"/>
        </w:rPr>
        <w:t>$</w:t>
      </w:r>
      <w:r w:rsidR="00B90237" w:rsidRPr="00B63298">
        <w:rPr>
          <w:rFonts w:ascii="Times New Roman" w:hAnsi="Times New Roman"/>
          <w:color w:val="404040"/>
        </w:rPr>
        <w:t>25</w:t>
      </w:r>
      <w:r w:rsidRPr="00B63298">
        <w:rPr>
          <w:rFonts w:ascii="Times New Roman" w:hAnsi="Times New Roman"/>
          <w:color w:val="404040"/>
        </w:rPr>
        <w:t>0 per hour</w:t>
      </w:r>
      <w:r w:rsidR="00EF1756">
        <w:rPr>
          <w:rFonts w:ascii="Times New Roman" w:hAnsi="Times New Roman"/>
          <w:color w:val="404040"/>
        </w:rPr>
        <w:t>. Please note that Item 10 provides for the rules of rounding hours (as explained below).</w:t>
      </w:r>
      <w:r w:rsidR="00B26146">
        <w:rPr>
          <w:rFonts w:ascii="Times New Roman" w:hAnsi="Times New Roman"/>
          <w:color w:val="404040"/>
        </w:rPr>
        <w:t xml:space="preserve"> </w:t>
      </w:r>
    </w:p>
    <w:p w:rsidR="00390709" w:rsidRDefault="00390709" w:rsidP="00F2304D">
      <w:pPr>
        <w:spacing w:after="0" w:line="360" w:lineRule="auto"/>
        <w:rPr>
          <w:rFonts w:ascii="Times New Roman" w:hAnsi="Times New Roman"/>
          <w:color w:val="404040"/>
        </w:rPr>
      </w:pPr>
    </w:p>
    <w:p w:rsidR="00390709" w:rsidRPr="00AB08E3" w:rsidRDefault="00390709" w:rsidP="00F2304D">
      <w:pPr>
        <w:spacing w:after="0" w:line="360" w:lineRule="auto"/>
        <w:rPr>
          <w:rFonts w:ascii="Times New Roman" w:hAnsi="Times New Roman"/>
          <w:color w:val="404040"/>
        </w:rPr>
      </w:pPr>
      <w:r>
        <w:rPr>
          <w:rFonts w:ascii="Times New Roman" w:hAnsi="Times New Roman"/>
          <w:color w:val="404040"/>
        </w:rPr>
        <w:t xml:space="preserve">For </w:t>
      </w:r>
      <w:r w:rsidR="00D132D7">
        <w:rPr>
          <w:rFonts w:ascii="Times New Roman" w:hAnsi="Times New Roman"/>
          <w:color w:val="404040"/>
        </w:rPr>
        <w:t xml:space="preserve">any part of a </w:t>
      </w:r>
      <w:r>
        <w:rPr>
          <w:rFonts w:ascii="Times New Roman" w:hAnsi="Times New Roman"/>
          <w:color w:val="404040"/>
        </w:rPr>
        <w:t>compliance audit conducted outside Australia that commence</w:t>
      </w:r>
      <w:r w:rsidR="00D132D7">
        <w:rPr>
          <w:rFonts w:ascii="Times New Roman" w:hAnsi="Times New Roman"/>
          <w:color w:val="404040"/>
        </w:rPr>
        <w:t>s</w:t>
      </w:r>
      <w:r>
        <w:rPr>
          <w:rFonts w:ascii="Times New Roman" w:hAnsi="Times New Roman"/>
          <w:color w:val="404040"/>
        </w:rPr>
        <w:t xml:space="preserve"> on or after 1 January 2014, the </w:t>
      </w:r>
      <w:r w:rsidR="00D160FF">
        <w:rPr>
          <w:rFonts w:ascii="Times New Roman" w:hAnsi="Times New Roman"/>
          <w:color w:val="404040"/>
        </w:rPr>
        <w:t xml:space="preserve">NVR </w:t>
      </w:r>
      <w:r>
        <w:rPr>
          <w:rFonts w:ascii="Times New Roman" w:hAnsi="Times New Roman"/>
          <w:color w:val="404040"/>
        </w:rPr>
        <w:t>RTO must</w:t>
      </w:r>
      <w:r w:rsidR="006E024D">
        <w:rPr>
          <w:rFonts w:ascii="Times New Roman" w:hAnsi="Times New Roman"/>
          <w:color w:val="404040"/>
        </w:rPr>
        <w:t xml:space="preserve"> </w:t>
      </w:r>
      <w:r>
        <w:rPr>
          <w:rFonts w:ascii="Times New Roman" w:hAnsi="Times New Roman"/>
          <w:color w:val="404040"/>
        </w:rPr>
        <w:t xml:space="preserve">pay </w:t>
      </w:r>
      <w:r w:rsidR="00D132D7">
        <w:rPr>
          <w:rFonts w:ascii="Times New Roman" w:hAnsi="Times New Roman"/>
          <w:color w:val="404040"/>
        </w:rPr>
        <w:t xml:space="preserve">the costs and expenses specified in paragraph 8(1)(a) plus </w:t>
      </w:r>
      <w:r>
        <w:rPr>
          <w:rFonts w:ascii="Times New Roman" w:hAnsi="Times New Roman"/>
          <w:color w:val="404040"/>
        </w:rPr>
        <w:t xml:space="preserve">any </w:t>
      </w:r>
      <w:r w:rsidR="00D160FF">
        <w:rPr>
          <w:rFonts w:ascii="Times New Roman" w:hAnsi="Times New Roman"/>
          <w:color w:val="404040"/>
        </w:rPr>
        <w:t xml:space="preserve">reasonable </w:t>
      </w:r>
      <w:r>
        <w:rPr>
          <w:rFonts w:ascii="Times New Roman" w:hAnsi="Times New Roman"/>
          <w:color w:val="404040"/>
        </w:rPr>
        <w:t xml:space="preserve">expenses incurred by ASQA relating to </w:t>
      </w:r>
      <w:r w:rsidR="00D132D7">
        <w:rPr>
          <w:rFonts w:ascii="Times New Roman" w:hAnsi="Times New Roman"/>
          <w:color w:val="404040"/>
        </w:rPr>
        <w:t xml:space="preserve">that part of </w:t>
      </w:r>
      <w:r>
        <w:rPr>
          <w:rFonts w:ascii="Times New Roman" w:hAnsi="Times New Roman"/>
          <w:color w:val="404040"/>
        </w:rPr>
        <w:t xml:space="preserve">the audit.  This will vary according to the location of the off-shore activity. </w:t>
      </w:r>
      <w:r w:rsidR="000F7915">
        <w:rPr>
          <w:rFonts w:ascii="Times New Roman" w:hAnsi="Times New Roman"/>
          <w:color w:val="404040"/>
        </w:rPr>
        <w:t xml:space="preserve">Please note that for audits that are conducted outside Australia after the commencement of the Determination and before 1 January 2014, there will </w:t>
      </w:r>
      <w:r w:rsidR="00671F61">
        <w:rPr>
          <w:rFonts w:ascii="Times New Roman" w:hAnsi="Times New Roman"/>
          <w:color w:val="404040"/>
        </w:rPr>
        <w:t xml:space="preserve">be </w:t>
      </w:r>
      <w:r w:rsidR="000F7915">
        <w:rPr>
          <w:rFonts w:ascii="Times New Roman" w:hAnsi="Times New Roman"/>
          <w:color w:val="404040"/>
        </w:rPr>
        <w:t xml:space="preserve">no additional charge other than what is provided for in </w:t>
      </w:r>
      <w:r w:rsidR="00BD78B3">
        <w:rPr>
          <w:rFonts w:ascii="Times New Roman" w:hAnsi="Times New Roman"/>
          <w:color w:val="404040"/>
        </w:rPr>
        <w:t>paragraph</w:t>
      </w:r>
      <w:r w:rsidR="000F7915">
        <w:rPr>
          <w:rFonts w:ascii="Times New Roman" w:hAnsi="Times New Roman"/>
          <w:color w:val="404040"/>
        </w:rPr>
        <w:t xml:space="preserve"> 8(1)</w:t>
      </w:r>
      <w:r w:rsidR="00BD78B3">
        <w:rPr>
          <w:rFonts w:ascii="Times New Roman" w:hAnsi="Times New Roman"/>
          <w:color w:val="404040"/>
        </w:rPr>
        <w:t>(a)</w:t>
      </w:r>
      <w:r w:rsidR="000F7915">
        <w:rPr>
          <w:rFonts w:ascii="Times New Roman" w:hAnsi="Times New Roman"/>
          <w:color w:val="404040"/>
        </w:rPr>
        <w:t>.</w:t>
      </w:r>
    </w:p>
    <w:p w:rsidR="004D41A7" w:rsidRPr="00AB08E3" w:rsidRDefault="004D41A7" w:rsidP="00F2304D">
      <w:pPr>
        <w:spacing w:after="0" w:line="360" w:lineRule="auto"/>
        <w:rPr>
          <w:rFonts w:ascii="Times New Roman" w:hAnsi="Times New Roman"/>
          <w:color w:val="404040"/>
        </w:rPr>
      </w:pPr>
    </w:p>
    <w:p w:rsidR="007759BA" w:rsidRDefault="00215BE4" w:rsidP="00F2304D">
      <w:pPr>
        <w:spacing w:after="0" w:line="360" w:lineRule="auto"/>
        <w:rPr>
          <w:rFonts w:ascii="Times New Roman" w:hAnsi="Times New Roman"/>
          <w:color w:val="404040"/>
        </w:rPr>
      </w:pPr>
      <w:r>
        <w:rPr>
          <w:rFonts w:ascii="Times New Roman" w:hAnsi="Times New Roman"/>
          <w:color w:val="404040"/>
        </w:rPr>
        <w:t>Subitem</w:t>
      </w:r>
      <w:r w:rsidR="004D41A7" w:rsidRPr="00AB08E3">
        <w:rPr>
          <w:rFonts w:ascii="Times New Roman" w:hAnsi="Times New Roman"/>
          <w:color w:val="404040"/>
        </w:rPr>
        <w:t xml:space="preserve"> </w:t>
      </w:r>
      <w:r w:rsidR="00BD78B3">
        <w:rPr>
          <w:rFonts w:ascii="Times New Roman" w:hAnsi="Times New Roman"/>
          <w:color w:val="404040"/>
        </w:rPr>
        <w:t>8</w:t>
      </w:r>
      <w:r w:rsidR="004D41A7" w:rsidRPr="00AB08E3">
        <w:rPr>
          <w:rFonts w:ascii="Times New Roman" w:hAnsi="Times New Roman"/>
          <w:color w:val="404040"/>
        </w:rPr>
        <w:t>(2) identifies the formula to ca</w:t>
      </w:r>
      <w:r w:rsidR="00FF407C">
        <w:rPr>
          <w:rFonts w:ascii="Times New Roman" w:hAnsi="Times New Roman"/>
          <w:color w:val="404040"/>
        </w:rPr>
        <w:t>lculate the charge payable by an</w:t>
      </w:r>
      <w:r w:rsidR="00C9011E">
        <w:rPr>
          <w:rFonts w:ascii="Times New Roman" w:hAnsi="Times New Roman"/>
          <w:color w:val="404040"/>
        </w:rPr>
        <w:t xml:space="preserve"> NVR</w:t>
      </w:r>
      <w:r w:rsidR="00FF407C">
        <w:rPr>
          <w:rFonts w:ascii="Times New Roman" w:hAnsi="Times New Roman"/>
          <w:color w:val="404040"/>
        </w:rPr>
        <w:t xml:space="preserve"> RTO which is the </w:t>
      </w:r>
      <w:r w:rsidR="004D41A7" w:rsidRPr="00AB08E3">
        <w:rPr>
          <w:rFonts w:ascii="Times New Roman" w:hAnsi="Times New Roman"/>
          <w:color w:val="404040"/>
        </w:rPr>
        <w:t>subject of a complaint investigation</w:t>
      </w:r>
      <w:r w:rsidR="000F7915">
        <w:rPr>
          <w:rFonts w:ascii="Times New Roman" w:hAnsi="Times New Roman"/>
          <w:color w:val="404040"/>
        </w:rPr>
        <w:t xml:space="preserve"> </w:t>
      </w:r>
      <w:r w:rsidR="00920D6C">
        <w:rPr>
          <w:rFonts w:ascii="Times New Roman" w:hAnsi="Times New Roman"/>
          <w:color w:val="404040"/>
        </w:rPr>
        <w:t xml:space="preserve">and a resulting </w:t>
      </w:r>
      <w:r w:rsidR="000F7915">
        <w:rPr>
          <w:rFonts w:ascii="Times New Roman" w:hAnsi="Times New Roman"/>
          <w:color w:val="404040"/>
        </w:rPr>
        <w:t>compliance audit</w:t>
      </w:r>
      <w:r w:rsidR="004D41A7" w:rsidRPr="00AB08E3">
        <w:rPr>
          <w:rFonts w:ascii="Times New Roman" w:hAnsi="Times New Roman"/>
          <w:color w:val="404040"/>
        </w:rPr>
        <w:t xml:space="preserve"> where </w:t>
      </w:r>
      <w:r w:rsidR="004D41A7" w:rsidRPr="00BA3E4A">
        <w:rPr>
          <w:rFonts w:ascii="Times New Roman" w:hAnsi="Times New Roman"/>
          <w:color w:val="404040"/>
        </w:rPr>
        <w:t>the complaint is substantiated.  The formula provides that</w:t>
      </w:r>
      <w:r w:rsidR="000F7915">
        <w:rPr>
          <w:rFonts w:ascii="Times New Roman" w:hAnsi="Times New Roman"/>
          <w:color w:val="404040"/>
        </w:rPr>
        <w:t xml:space="preserve"> for an </w:t>
      </w:r>
      <w:r w:rsidR="000F7915" w:rsidRPr="00BA3E4A">
        <w:rPr>
          <w:rFonts w:ascii="Times New Roman" w:hAnsi="Times New Roman"/>
          <w:color w:val="404040"/>
        </w:rPr>
        <w:t>investigation</w:t>
      </w:r>
      <w:r w:rsidR="000F7915" w:rsidRPr="000F7915">
        <w:rPr>
          <w:rFonts w:ascii="Times New Roman" w:hAnsi="Times New Roman"/>
          <w:color w:val="404040"/>
        </w:rPr>
        <w:t xml:space="preserve"> </w:t>
      </w:r>
      <w:r w:rsidR="006F425F" w:rsidRPr="006F425F">
        <w:rPr>
          <w:rFonts w:ascii="Times New Roman" w:hAnsi="Times New Roman"/>
          <w:color w:val="404040"/>
        </w:rPr>
        <w:t>into a complaint about a</w:t>
      </w:r>
      <w:r w:rsidR="004D41A7" w:rsidRPr="00BA3E4A">
        <w:rPr>
          <w:rFonts w:ascii="Times New Roman" w:hAnsi="Times New Roman"/>
          <w:color w:val="404040"/>
        </w:rPr>
        <w:t xml:space="preserve"> </w:t>
      </w:r>
      <w:r w:rsidR="00C9011E">
        <w:rPr>
          <w:rFonts w:ascii="Times New Roman" w:hAnsi="Times New Roman"/>
          <w:color w:val="404040"/>
        </w:rPr>
        <w:t xml:space="preserve">NVR </w:t>
      </w:r>
      <w:r w:rsidR="004D41A7" w:rsidRPr="00BA3E4A">
        <w:rPr>
          <w:rFonts w:ascii="Times New Roman" w:hAnsi="Times New Roman"/>
          <w:color w:val="404040"/>
        </w:rPr>
        <w:t>RTO</w:t>
      </w:r>
      <w:r w:rsidR="006F425F">
        <w:rPr>
          <w:rFonts w:ascii="Times New Roman" w:hAnsi="Times New Roman"/>
          <w:color w:val="404040"/>
        </w:rPr>
        <w:t>, the NVR RTO</w:t>
      </w:r>
      <w:r w:rsidR="004D41A7" w:rsidRPr="00BA3E4A">
        <w:rPr>
          <w:rFonts w:ascii="Times New Roman" w:hAnsi="Times New Roman"/>
          <w:color w:val="404040"/>
        </w:rPr>
        <w:t xml:space="preserve"> must pay a rate of $</w:t>
      </w:r>
      <w:r w:rsidR="00B90237" w:rsidRPr="00BA3E4A">
        <w:rPr>
          <w:rFonts w:ascii="Times New Roman" w:hAnsi="Times New Roman"/>
          <w:color w:val="404040"/>
        </w:rPr>
        <w:t>2</w:t>
      </w:r>
      <w:r w:rsidR="004D41A7" w:rsidRPr="00BA3E4A">
        <w:rPr>
          <w:rFonts w:ascii="Times New Roman" w:hAnsi="Times New Roman"/>
          <w:color w:val="404040"/>
        </w:rPr>
        <w:t xml:space="preserve">50 per hour plus </w:t>
      </w:r>
      <w:r w:rsidR="00F20FD2" w:rsidRPr="00BA3E4A">
        <w:rPr>
          <w:rFonts w:ascii="Times New Roman" w:hAnsi="Times New Roman"/>
          <w:color w:val="404040"/>
        </w:rPr>
        <w:t>ASQA official</w:t>
      </w:r>
      <w:r w:rsidR="004D41A7" w:rsidRPr="00BA3E4A">
        <w:rPr>
          <w:rFonts w:ascii="Times New Roman" w:hAnsi="Times New Roman"/>
          <w:color w:val="404040"/>
        </w:rPr>
        <w:t xml:space="preserve"> travel costs</w:t>
      </w:r>
      <w:r w:rsidR="007759BA" w:rsidRPr="00BA3E4A">
        <w:rPr>
          <w:rFonts w:ascii="Times New Roman" w:hAnsi="Times New Roman"/>
          <w:color w:val="404040"/>
        </w:rPr>
        <w:t>.</w:t>
      </w:r>
    </w:p>
    <w:p w:rsidR="006F425F" w:rsidRDefault="006F425F" w:rsidP="00F2304D">
      <w:pPr>
        <w:spacing w:after="0" w:line="360" w:lineRule="auto"/>
        <w:rPr>
          <w:rFonts w:ascii="Times New Roman" w:hAnsi="Times New Roman"/>
          <w:color w:val="404040"/>
        </w:rPr>
      </w:pPr>
    </w:p>
    <w:p w:rsidR="006F425F" w:rsidRDefault="006F425F" w:rsidP="00F2304D">
      <w:pPr>
        <w:spacing w:after="0" w:line="360" w:lineRule="auto"/>
        <w:rPr>
          <w:rFonts w:ascii="Times New Roman" w:hAnsi="Times New Roman"/>
          <w:color w:val="404040"/>
        </w:rPr>
      </w:pPr>
      <w:r>
        <w:rPr>
          <w:rFonts w:ascii="Times New Roman" w:hAnsi="Times New Roman"/>
          <w:color w:val="404040"/>
        </w:rPr>
        <w:t xml:space="preserve">For a compliance audit as a result of </w:t>
      </w:r>
      <w:r w:rsidRPr="006F425F">
        <w:rPr>
          <w:rFonts w:ascii="Times New Roman" w:hAnsi="Times New Roman"/>
          <w:color w:val="404040"/>
        </w:rPr>
        <w:t>an investigation into a complaint about a NVR RTO</w:t>
      </w:r>
      <w:r>
        <w:rPr>
          <w:rFonts w:ascii="Times New Roman" w:hAnsi="Times New Roman"/>
          <w:color w:val="404040"/>
        </w:rPr>
        <w:t>, the</w:t>
      </w:r>
      <w:r w:rsidRPr="006F425F">
        <w:rPr>
          <w:rFonts w:ascii="Times New Roman" w:hAnsi="Times New Roman"/>
          <w:color w:val="404040"/>
        </w:rPr>
        <w:t xml:space="preserve"> NVR RTO must pay</w:t>
      </w:r>
      <w:r>
        <w:rPr>
          <w:rFonts w:ascii="Times New Roman" w:hAnsi="Times New Roman"/>
          <w:color w:val="404040"/>
        </w:rPr>
        <w:t xml:space="preserve"> the same charge as determined for a compliance audit as formulated by </w:t>
      </w:r>
      <w:r w:rsidRPr="006F425F">
        <w:rPr>
          <w:rFonts w:ascii="Times New Roman" w:hAnsi="Times New Roman"/>
          <w:color w:val="404040"/>
        </w:rPr>
        <w:t>paragraph 8(1)(a) of</w:t>
      </w:r>
      <w:r>
        <w:rPr>
          <w:rFonts w:ascii="Times New Roman" w:hAnsi="Times New Roman"/>
          <w:color w:val="404040"/>
        </w:rPr>
        <w:t xml:space="preserve"> the Determination.</w:t>
      </w:r>
    </w:p>
    <w:p w:rsidR="004D41A7" w:rsidRPr="00AB08E3" w:rsidRDefault="004D41A7" w:rsidP="00C9011E">
      <w:pPr>
        <w:spacing w:after="0" w:line="360" w:lineRule="auto"/>
        <w:jc w:val="both"/>
        <w:rPr>
          <w:rFonts w:ascii="Times New Roman" w:hAnsi="Times New Roman"/>
          <w:color w:val="404040"/>
        </w:rPr>
      </w:pPr>
    </w:p>
    <w:p w:rsidR="006C0EE4" w:rsidRPr="00AB08E3" w:rsidRDefault="006C0EE4" w:rsidP="00C9011E">
      <w:pPr>
        <w:spacing w:after="0" w:line="360" w:lineRule="auto"/>
        <w:jc w:val="both"/>
        <w:rPr>
          <w:rFonts w:ascii="Times New Roman" w:hAnsi="Times New Roman"/>
          <w:color w:val="404040"/>
        </w:rPr>
      </w:pPr>
      <w:r>
        <w:rPr>
          <w:rFonts w:ascii="Times New Roman" w:hAnsi="Times New Roman"/>
          <w:color w:val="404040"/>
        </w:rPr>
        <w:t xml:space="preserve">For </w:t>
      </w:r>
      <w:r w:rsidR="00D132D7">
        <w:rPr>
          <w:rFonts w:ascii="Times New Roman" w:hAnsi="Times New Roman"/>
          <w:color w:val="404040"/>
        </w:rPr>
        <w:t>any part of a</w:t>
      </w:r>
      <w:r w:rsidR="00AC1FAB">
        <w:rPr>
          <w:rFonts w:ascii="Times New Roman" w:hAnsi="Times New Roman"/>
          <w:color w:val="404040"/>
        </w:rPr>
        <w:t xml:space="preserve"> complaint</w:t>
      </w:r>
      <w:r w:rsidR="00D132D7">
        <w:rPr>
          <w:rFonts w:ascii="Times New Roman" w:hAnsi="Times New Roman"/>
          <w:color w:val="404040"/>
        </w:rPr>
        <w:t xml:space="preserve"> </w:t>
      </w:r>
      <w:r>
        <w:rPr>
          <w:rFonts w:ascii="Times New Roman" w:hAnsi="Times New Roman"/>
          <w:color w:val="404040"/>
        </w:rPr>
        <w:t>investigation</w:t>
      </w:r>
      <w:r w:rsidR="00BD78B3">
        <w:rPr>
          <w:rFonts w:ascii="Times New Roman" w:hAnsi="Times New Roman"/>
          <w:color w:val="404040"/>
        </w:rPr>
        <w:t xml:space="preserve"> or compliance audit</w:t>
      </w:r>
      <w:r>
        <w:rPr>
          <w:rFonts w:ascii="Times New Roman" w:hAnsi="Times New Roman"/>
          <w:color w:val="404040"/>
        </w:rPr>
        <w:t xml:space="preserve"> conducted outside Australia </w:t>
      </w:r>
      <w:r w:rsidR="00BD78B3">
        <w:rPr>
          <w:rFonts w:ascii="Times New Roman" w:hAnsi="Times New Roman"/>
          <w:color w:val="404040"/>
        </w:rPr>
        <w:t>t</w:t>
      </w:r>
      <w:r>
        <w:rPr>
          <w:rFonts w:ascii="Times New Roman" w:hAnsi="Times New Roman"/>
          <w:color w:val="404040"/>
        </w:rPr>
        <w:t>hat commence</w:t>
      </w:r>
      <w:r w:rsidR="00D132D7">
        <w:rPr>
          <w:rFonts w:ascii="Times New Roman" w:hAnsi="Times New Roman"/>
          <w:color w:val="404040"/>
        </w:rPr>
        <w:t>s</w:t>
      </w:r>
      <w:r>
        <w:rPr>
          <w:rFonts w:ascii="Times New Roman" w:hAnsi="Times New Roman"/>
          <w:color w:val="404040"/>
        </w:rPr>
        <w:t xml:space="preserve"> on or after 1 January 2014, the </w:t>
      </w:r>
      <w:r w:rsidR="00D160FF">
        <w:rPr>
          <w:rFonts w:ascii="Times New Roman" w:hAnsi="Times New Roman"/>
          <w:color w:val="404040"/>
        </w:rPr>
        <w:t xml:space="preserve">NVR </w:t>
      </w:r>
      <w:r>
        <w:rPr>
          <w:rFonts w:ascii="Times New Roman" w:hAnsi="Times New Roman"/>
          <w:color w:val="404040"/>
        </w:rPr>
        <w:t xml:space="preserve">RTO must pay </w:t>
      </w:r>
      <w:r w:rsidR="00D132D7">
        <w:rPr>
          <w:rFonts w:ascii="Times New Roman" w:hAnsi="Times New Roman"/>
          <w:color w:val="404040"/>
        </w:rPr>
        <w:t>the costs and expenses in paragraph</w:t>
      </w:r>
      <w:r w:rsidR="00AC1FAB">
        <w:rPr>
          <w:rFonts w:ascii="Times New Roman" w:hAnsi="Times New Roman"/>
          <w:color w:val="404040"/>
        </w:rPr>
        <w:t> </w:t>
      </w:r>
      <w:r w:rsidR="00D132D7">
        <w:rPr>
          <w:rFonts w:ascii="Times New Roman" w:hAnsi="Times New Roman"/>
          <w:color w:val="404040"/>
        </w:rPr>
        <w:t xml:space="preserve">8(2)(a) plus any reasonable expenses incurred by ASQA relating to that part of the investigation or </w:t>
      </w:r>
      <w:r w:rsidR="00D132D7" w:rsidRPr="00C1517F">
        <w:rPr>
          <w:rFonts w:ascii="Times New Roman" w:hAnsi="Times New Roman"/>
          <w:color w:val="404040"/>
        </w:rPr>
        <w:t>audit</w:t>
      </w:r>
      <w:r>
        <w:rPr>
          <w:rFonts w:ascii="Times New Roman" w:hAnsi="Times New Roman"/>
          <w:color w:val="404040"/>
        </w:rPr>
        <w:t xml:space="preserve">.  This will vary according to the location of the off-shore activity. </w:t>
      </w:r>
      <w:r w:rsidR="00BD78B3" w:rsidRPr="00071506">
        <w:rPr>
          <w:rFonts w:ascii="Times New Roman" w:hAnsi="Times New Roman"/>
          <w:color w:val="404040"/>
        </w:rPr>
        <w:t xml:space="preserve">Please note that for </w:t>
      </w:r>
      <w:r w:rsidR="00071506" w:rsidRPr="00071506">
        <w:rPr>
          <w:rFonts w:ascii="Times New Roman" w:hAnsi="Times New Roman"/>
          <w:color w:val="404040"/>
        </w:rPr>
        <w:t xml:space="preserve">investigations and </w:t>
      </w:r>
      <w:r w:rsidR="00AC1FAB" w:rsidRPr="00071506">
        <w:rPr>
          <w:rFonts w:ascii="Times New Roman" w:hAnsi="Times New Roman"/>
          <w:color w:val="404040"/>
        </w:rPr>
        <w:t xml:space="preserve">compliance </w:t>
      </w:r>
      <w:r w:rsidR="00BD78B3" w:rsidRPr="00071506">
        <w:rPr>
          <w:rFonts w:ascii="Times New Roman" w:hAnsi="Times New Roman"/>
          <w:color w:val="404040"/>
        </w:rPr>
        <w:t>audits that are conducted outside Australia after the commencement of the Determination and before 1 January 2014, there will no additional charge other than what is provided for in paragraph 8(2)(a)</w:t>
      </w:r>
      <w:r w:rsidR="00523EDF" w:rsidRPr="00071506">
        <w:rPr>
          <w:rFonts w:ascii="Times New Roman" w:hAnsi="Times New Roman"/>
          <w:color w:val="404040"/>
        </w:rPr>
        <w:t>.</w:t>
      </w:r>
    </w:p>
    <w:p w:rsidR="006939E2" w:rsidRPr="00BA3E4A" w:rsidRDefault="006939E2" w:rsidP="00EB2286">
      <w:pPr>
        <w:spacing w:before="240" w:after="120" w:line="360" w:lineRule="auto"/>
        <w:rPr>
          <w:rFonts w:ascii="Times New Roman" w:hAnsi="Times New Roman"/>
          <w:b/>
          <w:color w:val="404040"/>
          <w:sz w:val="28"/>
          <w:szCs w:val="28"/>
        </w:rPr>
      </w:pPr>
      <w:r w:rsidRPr="00BA3E4A">
        <w:rPr>
          <w:rFonts w:ascii="Times New Roman" w:hAnsi="Times New Roman"/>
          <w:b/>
          <w:color w:val="404040"/>
          <w:sz w:val="28"/>
          <w:szCs w:val="28"/>
        </w:rPr>
        <w:t xml:space="preserve">Part 3 – </w:t>
      </w:r>
      <w:r w:rsidR="005F09FC" w:rsidRPr="00BA3E4A">
        <w:rPr>
          <w:rFonts w:ascii="Times New Roman" w:hAnsi="Times New Roman"/>
          <w:b/>
          <w:color w:val="404040"/>
          <w:sz w:val="28"/>
          <w:szCs w:val="28"/>
        </w:rPr>
        <w:t>Waivers</w:t>
      </w:r>
    </w:p>
    <w:p w:rsidR="006939E2" w:rsidRPr="00BA3E4A" w:rsidRDefault="00BD78B3" w:rsidP="00C9011E">
      <w:pPr>
        <w:spacing w:after="0" w:line="360" w:lineRule="auto"/>
        <w:jc w:val="both"/>
        <w:rPr>
          <w:rFonts w:ascii="Times New Roman" w:hAnsi="Times New Roman"/>
          <w:b/>
          <w:color w:val="404040"/>
        </w:rPr>
      </w:pPr>
      <w:r>
        <w:rPr>
          <w:rFonts w:ascii="Times New Roman" w:hAnsi="Times New Roman"/>
          <w:b/>
          <w:color w:val="404040"/>
        </w:rPr>
        <w:t>9</w:t>
      </w:r>
      <w:r w:rsidR="006939E2" w:rsidRPr="00BA3E4A">
        <w:rPr>
          <w:rFonts w:ascii="Times New Roman" w:hAnsi="Times New Roman"/>
          <w:b/>
          <w:color w:val="404040"/>
        </w:rPr>
        <w:t>: Circumstances in which a charge may be waived</w:t>
      </w:r>
      <w:r w:rsidR="005F09FC" w:rsidRPr="00BA3E4A">
        <w:rPr>
          <w:rFonts w:ascii="Times New Roman" w:hAnsi="Times New Roman"/>
          <w:b/>
          <w:color w:val="404040"/>
        </w:rPr>
        <w:t xml:space="preserve"> in part or in full</w:t>
      </w:r>
    </w:p>
    <w:p w:rsidR="006840B9" w:rsidRDefault="005F09FC" w:rsidP="00C9011E">
      <w:pPr>
        <w:spacing w:after="0" w:line="360" w:lineRule="auto"/>
        <w:rPr>
          <w:rFonts w:ascii="Times New Roman" w:hAnsi="Times New Roman"/>
          <w:color w:val="404040"/>
        </w:rPr>
      </w:pPr>
      <w:r w:rsidRPr="00BA3E4A">
        <w:rPr>
          <w:rFonts w:ascii="Times New Roman" w:hAnsi="Times New Roman"/>
          <w:color w:val="404040"/>
        </w:rPr>
        <w:t xml:space="preserve">Subitem </w:t>
      </w:r>
      <w:r w:rsidR="00BD78B3">
        <w:rPr>
          <w:rFonts w:ascii="Times New Roman" w:hAnsi="Times New Roman"/>
          <w:color w:val="404040"/>
        </w:rPr>
        <w:t>9</w:t>
      </w:r>
      <w:r w:rsidRPr="00BA3E4A">
        <w:rPr>
          <w:rFonts w:ascii="Times New Roman" w:hAnsi="Times New Roman"/>
          <w:color w:val="404040"/>
        </w:rPr>
        <w:t xml:space="preserve">(1) identifies the circumstances in which a charge payable under the Charges Act may be waived, in </w:t>
      </w:r>
      <w:r w:rsidR="00442C08" w:rsidRPr="00BA3E4A">
        <w:rPr>
          <w:rFonts w:ascii="Times New Roman" w:hAnsi="Times New Roman"/>
          <w:color w:val="404040"/>
        </w:rPr>
        <w:t>whole or in part</w:t>
      </w:r>
      <w:r w:rsidRPr="00BA3E4A">
        <w:rPr>
          <w:rFonts w:ascii="Times New Roman" w:hAnsi="Times New Roman"/>
          <w:color w:val="404040"/>
        </w:rPr>
        <w:t xml:space="preserve">.  It provides that a charge payable under the Charges Act may be waived, in whole or in part where, in </w:t>
      </w:r>
      <w:r w:rsidR="00584C8C">
        <w:rPr>
          <w:rFonts w:ascii="Times New Roman" w:hAnsi="Times New Roman"/>
          <w:color w:val="404040"/>
        </w:rPr>
        <w:t xml:space="preserve">the </w:t>
      </w:r>
      <w:r w:rsidR="00584C8C" w:rsidRPr="00584C8C">
        <w:rPr>
          <w:rFonts w:ascii="Times New Roman" w:hAnsi="Times New Roman"/>
          <w:color w:val="404040"/>
        </w:rPr>
        <w:t>Chief Commissioner</w:t>
      </w:r>
      <w:r w:rsidR="00584C8C">
        <w:rPr>
          <w:rFonts w:ascii="Times New Roman" w:hAnsi="Times New Roman"/>
          <w:color w:val="404040"/>
        </w:rPr>
        <w:t>’s</w:t>
      </w:r>
      <w:r w:rsidRPr="00BA3E4A">
        <w:rPr>
          <w:rFonts w:ascii="Times New Roman" w:hAnsi="Times New Roman"/>
          <w:color w:val="404040"/>
        </w:rPr>
        <w:t xml:space="preserve"> opinion, special or unusual circumstances </w:t>
      </w:r>
      <w:r w:rsidR="00183DBF" w:rsidRPr="00BA3E4A">
        <w:rPr>
          <w:rFonts w:ascii="Times New Roman" w:hAnsi="Times New Roman"/>
          <w:color w:val="404040"/>
        </w:rPr>
        <w:t>exist</w:t>
      </w:r>
      <w:r w:rsidRPr="00BA3E4A">
        <w:rPr>
          <w:rFonts w:ascii="Times New Roman" w:hAnsi="Times New Roman"/>
          <w:color w:val="404040"/>
        </w:rPr>
        <w:t xml:space="preserve"> which cause the charge to be unreasonable or inequitable. </w:t>
      </w:r>
    </w:p>
    <w:p w:rsidR="005F09FC" w:rsidRPr="00BA3E4A" w:rsidRDefault="005F09FC" w:rsidP="00C9011E">
      <w:pPr>
        <w:spacing w:after="0" w:line="360" w:lineRule="auto"/>
        <w:rPr>
          <w:rFonts w:ascii="Times New Roman" w:hAnsi="Times New Roman"/>
          <w:color w:val="404040"/>
        </w:rPr>
      </w:pPr>
      <w:r w:rsidRPr="00BA3E4A">
        <w:rPr>
          <w:rFonts w:ascii="Times New Roman" w:hAnsi="Times New Roman"/>
          <w:color w:val="404040"/>
        </w:rPr>
        <w:t xml:space="preserve"> </w:t>
      </w:r>
    </w:p>
    <w:p w:rsidR="006840B9" w:rsidRPr="00BA3E4A" w:rsidRDefault="006840B9" w:rsidP="00C9011E">
      <w:pPr>
        <w:spacing w:after="0" w:line="360" w:lineRule="auto"/>
        <w:rPr>
          <w:rFonts w:ascii="Times New Roman" w:hAnsi="Times New Roman"/>
          <w:color w:val="404040"/>
        </w:rPr>
      </w:pPr>
      <w:r w:rsidRPr="00BA3E4A">
        <w:rPr>
          <w:rFonts w:ascii="Times New Roman" w:hAnsi="Times New Roman"/>
          <w:color w:val="404040"/>
        </w:rPr>
        <w:t xml:space="preserve">Subitem </w:t>
      </w:r>
      <w:r>
        <w:rPr>
          <w:rFonts w:ascii="Times New Roman" w:hAnsi="Times New Roman"/>
          <w:color w:val="404040"/>
        </w:rPr>
        <w:t>9</w:t>
      </w:r>
      <w:r w:rsidRPr="00BA3E4A">
        <w:rPr>
          <w:rFonts w:ascii="Times New Roman" w:hAnsi="Times New Roman"/>
          <w:color w:val="404040"/>
        </w:rPr>
        <w:t>(</w:t>
      </w:r>
      <w:r>
        <w:rPr>
          <w:rFonts w:ascii="Times New Roman" w:hAnsi="Times New Roman"/>
          <w:color w:val="404040"/>
        </w:rPr>
        <w:t>1</w:t>
      </w:r>
      <w:r w:rsidRPr="00BA3E4A">
        <w:rPr>
          <w:rFonts w:ascii="Times New Roman" w:hAnsi="Times New Roman"/>
          <w:color w:val="404040"/>
        </w:rPr>
        <w:t xml:space="preserve">) </w:t>
      </w:r>
      <w:r>
        <w:rPr>
          <w:rFonts w:ascii="Times New Roman" w:hAnsi="Times New Roman"/>
          <w:color w:val="404040"/>
        </w:rPr>
        <w:t xml:space="preserve">further </w:t>
      </w:r>
      <w:r w:rsidRPr="00BA3E4A">
        <w:rPr>
          <w:rFonts w:ascii="Times New Roman" w:hAnsi="Times New Roman"/>
          <w:color w:val="404040"/>
        </w:rPr>
        <w:t>provides that the balance of a charge that would otherwise be payable under the Charges Act may be waived where</w:t>
      </w:r>
      <w:r w:rsidR="00336063" w:rsidRPr="00336063">
        <w:t xml:space="preserve"> </w:t>
      </w:r>
      <w:r w:rsidR="00336063" w:rsidRPr="00336063">
        <w:rPr>
          <w:rFonts w:ascii="Times New Roman" w:hAnsi="Times New Roman"/>
          <w:color w:val="404040"/>
        </w:rPr>
        <w:t xml:space="preserve">special or unusual circumstances exist which </w:t>
      </w:r>
      <w:r w:rsidR="00475AAA">
        <w:rPr>
          <w:rFonts w:ascii="Times New Roman" w:hAnsi="Times New Roman"/>
          <w:color w:val="404040"/>
        </w:rPr>
        <w:t xml:space="preserve">would </w:t>
      </w:r>
      <w:r w:rsidR="00336063" w:rsidRPr="00336063">
        <w:rPr>
          <w:rFonts w:ascii="Times New Roman" w:hAnsi="Times New Roman"/>
          <w:color w:val="404040"/>
        </w:rPr>
        <w:t>cause the charge to be unreasonable or inequitable</w:t>
      </w:r>
      <w:r w:rsidR="00336063">
        <w:rPr>
          <w:rFonts w:ascii="Times New Roman" w:hAnsi="Times New Roman"/>
          <w:color w:val="404040"/>
        </w:rPr>
        <w:t xml:space="preserve"> or</w:t>
      </w:r>
      <w:r w:rsidRPr="00BA3E4A">
        <w:rPr>
          <w:rFonts w:ascii="Times New Roman" w:hAnsi="Times New Roman"/>
          <w:color w:val="404040"/>
        </w:rPr>
        <w:t xml:space="preserve"> it would not be economical to recover the balance. </w:t>
      </w:r>
      <w:r>
        <w:rPr>
          <w:rFonts w:ascii="Times New Roman" w:hAnsi="Times New Roman"/>
          <w:color w:val="404040"/>
        </w:rPr>
        <w:t xml:space="preserve"> </w:t>
      </w:r>
      <w:r w:rsidRPr="00BA3E4A">
        <w:rPr>
          <w:rFonts w:ascii="Times New Roman" w:hAnsi="Times New Roman"/>
          <w:color w:val="404040"/>
        </w:rPr>
        <w:t xml:space="preserve">It is expected that this clause would be applied in circumstances where the balance of the charge owing is negligible in the context of the whole charge payable. </w:t>
      </w:r>
    </w:p>
    <w:p w:rsidR="006840B9" w:rsidRPr="00BA3E4A" w:rsidRDefault="006840B9" w:rsidP="00C9011E">
      <w:pPr>
        <w:spacing w:after="0" w:line="360" w:lineRule="auto"/>
        <w:rPr>
          <w:rFonts w:ascii="Times New Roman" w:hAnsi="Times New Roman"/>
          <w:color w:val="404040"/>
        </w:rPr>
      </w:pPr>
    </w:p>
    <w:p w:rsidR="006840B9" w:rsidRPr="00BA3E4A" w:rsidRDefault="006840B9" w:rsidP="00C9011E">
      <w:pPr>
        <w:spacing w:after="0" w:line="360" w:lineRule="auto"/>
        <w:rPr>
          <w:rFonts w:ascii="Times New Roman" w:hAnsi="Times New Roman"/>
          <w:color w:val="404040"/>
          <w:szCs w:val="20"/>
        </w:rPr>
      </w:pPr>
      <w:r w:rsidRPr="00BA3E4A">
        <w:rPr>
          <w:rFonts w:ascii="Times New Roman" w:hAnsi="Times New Roman"/>
          <w:color w:val="404040"/>
          <w:szCs w:val="20"/>
        </w:rPr>
        <w:t>Examples of where a charge may be waived</w:t>
      </w:r>
      <w:r>
        <w:rPr>
          <w:rFonts w:ascii="Times New Roman" w:hAnsi="Times New Roman"/>
          <w:color w:val="404040"/>
          <w:szCs w:val="20"/>
        </w:rPr>
        <w:t>,</w:t>
      </w:r>
      <w:r w:rsidRPr="00BA3E4A">
        <w:rPr>
          <w:rFonts w:ascii="Times New Roman" w:hAnsi="Times New Roman"/>
          <w:color w:val="404040"/>
          <w:szCs w:val="20"/>
        </w:rPr>
        <w:t xml:space="preserve"> in whole or in part</w:t>
      </w:r>
      <w:r>
        <w:rPr>
          <w:rFonts w:ascii="Times New Roman" w:hAnsi="Times New Roman"/>
          <w:color w:val="404040"/>
          <w:szCs w:val="20"/>
        </w:rPr>
        <w:t>,</w:t>
      </w:r>
      <w:r w:rsidRPr="00BA3E4A">
        <w:rPr>
          <w:rFonts w:ascii="Times New Roman" w:hAnsi="Times New Roman"/>
          <w:color w:val="404040"/>
          <w:szCs w:val="20"/>
        </w:rPr>
        <w:t xml:space="preserve"> under </w:t>
      </w:r>
      <w:r>
        <w:rPr>
          <w:rFonts w:ascii="Times New Roman" w:hAnsi="Times New Roman"/>
          <w:color w:val="404040"/>
          <w:szCs w:val="20"/>
        </w:rPr>
        <w:t>It</w:t>
      </w:r>
      <w:r w:rsidRPr="00BA3E4A">
        <w:rPr>
          <w:rFonts w:ascii="Times New Roman" w:hAnsi="Times New Roman"/>
          <w:color w:val="404040"/>
          <w:szCs w:val="20"/>
        </w:rPr>
        <w:t xml:space="preserve">em </w:t>
      </w:r>
      <w:r>
        <w:rPr>
          <w:rFonts w:ascii="Times New Roman" w:hAnsi="Times New Roman"/>
          <w:color w:val="404040"/>
          <w:szCs w:val="20"/>
        </w:rPr>
        <w:t>9</w:t>
      </w:r>
      <w:r w:rsidRPr="00BA3E4A">
        <w:rPr>
          <w:rFonts w:ascii="Times New Roman" w:hAnsi="Times New Roman"/>
          <w:color w:val="404040"/>
          <w:szCs w:val="20"/>
        </w:rPr>
        <w:t xml:space="preserve"> include:</w:t>
      </w:r>
    </w:p>
    <w:p w:rsidR="006840B9" w:rsidRDefault="006840B9" w:rsidP="00C9011E">
      <w:pPr>
        <w:pStyle w:val="ListParagraph"/>
        <w:numPr>
          <w:ilvl w:val="0"/>
          <w:numId w:val="40"/>
        </w:numPr>
        <w:spacing w:after="0" w:line="360" w:lineRule="auto"/>
        <w:rPr>
          <w:rFonts w:ascii="Times New Roman" w:hAnsi="Times New Roman"/>
          <w:color w:val="404040"/>
          <w:sz w:val="20"/>
          <w:szCs w:val="20"/>
        </w:rPr>
      </w:pPr>
      <w:r>
        <w:rPr>
          <w:rFonts w:ascii="Times New Roman" w:hAnsi="Times New Roman"/>
          <w:color w:val="404040"/>
          <w:sz w:val="20"/>
          <w:szCs w:val="20"/>
        </w:rPr>
        <w:t xml:space="preserve">where ASQA miscalculated a charge, which has subsequently been paid by the provider; or </w:t>
      </w:r>
    </w:p>
    <w:p w:rsidR="006840B9" w:rsidRPr="000F7915" w:rsidRDefault="006840B9" w:rsidP="00C9011E">
      <w:pPr>
        <w:pStyle w:val="ListParagraph"/>
        <w:numPr>
          <w:ilvl w:val="0"/>
          <w:numId w:val="40"/>
        </w:numPr>
        <w:spacing w:after="0" w:line="360" w:lineRule="auto"/>
        <w:rPr>
          <w:rFonts w:ascii="Times New Roman" w:hAnsi="Times New Roman"/>
          <w:color w:val="404040"/>
        </w:rPr>
      </w:pPr>
      <w:r w:rsidRPr="00033A8C">
        <w:rPr>
          <w:rFonts w:ascii="Times New Roman" w:hAnsi="Times New Roman"/>
          <w:color w:val="404040"/>
          <w:sz w:val="20"/>
          <w:szCs w:val="20"/>
        </w:rPr>
        <w:t xml:space="preserve">where the NVR </w:t>
      </w:r>
      <w:r w:rsidR="005B4E1A">
        <w:rPr>
          <w:rFonts w:ascii="Times New Roman" w:hAnsi="Times New Roman"/>
          <w:color w:val="404040"/>
          <w:sz w:val="20"/>
          <w:szCs w:val="20"/>
        </w:rPr>
        <w:t>RTO</w:t>
      </w:r>
      <w:r w:rsidRPr="00033A8C">
        <w:rPr>
          <w:rFonts w:ascii="Times New Roman" w:hAnsi="Times New Roman"/>
          <w:color w:val="404040"/>
          <w:sz w:val="20"/>
          <w:szCs w:val="20"/>
        </w:rPr>
        <w:t xml:space="preserve"> has, in good faith, attempted to pay the charge, but </w:t>
      </w:r>
      <w:r w:rsidR="00EB2286">
        <w:rPr>
          <w:rFonts w:ascii="Times New Roman" w:hAnsi="Times New Roman"/>
          <w:color w:val="404040"/>
          <w:sz w:val="20"/>
          <w:szCs w:val="20"/>
        </w:rPr>
        <w:t xml:space="preserve">their financial institution has, without notice, </w:t>
      </w:r>
      <w:r w:rsidRPr="00033A8C">
        <w:rPr>
          <w:rFonts w:ascii="Times New Roman" w:hAnsi="Times New Roman"/>
          <w:color w:val="404040"/>
          <w:sz w:val="20"/>
          <w:szCs w:val="20"/>
        </w:rPr>
        <w:t xml:space="preserve">levied a bank charge, causing the payment to be underpaid by a negligible amount. </w:t>
      </w:r>
    </w:p>
    <w:p w:rsidR="005F09FC" w:rsidRPr="00BA3E4A" w:rsidRDefault="005F09FC" w:rsidP="00C9011E">
      <w:pPr>
        <w:spacing w:after="0" w:line="360" w:lineRule="auto"/>
        <w:rPr>
          <w:rFonts w:ascii="Times New Roman" w:hAnsi="Times New Roman"/>
          <w:color w:val="404040"/>
        </w:rPr>
      </w:pPr>
    </w:p>
    <w:p w:rsidR="00183DBF" w:rsidRDefault="00584C8C" w:rsidP="00C9011E">
      <w:pPr>
        <w:spacing w:after="0" w:line="360" w:lineRule="auto"/>
        <w:rPr>
          <w:rFonts w:ascii="Times New Roman" w:hAnsi="Times New Roman"/>
          <w:color w:val="404040"/>
        </w:rPr>
      </w:pPr>
      <w:r>
        <w:rPr>
          <w:rFonts w:ascii="Times New Roman" w:hAnsi="Times New Roman"/>
          <w:color w:val="404040"/>
        </w:rPr>
        <w:t>Paragraphs</w:t>
      </w:r>
      <w:r w:rsidR="005F09FC" w:rsidRPr="00BA3E4A">
        <w:rPr>
          <w:rFonts w:ascii="Times New Roman" w:hAnsi="Times New Roman"/>
          <w:color w:val="404040"/>
        </w:rPr>
        <w:t xml:space="preserve"> </w:t>
      </w:r>
      <w:r w:rsidR="005B5191">
        <w:rPr>
          <w:rFonts w:ascii="Times New Roman" w:hAnsi="Times New Roman"/>
          <w:color w:val="404040"/>
        </w:rPr>
        <w:t>9</w:t>
      </w:r>
      <w:r>
        <w:rPr>
          <w:rFonts w:ascii="Times New Roman" w:hAnsi="Times New Roman"/>
          <w:color w:val="404040"/>
        </w:rPr>
        <w:t>(2)</w:t>
      </w:r>
      <w:r w:rsidR="005F09FC" w:rsidRPr="00BA3E4A">
        <w:rPr>
          <w:rFonts w:ascii="Times New Roman" w:hAnsi="Times New Roman"/>
          <w:color w:val="404040"/>
        </w:rPr>
        <w:t xml:space="preserve">(a) and </w:t>
      </w:r>
      <w:r w:rsidR="005B5191">
        <w:rPr>
          <w:rFonts w:ascii="Times New Roman" w:hAnsi="Times New Roman"/>
          <w:color w:val="404040"/>
        </w:rPr>
        <w:t>9</w:t>
      </w:r>
      <w:r>
        <w:rPr>
          <w:rFonts w:ascii="Times New Roman" w:hAnsi="Times New Roman"/>
          <w:color w:val="404040"/>
        </w:rPr>
        <w:t>(2)(b)</w:t>
      </w:r>
      <w:r w:rsidR="005F09FC" w:rsidRPr="00BA3E4A">
        <w:rPr>
          <w:rFonts w:ascii="Times New Roman" w:hAnsi="Times New Roman"/>
          <w:color w:val="404040"/>
        </w:rPr>
        <w:t xml:space="preserve"> clarify that the fact that an NVR </w:t>
      </w:r>
      <w:r w:rsidR="005B4E1A">
        <w:rPr>
          <w:rFonts w:ascii="Times New Roman" w:hAnsi="Times New Roman"/>
          <w:color w:val="404040"/>
        </w:rPr>
        <w:t>RTO</w:t>
      </w:r>
      <w:r w:rsidR="00920D6C">
        <w:rPr>
          <w:rFonts w:ascii="Times New Roman" w:hAnsi="Times New Roman"/>
          <w:color w:val="404040"/>
        </w:rPr>
        <w:t xml:space="preserve"> (which will include an individual, </w:t>
      </w:r>
      <w:r w:rsidR="00920D6C" w:rsidRPr="00920D6C">
        <w:rPr>
          <w:rFonts w:ascii="Times New Roman" w:hAnsi="Times New Roman"/>
          <w:color w:val="404040"/>
        </w:rPr>
        <w:t>body politic or corporate</w:t>
      </w:r>
      <w:r w:rsidR="00920D6C">
        <w:rPr>
          <w:rFonts w:ascii="Times New Roman" w:hAnsi="Times New Roman"/>
          <w:color w:val="404040"/>
        </w:rPr>
        <w:t xml:space="preserve">, as defined by section 2C of the </w:t>
      </w:r>
      <w:r w:rsidR="00920D6C" w:rsidRPr="00EB2286">
        <w:rPr>
          <w:rFonts w:ascii="Times New Roman" w:hAnsi="Times New Roman"/>
          <w:i/>
          <w:color w:val="404040"/>
        </w:rPr>
        <w:t>Acts Interpretation Act 1901</w:t>
      </w:r>
      <w:r w:rsidR="00920D6C">
        <w:rPr>
          <w:rFonts w:ascii="Times New Roman" w:hAnsi="Times New Roman"/>
          <w:color w:val="404040"/>
        </w:rPr>
        <w:t>)</w:t>
      </w:r>
      <w:r w:rsidR="005F09FC" w:rsidRPr="00BA3E4A">
        <w:rPr>
          <w:rFonts w:ascii="Times New Roman" w:hAnsi="Times New Roman"/>
          <w:color w:val="404040"/>
        </w:rPr>
        <w:t xml:space="preserve"> did not consent to, or agree to the outcome of a compliance audit or complaints investigation does not constitute special or unusual circumstances</w:t>
      </w:r>
      <w:r w:rsidR="00183DBF" w:rsidRPr="00BA3E4A">
        <w:rPr>
          <w:rFonts w:ascii="Times New Roman" w:hAnsi="Times New Roman"/>
          <w:color w:val="404040"/>
        </w:rPr>
        <w:t>.</w:t>
      </w:r>
    </w:p>
    <w:p w:rsidR="00EB2286" w:rsidRDefault="006840B9" w:rsidP="00EB2286">
      <w:pPr>
        <w:spacing w:before="240" w:after="120" w:line="360" w:lineRule="auto"/>
        <w:rPr>
          <w:rFonts w:ascii="Times New Roman" w:hAnsi="Times New Roman"/>
          <w:color w:val="404040"/>
        </w:rPr>
      </w:pPr>
      <w:r>
        <w:rPr>
          <w:rFonts w:ascii="Times New Roman" w:hAnsi="Times New Roman"/>
          <w:color w:val="404040"/>
        </w:rPr>
        <w:t xml:space="preserve">Paragraph </w:t>
      </w:r>
      <w:r w:rsidR="005B5191">
        <w:rPr>
          <w:rFonts w:ascii="Times New Roman" w:hAnsi="Times New Roman"/>
          <w:color w:val="404040"/>
        </w:rPr>
        <w:t>9</w:t>
      </w:r>
      <w:r>
        <w:rPr>
          <w:rFonts w:ascii="Times New Roman" w:hAnsi="Times New Roman"/>
          <w:color w:val="404040"/>
        </w:rPr>
        <w:t>(2)(</w:t>
      </w:r>
      <w:r w:rsidR="00336063">
        <w:rPr>
          <w:rFonts w:ascii="Times New Roman" w:hAnsi="Times New Roman"/>
          <w:color w:val="404040"/>
        </w:rPr>
        <w:t>c</w:t>
      </w:r>
      <w:r w:rsidR="005F09FC" w:rsidRPr="00BA3E4A">
        <w:rPr>
          <w:rFonts w:ascii="Times New Roman" w:hAnsi="Times New Roman"/>
          <w:color w:val="404040"/>
        </w:rPr>
        <w:t xml:space="preserve">) clarifies that the fact that an NVR </w:t>
      </w:r>
      <w:r w:rsidR="005B4E1A">
        <w:rPr>
          <w:rFonts w:ascii="Times New Roman" w:hAnsi="Times New Roman"/>
          <w:color w:val="404040"/>
        </w:rPr>
        <w:t>RTO</w:t>
      </w:r>
      <w:r w:rsidR="00AB2238">
        <w:rPr>
          <w:rFonts w:ascii="Times New Roman" w:hAnsi="Times New Roman"/>
          <w:color w:val="404040"/>
        </w:rPr>
        <w:t xml:space="preserve"> </w:t>
      </w:r>
      <w:r w:rsidR="005F09FC" w:rsidRPr="00BA3E4A">
        <w:rPr>
          <w:rFonts w:ascii="Times New Roman" w:hAnsi="Times New Roman"/>
          <w:color w:val="404040"/>
        </w:rPr>
        <w:t xml:space="preserve">ceases to exist, or to be an NVR </w:t>
      </w:r>
      <w:r w:rsidR="005B4E1A">
        <w:rPr>
          <w:rFonts w:ascii="Times New Roman" w:hAnsi="Times New Roman"/>
          <w:color w:val="404040"/>
        </w:rPr>
        <w:t>RTO</w:t>
      </w:r>
      <w:r w:rsidR="005F09FC" w:rsidRPr="00BA3E4A">
        <w:rPr>
          <w:rFonts w:ascii="Times New Roman" w:hAnsi="Times New Roman"/>
          <w:color w:val="404040"/>
        </w:rPr>
        <w:t xml:space="preserve">, or to carry out business as a </w:t>
      </w:r>
      <w:r w:rsidR="005B4E1A">
        <w:rPr>
          <w:rFonts w:ascii="Times New Roman" w:hAnsi="Times New Roman"/>
          <w:color w:val="404040"/>
        </w:rPr>
        <w:t>RTO</w:t>
      </w:r>
      <w:r w:rsidR="005F09FC" w:rsidRPr="00BA3E4A">
        <w:rPr>
          <w:rFonts w:ascii="Times New Roman" w:hAnsi="Times New Roman"/>
          <w:color w:val="404040"/>
        </w:rPr>
        <w:t xml:space="preserve"> does not constitute grounds for a waiver.</w:t>
      </w:r>
    </w:p>
    <w:p w:rsidR="007E5BE7" w:rsidRDefault="007E5BE7" w:rsidP="00EB2286">
      <w:pPr>
        <w:spacing w:before="240" w:after="120" w:line="360" w:lineRule="auto"/>
        <w:rPr>
          <w:rFonts w:ascii="Times New Roman" w:hAnsi="Times New Roman"/>
          <w:b/>
          <w:color w:val="404040"/>
          <w:sz w:val="28"/>
        </w:rPr>
      </w:pPr>
    </w:p>
    <w:p w:rsidR="007E5BE7" w:rsidRDefault="007E5BE7" w:rsidP="00EB2286">
      <w:pPr>
        <w:spacing w:before="240" w:after="120" w:line="360" w:lineRule="auto"/>
        <w:rPr>
          <w:rFonts w:ascii="Times New Roman" w:hAnsi="Times New Roman"/>
          <w:b/>
          <w:color w:val="404040"/>
          <w:sz w:val="28"/>
        </w:rPr>
      </w:pPr>
    </w:p>
    <w:p w:rsidR="006840B9" w:rsidRDefault="006840B9" w:rsidP="00EB2286">
      <w:pPr>
        <w:spacing w:before="240" w:after="120" w:line="360" w:lineRule="auto"/>
        <w:rPr>
          <w:rFonts w:ascii="Times New Roman" w:hAnsi="Times New Roman"/>
          <w:color w:val="404040"/>
          <w:sz w:val="28"/>
        </w:rPr>
      </w:pPr>
      <w:r>
        <w:rPr>
          <w:rFonts w:ascii="Times New Roman" w:hAnsi="Times New Roman"/>
          <w:b/>
          <w:color w:val="404040"/>
          <w:sz w:val="28"/>
        </w:rPr>
        <w:lastRenderedPageBreak/>
        <w:t>Part 4 – Other</w:t>
      </w:r>
    </w:p>
    <w:p w:rsidR="005F09FC" w:rsidRPr="00C9011E" w:rsidRDefault="006840B9" w:rsidP="00C9011E">
      <w:pPr>
        <w:spacing w:after="0" w:line="360" w:lineRule="auto"/>
        <w:rPr>
          <w:rFonts w:ascii="Times New Roman" w:hAnsi="Times New Roman"/>
          <w:b/>
          <w:color w:val="404040"/>
        </w:rPr>
      </w:pPr>
      <w:r w:rsidRPr="00C9011E">
        <w:rPr>
          <w:rFonts w:ascii="Times New Roman" w:hAnsi="Times New Roman"/>
          <w:b/>
          <w:color w:val="404040"/>
        </w:rPr>
        <w:t>10: Rounding of hours</w:t>
      </w:r>
    </w:p>
    <w:p w:rsidR="000D2110" w:rsidRDefault="000D2110" w:rsidP="00F2304D">
      <w:pPr>
        <w:spacing w:after="0" w:line="360" w:lineRule="auto"/>
        <w:rPr>
          <w:rFonts w:ascii="Times New Roman" w:hAnsi="Times New Roman"/>
          <w:color w:val="404040"/>
        </w:rPr>
      </w:pPr>
      <w:r>
        <w:rPr>
          <w:rFonts w:ascii="Times New Roman" w:hAnsi="Times New Roman"/>
          <w:color w:val="404040"/>
        </w:rPr>
        <w:t>Item 10 clarifies the charges of investigation and compliance audits with respect to the hourly charge component of the formula</w:t>
      </w:r>
      <w:r w:rsidR="005B5191">
        <w:rPr>
          <w:rFonts w:ascii="Times New Roman" w:hAnsi="Times New Roman"/>
          <w:color w:val="404040"/>
        </w:rPr>
        <w:t>s</w:t>
      </w:r>
      <w:r>
        <w:rPr>
          <w:rFonts w:ascii="Times New Roman" w:hAnsi="Times New Roman"/>
          <w:color w:val="404040"/>
        </w:rPr>
        <w:t>.</w:t>
      </w:r>
      <w:r w:rsidR="00C20AB7">
        <w:rPr>
          <w:rFonts w:ascii="Times New Roman" w:hAnsi="Times New Roman"/>
          <w:color w:val="404040"/>
        </w:rPr>
        <w:t xml:space="preserve"> Item 10 provides </w:t>
      </w:r>
      <w:r w:rsidR="005B5191">
        <w:rPr>
          <w:rFonts w:ascii="Times New Roman" w:hAnsi="Times New Roman"/>
          <w:color w:val="404040"/>
        </w:rPr>
        <w:t xml:space="preserve">that </w:t>
      </w:r>
      <w:r w:rsidR="00C20AB7">
        <w:rPr>
          <w:rFonts w:ascii="Times New Roman" w:hAnsi="Times New Roman"/>
          <w:color w:val="404040"/>
        </w:rPr>
        <w:t xml:space="preserve">where that </w:t>
      </w:r>
      <w:r w:rsidR="00523EDF">
        <w:rPr>
          <w:rFonts w:ascii="Times New Roman" w:hAnsi="Times New Roman"/>
          <w:color w:val="404040"/>
        </w:rPr>
        <w:t xml:space="preserve">the length of </w:t>
      </w:r>
      <w:r w:rsidR="00C20AB7" w:rsidRPr="00C20AB7">
        <w:rPr>
          <w:rFonts w:ascii="Times New Roman" w:hAnsi="Times New Roman"/>
          <w:color w:val="404040"/>
        </w:rPr>
        <w:t>an investigation or compliance audit is less than 30 minutes</w:t>
      </w:r>
      <w:r w:rsidR="00C20AB7">
        <w:rPr>
          <w:rFonts w:ascii="Times New Roman" w:hAnsi="Times New Roman"/>
          <w:color w:val="404040"/>
        </w:rPr>
        <w:t xml:space="preserve">, then the </w:t>
      </w:r>
      <w:r w:rsidR="00336063">
        <w:rPr>
          <w:rFonts w:ascii="Times New Roman" w:hAnsi="Times New Roman"/>
          <w:color w:val="404040"/>
        </w:rPr>
        <w:t>total amount payable will be</w:t>
      </w:r>
      <w:r w:rsidR="00C20AB7">
        <w:rPr>
          <w:rFonts w:ascii="Times New Roman" w:hAnsi="Times New Roman"/>
          <w:color w:val="404040"/>
        </w:rPr>
        <w:t xml:space="preserve"> zero </w:t>
      </w:r>
      <w:r w:rsidR="00336063">
        <w:rPr>
          <w:rFonts w:ascii="Times New Roman" w:hAnsi="Times New Roman"/>
          <w:color w:val="404040"/>
        </w:rPr>
        <w:t>dollars</w:t>
      </w:r>
      <w:r w:rsidR="00C20AB7">
        <w:rPr>
          <w:rFonts w:ascii="Times New Roman" w:hAnsi="Times New Roman"/>
          <w:color w:val="404040"/>
        </w:rPr>
        <w:t xml:space="preserve">. This will mean that the NVR RTO will not be additionally charged the hourly rate for an audit if the audit does not go for longer than 29 minutes of the additional hour. Item 10 further provides that if the audit continues for a period greater or equal to 30 minutes beyond an hour, but less than the full hour, then </w:t>
      </w:r>
      <w:r w:rsidR="00336063" w:rsidRPr="00336063">
        <w:rPr>
          <w:rFonts w:ascii="Times New Roman" w:hAnsi="Times New Roman"/>
          <w:color w:val="404040"/>
        </w:rPr>
        <w:t>the total amount payable will be $125</w:t>
      </w:r>
      <w:r w:rsidR="00C20AB7">
        <w:rPr>
          <w:rFonts w:ascii="Times New Roman" w:hAnsi="Times New Roman"/>
          <w:color w:val="404040"/>
        </w:rPr>
        <w:t>.</w:t>
      </w:r>
    </w:p>
    <w:p w:rsidR="00336063" w:rsidRDefault="00336063" w:rsidP="00F2304D">
      <w:pPr>
        <w:spacing w:after="0" w:line="360" w:lineRule="auto"/>
        <w:rPr>
          <w:rFonts w:ascii="Times New Roman" w:hAnsi="Times New Roman"/>
          <w:color w:val="404040"/>
        </w:rPr>
      </w:pPr>
    </w:p>
    <w:p w:rsidR="00336063" w:rsidRDefault="00336063" w:rsidP="00F2304D">
      <w:pPr>
        <w:spacing w:after="0" w:line="360" w:lineRule="auto"/>
        <w:rPr>
          <w:rFonts w:ascii="Times New Roman" w:hAnsi="Times New Roman"/>
          <w:color w:val="404040"/>
        </w:rPr>
      </w:pPr>
      <w:r>
        <w:rPr>
          <w:rFonts w:ascii="Times New Roman" w:hAnsi="Times New Roman"/>
          <w:color w:val="404040"/>
        </w:rPr>
        <w:t>By way of example, if a</w:t>
      </w:r>
      <w:r w:rsidRPr="00336063">
        <w:rPr>
          <w:rFonts w:ascii="Times New Roman" w:hAnsi="Times New Roman"/>
          <w:color w:val="404040"/>
        </w:rPr>
        <w:t xml:space="preserve"> compliance audit</w:t>
      </w:r>
      <w:r>
        <w:rPr>
          <w:rFonts w:ascii="Times New Roman" w:hAnsi="Times New Roman"/>
          <w:color w:val="404040"/>
        </w:rPr>
        <w:t xml:space="preserve"> takes 4 hours and </w:t>
      </w:r>
      <w:r w:rsidR="008A2B61">
        <w:rPr>
          <w:rFonts w:ascii="Times New Roman" w:hAnsi="Times New Roman"/>
          <w:color w:val="404040"/>
        </w:rPr>
        <w:t>29 minutes, sections 8 and 10 will apply so that the person to which the charge applies will be charged $1,000 for the initial 4 hours of the audit but will not be charged for the additional 29 minutes of the audit.</w:t>
      </w:r>
    </w:p>
    <w:p w:rsidR="008A2B61" w:rsidRDefault="008A2B61" w:rsidP="00F2304D">
      <w:pPr>
        <w:spacing w:after="0" w:line="360" w:lineRule="auto"/>
        <w:rPr>
          <w:rFonts w:ascii="Times New Roman" w:hAnsi="Times New Roman"/>
          <w:color w:val="404040"/>
        </w:rPr>
      </w:pPr>
    </w:p>
    <w:p w:rsidR="008A2B61" w:rsidRDefault="008A2B61" w:rsidP="00F2304D">
      <w:pPr>
        <w:spacing w:after="0" w:line="360" w:lineRule="auto"/>
        <w:rPr>
          <w:rFonts w:ascii="Times New Roman" w:hAnsi="Times New Roman"/>
          <w:color w:val="404040"/>
        </w:rPr>
      </w:pPr>
      <w:r>
        <w:rPr>
          <w:rFonts w:ascii="Times New Roman" w:hAnsi="Times New Roman"/>
          <w:color w:val="404040"/>
        </w:rPr>
        <w:t xml:space="preserve">If a compliance audit takes 4 hours and 30 minutes </w:t>
      </w:r>
      <w:r w:rsidRPr="008A2B61">
        <w:rPr>
          <w:rFonts w:ascii="Times New Roman" w:hAnsi="Times New Roman"/>
          <w:color w:val="404040"/>
        </w:rPr>
        <w:t>sections 8 and 10 will apply so that the person to which the charge applies will be charged $1,000 for the initial 4 hours of the audit</w:t>
      </w:r>
      <w:r w:rsidR="00376481">
        <w:rPr>
          <w:rFonts w:ascii="Times New Roman" w:hAnsi="Times New Roman"/>
          <w:color w:val="404040"/>
        </w:rPr>
        <w:t xml:space="preserve"> and, because the audit has continued for a further half hour but less than a full further hour, </w:t>
      </w:r>
      <w:r w:rsidR="00376481" w:rsidRPr="00376481">
        <w:rPr>
          <w:rFonts w:ascii="Times New Roman" w:hAnsi="Times New Roman"/>
          <w:color w:val="404040"/>
        </w:rPr>
        <w:t>person to which the charge applies will be charged</w:t>
      </w:r>
      <w:r w:rsidR="00376481">
        <w:rPr>
          <w:rFonts w:ascii="Times New Roman" w:hAnsi="Times New Roman"/>
          <w:color w:val="404040"/>
        </w:rPr>
        <w:t xml:space="preserve"> a further $125.</w:t>
      </w:r>
    </w:p>
    <w:p w:rsidR="00EB2286" w:rsidRDefault="00EB2286" w:rsidP="00F2304D">
      <w:pPr>
        <w:spacing w:after="0" w:line="360" w:lineRule="auto"/>
        <w:rPr>
          <w:rFonts w:ascii="Times New Roman" w:hAnsi="Times New Roman"/>
          <w:color w:val="404040"/>
        </w:rPr>
      </w:pPr>
    </w:p>
    <w:p w:rsidR="000D2110" w:rsidRDefault="00EB2286" w:rsidP="00F2304D">
      <w:pPr>
        <w:spacing w:after="0" w:line="360" w:lineRule="auto"/>
        <w:rPr>
          <w:rFonts w:ascii="Times New Roman" w:hAnsi="Times New Roman"/>
          <w:color w:val="404040"/>
        </w:rPr>
      </w:pPr>
      <w:r>
        <w:rPr>
          <w:rFonts w:ascii="Times New Roman" w:hAnsi="Times New Roman"/>
          <w:color w:val="404040"/>
        </w:rPr>
        <w:t>If a compliance audit takes 5 hours and 30 minutes, sections 8 and 10 will apply so that the person to which the charge applies will be charged $1,000 for the initial 4 hours of the audit, $250 for the fifth hour of the audit and, because the audit has continued for a further half hour (but less than another full hour), a further $125.</w:t>
      </w:r>
    </w:p>
    <w:p w:rsidR="00C20AB7" w:rsidRDefault="00C20AB7" w:rsidP="00F2304D">
      <w:pPr>
        <w:spacing w:after="0" w:line="240" w:lineRule="auto"/>
        <w:rPr>
          <w:rFonts w:ascii="Times New Roman" w:hAnsi="Times New Roman"/>
          <w:color w:val="404040"/>
        </w:rPr>
      </w:pPr>
      <w:r>
        <w:rPr>
          <w:rFonts w:ascii="Times New Roman" w:hAnsi="Times New Roman"/>
          <w:color w:val="404040"/>
        </w:rPr>
        <w:br w:type="page"/>
      </w:r>
    </w:p>
    <w:p w:rsidR="00215BE4" w:rsidRPr="00995E28" w:rsidRDefault="00856926" w:rsidP="00955F6B">
      <w:pPr>
        <w:spacing w:after="0"/>
        <w:jc w:val="center"/>
        <w:rPr>
          <w:rFonts w:ascii="Times New Roman" w:hAnsi="Times New Roman"/>
          <w:b/>
          <w:sz w:val="24"/>
        </w:rPr>
      </w:pPr>
      <w:r w:rsidRPr="00856926">
        <w:rPr>
          <w:rFonts w:ascii="Times New Roman" w:hAnsi="Times New Roman"/>
          <w:sz w:val="24"/>
        </w:rPr>
        <w:lastRenderedPageBreak/>
        <w:t> </w:t>
      </w:r>
      <w:r w:rsidR="00215BE4" w:rsidRPr="00995E28">
        <w:rPr>
          <w:rFonts w:ascii="Times New Roman" w:hAnsi="Times New Roman"/>
          <w:b/>
          <w:sz w:val="24"/>
        </w:rPr>
        <w:t>Statement of Compatibility with Human Rights</w:t>
      </w:r>
    </w:p>
    <w:p w:rsidR="00215BE4" w:rsidRPr="00995E28" w:rsidRDefault="00215BE4" w:rsidP="006E024D">
      <w:pPr>
        <w:spacing w:after="0"/>
        <w:jc w:val="center"/>
        <w:rPr>
          <w:rFonts w:ascii="Times New Roman" w:hAnsi="Times New Roman"/>
          <w:b/>
          <w:sz w:val="24"/>
        </w:rPr>
      </w:pPr>
    </w:p>
    <w:p w:rsidR="00215BE4" w:rsidRPr="00995E28" w:rsidRDefault="00215BE4" w:rsidP="006E024D">
      <w:pPr>
        <w:spacing w:after="0"/>
        <w:jc w:val="center"/>
        <w:rPr>
          <w:rFonts w:ascii="Times New Roman" w:hAnsi="Times New Roman"/>
          <w:i/>
          <w:szCs w:val="22"/>
        </w:rPr>
      </w:pPr>
      <w:r w:rsidRPr="00995E28">
        <w:rPr>
          <w:rFonts w:ascii="Times New Roman" w:hAnsi="Times New Roman"/>
          <w:i/>
          <w:szCs w:val="22"/>
        </w:rPr>
        <w:t>Prepared in accordance with Part 3 of the Human Rights (Parliamentary Scrutiny) Act 2011</w:t>
      </w:r>
    </w:p>
    <w:p w:rsidR="00215BE4" w:rsidRPr="00995E28" w:rsidRDefault="00215BE4" w:rsidP="006E024D">
      <w:pPr>
        <w:spacing w:after="0"/>
        <w:jc w:val="center"/>
        <w:rPr>
          <w:rFonts w:ascii="Times New Roman" w:hAnsi="Times New Roman"/>
          <w:sz w:val="24"/>
        </w:rPr>
      </w:pPr>
    </w:p>
    <w:p w:rsidR="00215BE4" w:rsidRPr="00BA3E4A" w:rsidRDefault="003D6409" w:rsidP="006E024D">
      <w:pPr>
        <w:spacing w:after="0"/>
        <w:jc w:val="center"/>
        <w:rPr>
          <w:rFonts w:ascii="Times New Roman" w:hAnsi="Times New Roman"/>
          <w:b/>
          <w:color w:val="000000" w:themeColor="text1"/>
          <w:szCs w:val="20"/>
        </w:rPr>
      </w:pPr>
      <w:r w:rsidRPr="00BA3E4A">
        <w:rPr>
          <w:rFonts w:ascii="Times New Roman" w:hAnsi="Times New Roman"/>
          <w:b/>
          <w:color w:val="000000" w:themeColor="text1"/>
          <w:szCs w:val="20"/>
        </w:rPr>
        <w:t xml:space="preserve">National Vocational Education and Training Regulator (Charges) Determination </w:t>
      </w:r>
      <w:r w:rsidR="009C011C" w:rsidRPr="00BA3E4A">
        <w:rPr>
          <w:rFonts w:ascii="Times New Roman" w:hAnsi="Times New Roman"/>
          <w:b/>
          <w:color w:val="000000" w:themeColor="text1"/>
          <w:szCs w:val="20"/>
        </w:rPr>
        <w:t>2013</w:t>
      </w:r>
      <w:r w:rsidRPr="00BA3E4A">
        <w:rPr>
          <w:rFonts w:ascii="Times New Roman" w:hAnsi="Times New Roman"/>
          <w:b/>
          <w:color w:val="000000" w:themeColor="text1"/>
          <w:szCs w:val="20"/>
        </w:rPr>
        <w:t xml:space="preserve"> (No. 1)</w:t>
      </w:r>
      <w:r w:rsidR="005B5191">
        <w:rPr>
          <w:rFonts w:ascii="Times New Roman" w:hAnsi="Times New Roman"/>
          <w:b/>
          <w:color w:val="000000" w:themeColor="text1"/>
          <w:szCs w:val="20"/>
        </w:rPr>
        <w:t xml:space="preserve"> (the Determination)</w:t>
      </w:r>
    </w:p>
    <w:p w:rsidR="00215BE4" w:rsidRPr="00BA3E4A" w:rsidRDefault="00215BE4" w:rsidP="006E024D">
      <w:pPr>
        <w:spacing w:after="0"/>
        <w:jc w:val="center"/>
        <w:rPr>
          <w:rFonts w:ascii="Times New Roman" w:hAnsi="Times New Roman"/>
          <w:b/>
        </w:rPr>
      </w:pPr>
    </w:p>
    <w:p w:rsidR="00215BE4" w:rsidRPr="00995E28" w:rsidRDefault="00215BE4" w:rsidP="006E024D">
      <w:pPr>
        <w:spacing w:after="0"/>
        <w:jc w:val="center"/>
        <w:rPr>
          <w:rFonts w:ascii="Times New Roman" w:hAnsi="Times New Roman"/>
        </w:rPr>
      </w:pPr>
      <w:r w:rsidRPr="00BA3E4A">
        <w:rPr>
          <w:rFonts w:ascii="Times New Roman" w:hAnsi="Times New Roman"/>
        </w:rPr>
        <w:t xml:space="preserve">This </w:t>
      </w:r>
      <w:r w:rsidR="005B5191">
        <w:rPr>
          <w:rFonts w:ascii="Times New Roman" w:hAnsi="Times New Roman"/>
        </w:rPr>
        <w:t>Determination</w:t>
      </w:r>
      <w:r w:rsidRPr="00BA3E4A">
        <w:rPr>
          <w:rFonts w:ascii="Times New Roman" w:hAnsi="Times New Roman"/>
        </w:rPr>
        <w:t xml:space="preserve"> is compatible with the human</w:t>
      </w:r>
      <w:r w:rsidRPr="00995E28">
        <w:rPr>
          <w:rFonts w:ascii="Times New Roman" w:hAnsi="Times New Roman"/>
        </w:rPr>
        <w:t xml:space="preserve"> rights and freedoms recognised or declared in the international instruments listed in section 3 of the </w:t>
      </w:r>
      <w:r w:rsidRPr="00995E28">
        <w:rPr>
          <w:rFonts w:ascii="Times New Roman" w:hAnsi="Times New Roman"/>
          <w:i/>
        </w:rPr>
        <w:t>Human Rights (Parliamentary Scrutiny) Act 2011</w:t>
      </w:r>
      <w:r w:rsidRPr="00995E28">
        <w:rPr>
          <w:rFonts w:ascii="Times New Roman" w:hAnsi="Times New Roman"/>
        </w:rPr>
        <w:t>.</w:t>
      </w:r>
    </w:p>
    <w:p w:rsidR="00215BE4" w:rsidRPr="00995E28" w:rsidRDefault="00215BE4" w:rsidP="006E024D">
      <w:pPr>
        <w:spacing w:after="0"/>
        <w:jc w:val="center"/>
        <w:rPr>
          <w:rFonts w:ascii="Times New Roman" w:hAnsi="Times New Roman"/>
        </w:rPr>
      </w:pPr>
    </w:p>
    <w:p w:rsidR="00215BE4" w:rsidRPr="00995E28" w:rsidRDefault="00215BE4" w:rsidP="006E024D">
      <w:pPr>
        <w:spacing w:after="0"/>
        <w:rPr>
          <w:rFonts w:ascii="Times New Roman" w:hAnsi="Times New Roman"/>
          <w:b/>
        </w:rPr>
      </w:pPr>
      <w:r w:rsidRPr="00995E28">
        <w:rPr>
          <w:rFonts w:ascii="Times New Roman" w:hAnsi="Times New Roman"/>
          <w:b/>
        </w:rPr>
        <w:t xml:space="preserve">Overview of the </w:t>
      </w:r>
      <w:r w:rsidR="005B5191">
        <w:rPr>
          <w:rFonts w:ascii="Times New Roman" w:hAnsi="Times New Roman"/>
          <w:b/>
        </w:rPr>
        <w:t>Determination</w:t>
      </w:r>
    </w:p>
    <w:p w:rsidR="00215BE4" w:rsidRPr="00995E28" w:rsidRDefault="00215BE4" w:rsidP="006E024D">
      <w:pPr>
        <w:spacing w:after="0"/>
        <w:rPr>
          <w:rFonts w:ascii="Times New Roman" w:hAnsi="Times New Roman"/>
          <w:b/>
        </w:rPr>
      </w:pPr>
    </w:p>
    <w:p w:rsidR="00215BE4" w:rsidRPr="00995E28" w:rsidRDefault="00215BE4" w:rsidP="006E024D">
      <w:pPr>
        <w:spacing w:after="0" w:line="360" w:lineRule="auto"/>
        <w:rPr>
          <w:rFonts w:ascii="Times New Roman" w:hAnsi="Times New Roman"/>
        </w:rPr>
      </w:pPr>
      <w:r w:rsidRPr="00995E28">
        <w:rPr>
          <w:rFonts w:ascii="Times New Roman" w:hAnsi="Times New Roman"/>
        </w:rPr>
        <w:t xml:space="preserve">The </w:t>
      </w:r>
      <w:r w:rsidR="005B5191">
        <w:rPr>
          <w:rFonts w:ascii="Times New Roman" w:hAnsi="Times New Roman"/>
        </w:rPr>
        <w:t>Determination</w:t>
      </w:r>
      <w:r w:rsidR="005B5191" w:rsidRPr="00995E28">
        <w:rPr>
          <w:rFonts w:ascii="Times New Roman" w:hAnsi="Times New Roman"/>
        </w:rPr>
        <w:t xml:space="preserve"> </w:t>
      </w:r>
      <w:r w:rsidRPr="00995E28">
        <w:rPr>
          <w:rFonts w:ascii="Times New Roman" w:hAnsi="Times New Roman"/>
        </w:rPr>
        <w:t>is made by the Minister under subclause</w:t>
      </w:r>
      <w:r w:rsidR="002917AF">
        <w:rPr>
          <w:rFonts w:ascii="Times New Roman" w:hAnsi="Times New Roman"/>
        </w:rPr>
        <w:t>s</w:t>
      </w:r>
      <w:r w:rsidRPr="00995E28">
        <w:rPr>
          <w:rFonts w:ascii="Times New Roman" w:hAnsi="Times New Roman"/>
        </w:rPr>
        <w:t xml:space="preserve"> 9(2) and 12(2) </w:t>
      </w:r>
      <w:r w:rsidR="00806161">
        <w:rPr>
          <w:rFonts w:ascii="Times New Roman" w:hAnsi="Times New Roman"/>
        </w:rPr>
        <w:t xml:space="preserve">and section 13 </w:t>
      </w:r>
      <w:r w:rsidRPr="00995E28">
        <w:rPr>
          <w:rFonts w:ascii="Times New Roman" w:hAnsi="Times New Roman"/>
        </w:rPr>
        <w:t xml:space="preserve">of the </w:t>
      </w:r>
      <w:r w:rsidRPr="00995E28">
        <w:rPr>
          <w:rFonts w:ascii="Times New Roman" w:hAnsi="Times New Roman"/>
          <w:i/>
        </w:rPr>
        <w:t>National Vocational Education and Training Regulator (Charges) Act 2012</w:t>
      </w:r>
      <w:r w:rsidRPr="00995E28">
        <w:rPr>
          <w:rFonts w:ascii="Times New Roman" w:hAnsi="Times New Roman"/>
        </w:rPr>
        <w:t xml:space="preserve"> (the Charges Act).</w:t>
      </w:r>
    </w:p>
    <w:p w:rsidR="00215BE4" w:rsidRPr="00995E28" w:rsidRDefault="00215BE4" w:rsidP="006E024D">
      <w:pPr>
        <w:spacing w:after="0"/>
        <w:rPr>
          <w:rFonts w:ascii="Times New Roman" w:hAnsi="Times New Roman"/>
        </w:rPr>
      </w:pPr>
    </w:p>
    <w:p w:rsidR="00215BE4" w:rsidRDefault="00215BE4">
      <w:pPr>
        <w:spacing w:after="0" w:line="360" w:lineRule="auto"/>
        <w:rPr>
          <w:rFonts w:ascii="Times New Roman" w:hAnsi="Times New Roman"/>
        </w:rPr>
      </w:pPr>
      <w:r w:rsidRPr="00995E28">
        <w:rPr>
          <w:rFonts w:ascii="Times New Roman" w:hAnsi="Times New Roman"/>
        </w:rPr>
        <w:t xml:space="preserve">The purpose of the </w:t>
      </w:r>
      <w:r w:rsidR="00891544">
        <w:rPr>
          <w:rFonts w:ascii="Times New Roman" w:hAnsi="Times New Roman"/>
        </w:rPr>
        <w:t>Determination</w:t>
      </w:r>
      <w:r w:rsidRPr="00995E28">
        <w:rPr>
          <w:rFonts w:ascii="Times New Roman" w:hAnsi="Times New Roman"/>
        </w:rPr>
        <w:t xml:space="preserve"> is to set the formula that will enable ASQA to charge for compliance audits and the investigation of substantiated complaints which are conducted by ASQA</w:t>
      </w:r>
      <w:r w:rsidR="002917AF">
        <w:rPr>
          <w:rFonts w:ascii="Times New Roman" w:hAnsi="Times New Roman"/>
        </w:rPr>
        <w:t xml:space="preserve"> of </w:t>
      </w:r>
      <w:r w:rsidR="00E50697">
        <w:rPr>
          <w:rFonts w:ascii="Times New Roman" w:hAnsi="Times New Roman"/>
        </w:rPr>
        <w:t>NVR</w:t>
      </w:r>
      <w:r w:rsidR="00806161">
        <w:rPr>
          <w:rFonts w:ascii="Times New Roman" w:hAnsi="Times New Roman"/>
        </w:rPr>
        <w:t xml:space="preserve"> R</w:t>
      </w:r>
      <w:r w:rsidR="002917AF">
        <w:rPr>
          <w:rFonts w:ascii="Times New Roman" w:hAnsi="Times New Roman"/>
        </w:rPr>
        <w:t xml:space="preserve">egistered </w:t>
      </w:r>
      <w:r w:rsidR="00806161">
        <w:rPr>
          <w:rFonts w:ascii="Times New Roman" w:hAnsi="Times New Roman"/>
        </w:rPr>
        <w:t>T</w:t>
      </w:r>
      <w:r w:rsidR="002917AF">
        <w:rPr>
          <w:rFonts w:ascii="Times New Roman" w:hAnsi="Times New Roman"/>
        </w:rPr>
        <w:t xml:space="preserve">raining </w:t>
      </w:r>
      <w:r w:rsidR="00806161">
        <w:rPr>
          <w:rFonts w:ascii="Times New Roman" w:hAnsi="Times New Roman"/>
        </w:rPr>
        <w:t>O</w:t>
      </w:r>
      <w:r w:rsidR="002917AF">
        <w:rPr>
          <w:rFonts w:ascii="Times New Roman" w:hAnsi="Times New Roman"/>
        </w:rPr>
        <w:t>rganisations</w:t>
      </w:r>
      <w:r w:rsidR="003C3F0E">
        <w:rPr>
          <w:rFonts w:ascii="Times New Roman" w:hAnsi="Times New Roman"/>
        </w:rPr>
        <w:t xml:space="preserve"> (</w:t>
      </w:r>
      <w:r w:rsidR="00E50697">
        <w:rPr>
          <w:rFonts w:ascii="Times New Roman" w:hAnsi="Times New Roman"/>
        </w:rPr>
        <w:t xml:space="preserve">NVR </w:t>
      </w:r>
      <w:r w:rsidR="003C3F0E">
        <w:rPr>
          <w:rFonts w:ascii="Times New Roman" w:hAnsi="Times New Roman"/>
        </w:rPr>
        <w:t>RTOs)</w:t>
      </w:r>
      <w:r w:rsidRPr="00995E28">
        <w:rPr>
          <w:rFonts w:ascii="Times New Roman" w:hAnsi="Times New Roman"/>
        </w:rPr>
        <w:t xml:space="preserve">.  These charges will support ASQA’s regulatory functions by allowing it to recover costs for the </w:t>
      </w:r>
      <w:r w:rsidRPr="00BA3E4A">
        <w:rPr>
          <w:rFonts w:ascii="Times New Roman" w:hAnsi="Times New Roman"/>
        </w:rPr>
        <w:t>regulatory functions it under</w:t>
      </w:r>
      <w:r w:rsidR="00995E28" w:rsidRPr="00BA3E4A">
        <w:rPr>
          <w:rFonts w:ascii="Times New Roman" w:hAnsi="Times New Roman"/>
        </w:rPr>
        <w:t xml:space="preserve">takes and fulfil its budgetary obligations. </w:t>
      </w:r>
    </w:p>
    <w:p w:rsidR="00C20AB7" w:rsidRPr="00BA3E4A" w:rsidRDefault="00C20AB7">
      <w:pPr>
        <w:spacing w:after="0" w:line="360" w:lineRule="auto"/>
        <w:rPr>
          <w:rFonts w:ascii="Times New Roman" w:hAnsi="Times New Roman"/>
        </w:rPr>
      </w:pPr>
    </w:p>
    <w:p w:rsidR="00CB6E75" w:rsidRPr="00995E28" w:rsidRDefault="00CB6E75">
      <w:pPr>
        <w:spacing w:after="0" w:line="360" w:lineRule="auto"/>
        <w:rPr>
          <w:rFonts w:ascii="Times New Roman" w:hAnsi="Times New Roman"/>
        </w:rPr>
      </w:pPr>
      <w:r w:rsidRPr="00BA3E4A">
        <w:rPr>
          <w:rFonts w:ascii="Times New Roman" w:hAnsi="Times New Roman"/>
        </w:rPr>
        <w:t xml:space="preserve">The </w:t>
      </w:r>
      <w:r w:rsidR="00891544">
        <w:rPr>
          <w:rFonts w:ascii="Times New Roman" w:hAnsi="Times New Roman"/>
        </w:rPr>
        <w:t>Determination</w:t>
      </w:r>
      <w:r w:rsidRPr="00BA3E4A">
        <w:rPr>
          <w:rFonts w:ascii="Times New Roman" w:hAnsi="Times New Roman"/>
        </w:rPr>
        <w:t xml:space="preserve"> also identifies circumstances in which a charge payable under the Charges Act may be waived, in </w:t>
      </w:r>
      <w:r w:rsidR="00806161" w:rsidRPr="00BA3E4A">
        <w:rPr>
          <w:rFonts w:ascii="Times New Roman" w:hAnsi="Times New Roman"/>
        </w:rPr>
        <w:t xml:space="preserve">whole or in </w:t>
      </w:r>
      <w:r w:rsidRPr="00BA3E4A">
        <w:rPr>
          <w:rFonts w:ascii="Times New Roman" w:hAnsi="Times New Roman"/>
        </w:rPr>
        <w:t>part.</w:t>
      </w:r>
      <w:r>
        <w:rPr>
          <w:rFonts w:ascii="Times New Roman" w:hAnsi="Times New Roman"/>
        </w:rPr>
        <w:t xml:space="preserve">  </w:t>
      </w:r>
    </w:p>
    <w:p w:rsidR="00215BE4" w:rsidRPr="00995E28" w:rsidRDefault="00215BE4">
      <w:pPr>
        <w:spacing w:after="0"/>
        <w:rPr>
          <w:rFonts w:ascii="Times New Roman" w:hAnsi="Times New Roman"/>
        </w:rPr>
      </w:pPr>
    </w:p>
    <w:p w:rsidR="00215BE4" w:rsidRPr="00995E28" w:rsidRDefault="00215BE4">
      <w:pPr>
        <w:spacing w:after="0"/>
        <w:rPr>
          <w:rFonts w:ascii="Times New Roman" w:hAnsi="Times New Roman"/>
          <w:b/>
        </w:rPr>
      </w:pPr>
      <w:r w:rsidRPr="00995E28">
        <w:rPr>
          <w:rFonts w:ascii="Times New Roman" w:hAnsi="Times New Roman"/>
          <w:b/>
        </w:rPr>
        <w:t>Human rights implications</w:t>
      </w:r>
    </w:p>
    <w:p w:rsidR="00995E28" w:rsidRDefault="00995E28">
      <w:pPr>
        <w:spacing w:after="0" w:line="360" w:lineRule="auto"/>
        <w:rPr>
          <w:rFonts w:ascii="Times New Roman" w:hAnsi="Times New Roman"/>
        </w:rPr>
      </w:pPr>
    </w:p>
    <w:p w:rsidR="00995E28" w:rsidRPr="00995E28" w:rsidRDefault="00995E28">
      <w:pPr>
        <w:spacing w:after="0" w:line="360" w:lineRule="auto"/>
        <w:rPr>
          <w:rFonts w:ascii="Times New Roman" w:hAnsi="Times New Roman"/>
          <w:i/>
        </w:rPr>
      </w:pPr>
      <w:r w:rsidRPr="00995E28">
        <w:rPr>
          <w:rFonts w:ascii="Times New Roman" w:hAnsi="Times New Roman"/>
          <w:i/>
        </w:rPr>
        <w:t>Right to education</w:t>
      </w:r>
    </w:p>
    <w:p w:rsidR="00995E28" w:rsidRDefault="00995E28">
      <w:pPr>
        <w:spacing w:after="0" w:line="360" w:lineRule="auto"/>
        <w:rPr>
          <w:rFonts w:ascii="Times New Roman" w:hAnsi="Times New Roman"/>
        </w:rPr>
      </w:pPr>
      <w:r w:rsidRPr="00995E28">
        <w:rPr>
          <w:rFonts w:ascii="Times New Roman" w:hAnsi="Times New Roman"/>
        </w:rPr>
        <w:t xml:space="preserve">The </w:t>
      </w:r>
      <w:r w:rsidR="00891544">
        <w:rPr>
          <w:rFonts w:ascii="Times New Roman" w:hAnsi="Times New Roman"/>
        </w:rPr>
        <w:t>Determination</w:t>
      </w:r>
      <w:r w:rsidR="006F425F">
        <w:rPr>
          <w:rFonts w:ascii="Times New Roman" w:hAnsi="Times New Roman"/>
        </w:rPr>
        <w:t xml:space="preserve"> </w:t>
      </w:r>
      <w:r w:rsidRPr="00995E28">
        <w:rPr>
          <w:rFonts w:ascii="Times New Roman" w:hAnsi="Times New Roman"/>
        </w:rPr>
        <w:t xml:space="preserve">engages the right to education contained in Article 13 of the International Covenant on Economic, Social and Cultural Rights. </w:t>
      </w:r>
    </w:p>
    <w:p w:rsidR="00AF1206" w:rsidRDefault="00AF1206">
      <w:pPr>
        <w:spacing w:after="0" w:line="360" w:lineRule="auto"/>
        <w:rPr>
          <w:rFonts w:ascii="Times New Roman" w:hAnsi="Times New Roman"/>
        </w:rPr>
      </w:pPr>
    </w:p>
    <w:p w:rsidR="00A029F1" w:rsidRDefault="00755A90">
      <w:pPr>
        <w:spacing w:after="0" w:line="360" w:lineRule="auto"/>
        <w:rPr>
          <w:rFonts w:ascii="Times New Roman" w:hAnsi="Times New Roman"/>
        </w:rPr>
      </w:pPr>
      <w:r w:rsidRPr="00755A90">
        <w:rPr>
          <w:rFonts w:ascii="Times New Roman" w:hAnsi="Times New Roman"/>
        </w:rPr>
        <w:t xml:space="preserve">In particular, </w:t>
      </w:r>
      <w:r w:rsidR="00C20AB7">
        <w:rPr>
          <w:rFonts w:ascii="Times New Roman" w:hAnsi="Times New Roman"/>
        </w:rPr>
        <w:t>paragraph</w:t>
      </w:r>
      <w:r w:rsidRPr="00755A90">
        <w:rPr>
          <w:rFonts w:ascii="Times New Roman" w:hAnsi="Times New Roman"/>
        </w:rPr>
        <w:t xml:space="preserve"> 13(2)(b) states that secondary education, in all its different forms, including technical and vocational secondary education shall be made generally available and accessible to all by every appropriate means and in particular by the progressive introduction of free education.</w:t>
      </w:r>
    </w:p>
    <w:p w:rsidR="00A029F1" w:rsidRDefault="00A029F1">
      <w:pPr>
        <w:spacing w:after="0" w:line="360" w:lineRule="auto"/>
        <w:rPr>
          <w:rFonts w:ascii="Times New Roman" w:hAnsi="Times New Roman"/>
        </w:rPr>
      </w:pPr>
    </w:p>
    <w:p w:rsidR="00DA4874" w:rsidRDefault="00C20E81">
      <w:pPr>
        <w:spacing w:after="0" w:line="360" w:lineRule="auto"/>
        <w:rPr>
          <w:rFonts w:ascii="Times New Roman" w:hAnsi="Times New Roman"/>
        </w:rPr>
      </w:pPr>
      <w:r>
        <w:rPr>
          <w:rFonts w:ascii="Times New Roman" w:hAnsi="Times New Roman"/>
        </w:rPr>
        <w:t>T</w:t>
      </w:r>
      <w:r w:rsidR="002917AF">
        <w:rPr>
          <w:rFonts w:ascii="Times New Roman" w:hAnsi="Times New Roman"/>
        </w:rPr>
        <w:t xml:space="preserve">he objectives of the </w:t>
      </w:r>
      <w:r w:rsidR="00C20AB7">
        <w:rPr>
          <w:rFonts w:ascii="Times New Roman" w:hAnsi="Times New Roman"/>
        </w:rPr>
        <w:t>Determination</w:t>
      </w:r>
      <w:r w:rsidR="002917AF">
        <w:rPr>
          <w:rFonts w:ascii="Times New Roman" w:hAnsi="Times New Roman"/>
        </w:rPr>
        <w:t xml:space="preserve"> is to enable ASQA to charge </w:t>
      </w:r>
      <w:r w:rsidR="007477AB">
        <w:rPr>
          <w:rFonts w:ascii="Times New Roman" w:hAnsi="Times New Roman"/>
        </w:rPr>
        <w:t xml:space="preserve">NVR </w:t>
      </w:r>
      <w:r w:rsidR="003C3F0E">
        <w:rPr>
          <w:rFonts w:ascii="Times New Roman" w:hAnsi="Times New Roman"/>
        </w:rPr>
        <w:t>RTOs</w:t>
      </w:r>
      <w:r w:rsidR="002917AF">
        <w:rPr>
          <w:rFonts w:ascii="Times New Roman" w:hAnsi="Times New Roman"/>
        </w:rPr>
        <w:t xml:space="preserve"> for complaints investigations</w:t>
      </w:r>
      <w:r>
        <w:rPr>
          <w:rFonts w:ascii="Times New Roman" w:hAnsi="Times New Roman"/>
        </w:rPr>
        <w:t>,</w:t>
      </w:r>
      <w:r w:rsidR="002917AF">
        <w:rPr>
          <w:rFonts w:ascii="Times New Roman" w:hAnsi="Times New Roman"/>
        </w:rPr>
        <w:t xml:space="preserve"> where substantiated</w:t>
      </w:r>
      <w:r w:rsidR="007477AB">
        <w:rPr>
          <w:rFonts w:ascii="Times New Roman" w:hAnsi="Times New Roman"/>
        </w:rPr>
        <w:t>,</w:t>
      </w:r>
      <w:r>
        <w:rPr>
          <w:rFonts w:ascii="Times New Roman" w:hAnsi="Times New Roman"/>
        </w:rPr>
        <w:t xml:space="preserve"> and to charge for compliance audits. Charging for</w:t>
      </w:r>
      <w:r w:rsidR="0043235C">
        <w:rPr>
          <w:rFonts w:ascii="Times New Roman" w:hAnsi="Times New Roman"/>
        </w:rPr>
        <w:t xml:space="preserve"> audits and </w:t>
      </w:r>
      <w:r>
        <w:rPr>
          <w:rFonts w:ascii="Times New Roman" w:hAnsi="Times New Roman"/>
        </w:rPr>
        <w:t>substantiated complaints</w:t>
      </w:r>
      <w:r w:rsidR="002917AF">
        <w:rPr>
          <w:rFonts w:ascii="Times New Roman" w:hAnsi="Times New Roman"/>
        </w:rPr>
        <w:t xml:space="preserve"> will </w:t>
      </w:r>
      <w:r w:rsidR="00EE54A2">
        <w:rPr>
          <w:rFonts w:ascii="Times New Roman" w:hAnsi="Times New Roman"/>
        </w:rPr>
        <w:t>provide</w:t>
      </w:r>
      <w:r w:rsidR="0043235C">
        <w:rPr>
          <w:rFonts w:ascii="Times New Roman" w:hAnsi="Times New Roman"/>
          <w:i/>
        </w:rPr>
        <w:t xml:space="preserve"> </w:t>
      </w:r>
      <w:r w:rsidR="0043235C" w:rsidRPr="00C9011E">
        <w:rPr>
          <w:rFonts w:ascii="Times New Roman" w:hAnsi="Times New Roman"/>
        </w:rPr>
        <w:t>ASQA</w:t>
      </w:r>
      <w:r w:rsidR="0043235C">
        <w:rPr>
          <w:rFonts w:ascii="Times New Roman" w:hAnsi="Times New Roman"/>
          <w:i/>
        </w:rPr>
        <w:t xml:space="preserve"> </w:t>
      </w:r>
      <w:r w:rsidR="0043235C" w:rsidRPr="00C9011E">
        <w:rPr>
          <w:rFonts w:ascii="Times New Roman" w:hAnsi="Times New Roman"/>
        </w:rPr>
        <w:t>with the appropriate amount of funding to ensure that</w:t>
      </w:r>
      <w:r w:rsidR="002B7783" w:rsidRPr="00A029F1">
        <w:rPr>
          <w:rFonts w:ascii="Times New Roman" w:hAnsi="Times New Roman"/>
        </w:rPr>
        <w:t xml:space="preserve"> </w:t>
      </w:r>
      <w:r w:rsidR="002B7783">
        <w:rPr>
          <w:rFonts w:ascii="Times New Roman" w:hAnsi="Times New Roman"/>
        </w:rPr>
        <w:t xml:space="preserve">ASQA </w:t>
      </w:r>
      <w:r w:rsidR="0043235C">
        <w:rPr>
          <w:rFonts w:ascii="Times New Roman" w:hAnsi="Times New Roman"/>
        </w:rPr>
        <w:t xml:space="preserve">can </w:t>
      </w:r>
      <w:r w:rsidR="002B7783">
        <w:rPr>
          <w:rFonts w:ascii="Times New Roman" w:hAnsi="Times New Roman"/>
        </w:rPr>
        <w:t xml:space="preserve">undertake its </w:t>
      </w:r>
      <w:r w:rsidR="002B7783" w:rsidRPr="00995E28">
        <w:rPr>
          <w:rFonts w:ascii="Times New Roman" w:hAnsi="Times New Roman"/>
        </w:rPr>
        <w:t xml:space="preserve">regulatory functions in the </w:t>
      </w:r>
      <w:r w:rsidR="002B7783" w:rsidRPr="00C1517F">
        <w:rPr>
          <w:rFonts w:ascii="Times New Roman" w:hAnsi="Times New Roman"/>
        </w:rPr>
        <w:t>vocational education and training (VET)</w:t>
      </w:r>
      <w:r w:rsidR="002B7783" w:rsidRPr="00995E28">
        <w:rPr>
          <w:rFonts w:ascii="Times New Roman" w:hAnsi="Times New Roman"/>
        </w:rPr>
        <w:t xml:space="preserve"> sector, ensuring improved quality and grea</w:t>
      </w:r>
      <w:r w:rsidR="00685179">
        <w:rPr>
          <w:rFonts w:ascii="Times New Roman" w:hAnsi="Times New Roman"/>
        </w:rPr>
        <w:t>ter integrity in the VET system</w:t>
      </w:r>
      <w:r w:rsidR="00755A90">
        <w:rPr>
          <w:rFonts w:ascii="Times New Roman" w:hAnsi="Times New Roman"/>
        </w:rPr>
        <w:t>. This will in turn</w:t>
      </w:r>
      <w:r w:rsidR="00685179">
        <w:rPr>
          <w:rFonts w:ascii="Times New Roman" w:hAnsi="Times New Roman"/>
        </w:rPr>
        <w:t xml:space="preserve"> protect students’ rights to education.</w:t>
      </w:r>
      <w:r w:rsidR="00A4536A">
        <w:rPr>
          <w:rFonts w:ascii="Times New Roman" w:hAnsi="Times New Roman"/>
        </w:rPr>
        <w:t xml:space="preserve"> </w:t>
      </w:r>
    </w:p>
    <w:p w:rsidR="00685179" w:rsidRDefault="00685179">
      <w:pPr>
        <w:spacing w:after="0" w:line="360" w:lineRule="auto"/>
        <w:rPr>
          <w:rFonts w:ascii="Times New Roman" w:hAnsi="Times New Roman"/>
        </w:rPr>
      </w:pPr>
    </w:p>
    <w:p w:rsidR="00AA6E52" w:rsidRDefault="00DA4874" w:rsidP="00AA6E52">
      <w:pPr>
        <w:spacing w:after="0" w:line="360" w:lineRule="auto"/>
        <w:rPr>
          <w:rFonts w:ascii="Times New Roman" w:hAnsi="Times New Roman"/>
        </w:rPr>
      </w:pPr>
      <w:r>
        <w:rPr>
          <w:rFonts w:ascii="Times New Roman" w:hAnsi="Times New Roman"/>
        </w:rPr>
        <w:t xml:space="preserve">While charges are made for the purposes of allowing ASQA to undertake </w:t>
      </w:r>
      <w:r w:rsidR="00EB2286">
        <w:rPr>
          <w:rFonts w:ascii="Times New Roman" w:hAnsi="Times New Roman"/>
        </w:rPr>
        <w:t xml:space="preserve">its </w:t>
      </w:r>
      <w:r>
        <w:rPr>
          <w:rFonts w:ascii="Times New Roman" w:hAnsi="Times New Roman"/>
        </w:rPr>
        <w:t xml:space="preserve">functions and thereby ensuring </w:t>
      </w:r>
      <w:r w:rsidRPr="00DA4874">
        <w:rPr>
          <w:rFonts w:ascii="Times New Roman" w:hAnsi="Times New Roman"/>
        </w:rPr>
        <w:t>improved quality and greater integrity in the VET system</w:t>
      </w:r>
      <w:r>
        <w:rPr>
          <w:rFonts w:ascii="Times New Roman" w:hAnsi="Times New Roman"/>
        </w:rPr>
        <w:t xml:space="preserve">, it is important to note that the </w:t>
      </w:r>
      <w:r w:rsidR="00891544">
        <w:rPr>
          <w:rFonts w:ascii="Times New Roman" w:hAnsi="Times New Roman"/>
        </w:rPr>
        <w:t>Determination</w:t>
      </w:r>
      <w:r>
        <w:rPr>
          <w:rFonts w:ascii="Times New Roman" w:hAnsi="Times New Roman"/>
        </w:rPr>
        <w:t xml:space="preserve"> will allow the waiver</w:t>
      </w:r>
      <w:r w:rsidR="00EB2286">
        <w:rPr>
          <w:rFonts w:ascii="Times New Roman" w:hAnsi="Times New Roman"/>
        </w:rPr>
        <w:t>, in whole or in part,</w:t>
      </w:r>
      <w:r>
        <w:rPr>
          <w:rFonts w:ascii="Times New Roman" w:hAnsi="Times New Roman"/>
        </w:rPr>
        <w:t xml:space="preserve"> of these </w:t>
      </w:r>
      <w:r w:rsidR="00EB2286">
        <w:rPr>
          <w:rFonts w:ascii="Times New Roman" w:hAnsi="Times New Roman"/>
        </w:rPr>
        <w:t xml:space="preserve">charges </w:t>
      </w:r>
      <w:r>
        <w:rPr>
          <w:rFonts w:ascii="Times New Roman" w:hAnsi="Times New Roman"/>
        </w:rPr>
        <w:t xml:space="preserve">in special or unusual </w:t>
      </w:r>
      <w:r w:rsidRPr="00DA4874">
        <w:rPr>
          <w:rFonts w:ascii="Times New Roman" w:hAnsi="Times New Roman"/>
        </w:rPr>
        <w:lastRenderedPageBreak/>
        <w:t>circumstances which would otherwise cause the charge to be unreasonable or inequitable</w:t>
      </w:r>
      <w:r>
        <w:rPr>
          <w:rFonts w:ascii="Times New Roman" w:hAnsi="Times New Roman"/>
        </w:rPr>
        <w:t xml:space="preserve">. This will ensure that </w:t>
      </w:r>
      <w:r w:rsidR="00AA6E52">
        <w:rPr>
          <w:rFonts w:ascii="Times New Roman" w:hAnsi="Times New Roman"/>
        </w:rPr>
        <w:t>the charges will not be imposed if they are considered to be severe.</w:t>
      </w:r>
    </w:p>
    <w:p w:rsidR="00DA4874" w:rsidRDefault="00DA4874">
      <w:pPr>
        <w:spacing w:after="0" w:line="360" w:lineRule="auto"/>
        <w:rPr>
          <w:rFonts w:ascii="Times New Roman" w:hAnsi="Times New Roman"/>
        </w:rPr>
      </w:pPr>
    </w:p>
    <w:p w:rsidR="00A4536A" w:rsidRDefault="00707686">
      <w:pPr>
        <w:spacing w:after="0" w:line="360" w:lineRule="auto"/>
        <w:rPr>
          <w:rFonts w:ascii="Times New Roman" w:hAnsi="Times New Roman"/>
        </w:rPr>
      </w:pPr>
      <w:r>
        <w:rPr>
          <w:rFonts w:ascii="Times New Roman" w:hAnsi="Times New Roman"/>
        </w:rPr>
        <w:t>It is therefore</w:t>
      </w:r>
      <w:r w:rsidR="002917AF">
        <w:rPr>
          <w:rFonts w:ascii="Times New Roman" w:hAnsi="Times New Roman"/>
        </w:rPr>
        <w:t xml:space="preserve"> reasonable, necessary and proportionate for the </w:t>
      </w:r>
      <w:r w:rsidR="00891544">
        <w:rPr>
          <w:rFonts w:ascii="Times New Roman" w:hAnsi="Times New Roman"/>
        </w:rPr>
        <w:t>Determination</w:t>
      </w:r>
      <w:r w:rsidR="002917AF">
        <w:rPr>
          <w:rFonts w:ascii="Times New Roman" w:hAnsi="Times New Roman"/>
        </w:rPr>
        <w:t xml:space="preserve"> </w:t>
      </w:r>
      <w:r w:rsidR="00891544">
        <w:rPr>
          <w:rFonts w:ascii="Times New Roman" w:hAnsi="Times New Roman"/>
        </w:rPr>
        <w:t xml:space="preserve">to </w:t>
      </w:r>
      <w:r>
        <w:rPr>
          <w:rFonts w:ascii="Times New Roman" w:hAnsi="Times New Roman"/>
        </w:rPr>
        <w:t>prescribe</w:t>
      </w:r>
      <w:r w:rsidR="002917AF">
        <w:rPr>
          <w:rFonts w:ascii="Times New Roman" w:hAnsi="Times New Roman"/>
        </w:rPr>
        <w:t xml:space="preserve"> a formula </w:t>
      </w:r>
      <w:r>
        <w:rPr>
          <w:rFonts w:ascii="Times New Roman" w:hAnsi="Times New Roman"/>
        </w:rPr>
        <w:t>for the cost recovery of</w:t>
      </w:r>
      <w:r w:rsidR="00BC325F">
        <w:rPr>
          <w:rFonts w:ascii="Times New Roman" w:hAnsi="Times New Roman"/>
        </w:rPr>
        <w:t xml:space="preserve"> providing</w:t>
      </w:r>
      <w:r>
        <w:rPr>
          <w:rFonts w:ascii="Times New Roman" w:hAnsi="Times New Roman"/>
        </w:rPr>
        <w:t xml:space="preserve"> this protection.</w:t>
      </w:r>
    </w:p>
    <w:p w:rsidR="00A4536A" w:rsidRDefault="00A4536A">
      <w:pPr>
        <w:spacing w:after="0" w:line="360" w:lineRule="auto"/>
        <w:rPr>
          <w:rFonts w:ascii="Times New Roman" w:hAnsi="Times New Roman"/>
        </w:rPr>
      </w:pPr>
    </w:p>
    <w:p w:rsidR="000D59D2" w:rsidRPr="000D59D2" w:rsidRDefault="000D59D2">
      <w:pPr>
        <w:spacing w:after="0" w:line="360" w:lineRule="auto"/>
        <w:rPr>
          <w:i/>
        </w:rPr>
      </w:pPr>
      <w:r>
        <w:rPr>
          <w:rFonts w:ascii="Times New Roman" w:hAnsi="Times New Roman"/>
          <w:i/>
        </w:rPr>
        <w:t>Right to fair trial and fair hearing</w:t>
      </w:r>
    </w:p>
    <w:p w:rsidR="008E212A" w:rsidRDefault="000D59D2" w:rsidP="00C9011E">
      <w:pPr>
        <w:spacing w:after="0" w:line="360" w:lineRule="auto"/>
        <w:rPr>
          <w:rFonts w:ascii="Times New Roman" w:hAnsi="Times New Roman"/>
          <w:szCs w:val="20"/>
        </w:rPr>
      </w:pPr>
      <w:r w:rsidRPr="00C9011E">
        <w:rPr>
          <w:rFonts w:ascii="Times New Roman" w:hAnsi="Times New Roman"/>
          <w:szCs w:val="20"/>
        </w:rPr>
        <w:t xml:space="preserve">To avoid </w:t>
      </w:r>
      <w:r w:rsidR="00930D2B" w:rsidRPr="00930D2B">
        <w:rPr>
          <w:rFonts w:ascii="Times New Roman" w:hAnsi="Times New Roman"/>
          <w:szCs w:val="20"/>
        </w:rPr>
        <w:t>doubt</w:t>
      </w:r>
      <w:r w:rsidR="00930D2B">
        <w:rPr>
          <w:rFonts w:ascii="Times New Roman" w:hAnsi="Times New Roman"/>
          <w:szCs w:val="20"/>
        </w:rPr>
        <w:t xml:space="preserve">, this </w:t>
      </w:r>
      <w:r w:rsidR="00891544">
        <w:rPr>
          <w:rFonts w:ascii="Times New Roman" w:hAnsi="Times New Roman"/>
        </w:rPr>
        <w:t>Determination</w:t>
      </w:r>
      <w:r w:rsidR="00930D2B">
        <w:rPr>
          <w:rFonts w:ascii="Times New Roman" w:hAnsi="Times New Roman"/>
          <w:szCs w:val="20"/>
        </w:rPr>
        <w:t xml:space="preserve"> </w:t>
      </w:r>
      <w:r w:rsidR="00955F6B">
        <w:rPr>
          <w:rFonts w:ascii="Times New Roman" w:hAnsi="Times New Roman"/>
          <w:szCs w:val="20"/>
        </w:rPr>
        <w:t>is consistent with</w:t>
      </w:r>
      <w:r w:rsidR="00930D2B">
        <w:rPr>
          <w:rFonts w:ascii="Times New Roman" w:hAnsi="Times New Roman"/>
          <w:szCs w:val="20"/>
        </w:rPr>
        <w:t xml:space="preserve"> the </w:t>
      </w:r>
      <w:r w:rsidR="00930D2B" w:rsidRPr="00930D2B">
        <w:rPr>
          <w:rFonts w:ascii="Times New Roman" w:hAnsi="Times New Roman"/>
          <w:szCs w:val="20"/>
        </w:rPr>
        <w:t>right to fair trial contained in Article 14 of the I</w:t>
      </w:r>
      <w:r w:rsidR="00105E3A">
        <w:rPr>
          <w:rFonts w:ascii="Times New Roman" w:hAnsi="Times New Roman"/>
          <w:szCs w:val="20"/>
        </w:rPr>
        <w:t xml:space="preserve">nternational </w:t>
      </w:r>
      <w:r w:rsidR="00930D2B" w:rsidRPr="00930D2B">
        <w:rPr>
          <w:rFonts w:ascii="Times New Roman" w:hAnsi="Times New Roman"/>
          <w:szCs w:val="20"/>
        </w:rPr>
        <w:t>C</w:t>
      </w:r>
      <w:r w:rsidR="00105E3A">
        <w:rPr>
          <w:rFonts w:ascii="Times New Roman" w:hAnsi="Times New Roman"/>
          <w:szCs w:val="20"/>
        </w:rPr>
        <w:t xml:space="preserve">ovenant on </w:t>
      </w:r>
      <w:r w:rsidR="00930D2B" w:rsidRPr="00930D2B">
        <w:rPr>
          <w:rFonts w:ascii="Times New Roman" w:hAnsi="Times New Roman"/>
          <w:szCs w:val="20"/>
        </w:rPr>
        <w:t>C</w:t>
      </w:r>
      <w:r w:rsidR="00105E3A">
        <w:rPr>
          <w:rFonts w:ascii="Times New Roman" w:hAnsi="Times New Roman"/>
          <w:szCs w:val="20"/>
        </w:rPr>
        <w:t xml:space="preserve">ivil and </w:t>
      </w:r>
      <w:r w:rsidR="00930D2B" w:rsidRPr="00930D2B">
        <w:rPr>
          <w:rFonts w:ascii="Times New Roman" w:hAnsi="Times New Roman"/>
          <w:szCs w:val="20"/>
        </w:rPr>
        <w:t>P</w:t>
      </w:r>
      <w:r w:rsidR="00105E3A">
        <w:rPr>
          <w:rFonts w:ascii="Times New Roman" w:hAnsi="Times New Roman"/>
          <w:szCs w:val="20"/>
        </w:rPr>
        <w:t xml:space="preserve">olitical </w:t>
      </w:r>
      <w:r w:rsidR="00930D2B" w:rsidRPr="00930D2B">
        <w:rPr>
          <w:rFonts w:ascii="Times New Roman" w:hAnsi="Times New Roman"/>
          <w:szCs w:val="20"/>
        </w:rPr>
        <w:t>R</w:t>
      </w:r>
      <w:r w:rsidR="00105E3A">
        <w:rPr>
          <w:rFonts w:ascii="Times New Roman" w:hAnsi="Times New Roman"/>
          <w:szCs w:val="20"/>
        </w:rPr>
        <w:t>ights (ICCPR)</w:t>
      </w:r>
      <w:r w:rsidR="00930D2B" w:rsidRPr="00930D2B">
        <w:rPr>
          <w:rFonts w:ascii="Times New Roman" w:hAnsi="Times New Roman"/>
          <w:szCs w:val="20"/>
        </w:rPr>
        <w:t xml:space="preserve">. </w:t>
      </w:r>
    </w:p>
    <w:p w:rsidR="00BC325F" w:rsidRDefault="00BC325F" w:rsidP="00955F6B">
      <w:pPr>
        <w:spacing w:after="0" w:line="360" w:lineRule="auto"/>
        <w:rPr>
          <w:rFonts w:ascii="Times New Roman" w:hAnsi="Times New Roman"/>
          <w:szCs w:val="20"/>
        </w:rPr>
      </w:pPr>
    </w:p>
    <w:p w:rsidR="004C7047" w:rsidRDefault="007C3C11" w:rsidP="00C9011E">
      <w:pPr>
        <w:spacing w:after="0" w:line="360" w:lineRule="auto"/>
        <w:rPr>
          <w:rFonts w:ascii="Times New Roman" w:hAnsi="Times New Roman"/>
          <w:szCs w:val="20"/>
        </w:rPr>
      </w:pPr>
      <w:r>
        <w:rPr>
          <w:rFonts w:ascii="Times New Roman" w:hAnsi="Times New Roman"/>
          <w:szCs w:val="20"/>
        </w:rPr>
        <w:t xml:space="preserve">Article 14 sets out specific guarantees that apply to proceedings involving criminal charges and to persons who have been convicted of a criminal offence, and provide protection against the imposition of retrospective criminal liability. </w:t>
      </w:r>
    </w:p>
    <w:p w:rsidR="004C7047" w:rsidRDefault="004C7047" w:rsidP="00C9011E">
      <w:pPr>
        <w:spacing w:after="0" w:line="360" w:lineRule="auto"/>
        <w:rPr>
          <w:rFonts w:ascii="Times New Roman" w:hAnsi="Times New Roman"/>
          <w:szCs w:val="20"/>
        </w:rPr>
      </w:pPr>
    </w:p>
    <w:p w:rsidR="008E212A" w:rsidRPr="00C9011E" w:rsidRDefault="003858C8" w:rsidP="00C9011E">
      <w:pPr>
        <w:spacing w:after="0" w:line="360" w:lineRule="auto"/>
        <w:rPr>
          <w:rFonts w:ascii="Times New Roman" w:hAnsi="Times New Roman"/>
          <w:sz w:val="24"/>
        </w:rPr>
      </w:pPr>
      <w:r>
        <w:rPr>
          <w:rFonts w:ascii="Times New Roman" w:hAnsi="Times New Roman"/>
          <w:szCs w:val="20"/>
        </w:rPr>
        <w:t>The charges</w:t>
      </w:r>
      <w:r w:rsidR="00955F6B">
        <w:rPr>
          <w:rFonts w:ascii="Times New Roman" w:hAnsi="Times New Roman"/>
          <w:szCs w:val="20"/>
        </w:rPr>
        <w:t xml:space="preserve"> imposed by the Determination</w:t>
      </w:r>
      <w:r>
        <w:rPr>
          <w:rFonts w:ascii="Times New Roman" w:hAnsi="Times New Roman"/>
          <w:szCs w:val="20"/>
        </w:rPr>
        <w:t>, and in particular t</w:t>
      </w:r>
      <w:r w:rsidR="004C7047">
        <w:rPr>
          <w:rFonts w:ascii="Times New Roman" w:hAnsi="Times New Roman"/>
          <w:szCs w:val="20"/>
        </w:rPr>
        <w:t>o the extent that the charges applied for substantiated complaints act a</w:t>
      </w:r>
      <w:r w:rsidR="00955F6B">
        <w:rPr>
          <w:rFonts w:ascii="Times New Roman" w:hAnsi="Times New Roman"/>
          <w:szCs w:val="20"/>
        </w:rPr>
        <w:t>s a disciplinary mechanism</w:t>
      </w:r>
      <w:r w:rsidR="004C7047">
        <w:rPr>
          <w:rFonts w:ascii="Times New Roman" w:hAnsi="Times New Roman"/>
          <w:szCs w:val="20"/>
        </w:rPr>
        <w:t xml:space="preserve"> on NVR RTOs breaching the provisions of the </w:t>
      </w:r>
      <w:r w:rsidR="004C7047">
        <w:rPr>
          <w:rFonts w:ascii="Times New Roman" w:hAnsi="Times New Roman"/>
          <w:i/>
          <w:szCs w:val="20"/>
        </w:rPr>
        <w:t xml:space="preserve">National Vocational Education and Training </w:t>
      </w:r>
      <w:r w:rsidR="00EB2286">
        <w:rPr>
          <w:rFonts w:ascii="Times New Roman" w:hAnsi="Times New Roman"/>
          <w:i/>
          <w:szCs w:val="20"/>
        </w:rPr>
        <w:t xml:space="preserve">Regulator </w:t>
      </w:r>
      <w:r w:rsidR="004C7047">
        <w:rPr>
          <w:rFonts w:ascii="Times New Roman" w:hAnsi="Times New Roman"/>
          <w:i/>
          <w:szCs w:val="20"/>
        </w:rPr>
        <w:t>Act 2011</w:t>
      </w:r>
      <w:r w:rsidR="0042210E">
        <w:rPr>
          <w:rFonts w:ascii="Times New Roman" w:hAnsi="Times New Roman"/>
          <w:szCs w:val="20"/>
        </w:rPr>
        <w:t xml:space="preserve"> (the NVETR Act)</w:t>
      </w:r>
      <w:r>
        <w:rPr>
          <w:rFonts w:ascii="Times New Roman" w:hAnsi="Times New Roman"/>
          <w:i/>
          <w:szCs w:val="20"/>
        </w:rPr>
        <w:t>,</w:t>
      </w:r>
      <w:r w:rsidR="004C7047">
        <w:rPr>
          <w:rFonts w:ascii="Times New Roman" w:hAnsi="Times New Roman"/>
          <w:szCs w:val="20"/>
        </w:rPr>
        <w:t xml:space="preserve"> may be considered </w:t>
      </w:r>
      <w:r>
        <w:rPr>
          <w:rFonts w:ascii="Times New Roman" w:hAnsi="Times New Roman"/>
          <w:szCs w:val="20"/>
        </w:rPr>
        <w:t>penalties</w:t>
      </w:r>
      <w:r w:rsidR="00105E3A">
        <w:rPr>
          <w:rFonts w:ascii="Times New Roman" w:hAnsi="Times New Roman"/>
          <w:szCs w:val="20"/>
        </w:rPr>
        <w:t>. For the purposes of the ICCPR</w:t>
      </w:r>
      <w:r w:rsidR="00955F6B">
        <w:rPr>
          <w:rFonts w:ascii="Times New Roman" w:hAnsi="Times New Roman"/>
          <w:szCs w:val="20"/>
        </w:rPr>
        <w:t>,</w:t>
      </w:r>
      <w:r w:rsidR="00105E3A">
        <w:rPr>
          <w:rFonts w:ascii="Times New Roman" w:hAnsi="Times New Roman"/>
          <w:szCs w:val="20"/>
        </w:rPr>
        <w:t xml:space="preserve"> a penalty may be considered to be ‘criminal’ even though it is considered ‘civil’ under Australian domestic law.</w:t>
      </w:r>
      <w:r>
        <w:rPr>
          <w:rFonts w:ascii="Times New Roman" w:hAnsi="Times New Roman"/>
          <w:szCs w:val="20"/>
        </w:rPr>
        <w:t xml:space="preserve"> For the following reasons, however, the charges under the determination will be considered civil rather than criminal</w:t>
      </w:r>
      <w:r w:rsidR="0042210E">
        <w:rPr>
          <w:rFonts w:ascii="Times New Roman" w:hAnsi="Times New Roman"/>
          <w:szCs w:val="20"/>
        </w:rPr>
        <w:t>.</w:t>
      </w:r>
    </w:p>
    <w:p w:rsidR="00105E3A" w:rsidRDefault="00105E3A" w:rsidP="00C9011E">
      <w:pPr>
        <w:spacing w:after="0" w:line="360" w:lineRule="auto"/>
        <w:rPr>
          <w:rFonts w:ascii="Times New Roman" w:hAnsi="Times New Roman"/>
          <w:b/>
        </w:rPr>
      </w:pPr>
    </w:p>
    <w:p w:rsidR="00570181" w:rsidRDefault="00E81DFB" w:rsidP="00C9011E">
      <w:pPr>
        <w:spacing w:after="0" w:line="360" w:lineRule="auto"/>
        <w:rPr>
          <w:rFonts w:ascii="Times New Roman" w:hAnsi="Times New Roman"/>
        </w:rPr>
      </w:pPr>
      <w:r>
        <w:rPr>
          <w:rFonts w:ascii="Times New Roman" w:hAnsi="Times New Roman"/>
        </w:rPr>
        <w:t>Firstly</w:t>
      </w:r>
      <w:r w:rsidR="00362350">
        <w:rPr>
          <w:rFonts w:ascii="Times New Roman" w:hAnsi="Times New Roman"/>
        </w:rPr>
        <w:t>,</w:t>
      </w:r>
      <w:r>
        <w:rPr>
          <w:rFonts w:ascii="Times New Roman" w:hAnsi="Times New Roman"/>
        </w:rPr>
        <w:t xml:space="preserve"> </w:t>
      </w:r>
      <w:r w:rsidR="00362350">
        <w:rPr>
          <w:rFonts w:ascii="Times New Roman" w:hAnsi="Times New Roman"/>
        </w:rPr>
        <w:t>these</w:t>
      </w:r>
      <w:r w:rsidR="0042210E">
        <w:rPr>
          <w:rFonts w:ascii="Times New Roman" w:hAnsi="Times New Roman"/>
        </w:rPr>
        <w:t xml:space="preserve"> charges are determined to be civil within Australian domestic law. More conclusively, however</w:t>
      </w:r>
      <w:r w:rsidR="004F3464">
        <w:rPr>
          <w:rFonts w:ascii="Times New Roman" w:hAnsi="Times New Roman"/>
        </w:rPr>
        <w:t>,</w:t>
      </w:r>
      <w:r w:rsidR="0042210E">
        <w:rPr>
          <w:rFonts w:ascii="Times New Roman" w:hAnsi="Times New Roman"/>
        </w:rPr>
        <w:t xml:space="preserve"> these charges are regulatory in nature as </w:t>
      </w:r>
      <w:r w:rsidR="00362350">
        <w:rPr>
          <w:rFonts w:ascii="Times New Roman" w:hAnsi="Times New Roman"/>
        </w:rPr>
        <w:t>they</w:t>
      </w:r>
      <w:r w:rsidR="0042210E">
        <w:rPr>
          <w:rFonts w:ascii="Times New Roman" w:hAnsi="Times New Roman"/>
        </w:rPr>
        <w:t xml:space="preserve"> are applied only with regards to carrying out an audit, which </w:t>
      </w:r>
      <w:r w:rsidR="004F3464">
        <w:rPr>
          <w:rFonts w:ascii="Times New Roman" w:hAnsi="Times New Roman"/>
        </w:rPr>
        <w:t xml:space="preserve"> </w:t>
      </w:r>
      <w:r w:rsidR="0042210E">
        <w:rPr>
          <w:rFonts w:ascii="Times New Roman" w:hAnsi="Times New Roman"/>
        </w:rPr>
        <w:t xml:space="preserve">determines compliance with the </w:t>
      </w:r>
      <w:r w:rsidR="004F3464">
        <w:rPr>
          <w:rFonts w:ascii="Times New Roman" w:hAnsi="Times New Roman"/>
        </w:rPr>
        <w:t>NVETR</w:t>
      </w:r>
      <w:r w:rsidR="00362350">
        <w:rPr>
          <w:rFonts w:ascii="Times New Roman" w:hAnsi="Times New Roman"/>
        </w:rPr>
        <w:t xml:space="preserve"> </w:t>
      </w:r>
      <w:r w:rsidR="005E6D25">
        <w:rPr>
          <w:rFonts w:ascii="Times New Roman" w:hAnsi="Times New Roman"/>
        </w:rPr>
        <w:t xml:space="preserve">Act </w:t>
      </w:r>
      <w:r w:rsidR="00362350" w:rsidRPr="00362350">
        <w:rPr>
          <w:rFonts w:ascii="Times New Roman" w:hAnsi="Times New Roman"/>
        </w:rPr>
        <w:t>regulatory framework</w:t>
      </w:r>
      <w:r w:rsidR="004F3464">
        <w:rPr>
          <w:rFonts w:ascii="Times New Roman" w:hAnsi="Times New Roman"/>
        </w:rPr>
        <w:t>, or in the event that a compl</w:t>
      </w:r>
      <w:r w:rsidR="00891544">
        <w:rPr>
          <w:rFonts w:ascii="Times New Roman" w:hAnsi="Times New Roman"/>
        </w:rPr>
        <w:t>a</w:t>
      </w:r>
      <w:r w:rsidR="004F3464">
        <w:rPr>
          <w:rFonts w:ascii="Times New Roman" w:hAnsi="Times New Roman"/>
        </w:rPr>
        <w:t xml:space="preserve">int is substantiated </w:t>
      </w:r>
      <w:r w:rsidR="00570181">
        <w:rPr>
          <w:rFonts w:ascii="Times New Roman" w:hAnsi="Times New Roman"/>
        </w:rPr>
        <w:t>against an NVR RTO which will also determine compliance with the regulatory framework.</w:t>
      </w:r>
    </w:p>
    <w:p w:rsidR="00570181" w:rsidRDefault="00570181" w:rsidP="00C9011E">
      <w:pPr>
        <w:spacing w:after="0" w:line="360" w:lineRule="auto"/>
        <w:rPr>
          <w:rFonts w:ascii="Times New Roman" w:hAnsi="Times New Roman"/>
        </w:rPr>
      </w:pPr>
    </w:p>
    <w:p w:rsidR="0042210E" w:rsidRDefault="00570181" w:rsidP="00C9011E">
      <w:pPr>
        <w:spacing w:after="0" w:line="360" w:lineRule="auto"/>
        <w:rPr>
          <w:rFonts w:ascii="Times New Roman" w:hAnsi="Times New Roman"/>
        </w:rPr>
      </w:pPr>
      <w:r>
        <w:rPr>
          <w:rFonts w:ascii="Times New Roman" w:hAnsi="Times New Roman"/>
        </w:rPr>
        <w:t>Furthermore</w:t>
      </w:r>
      <w:r w:rsidR="00955F6B">
        <w:rPr>
          <w:rFonts w:ascii="Times New Roman" w:hAnsi="Times New Roman"/>
        </w:rPr>
        <w:t>,</w:t>
      </w:r>
      <w:r>
        <w:rPr>
          <w:rFonts w:ascii="Times New Roman" w:hAnsi="Times New Roman"/>
        </w:rPr>
        <w:t xml:space="preserve"> the charges are not considered to be sever</w:t>
      </w:r>
      <w:r w:rsidR="00891544">
        <w:rPr>
          <w:rFonts w:ascii="Times New Roman" w:hAnsi="Times New Roman"/>
        </w:rPr>
        <w:t>e</w:t>
      </w:r>
      <w:r>
        <w:rPr>
          <w:rFonts w:ascii="Times New Roman" w:hAnsi="Times New Roman"/>
        </w:rPr>
        <w:t xml:space="preserve"> as the rate of charges for an investigation </w:t>
      </w:r>
      <w:r w:rsidR="00EB2286">
        <w:rPr>
          <w:rFonts w:ascii="Times New Roman" w:hAnsi="Times New Roman"/>
        </w:rPr>
        <w:t xml:space="preserve">or </w:t>
      </w:r>
      <w:r>
        <w:rPr>
          <w:rFonts w:ascii="Times New Roman" w:hAnsi="Times New Roman"/>
        </w:rPr>
        <w:t>compliance audit it set at a level that reflects the cost of such an investigation or an audit. In addition, the charges may be waived</w:t>
      </w:r>
      <w:r w:rsidR="00EB2286">
        <w:rPr>
          <w:rFonts w:ascii="Times New Roman" w:hAnsi="Times New Roman"/>
        </w:rPr>
        <w:t>, in whole or in part,</w:t>
      </w:r>
      <w:r>
        <w:rPr>
          <w:rFonts w:ascii="Times New Roman" w:hAnsi="Times New Roman"/>
        </w:rPr>
        <w:t xml:space="preserve"> where AQSA’s Chief Commissioner</w:t>
      </w:r>
      <w:r w:rsidR="00E81DFB">
        <w:rPr>
          <w:rFonts w:ascii="Times New Roman" w:hAnsi="Times New Roman"/>
        </w:rPr>
        <w:t xml:space="preserve"> is of the opinion</w:t>
      </w:r>
      <w:r>
        <w:rPr>
          <w:rFonts w:ascii="Times New Roman" w:hAnsi="Times New Roman"/>
        </w:rPr>
        <w:t xml:space="preserve"> that </w:t>
      </w:r>
      <w:r w:rsidRPr="00570181">
        <w:rPr>
          <w:rFonts w:ascii="Times New Roman" w:hAnsi="Times New Roman"/>
        </w:rPr>
        <w:t>special or unusual circumstances exist which would otherwise cause the charge to be unreasonable or inequitable</w:t>
      </w:r>
      <w:r>
        <w:rPr>
          <w:rFonts w:ascii="Times New Roman" w:hAnsi="Times New Roman"/>
        </w:rPr>
        <w:t>.</w:t>
      </w:r>
      <w:r w:rsidR="00362350">
        <w:rPr>
          <w:rFonts w:ascii="Times New Roman" w:hAnsi="Times New Roman"/>
        </w:rPr>
        <w:t xml:space="preserve"> This will ensure that the charges will not be imposed if they are considered to be sever</w:t>
      </w:r>
      <w:r w:rsidR="00CA5A8B">
        <w:rPr>
          <w:rFonts w:ascii="Times New Roman" w:hAnsi="Times New Roman"/>
        </w:rPr>
        <w:t>e</w:t>
      </w:r>
      <w:r w:rsidR="00362350">
        <w:rPr>
          <w:rFonts w:ascii="Times New Roman" w:hAnsi="Times New Roman"/>
        </w:rPr>
        <w:t>.</w:t>
      </w:r>
    </w:p>
    <w:p w:rsidR="00E81DFB" w:rsidRDefault="00E81DFB" w:rsidP="00C9011E">
      <w:pPr>
        <w:spacing w:after="0" w:line="360" w:lineRule="auto"/>
        <w:rPr>
          <w:rFonts w:ascii="Times New Roman" w:hAnsi="Times New Roman"/>
        </w:rPr>
      </w:pPr>
    </w:p>
    <w:p w:rsidR="001B2387" w:rsidRPr="00C9011E" w:rsidRDefault="001B2387" w:rsidP="00C9011E">
      <w:pPr>
        <w:spacing w:after="0" w:line="360" w:lineRule="auto"/>
        <w:rPr>
          <w:rFonts w:ascii="Times New Roman" w:hAnsi="Times New Roman"/>
        </w:rPr>
      </w:pPr>
      <w:r>
        <w:rPr>
          <w:rFonts w:ascii="Times New Roman" w:hAnsi="Times New Roman"/>
        </w:rPr>
        <w:t>For</w:t>
      </w:r>
      <w:r w:rsidR="00955F6B">
        <w:rPr>
          <w:rFonts w:ascii="Times New Roman" w:hAnsi="Times New Roman"/>
        </w:rPr>
        <w:t xml:space="preserve"> these reasons, the charges are considered to be civil penalties and will therefore be consistent with the right to a fair trial.</w:t>
      </w:r>
    </w:p>
    <w:p w:rsidR="0042210E" w:rsidRDefault="0042210E" w:rsidP="00C9011E">
      <w:pPr>
        <w:spacing w:after="0" w:line="360" w:lineRule="auto"/>
        <w:rPr>
          <w:rFonts w:ascii="Times New Roman" w:hAnsi="Times New Roman"/>
          <w:b/>
        </w:rPr>
      </w:pPr>
    </w:p>
    <w:p w:rsidR="00215BE4" w:rsidRPr="00995E28" w:rsidRDefault="00215BE4" w:rsidP="00C9011E">
      <w:pPr>
        <w:spacing w:after="0" w:line="360" w:lineRule="auto"/>
        <w:rPr>
          <w:rFonts w:ascii="Times New Roman" w:hAnsi="Times New Roman"/>
          <w:b/>
        </w:rPr>
      </w:pPr>
      <w:r w:rsidRPr="00995E28">
        <w:rPr>
          <w:rFonts w:ascii="Times New Roman" w:hAnsi="Times New Roman"/>
          <w:b/>
        </w:rPr>
        <w:t>Conclusion</w:t>
      </w:r>
    </w:p>
    <w:p w:rsidR="002B7783" w:rsidRDefault="002B7783" w:rsidP="00C9011E">
      <w:pPr>
        <w:spacing w:after="0" w:line="360" w:lineRule="auto"/>
        <w:jc w:val="both"/>
        <w:rPr>
          <w:rFonts w:ascii="Times New Roman" w:hAnsi="Times New Roman"/>
        </w:rPr>
      </w:pPr>
      <w:r w:rsidRPr="002B7783">
        <w:rPr>
          <w:rFonts w:ascii="Times New Roman" w:hAnsi="Times New Roman"/>
        </w:rPr>
        <w:t xml:space="preserve">This </w:t>
      </w:r>
      <w:r w:rsidR="00891544">
        <w:rPr>
          <w:rFonts w:ascii="Times New Roman" w:hAnsi="Times New Roman"/>
        </w:rPr>
        <w:t>Determination</w:t>
      </w:r>
      <w:r w:rsidRPr="002B7783">
        <w:rPr>
          <w:rFonts w:ascii="Times New Roman" w:hAnsi="Times New Roman"/>
        </w:rPr>
        <w:t xml:space="preserve"> is compatible with human rights because it </w:t>
      </w:r>
      <w:r w:rsidR="00DB6FA4">
        <w:rPr>
          <w:rFonts w:ascii="Times New Roman" w:hAnsi="Times New Roman"/>
        </w:rPr>
        <w:t>protects the right to education.</w:t>
      </w:r>
    </w:p>
    <w:p w:rsidR="002B7783" w:rsidRDefault="002B7783" w:rsidP="006E024D">
      <w:pPr>
        <w:spacing w:after="0"/>
        <w:jc w:val="both"/>
        <w:rPr>
          <w:rFonts w:ascii="Times New Roman" w:hAnsi="Times New Roman"/>
        </w:rPr>
      </w:pPr>
    </w:p>
    <w:p w:rsidR="00856926" w:rsidRPr="00C9011E" w:rsidRDefault="009C0F47" w:rsidP="00C9011E">
      <w:pPr>
        <w:spacing w:after="0" w:line="360" w:lineRule="auto"/>
        <w:jc w:val="center"/>
        <w:rPr>
          <w:rFonts w:ascii="Times New Roman" w:hAnsi="Times New Roman"/>
          <w:b/>
          <w:color w:val="404040"/>
        </w:rPr>
      </w:pPr>
      <w:r w:rsidRPr="000C7E50">
        <w:rPr>
          <w:rFonts w:ascii="Times New Roman" w:hAnsi="Times New Roman"/>
          <w:b/>
        </w:rPr>
        <w:t xml:space="preserve">The Hon </w:t>
      </w:r>
      <w:r w:rsidRPr="006F425F">
        <w:rPr>
          <w:rFonts w:ascii="Times New Roman" w:hAnsi="Times New Roman"/>
          <w:b/>
        </w:rPr>
        <w:t>Brendan O’Connor</w:t>
      </w:r>
      <w:r w:rsidRPr="000C7E50">
        <w:rPr>
          <w:rFonts w:ascii="Times New Roman" w:hAnsi="Times New Roman"/>
          <w:b/>
        </w:rPr>
        <w:t xml:space="preserve">, Minister for </w:t>
      </w:r>
      <w:r w:rsidRPr="006F425F">
        <w:rPr>
          <w:rFonts w:ascii="Times New Roman" w:hAnsi="Times New Roman"/>
          <w:b/>
        </w:rPr>
        <w:t>Skills and Training</w:t>
      </w:r>
    </w:p>
    <w:sectPr w:rsidR="00856926" w:rsidRPr="00C9011E" w:rsidSect="004B6B13">
      <w:headerReference w:type="even" r:id="rId13"/>
      <w:footerReference w:type="even" r:id="rId14"/>
      <w:footerReference w:type="default" r:id="rId15"/>
      <w:footerReference w:type="first" r:id="rId16"/>
      <w:pgSz w:w="11906" w:h="16838" w:code="9"/>
      <w:pgMar w:top="1945" w:right="2506" w:bottom="899" w:left="1134" w:header="709" w:footer="1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16" w:rsidRDefault="00AA4C16">
      <w:r>
        <w:separator/>
      </w:r>
    </w:p>
  </w:endnote>
  <w:endnote w:type="continuationSeparator" w:id="0">
    <w:p w:rsidR="00AA4C16" w:rsidRDefault="00AA4C16">
      <w:r>
        <w:continuationSeparator/>
      </w:r>
    </w:p>
  </w:endnote>
  <w:endnote w:type="continuationNotice" w:id="1">
    <w:p w:rsidR="00AA4C16" w:rsidRDefault="00AA4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247D98" w:rsidRPr="00915B1C">
      <w:tc>
        <w:tcPr>
          <w:tcW w:w="1311" w:type="dxa"/>
          <w:tcBorders>
            <w:top w:val="single" w:sz="2" w:space="0" w:color="auto"/>
          </w:tcBorders>
          <w:shd w:val="clear" w:color="auto" w:fill="auto"/>
        </w:tcPr>
        <w:p w:rsidR="00247D98" w:rsidRPr="00915B1C" w:rsidRDefault="00247D98" w:rsidP="00332011">
          <w:pPr>
            <w:pStyle w:val="Footer"/>
            <w:rPr>
              <w:sz w:val="2"/>
              <w:szCs w:val="2"/>
            </w:rPr>
          </w:pPr>
        </w:p>
      </w:tc>
      <w:tc>
        <w:tcPr>
          <w:tcW w:w="6381" w:type="dxa"/>
          <w:shd w:val="clear" w:color="auto" w:fill="auto"/>
        </w:tcPr>
        <w:p w:rsidR="00247D98" w:rsidRPr="00915B1C" w:rsidRDefault="00247D98" w:rsidP="00332011">
          <w:pPr>
            <w:pStyle w:val="Footer"/>
            <w:rPr>
              <w:sz w:val="2"/>
              <w:szCs w:val="2"/>
            </w:rPr>
          </w:pPr>
        </w:p>
      </w:tc>
    </w:tr>
    <w:tr w:rsidR="00247D98">
      <w:tc>
        <w:tcPr>
          <w:tcW w:w="7692" w:type="dxa"/>
          <w:gridSpan w:val="2"/>
          <w:shd w:val="clear" w:color="auto" w:fill="auto"/>
        </w:tcPr>
        <w:p w:rsidR="00247D98" w:rsidRPr="00575AC5" w:rsidRDefault="00247D98" w:rsidP="00332011">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26</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rsidR="00247D98" w:rsidRDefault="00247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247D98" w:rsidRPr="00915B1C">
      <w:tc>
        <w:tcPr>
          <w:tcW w:w="6355" w:type="dxa"/>
          <w:shd w:val="clear" w:color="auto" w:fill="auto"/>
        </w:tcPr>
        <w:p w:rsidR="00247D98" w:rsidRPr="00915B1C" w:rsidRDefault="00247D98" w:rsidP="00915B1C">
          <w:pPr>
            <w:pStyle w:val="Footer"/>
            <w:ind w:right="28"/>
            <w:jc w:val="right"/>
            <w:rPr>
              <w:sz w:val="2"/>
              <w:szCs w:val="2"/>
            </w:rPr>
          </w:pPr>
        </w:p>
      </w:tc>
      <w:tc>
        <w:tcPr>
          <w:tcW w:w="1328" w:type="dxa"/>
          <w:tcBorders>
            <w:top w:val="single" w:sz="2" w:space="0" w:color="auto"/>
          </w:tcBorders>
          <w:shd w:val="clear" w:color="auto" w:fill="auto"/>
        </w:tcPr>
        <w:p w:rsidR="00247D98" w:rsidRPr="00915B1C" w:rsidRDefault="00247D98" w:rsidP="00915B1C">
          <w:pPr>
            <w:pStyle w:val="Footer"/>
            <w:ind w:right="28"/>
            <w:jc w:val="right"/>
            <w:rPr>
              <w:sz w:val="2"/>
              <w:szCs w:val="2"/>
            </w:rPr>
          </w:pPr>
        </w:p>
      </w:tc>
    </w:tr>
    <w:tr w:rsidR="00247D98">
      <w:tc>
        <w:tcPr>
          <w:tcW w:w="7683" w:type="dxa"/>
          <w:gridSpan w:val="2"/>
          <w:shd w:val="clear" w:color="auto" w:fill="auto"/>
        </w:tcPr>
        <w:p w:rsidR="00247D98" w:rsidRPr="00575AC5" w:rsidRDefault="00247D98"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341B7A">
            <w:rPr>
              <w:noProof/>
              <w:color w:val="505050"/>
            </w:rPr>
            <w:t>2</w:t>
          </w:r>
          <w:r w:rsidRPr="00575AC5">
            <w:rPr>
              <w:color w:val="505050"/>
            </w:rPr>
            <w:fldChar w:fldCharType="end"/>
          </w:r>
        </w:p>
      </w:tc>
    </w:tr>
  </w:tbl>
  <w:p w:rsidR="00247D98" w:rsidRDefault="00247D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247D98" w:rsidRPr="00915B1C">
      <w:tc>
        <w:tcPr>
          <w:tcW w:w="6355" w:type="dxa"/>
          <w:shd w:val="clear" w:color="auto" w:fill="auto"/>
        </w:tcPr>
        <w:p w:rsidR="00247D98" w:rsidRPr="00915B1C" w:rsidRDefault="00247D98" w:rsidP="00226C0D">
          <w:pPr>
            <w:pStyle w:val="Footer"/>
            <w:ind w:right="28"/>
            <w:jc w:val="right"/>
            <w:rPr>
              <w:sz w:val="2"/>
              <w:szCs w:val="2"/>
            </w:rPr>
          </w:pPr>
        </w:p>
      </w:tc>
      <w:tc>
        <w:tcPr>
          <w:tcW w:w="1328" w:type="dxa"/>
          <w:tcBorders>
            <w:top w:val="single" w:sz="2" w:space="0" w:color="auto"/>
          </w:tcBorders>
          <w:shd w:val="clear" w:color="auto" w:fill="auto"/>
        </w:tcPr>
        <w:p w:rsidR="00247D98" w:rsidRPr="00915B1C" w:rsidRDefault="00247D98" w:rsidP="00226C0D">
          <w:pPr>
            <w:pStyle w:val="Footer"/>
            <w:ind w:right="28"/>
            <w:jc w:val="right"/>
            <w:rPr>
              <w:sz w:val="2"/>
              <w:szCs w:val="2"/>
            </w:rPr>
          </w:pPr>
        </w:p>
      </w:tc>
    </w:tr>
    <w:tr w:rsidR="00247D98">
      <w:tc>
        <w:tcPr>
          <w:tcW w:w="7683" w:type="dxa"/>
          <w:gridSpan w:val="2"/>
          <w:shd w:val="clear" w:color="auto" w:fill="auto"/>
        </w:tcPr>
        <w:p w:rsidR="00247D98" w:rsidRPr="00575AC5" w:rsidRDefault="00247D98"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341B7A">
            <w:rPr>
              <w:noProof/>
              <w:color w:val="505050"/>
            </w:rPr>
            <w:t>1</w:t>
          </w:r>
          <w:r w:rsidRPr="00575AC5">
            <w:rPr>
              <w:color w:val="505050"/>
            </w:rPr>
            <w:fldChar w:fldCharType="end"/>
          </w:r>
        </w:p>
      </w:tc>
    </w:tr>
  </w:tbl>
  <w:p w:rsidR="00247D98" w:rsidRDefault="00247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16" w:rsidRDefault="00AA4C16">
      <w:r>
        <w:separator/>
      </w:r>
    </w:p>
  </w:footnote>
  <w:footnote w:type="continuationSeparator" w:id="0">
    <w:p w:rsidR="00AA4C16" w:rsidRDefault="00AA4C16">
      <w:r>
        <w:continuationSeparator/>
      </w:r>
    </w:p>
  </w:footnote>
  <w:footnote w:type="continuationNotice" w:id="1">
    <w:p w:rsidR="00AA4C16" w:rsidRDefault="00AA4C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D98" w:rsidRDefault="00247D98">
    <w:pPr>
      <w:pStyle w:val="Header"/>
    </w:pPr>
  </w:p>
  <w:p w:rsidR="00247D98" w:rsidRDefault="00247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pStyle w:val="ACMABulletLevel1"/>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B1EAEF4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BA3213A"/>
    <w:multiLevelType w:val="hybridMultilevel"/>
    <w:tmpl w:val="E340B3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B704120"/>
    <w:multiLevelType w:val="hybridMultilevel"/>
    <w:tmpl w:val="735A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2584D4F"/>
    <w:multiLevelType w:val="hybridMultilevel"/>
    <w:tmpl w:val="186EB24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22B3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1C367B"/>
    <w:multiLevelType w:val="hybridMultilevel"/>
    <w:tmpl w:val="843C7B0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7647A1"/>
    <w:multiLevelType w:val="multilevel"/>
    <w:tmpl w:val="7E2272E4"/>
    <w:lvl w:ilvl="0">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424C02"/>
    <w:multiLevelType w:val="hybridMultilevel"/>
    <w:tmpl w:val="72F4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D85F45"/>
    <w:multiLevelType w:val="hybridMultilevel"/>
    <w:tmpl w:val="5DDC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F23A54"/>
    <w:multiLevelType w:val="hybridMultilevel"/>
    <w:tmpl w:val="C4E8A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2F9632C"/>
    <w:multiLevelType w:val="hybridMultilevel"/>
    <w:tmpl w:val="931C3D5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5B0C13B2"/>
    <w:multiLevelType w:val="hybridMultilevel"/>
    <w:tmpl w:val="8514C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6012AF"/>
    <w:multiLevelType w:val="hybridMultilevel"/>
    <w:tmpl w:val="0748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164F3C"/>
    <w:multiLevelType w:val="hybridMultilevel"/>
    <w:tmpl w:val="F28A4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3B863CE"/>
    <w:multiLevelType w:val="hybridMultilevel"/>
    <w:tmpl w:val="A782D36A"/>
    <w:lvl w:ilvl="0" w:tplc="007A90B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633C24"/>
    <w:multiLevelType w:val="hybridMultilevel"/>
    <w:tmpl w:val="C6AA1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60A34"/>
    <w:multiLevelType w:val="hybridMultilevel"/>
    <w:tmpl w:val="28AC9F1E"/>
    <w:lvl w:ilvl="0" w:tplc="9BE65522">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0A66F3D"/>
    <w:multiLevelType w:val="hybridMultilevel"/>
    <w:tmpl w:val="9104AF6E"/>
    <w:lvl w:ilvl="0" w:tplc="5DAAC1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365"/>
        </w:tabs>
        <w:ind w:left="1365" w:hanging="360"/>
      </w:pPr>
      <w:rPr>
        <w:rFonts w:ascii="Courier New" w:hAnsi="Courier New" w:cs="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cs="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cs="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38">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793C47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1"/>
  </w:num>
  <w:num w:numId="13">
    <w:abstractNumId w:val="25"/>
  </w:num>
  <w:num w:numId="14">
    <w:abstractNumId w:val="18"/>
  </w:num>
  <w:num w:numId="15">
    <w:abstractNumId w:val="19"/>
  </w:num>
  <w:num w:numId="16">
    <w:abstractNumId w:val="39"/>
  </w:num>
  <w:num w:numId="17">
    <w:abstractNumId w:val="26"/>
  </w:num>
  <w:num w:numId="18">
    <w:abstractNumId w:val="23"/>
  </w:num>
  <w:num w:numId="19">
    <w:abstractNumId w:val="36"/>
  </w:num>
  <w:num w:numId="20">
    <w:abstractNumId w:val="17"/>
  </w:num>
  <w:num w:numId="21">
    <w:abstractNumId w:val="31"/>
  </w:num>
  <w:num w:numId="22">
    <w:abstractNumId w:val="28"/>
  </w:num>
  <w:num w:numId="23">
    <w:abstractNumId w:val="27"/>
  </w:num>
  <w:num w:numId="24">
    <w:abstractNumId w:val="20"/>
  </w:num>
  <w:num w:numId="25">
    <w:abstractNumId w:val="33"/>
  </w:num>
  <w:num w:numId="26">
    <w:abstractNumId w:val="2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35"/>
  </w:num>
  <w:num w:numId="35">
    <w:abstractNumId w:val="24"/>
  </w:num>
  <w:num w:numId="36">
    <w:abstractNumId w:val="22"/>
  </w:num>
  <w:num w:numId="37">
    <w:abstractNumId w:val="30"/>
  </w:num>
  <w:num w:numId="38">
    <w:abstractNumId w:val="37"/>
  </w:num>
  <w:num w:numId="39">
    <w:abstractNumId w:val="3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FB"/>
    <w:rsid w:val="00010667"/>
    <w:rsid w:val="00015AE7"/>
    <w:rsid w:val="00026F91"/>
    <w:rsid w:val="0003691E"/>
    <w:rsid w:val="000407BE"/>
    <w:rsid w:val="0005045A"/>
    <w:rsid w:val="00051C1E"/>
    <w:rsid w:val="000539F9"/>
    <w:rsid w:val="00053C28"/>
    <w:rsid w:val="000547E9"/>
    <w:rsid w:val="00054C27"/>
    <w:rsid w:val="000563CE"/>
    <w:rsid w:val="0006043E"/>
    <w:rsid w:val="00071506"/>
    <w:rsid w:val="0007534C"/>
    <w:rsid w:val="00082BCF"/>
    <w:rsid w:val="0009023D"/>
    <w:rsid w:val="0009209D"/>
    <w:rsid w:val="000969BD"/>
    <w:rsid w:val="000969BF"/>
    <w:rsid w:val="000A0C22"/>
    <w:rsid w:val="000A4A51"/>
    <w:rsid w:val="000A5D2B"/>
    <w:rsid w:val="000B261E"/>
    <w:rsid w:val="000B5DE3"/>
    <w:rsid w:val="000C230C"/>
    <w:rsid w:val="000C7E50"/>
    <w:rsid w:val="000D0FBA"/>
    <w:rsid w:val="000D2110"/>
    <w:rsid w:val="000D59D2"/>
    <w:rsid w:val="000D71D9"/>
    <w:rsid w:val="000D7E8B"/>
    <w:rsid w:val="000E26FA"/>
    <w:rsid w:val="000E6097"/>
    <w:rsid w:val="000F4019"/>
    <w:rsid w:val="000F6BF8"/>
    <w:rsid w:val="000F7915"/>
    <w:rsid w:val="00105E3A"/>
    <w:rsid w:val="00111596"/>
    <w:rsid w:val="00111FCE"/>
    <w:rsid w:val="00122F6C"/>
    <w:rsid w:val="0012489B"/>
    <w:rsid w:val="00130017"/>
    <w:rsid w:val="00141AD9"/>
    <w:rsid w:val="00145646"/>
    <w:rsid w:val="00152903"/>
    <w:rsid w:val="001577C2"/>
    <w:rsid w:val="00161137"/>
    <w:rsid w:val="001633C4"/>
    <w:rsid w:val="00171591"/>
    <w:rsid w:val="00177B00"/>
    <w:rsid w:val="001828FA"/>
    <w:rsid w:val="00182D93"/>
    <w:rsid w:val="00183DBF"/>
    <w:rsid w:val="001875B7"/>
    <w:rsid w:val="00187CB3"/>
    <w:rsid w:val="001976E3"/>
    <w:rsid w:val="001B2387"/>
    <w:rsid w:val="001B58AA"/>
    <w:rsid w:val="001B7F28"/>
    <w:rsid w:val="001C1526"/>
    <w:rsid w:val="001C36CA"/>
    <w:rsid w:val="001C3DAE"/>
    <w:rsid w:val="001C44D1"/>
    <w:rsid w:val="001C57B5"/>
    <w:rsid w:val="001C5B3B"/>
    <w:rsid w:val="001C7630"/>
    <w:rsid w:val="001D61D7"/>
    <w:rsid w:val="001D6D15"/>
    <w:rsid w:val="001E1634"/>
    <w:rsid w:val="001F7558"/>
    <w:rsid w:val="002157E0"/>
    <w:rsid w:val="00215BE4"/>
    <w:rsid w:val="002217B3"/>
    <w:rsid w:val="00222104"/>
    <w:rsid w:val="00222195"/>
    <w:rsid w:val="0022334F"/>
    <w:rsid w:val="00226819"/>
    <w:rsid w:val="00226C0D"/>
    <w:rsid w:val="00227D67"/>
    <w:rsid w:val="0023358A"/>
    <w:rsid w:val="00233817"/>
    <w:rsid w:val="002367FF"/>
    <w:rsid w:val="00236CC9"/>
    <w:rsid w:val="002431D8"/>
    <w:rsid w:val="00245D42"/>
    <w:rsid w:val="00246089"/>
    <w:rsid w:val="00246702"/>
    <w:rsid w:val="00247D98"/>
    <w:rsid w:val="00247F2E"/>
    <w:rsid w:val="00250ADC"/>
    <w:rsid w:val="00262128"/>
    <w:rsid w:val="00273CEB"/>
    <w:rsid w:val="00274AFA"/>
    <w:rsid w:val="00275D47"/>
    <w:rsid w:val="00281C89"/>
    <w:rsid w:val="0028282F"/>
    <w:rsid w:val="00282F68"/>
    <w:rsid w:val="002917AF"/>
    <w:rsid w:val="00294D92"/>
    <w:rsid w:val="00295B12"/>
    <w:rsid w:val="00297FC5"/>
    <w:rsid w:val="002A0417"/>
    <w:rsid w:val="002A16A8"/>
    <w:rsid w:val="002A1BC8"/>
    <w:rsid w:val="002A2F47"/>
    <w:rsid w:val="002A3EF2"/>
    <w:rsid w:val="002B381A"/>
    <w:rsid w:val="002B4FCC"/>
    <w:rsid w:val="002B62D1"/>
    <w:rsid w:val="002B7783"/>
    <w:rsid w:val="002C35EB"/>
    <w:rsid w:val="002C48B1"/>
    <w:rsid w:val="002D3600"/>
    <w:rsid w:val="002E11EC"/>
    <w:rsid w:val="002E4DDC"/>
    <w:rsid w:val="002E780A"/>
    <w:rsid w:val="002F7F61"/>
    <w:rsid w:val="00302480"/>
    <w:rsid w:val="0031622B"/>
    <w:rsid w:val="00316C61"/>
    <w:rsid w:val="0032101B"/>
    <w:rsid w:val="0033000F"/>
    <w:rsid w:val="00332011"/>
    <w:rsid w:val="00332518"/>
    <w:rsid w:val="00336063"/>
    <w:rsid w:val="00341B7A"/>
    <w:rsid w:val="00345927"/>
    <w:rsid w:val="00345BB7"/>
    <w:rsid w:val="00350584"/>
    <w:rsid w:val="003510D0"/>
    <w:rsid w:val="00351857"/>
    <w:rsid w:val="00351C44"/>
    <w:rsid w:val="00352DB1"/>
    <w:rsid w:val="00354FF9"/>
    <w:rsid w:val="003603A5"/>
    <w:rsid w:val="003610E1"/>
    <w:rsid w:val="00362350"/>
    <w:rsid w:val="0036507E"/>
    <w:rsid w:val="003671BE"/>
    <w:rsid w:val="0037124F"/>
    <w:rsid w:val="00372485"/>
    <w:rsid w:val="0037318E"/>
    <w:rsid w:val="00375EF5"/>
    <w:rsid w:val="00376481"/>
    <w:rsid w:val="003767A5"/>
    <w:rsid w:val="00383823"/>
    <w:rsid w:val="003858C8"/>
    <w:rsid w:val="00390709"/>
    <w:rsid w:val="003A5F5B"/>
    <w:rsid w:val="003A789A"/>
    <w:rsid w:val="003B5295"/>
    <w:rsid w:val="003C238D"/>
    <w:rsid w:val="003C36B5"/>
    <w:rsid w:val="003C3F0E"/>
    <w:rsid w:val="003D43BA"/>
    <w:rsid w:val="003D6409"/>
    <w:rsid w:val="003F3FEE"/>
    <w:rsid w:val="003F4DC7"/>
    <w:rsid w:val="0041071D"/>
    <w:rsid w:val="00414AFC"/>
    <w:rsid w:val="004151A7"/>
    <w:rsid w:val="00421709"/>
    <w:rsid w:val="0042210E"/>
    <w:rsid w:val="00423148"/>
    <w:rsid w:val="00423763"/>
    <w:rsid w:val="004251BD"/>
    <w:rsid w:val="00427DC7"/>
    <w:rsid w:val="00431613"/>
    <w:rsid w:val="0043235C"/>
    <w:rsid w:val="00432642"/>
    <w:rsid w:val="0043297A"/>
    <w:rsid w:val="00432EB2"/>
    <w:rsid w:val="0043714F"/>
    <w:rsid w:val="00442C08"/>
    <w:rsid w:val="004438B5"/>
    <w:rsid w:val="0045133E"/>
    <w:rsid w:val="00454596"/>
    <w:rsid w:val="00455B4B"/>
    <w:rsid w:val="0045605D"/>
    <w:rsid w:val="00461A3A"/>
    <w:rsid w:val="00462CF9"/>
    <w:rsid w:val="00475AAA"/>
    <w:rsid w:val="00476DE1"/>
    <w:rsid w:val="00484A43"/>
    <w:rsid w:val="00494750"/>
    <w:rsid w:val="00494C98"/>
    <w:rsid w:val="004952CC"/>
    <w:rsid w:val="00496170"/>
    <w:rsid w:val="004A2D1A"/>
    <w:rsid w:val="004A56BB"/>
    <w:rsid w:val="004B1751"/>
    <w:rsid w:val="004B6B13"/>
    <w:rsid w:val="004B6E71"/>
    <w:rsid w:val="004C7047"/>
    <w:rsid w:val="004C75C9"/>
    <w:rsid w:val="004D02AD"/>
    <w:rsid w:val="004D09D7"/>
    <w:rsid w:val="004D41A7"/>
    <w:rsid w:val="004D56FF"/>
    <w:rsid w:val="004E39D3"/>
    <w:rsid w:val="004E508A"/>
    <w:rsid w:val="004F1BDE"/>
    <w:rsid w:val="004F224F"/>
    <w:rsid w:val="004F2863"/>
    <w:rsid w:val="004F3464"/>
    <w:rsid w:val="004F3BD4"/>
    <w:rsid w:val="004F7447"/>
    <w:rsid w:val="004F7F44"/>
    <w:rsid w:val="005022CC"/>
    <w:rsid w:val="005079BF"/>
    <w:rsid w:val="00510951"/>
    <w:rsid w:val="005207FB"/>
    <w:rsid w:val="00523EDF"/>
    <w:rsid w:val="00531B9A"/>
    <w:rsid w:val="00531D15"/>
    <w:rsid w:val="00535025"/>
    <w:rsid w:val="005411C7"/>
    <w:rsid w:val="00542377"/>
    <w:rsid w:val="00547745"/>
    <w:rsid w:val="005554A7"/>
    <w:rsid w:val="00557A68"/>
    <w:rsid w:val="00570181"/>
    <w:rsid w:val="0057142C"/>
    <w:rsid w:val="00575AC5"/>
    <w:rsid w:val="0057605D"/>
    <w:rsid w:val="005778F6"/>
    <w:rsid w:val="005807D5"/>
    <w:rsid w:val="00581347"/>
    <w:rsid w:val="0058305E"/>
    <w:rsid w:val="005849F8"/>
    <w:rsid w:val="00584C8C"/>
    <w:rsid w:val="0058780F"/>
    <w:rsid w:val="005929CB"/>
    <w:rsid w:val="00592F6A"/>
    <w:rsid w:val="005938DF"/>
    <w:rsid w:val="00594CF0"/>
    <w:rsid w:val="00595ED1"/>
    <w:rsid w:val="0059742F"/>
    <w:rsid w:val="005A099B"/>
    <w:rsid w:val="005A2D9C"/>
    <w:rsid w:val="005B3995"/>
    <w:rsid w:val="005B49A9"/>
    <w:rsid w:val="005B4E1A"/>
    <w:rsid w:val="005B5191"/>
    <w:rsid w:val="005D0A20"/>
    <w:rsid w:val="005D0C31"/>
    <w:rsid w:val="005D2502"/>
    <w:rsid w:val="005D49BF"/>
    <w:rsid w:val="005E3ACD"/>
    <w:rsid w:val="005E481C"/>
    <w:rsid w:val="005E6D25"/>
    <w:rsid w:val="005E7A57"/>
    <w:rsid w:val="005F060F"/>
    <w:rsid w:val="005F09FC"/>
    <w:rsid w:val="005F24B0"/>
    <w:rsid w:val="00600E24"/>
    <w:rsid w:val="006052CF"/>
    <w:rsid w:val="00607A97"/>
    <w:rsid w:val="00607B8D"/>
    <w:rsid w:val="00611F5C"/>
    <w:rsid w:val="00614622"/>
    <w:rsid w:val="00616E09"/>
    <w:rsid w:val="00631A85"/>
    <w:rsid w:val="00631E2E"/>
    <w:rsid w:val="00634478"/>
    <w:rsid w:val="0064105A"/>
    <w:rsid w:val="00642048"/>
    <w:rsid w:val="00643A24"/>
    <w:rsid w:val="00644AA6"/>
    <w:rsid w:val="00645915"/>
    <w:rsid w:val="006519C3"/>
    <w:rsid w:val="00652B30"/>
    <w:rsid w:val="00656345"/>
    <w:rsid w:val="00656DC6"/>
    <w:rsid w:val="00657EE9"/>
    <w:rsid w:val="00660309"/>
    <w:rsid w:val="00664110"/>
    <w:rsid w:val="0066630F"/>
    <w:rsid w:val="00666520"/>
    <w:rsid w:val="00667C5B"/>
    <w:rsid w:val="00671F61"/>
    <w:rsid w:val="006840B9"/>
    <w:rsid w:val="00685179"/>
    <w:rsid w:val="00691FD8"/>
    <w:rsid w:val="00692CDE"/>
    <w:rsid w:val="006939E2"/>
    <w:rsid w:val="00696613"/>
    <w:rsid w:val="006977FF"/>
    <w:rsid w:val="006A01FA"/>
    <w:rsid w:val="006A0E9E"/>
    <w:rsid w:val="006A25C7"/>
    <w:rsid w:val="006A4AAD"/>
    <w:rsid w:val="006A7AB2"/>
    <w:rsid w:val="006B44B5"/>
    <w:rsid w:val="006B5F69"/>
    <w:rsid w:val="006C0CEB"/>
    <w:rsid w:val="006C0EE4"/>
    <w:rsid w:val="006C3B1E"/>
    <w:rsid w:val="006C3C12"/>
    <w:rsid w:val="006C4785"/>
    <w:rsid w:val="006C47FD"/>
    <w:rsid w:val="006C5D55"/>
    <w:rsid w:val="006D27CB"/>
    <w:rsid w:val="006D2F08"/>
    <w:rsid w:val="006E024D"/>
    <w:rsid w:val="006E5445"/>
    <w:rsid w:val="006E58B2"/>
    <w:rsid w:val="006E7D93"/>
    <w:rsid w:val="006F176A"/>
    <w:rsid w:val="006F425F"/>
    <w:rsid w:val="006F704A"/>
    <w:rsid w:val="007021BF"/>
    <w:rsid w:val="007029A3"/>
    <w:rsid w:val="00706E4E"/>
    <w:rsid w:val="00707686"/>
    <w:rsid w:val="0070791C"/>
    <w:rsid w:val="007141A7"/>
    <w:rsid w:val="007217D0"/>
    <w:rsid w:val="00721B55"/>
    <w:rsid w:val="00725851"/>
    <w:rsid w:val="0073180D"/>
    <w:rsid w:val="00734143"/>
    <w:rsid w:val="0073747E"/>
    <w:rsid w:val="00740EAC"/>
    <w:rsid w:val="00744514"/>
    <w:rsid w:val="00744956"/>
    <w:rsid w:val="00745A5C"/>
    <w:rsid w:val="0074605F"/>
    <w:rsid w:val="007477AB"/>
    <w:rsid w:val="007517BA"/>
    <w:rsid w:val="00755A90"/>
    <w:rsid w:val="00756012"/>
    <w:rsid w:val="007561B1"/>
    <w:rsid w:val="00767C1B"/>
    <w:rsid w:val="007714A9"/>
    <w:rsid w:val="00774F88"/>
    <w:rsid w:val="007759BA"/>
    <w:rsid w:val="00776311"/>
    <w:rsid w:val="00777980"/>
    <w:rsid w:val="00781408"/>
    <w:rsid w:val="00784F7F"/>
    <w:rsid w:val="00792849"/>
    <w:rsid w:val="00793F1D"/>
    <w:rsid w:val="00796F25"/>
    <w:rsid w:val="007A2E98"/>
    <w:rsid w:val="007B1499"/>
    <w:rsid w:val="007B1BBF"/>
    <w:rsid w:val="007B2960"/>
    <w:rsid w:val="007B7980"/>
    <w:rsid w:val="007C3C11"/>
    <w:rsid w:val="007C5D5A"/>
    <w:rsid w:val="007C607F"/>
    <w:rsid w:val="007C79DD"/>
    <w:rsid w:val="007D1A97"/>
    <w:rsid w:val="007D476D"/>
    <w:rsid w:val="007E2AD7"/>
    <w:rsid w:val="007E5BE7"/>
    <w:rsid w:val="007F1FEB"/>
    <w:rsid w:val="007F49FA"/>
    <w:rsid w:val="007F6E9A"/>
    <w:rsid w:val="00800971"/>
    <w:rsid w:val="0080120A"/>
    <w:rsid w:val="0080258F"/>
    <w:rsid w:val="0080347D"/>
    <w:rsid w:val="00803836"/>
    <w:rsid w:val="008044D4"/>
    <w:rsid w:val="00806161"/>
    <w:rsid w:val="00810AB4"/>
    <w:rsid w:val="00817B56"/>
    <w:rsid w:val="00821363"/>
    <w:rsid w:val="00821688"/>
    <w:rsid w:val="00823265"/>
    <w:rsid w:val="0082495D"/>
    <w:rsid w:val="0082628C"/>
    <w:rsid w:val="00831C4B"/>
    <w:rsid w:val="008406B6"/>
    <w:rsid w:val="0084214E"/>
    <w:rsid w:val="00845F7C"/>
    <w:rsid w:val="00846094"/>
    <w:rsid w:val="008463CC"/>
    <w:rsid w:val="008531B9"/>
    <w:rsid w:val="008548A2"/>
    <w:rsid w:val="00856926"/>
    <w:rsid w:val="008634AF"/>
    <w:rsid w:val="00872369"/>
    <w:rsid w:val="008756FF"/>
    <w:rsid w:val="0087728C"/>
    <w:rsid w:val="00883628"/>
    <w:rsid w:val="00891544"/>
    <w:rsid w:val="00893AB8"/>
    <w:rsid w:val="00895661"/>
    <w:rsid w:val="00896787"/>
    <w:rsid w:val="008A04C8"/>
    <w:rsid w:val="008A2B61"/>
    <w:rsid w:val="008A4218"/>
    <w:rsid w:val="008A6516"/>
    <w:rsid w:val="008A6ACE"/>
    <w:rsid w:val="008A7BF6"/>
    <w:rsid w:val="008B1CC8"/>
    <w:rsid w:val="008B70F3"/>
    <w:rsid w:val="008B76DF"/>
    <w:rsid w:val="008C5DE5"/>
    <w:rsid w:val="008E0453"/>
    <w:rsid w:val="008E212A"/>
    <w:rsid w:val="008F1B25"/>
    <w:rsid w:val="008F3BCA"/>
    <w:rsid w:val="008F3CB5"/>
    <w:rsid w:val="008F56A2"/>
    <w:rsid w:val="008F69A6"/>
    <w:rsid w:val="00903285"/>
    <w:rsid w:val="0090731E"/>
    <w:rsid w:val="0091496C"/>
    <w:rsid w:val="00915B1C"/>
    <w:rsid w:val="0091797D"/>
    <w:rsid w:val="00920D6C"/>
    <w:rsid w:val="00922893"/>
    <w:rsid w:val="00923CBA"/>
    <w:rsid w:val="00926703"/>
    <w:rsid w:val="00927A5F"/>
    <w:rsid w:val="00930D2B"/>
    <w:rsid w:val="00936054"/>
    <w:rsid w:val="00941FB0"/>
    <w:rsid w:val="00950D1D"/>
    <w:rsid w:val="0095490B"/>
    <w:rsid w:val="00955F6B"/>
    <w:rsid w:val="0095744A"/>
    <w:rsid w:val="00962762"/>
    <w:rsid w:val="0096789C"/>
    <w:rsid w:val="00974363"/>
    <w:rsid w:val="00982986"/>
    <w:rsid w:val="00982EFE"/>
    <w:rsid w:val="0098360C"/>
    <w:rsid w:val="00995E28"/>
    <w:rsid w:val="009962FC"/>
    <w:rsid w:val="00997917"/>
    <w:rsid w:val="009A016B"/>
    <w:rsid w:val="009A54EF"/>
    <w:rsid w:val="009B4E9E"/>
    <w:rsid w:val="009B5E52"/>
    <w:rsid w:val="009C011C"/>
    <w:rsid w:val="009C0B66"/>
    <w:rsid w:val="009C0F47"/>
    <w:rsid w:val="009C1690"/>
    <w:rsid w:val="009C3014"/>
    <w:rsid w:val="009C6881"/>
    <w:rsid w:val="009C7759"/>
    <w:rsid w:val="009D43FA"/>
    <w:rsid w:val="009E038F"/>
    <w:rsid w:val="009E0B82"/>
    <w:rsid w:val="009E0BFD"/>
    <w:rsid w:val="009E16D0"/>
    <w:rsid w:val="009E38FD"/>
    <w:rsid w:val="009F13D6"/>
    <w:rsid w:val="009F78A8"/>
    <w:rsid w:val="00A029F1"/>
    <w:rsid w:val="00A02CFF"/>
    <w:rsid w:val="00A10C3F"/>
    <w:rsid w:val="00A11BD9"/>
    <w:rsid w:val="00A20393"/>
    <w:rsid w:val="00A224CE"/>
    <w:rsid w:val="00A22BA9"/>
    <w:rsid w:val="00A352F1"/>
    <w:rsid w:val="00A360C0"/>
    <w:rsid w:val="00A40871"/>
    <w:rsid w:val="00A440E0"/>
    <w:rsid w:val="00A4536A"/>
    <w:rsid w:val="00A47C5A"/>
    <w:rsid w:val="00A50A1C"/>
    <w:rsid w:val="00A53003"/>
    <w:rsid w:val="00A53CF3"/>
    <w:rsid w:val="00A71466"/>
    <w:rsid w:val="00A719CB"/>
    <w:rsid w:val="00A74B5E"/>
    <w:rsid w:val="00A803A0"/>
    <w:rsid w:val="00A81BED"/>
    <w:rsid w:val="00A9165B"/>
    <w:rsid w:val="00A92EA5"/>
    <w:rsid w:val="00A96CD3"/>
    <w:rsid w:val="00AA2D53"/>
    <w:rsid w:val="00AA3573"/>
    <w:rsid w:val="00AA4C16"/>
    <w:rsid w:val="00AA6E52"/>
    <w:rsid w:val="00AB08E3"/>
    <w:rsid w:val="00AB156C"/>
    <w:rsid w:val="00AB2238"/>
    <w:rsid w:val="00AC1FAB"/>
    <w:rsid w:val="00AC3C48"/>
    <w:rsid w:val="00AC5B7E"/>
    <w:rsid w:val="00AC7526"/>
    <w:rsid w:val="00AD3082"/>
    <w:rsid w:val="00AD4AD0"/>
    <w:rsid w:val="00AD60CD"/>
    <w:rsid w:val="00AE3ADC"/>
    <w:rsid w:val="00AE53A1"/>
    <w:rsid w:val="00AE63D8"/>
    <w:rsid w:val="00AE67EA"/>
    <w:rsid w:val="00AF1206"/>
    <w:rsid w:val="00AF2484"/>
    <w:rsid w:val="00B0165D"/>
    <w:rsid w:val="00B031F3"/>
    <w:rsid w:val="00B052A4"/>
    <w:rsid w:val="00B125DE"/>
    <w:rsid w:val="00B13FDD"/>
    <w:rsid w:val="00B230D2"/>
    <w:rsid w:val="00B26146"/>
    <w:rsid w:val="00B27B24"/>
    <w:rsid w:val="00B31167"/>
    <w:rsid w:val="00B329D8"/>
    <w:rsid w:val="00B32BB9"/>
    <w:rsid w:val="00B33AE1"/>
    <w:rsid w:val="00B35119"/>
    <w:rsid w:val="00B436BF"/>
    <w:rsid w:val="00B44100"/>
    <w:rsid w:val="00B454AE"/>
    <w:rsid w:val="00B46CBA"/>
    <w:rsid w:val="00B46F94"/>
    <w:rsid w:val="00B532FE"/>
    <w:rsid w:val="00B6026F"/>
    <w:rsid w:val="00B61F03"/>
    <w:rsid w:val="00B63298"/>
    <w:rsid w:val="00B72F4A"/>
    <w:rsid w:val="00B76FB7"/>
    <w:rsid w:val="00B77490"/>
    <w:rsid w:val="00B8074B"/>
    <w:rsid w:val="00B83C27"/>
    <w:rsid w:val="00B90237"/>
    <w:rsid w:val="00B92812"/>
    <w:rsid w:val="00B9369E"/>
    <w:rsid w:val="00B93AE1"/>
    <w:rsid w:val="00B9755F"/>
    <w:rsid w:val="00BA3DF0"/>
    <w:rsid w:val="00BA3E4A"/>
    <w:rsid w:val="00BB4CC7"/>
    <w:rsid w:val="00BC23F9"/>
    <w:rsid w:val="00BC325F"/>
    <w:rsid w:val="00BD78B3"/>
    <w:rsid w:val="00BE1BBC"/>
    <w:rsid w:val="00BE266D"/>
    <w:rsid w:val="00BF7D4A"/>
    <w:rsid w:val="00C03DB3"/>
    <w:rsid w:val="00C05211"/>
    <w:rsid w:val="00C05728"/>
    <w:rsid w:val="00C10BD2"/>
    <w:rsid w:val="00C1517F"/>
    <w:rsid w:val="00C20AB7"/>
    <w:rsid w:val="00C20E81"/>
    <w:rsid w:val="00C342E2"/>
    <w:rsid w:val="00C45155"/>
    <w:rsid w:val="00C5498F"/>
    <w:rsid w:val="00C64CD0"/>
    <w:rsid w:val="00C6684F"/>
    <w:rsid w:val="00C75F8D"/>
    <w:rsid w:val="00C86332"/>
    <w:rsid w:val="00C9011E"/>
    <w:rsid w:val="00C96725"/>
    <w:rsid w:val="00CA5A8B"/>
    <w:rsid w:val="00CB1E82"/>
    <w:rsid w:val="00CB4BA8"/>
    <w:rsid w:val="00CB6E75"/>
    <w:rsid w:val="00CC1A10"/>
    <w:rsid w:val="00CC25F6"/>
    <w:rsid w:val="00CC481A"/>
    <w:rsid w:val="00CD18BB"/>
    <w:rsid w:val="00CF075A"/>
    <w:rsid w:val="00CF369B"/>
    <w:rsid w:val="00D01508"/>
    <w:rsid w:val="00D01F56"/>
    <w:rsid w:val="00D03719"/>
    <w:rsid w:val="00D0389C"/>
    <w:rsid w:val="00D132D7"/>
    <w:rsid w:val="00D15810"/>
    <w:rsid w:val="00D160FF"/>
    <w:rsid w:val="00D165E3"/>
    <w:rsid w:val="00D2017D"/>
    <w:rsid w:val="00D20D89"/>
    <w:rsid w:val="00D22516"/>
    <w:rsid w:val="00D27F41"/>
    <w:rsid w:val="00D3001A"/>
    <w:rsid w:val="00D34B4E"/>
    <w:rsid w:val="00D36441"/>
    <w:rsid w:val="00D3689A"/>
    <w:rsid w:val="00D41D82"/>
    <w:rsid w:val="00D44E9B"/>
    <w:rsid w:val="00D4746E"/>
    <w:rsid w:val="00D50DB9"/>
    <w:rsid w:val="00D551C3"/>
    <w:rsid w:val="00D602E8"/>
    <w:rsid w:val="00D73372"/>
    <w:rsid w:val="00D86496"/>
    <w:rsid w:val="00D87B94"/>
    <w:rsid w:val="00D900AB"/>
    <w:rsid w:val="00D92D49"/>
    <w:rsid w:val="00DA4874"/>
    <w:rsid w:val="00DA4E41"/>
    <w:rsid w:val="00DB117A"/>
    <w:rsid w:val="00DB2073"/>
    <w:rsid w:val="00DB5173"/>
    <w:rsid w:val="00DB6FA4"/>
    <w:rsid w:val="00DB7873"/>
    <w:rsid w:val="00DB78EB"/>
    <w:rsid w:val="00DC187B"/>
    <w:rsid w:val="00DC7CCA"/>
    <w:rsid w:val="00DD4BEF"/>
    <w:rsid w:val="00DD73C2"/>
    <w:rsid w:val="00DE319B"/>
    <w:rsid w:val="00DE43AB"/>
    <w:rsid w:val="00DE5A40"/>
    <w:rsid w:val="00DE7E8C"/>
    <w:rsid w:val="00E0400E"/>
    <w:rsid w:val="00E05AB3"/>
    <w:rsid w:val="00E06E8C"/>
    <w:rsid w:val="00E13F3C"/>
    <w:rsid w:val="00E1404C"/>
    <w:rsid w:val="00E14E20"/>
    <w:rsid w:val="00E15371"/>
    <w:rsid w:val="00E20D2A"/>
    <w:rsid w:val="00E22FBF"/>
    <w:rsid w:val="00E24104"/>
    <w:rsid w:val="00E41ECB"/>
    <w:rsid w:val="00E47159"/>
    <w:rsid w:val="00E50697"/>
    <w:rsid w:val="00E54FDB"/>
    <w:rsid w:val="00E563D7"/>
    <w:rsid w:val="00E57821"/>
    <w:rsid w:val="00E57935"/>
    <w:rsid w:val="00E61D3C"/>
    <w:rsid w:val="00E622A7"/>
    <w:rsid w:val="00E65D45"/>
    <w:rsid w:val="00E663F4"/>
    <w:rsid w:val="00E666F2"/>
    <w:rsid w:val="00E6745C"/>
    <w:rsid w:val="00E7068B"/>
    <w:rsid w:val="00E748CC"/>
    <w:rsid w:val="00E81DFB"/>
    <w:rsid w:val="00E94CEC"/>
    <w:rsid w:val="00E950F2"/>
    <w:rsid w:val="00EA04EF"/>
    <w:rsid w:val="00EA6F19"/>
    <w:rsid w:val="00EB2286"/>
    <w:rsid w:val="00EC5CD7"/>
    <w:rsid w:val="00ED1EFB"/>
    <w:rsid w:val="00EE22A4"/>
    <w:rsid w:val="00EE54A2"/>
    <w:rsid w:val="00EE5FB3"/>
    <w:rsid w:val="00EF1756"/>
    <w:rsid w:val="00EF28B8"/>
    <w:rsid w:val="00F02D3F"/>
    <w:rsid w:val="00F1626E"/>
    <w:rsid w:val="00F17727"/>
    <w:rsid w:val="00F179D4"/>
    <w:rsid w:val="00F20FD2"/>
    <w:rsid w:val="00F2304D"/>
    <w:rsid w:val="00F2737B"/>
    <w:rsid w:val="00F30E38"/>
    <w:rsid w:val="00F347C7"/>
    <w:rsid w:val="00F34848"/>
    <w:rsid w:val="00F409A8"/>
    <w:rsid w:val="00F41D70"/>
    <w:rsid w:val="00F42D46"/>
    <w:rsid w:val="00F614C0"/>
    <w:rsid w:val="00F64BF9"/>
    <w:rsid w:val="00F6573A"/>
    <w:rsid w:val="00F70134"/>
    <w:rsid w:val="00F74575"/>
    <w:rsid w:val="00F74B07"/>
    <w:rsid w:val="00F810D8"/>
    <w:rsid w:val="00F831E9"/>
    <w:rsid w:val="00F83848"/>
    <w:rsid w:val="00F83DB9"/>
    <w:rsid w:val="00F9588F"/>
    <w:rsid w:val="00F95DC9"/>
    <w:rsid w:val="00F96FB9"/>
    <w:rsid w:val="00F97205"/>
    <w:rsid w:val="00FC39E7"/>
    <w:rsid w:val="00FC532A"/>
    <w:rsid w:val="00FC5F6D"/>
    <w:rsid w:val="00FC7E10"/>
    <w:rsid w:val="00FD1997"/>
    <w:rsid w:val="00FD7705"/>
    <w:rsid w:val="00FE0FA2"/>
    <w:rsid w:val="00FE1823"/>
    <w:rsid w:val="00FE3C2A"/>
    <w:rsid w:val="00FF0569"/>
    <w:rsid w:val="00FF4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 w:type="paragraph" w:styleId="Revision">
    <w:name w:val="Revision"/>
    <w:hidden/>
    <w:uiPriority w:val="99"/>
    <w:semiHidden/>
    <w:rsid w:val="006840B9"/>
    <w:rPr>
      <w:rFonts w:ascii="HelveticaNeueLT Std Lt" w:hAnsi="HelveticaNeueLT Std Lt"/>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 w:type="paragraph" w:styleId="Revision">
    <w:name w:val="Revision"/>
    <w:hidden/>
    <w:uiPriority w:val="99"/>
    <w:semiHidden/>
    <w:rsid w:val="006840B9"/>
    <w:rPr>
      <w:rFonts w:ascii="HelveticaNeueLT Std Lt" w:hAnsi="HelveticaNeueLT Std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3214">
      <w:bodyDiv w:val="1"/>
      <w:marLeft w:val="0"/>
      <w:marRight w:val="0"/>
      <w:marTop w:val="0"/>
      <w:marBottom w:val="0"/>
      <w:divBdr>
        <w:top w:val="none" w:sz="0" w:space="0" w:color="auto"/>
        <w:left w:val="none" w:sz="0" w:space="0" w:color="auto"/>
        <w:bottom w:val="none" w:sz="0" w:space="0" w:color="auto"/>
        <w:right w:val="none" w:sz="0" w:space="0" w:color="auto"/>
      </w:divBdr>
      <w:divsChild>
        <w:div w:id="1424060705">
          <w:marLeft w:val="0"/>
          <w:marRight w:val="0"/>
          <w:marTop w:val="0"/>
          <w:marBottom w:val="0"/>
          <w:divBdr>
            <w:top w:val="none" w:sz="0" w:space="0" w:color="auto"/>
            <w:left w:val="none" w:sz="0" w:space="0" w:color="auto"/>
            <w:bottom w:val="none" w:sz="0" w:space="0" w:color="auto"/>
            <w:right w:val="none" w:sz="0" w:space="0" w:color="auto"/>
          </w:divBdr>
          <w:divsChild>
            <w:div w:id="838618189">
              <w:marLeft w:val="0"/>
              <w:marRight w:val="0"/>
              <w:marTop w:val="0"/>
              <w:marBottom w:val="0"/>
              <w:divBdr>
                <w:top w:val="none" w:sz="0" w:space="0" w:color="auto"/>
                <w:left w:val="none" w:sz="0" w:space="0" w:color="auto"/>
                <w:bottom w:val="none" w:sz="0" w:space="0" w:color="auto"/>
                <w:right w:val="none" w:sz="0" w:space="0" w:color="auto"/>
              </w:divBdr>
              <w:divsChild>
                <w:div w:id="398358871">
                  <w:marLeft w:val="0"/>
                  <w:marRight w:val="0"/>
                  <w:marTop w:val="0"/>
                  <w:marBottom w:val="0"/>
                  <w:divBdr>
                    <w:top w:val="none" w:sz="0" w:space="0" w:color="auto"/>
                    <w:left w:val="none" w:sz="0" w:space="0" w:color="auto"/>
                    <w:bottom w:val="none" w:sz="0" w:space="0" w:color="auto"/>
                    <w:right w:val="none" w:sz="0" w:space="0" w:color="auto"/>
                  </w:divBdr>
                  <w:divsChild>
                    <w:div w:id="1629434427">
                      <w:marLeft w:val="0"/>
                      <w:marRight w:val="0"/>
                      <w:marTop w:val="0"/>
                      <w:marBottom w:val="0"/>
                      <w:divBdr>
                        <w:top w:val="none" w:sz="0" w:space="0" w:color="auto"/>
                        <w:left w:val="none" w:sz="0" w:space="0" w:color="auto"/>
                        <w:bottom w:val="none" w:sz="0" w:space="0" w:color="auto"/>
                        <w:right w:val="none" w:sz="0" w:space="0" w:color="auto"/>
                      </w:divBdr>
                      <w:divsChild>
                        <w:div w:id="644161257">
                          <w:marLeft w:val="0"/>
                          <w:marRight w:val="0"/>
                          <w:marTop w:val="0"/>
                          <w:marBottom w:val="0"/>
                          <w:divBdr>
                            <w:top w:val="single" w:sz="4" w:space="0" w:color="828282"/>
                            <w:left w:val="single" w:sz="4" w:space="0" w:color="828282"/>
                            <w:bottom w:val="single" w:sz="4" w:space="0" w:color="828282"/>
                            <w:right w:val="single" w:sz="4" w:space="0" w:color="828282"/>
                          </w:divBdr>
                          <w:divsChild>
                            <w:div w:id="670716234">
                              <w:marLeft w:val="0"/>
                              <w:marRight w:val="0"/>
                              <w:marTop w:val="0"/>
                              <w:marBottom w:val="0"/>
                              <w:divBdr>
                                <w:top w:val="none" w:sz="0" w:space="0" w:color="auto"/>
                                <w:left w:val="none" w:sz="0" w:space="0" w:color="auto"/>
                                <w:bottom w:val="none" w:sz="0" w:space="0" w:color="auto"/>
                                <w:right w:val="none" w:sz="0" w:space="0" w:color="auto"/>
                              </w:divBdr>
                              <w:divsChild>
                                <w:div w:id="270892839">
                                  <w:marLeft w:val="0"/>
                                  <w:marRight w:val="0"/>
                                  <w:marTop w:val="0"/>
                                  <w:marBottom w:val="0"/>
                                  <w:divBdr>
                                    <w:top w:val="none" w:sz="0" w:space="0" w:color="auto"/>
                                    <w:left w:val="none" w:sz="0" w:space="0" w:color="auto"/>
                                    <w:bottom w:val="none" w:sz="0" w:space="0" w:color="auto"/>
                                    <w:right w:val="none" w:sz="0" w:space="0" w:color="auto"/>
                                  </w:divBdr>
                                  <w:divsChild>
                                    <w:div w:id="65156724">
                                      <w:marLeft w:val="0"/>
                                      <w:marRight w:val="0"/>
                                      <w:marTop w:val="0"/>
                                      <w:marBottom w:val="0"/>
                                      <w:divBdr>
                                        <w:top w:val="none" w:sz="0" w:space="0" w:color="auto"/>
                                        <w:left w:val="none" w:sz="0" w:space="0" w:color="auto"/>
                                        <w:bottom w:val="none" w:sz="0" w:space="0" w:color="auto"/>
                                        <w:right w:val="none" w:sz="0" w:space="0" w:color="auto"/>
                                      </w:divBdr>
                                      <w:divsChild>
                                        <w:div w:id="1237978126">
                                          <w:marLeft w:val="0"/>
                                          <w:marRight w:val="0"/>
                                          <w:marTop w:val="0"/>
                                          <w:marBottom w:val="0"/>
                                          <w:divBdr>
                                            <w:top w:val="none" w:sz="0" w:space="0" w:color="auto"/>
                                            <w:left w:val="none" w:sz="0" w:space="0" w:color="auto"/>
                                            <w:bottom w:val="none" w:sz="0" w:space="0" w:color="auto"/>
                                            <w:right w:val="none" w:sz="0" w:space="0" w:color="auto"/>
                                          </w:divBdr>
                                          <w:divsChild>
                                            <w:div w:id="380859365">
                                              <w:marLeft w:val="0"/>
                                              <w:marRight w:val="0"/>
                                              <w:marTop w:val="0"/>
                                              <w:marBottom w:val="0"/>
                                              <w:divBdr>
                                                <w:top w:val="none" w:sz="0" w:space="0" w:color="auto"/>
                                                <w:left w:val="none" w:sz="0" w:space="0" w:color="auto"/>
                                                <w:bottom w:val="none" w:sz="0" w:space="0" w:color="auto"/>
                                                <w:right w:val="none" w:sz="0" w:space="0" w:color="auto"/>
                                              </w:divBdr>
                                              <w:divsChild>
                                                <w:div w:id="20309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7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1A031FC16374680E98F17802C0ADE" ma:contentTypeVersion="3" ma:contentTypeDescription="Create a new document." ma:contentTypeScope="" ma:versionID="ed1a09f4ea5c52cf758bb0163ab4f698">
  <xsd:schema xmlns:xsd="http://www.w3.org/2001/XMLSchema" xmlns:xs="http://www.w3.org/2001/XMLSchema" xmlns:p="http://schemas.microsoft.com/office/2006/metadata/properties" xmlns:ns2="23a4e5fa-b800-47ff-aba6-0482d4300c18" targetNamespace="http://schemas.microsoft.com/office/2006/metadata/properties" ma:root="true" ma:fieldsID="ab8b8976c50400c188fbf7e1e06ffa08" ns2:_="">
    <xsd:import namespace="23a4e5fa-b800-47ff-aba6-0482d4300c18"/>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4e5fa-b800-47ff-aba6-0482d4300c18"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3a4e5fa-b800-47ff-aba6-0482d4300c18">Briefing Attachment</pdms_DocumentType>
    <pdms_AttachedBy xmlns="23a4e5fa-b800-47ff-aba6-0482d4300c18">SHERRY , Patricia</pdms_AttachedBy>
    <pdms_Reason xmlns="23a4e5fa-b800-47ff-aba6-0482d4300c18">For Minister's approval</pdms_Rea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750C-DCCE-46E1-8DB2-57F4071F0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4e5fa-b800-47ff-aba6-0482d4300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2D3C4-0450-4A93-8467-2CFA111140E1}">
  <ds:schemaRefs>
    <ds:schemaRef ds:uri="http://schemas.microsoft.com/sharepoint/v3/contenttype/forms"/>
  </ds:schemaRefs>
</ds:datastoreItem>
</file>

<file path=customXml/itemProps3.xml><?xml version="1.0" encoding="utf-8"?>
<ds:datastoreItem xmlns:ds="http://schemas.openxmlformats.org/officeDocument/2006/customXml" ds:itemID="{EE5A05D8-BB59-449A-86D0-EA8A5B81FE91}">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23a4e5fa-b800-47ff-aba6-0482d4300c18"/>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83C1A6A-BDFB-422A-9FF4-23D31C1F8629}">
  <ds:schemaRefs>
    <ds:schemaRef ds:uri="http://schemas.openxmlformats.org/officeDocument/2006/bibliography"/>
  </ds:schemaRefs>
</ds:datastoreItem>
</file>

<file path=customXml/itemProps5.xml><?xml version="1.0" encoding="utf-8"?>
<ds:datastoreItem xmlns:ds="http://schemas.openxmlformats.org/officeDocument/2006/customXml" ds:itemID="{2C595667-2305-4754-964C-81198612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2530</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Attachment D - Explanatory Statement to NVETR (Charges) Determination 2013 (No 1)</vt:lpstr>
    </vt:vector>
  </TitlesOfParts>
  <LinksUpToDate>false</LinksUpToDate>
  <CharactersWithSpaces>15857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Explanatory Statement to NVETR (Charges) Determination 2013 (No 1)</dc:title>
  <dc:creator/>
  <cp:lastModifiedBy/>
  <cp:revision>1</cp:revision>
  <cp:lastPrinted>2012-08-31T04:44:00Z</cp:lastPrinted>
  <dcterms:created xsi:type="dcterms:W3CDTF">2013-07-30T03:18:00Z</dcterms:created>
  <dcterms:modified xsi:type="dcterms:W3CDTF">2013-07-30T03:18:00Z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y fmtid="{D5CDD505-2E9C-101B-9397-08002B2CF9AE}" pid="8" name="ContentTypeId">
    <vt:lpwstr>0x010100DC71A031FC16374680E98F17802C0ADE</vt:lpwstr>
  </property>
</Properties>
</file>