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51" w:rsidRPr="0069663C" w:rsidRDefault="00003BC4" w:rsidP="00085BA7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 wp14:anchorId="7E555765" wp14:editId="7E555766">
            <wp:extent cx="1403350" cy="108458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1" w:rsidRPr="0069663C" w:rsidRDefault="004D3F2B" w:rsidP="00085BA7">
      <w:pPr>
        <w:pStyle w:val="Title"/>
        <w:pBdr>
          <w:bottom w:val="single" w:sz="4" w:space="3" w:color="auto"/>
        </w:pBdr>
      </w:pPr>
      <w:r>
        <w:t>National Vocational Education and Training Regulator (Charges) Determination 201</w:t>
      </w:r>
      <w:r w:rsidR="004C6748">
        <w:t>3</w:t>
      </w:r>
      <w:r>
        <w:t xml:space="preserve"> (No. 1)</w:t>
      </w:r>
      <w:r w:rsidR="00ED7251">
        <w:t xml:space="preserve"> </w:t>
      </w:r>
    </w:p>
    <w:p w:rsidR="00ED7251" w:rsidRPr="006578DC" w:rsidRDefault="00ED7251" w:rsidP="00085BA7">
      <w:pPr>
        <w:spacing w:before="360"/>
        <w:jc w:val="both"/>
        <w:rPr>
          <w:i/>
        </w:rPr>
      </w:pPr>
      <w:r>
        <w:t xml:space="preserve">I, </w:t>
      </w:r>
      <w:r w:rsidR="006522E8">
        <w:t>Brendan O’Connor</w:t>
      </w:r>
      <w:r>
        <w:t xml:space="preserve">, Minister for </w:t>
      </w:r>
      <w:r w:rsidR="006522E8">
        <w:t>Skills and Training</w:t>
      </w:r>
      <w:r w:rsidR="001827D7">
        <w:t xml:space="preserve"> </w:t>
      </w:r>
      <w:r>
        <w:t>make this legislative instrument under subsection</w:t>
      </w:r>
      <w:r w:rsidR="004D3F2B">
        <w:t>s</w:t>
      </w:r>
      <w:r>
        <w:t xml:space="preserve"> </w:t>
      </w:r>
      <w:r w:rsidR="004D3F2B">
        <w:t>9</w:t>
      </w:r>
      <w:r w:rsidR="00F0785F">
        <w:t>(2)</w:t>
      </w:r>
      <w:r w:rsidR="004C6748">
        <w:t>,</w:t>
      </w:r>
      <w:r w:rsidR="001345CF">
        <w:t xml:space="preserve"> </w:t>
      </w:r>
      <w:r w:rsidR="004D3F2B">
        <w:t>12</w:t>
      </w:r>
      <w:r w:rsidR="00F0785F">
        <w:t>(2)</w:t>
      </w:r>
      <w:r w:rsidR="007A3FC7">
        <w:t xml:space="preserve"> </w:t>
      </w:r>
      <w:r w:rsidR="004C6748">
        <w:t xml:space="preserve">and 13 </w:t>
      </w:r>
      <w:r>
        <w:t xml:space="preserve">of the </w:t>
      </w:r>
      <w:r w:rsidRPr="006578DC">
        <w:rPr>
          <w:i/>
        </w:rPr>
        <w:t xml:space="preserve">National Vocational Education and Training Regulator </w:t>
      </w:r>
      <w:r w:rsidR="004D3F2B">
        <w:rPr>
          <w:i/>
        </w:rPr>
        <w:t>(Charges) Act 2012</w:t>
      </w:r>
      <w:r w:rsidRPr="006578DC">
        <w:rPr>
          <w:i/>
        </w:rPr>
        <w:t xml:space="preserve">. </w:t>
      </w:r>
    </w:p>
    <w:p w:rsidR="00ED7251" w:rsidRDefault="00ED7251" w:rsidP="00085BA7">
      <w:pPr>
        <w:tabs>
          <w:tab w:val="left" w:pos="3119"/>
        </w:tabs>
        <w:spacing w:before="300" w:after="600" w:line="300" w:lineRule="atLeast"/>
      </w:pPr>
      <w:bookmarkStart w:id="0" w:name="MadeByDate"/>
    </w:p>
    <w:p w:rsidR="00347638" w:rsidRPr="0069663C" w:rsidRDefault="00ED7251" w:rsidP="00F802CA">
      <w:pPr>
        <w:tabs>
          <w:tab w:val="left" w:pos="3119"/>
        </w:tabs>
      </w:pPr>
      <w:r w:rsidRPr="0069663C">
        <w:t>Dated</w:t>
      </w:r>
      <w:r w:rsidR="00DE4A0A">
        <w:t xml:space="preserve">   </w:t>
      </w:r>
      <w:r>
        <w:t xml:space="preserve"> </w:t>
      </w:r>
      <w:bookmarkEnd w:id="0"/>
      <w:r w:rsidR="00275662">
        <w:t>JULY 30, 2013</w:t>
      </w:r>
    </w:p>
    <w:p w:rsidR="00ED7251" w:rsidRDefault="00ED7251" w:rsidP="00F802CA">
      <w:pPr>
        <w:tabs>
          <w:tab w:val="left" w:pos="3969"/>
        </w:tabs>
      </w:pPr>
    </w:p>
    <w:p w:rsidR="00F802CA" w:rsidRDefault="00F802CA" w:rsidP="00F802CA">
      <w:pPr>
        <w:tabs>
          <w:tab w:val="left" w:pos="3969"/>
        </w:tabs>
      </w:pPr>
    </w:p>
    <w:p w:rsidR="00F802CA" w:rsidRDefault="00275662" w:rsidP="00F802CA">
      <w:pPr>
        <w:tabs>
          <w:tab w:val="left" w:pos="3969"/>
        </w:tabs>
      </w:pPr>
      <w:r>
        <w:t>BRENDAN O’CONNOR</w:t>
      </w:r>
      <w:bookmarkStart w:id="1" w:name="_GoBack"/>
      <w:bookmarkEnd w:id="1"/>
    </w:p>
    <w:p w:rsidR="00F802CA" w:rsidRDefault="00F802CA" w:rsidP="00F802CA">
      <w:pPr>
        <w:tabs>
          <w:tab w:val="left" w:pos="3969"/>
        </w:tabs>
      </w:pPr>
    </w:p>
    <w:p w:rsidR="00F802CA" w:rsidRPr="0069663C" w:rsidRDefault="00F802CA" w:rsidP="00F802CA">
      <w:pPr>
        <w:tabs>
          <w:tab w:val="left" w:pos="3969"/>
        </w:tabs>
      </w:pPr>
    </w:p>
    <w:p w:rsidR="00ED7251" w:rsidRPr="006522E8" w:rsidRDefault="006522E8" w:rsidP="00085BA7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 w:rsidRPr="006522E8">
        <w:t>Brendan O’Connor</w:t>
      </w:r>
    </w:p>
    <w:p w:rsidR="00ED7251" w:rsidRPr="0069663C" w:rsidRDefault="00ED7251" w:rsidP="00085BA7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 w:rsidRPr="006522E8">
        <w:t xml:space="preserve">Minister </w:t>
      </w:r>
      <w:r w:rsidR="006522E8" w:rsidRPr="006522E8">
        <w:t>for Skills</w:t>
      </w:r>
      <w:r w:rsidR="006522E8">
        <w:t xml:space="preserve"> and Training</w:t>
      </w:r>
    </w:p>
    <w:p w:rsidR="00ED7251" w:rsidRDefault="00ED7251" w:rsidP="00085BA7">
      <w:pPr>
        <w:pStyle w:val="SigningPageBreak"/>
        <w:jc w:val="right"/>
      </w:pPr>
    </w:p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F802CA" w:rsidRDefault="00F802CA" w:rsidP="00085BA7"/>
    <w:p w:rsidR="00F802CA" w:rsidRDefault="00F802CA" w:rsidP="00085BA7"/>
    <w:p w:rsidR="00ED7251" w:rsidRDefault="00ED7251" w:rsidP="00085BA7"/>
    <w:p w:rsidR="00ED7251" w:rsidRDefault="00ED7251">
      <w:r>
        <w:br w:type="page"/>
      </w:r>
    </w:p>
    <w:p w:rsidR="00ED7251" w:rsidRPr="0076500C" w:rsidRDefault="00ED7251" w:rsidP="00085BA7">
      <w:pPr>
        <w:jc w:val="center"/>
        <w:rPr>
          <w:b/>
        </w:rPr>
      </w:pPr>
      <w:r w:rsidRPr="0076500C">
        <w:rPr>
          <w:b/>
        </w:rPr>
        <w:lastRenderedPageBreak/>
        <w:t>Commonwealth of Australia</w:t>
      </w:r>
    </w:p>
    <w:p w:rsidR="00ED7251" w:rsidRPr="0076500C" w:rsidRDefault="00ED7251" w:rsidP="00085BA7">
      <w:pPr>
        <w:jc w:val="center"/>
        <w:rPr>
          <w:b/>
        </w:rPr>
      </w:pPr>
    </w:p>
    <w:p w:rsidR="00ED7251" w:rsidRPr="0076500C" w:rsidRDefault="00ED7251" w:rsidP="00085BA7">
      <w:pPr>
        <w:jc w:val="center"/>
      </w:pPr>
    </w:p>
    <w:p w:rsidR="00ED7251" w:rsidRPr="0076500C" w:rsidRDefault="00ED7251" w:rsidP="00085BA7">
      <w:pPr>
        <w:jc w:val="center"/>
        <w:rPr>
          <w:b/>
          <w:i/>
        </w:rPr>
      </w:pPr>
      <w:r w:rsidRPr="0076500C">
        <w:rPr>
          <w:b/>
          <w:i/>
        </w:rPr>
        <w:t xml:space="preserve">National Vocational Education and Training Regulator </w:t>
      </w:r>
      <w:r w:rsidR="004A2DAB">
        <w:rPr>
          <w:b/>
          <w:i/>
        </w:rPr>
        <w:t xml:space="preserve">(Charges) </w:t>
      </w:r>
      <w:r w:rsidRPr="0076500C">
        <w:rPr>
          <w:b/>
          <w:i/>
        </w:rPr>
        <w:t>Act 201</w:t>
      </w:r>
      <w:r w:rsidR="004A2DAB">
        <w:rPr>
          <w:b/>
          <w:i/>
        </w:rPr>
        <w:t>2</w:t>
      </w:r>
    </w:p>
    <w:p w:rsidR="00ED7251" w:rsidRPr="0076500C" w:rsidRDefault="00ED7251" w:rsidP="00085BA7">
      <w:pPr>
        <w:jc w:val="center"/>
        <w:rPr>
          <w:b/>
          <w:i/>
        </w:rPr>
      </w:pPr>
    </w:p>
    <w:p w:rsidR="00ED7251" w:rsidRPr="0076500C" w:rsidRDefault="00ED7251" w:rsidP="00085BA7">
      <w:pPr>
        <w:jc w:val="center"/>
        <w:rPr>
          <w:i/>
        </w:rPr>
      </w:pPr>
    </w:p>
    <w:p w:rsidR="00ED7251" w:rsidRPr="0076500C" w:rsidRDefault="004D3F2B" w:rsidP="00085BA7">
      <w:pPr>
        <w:jc w:val="center"/>
        <w:rPr>
          <w:b/>
        </w:rPr>
      </w:pPr>
      <w:r>
        <w:rPr>
          <w:b/>
        </w:rPr>
        <w:t>NATIONAL VOCATIONAL EDUCATION AND TRAINING REGULATOR (CHARGES) DETERMINATION 201</w:t>
      </w:r>
      <w:r w:rsidR="004C6748">
        <w:rPr>
          <w:b/>
        </w:rPr>
        <w:t>3</w:t>
      </w:r>
      <w:r>
        <w:rPr>
          <w:b/>
        </w:rPr>
        <w:t xml:space="preserve"> (No. 1)</w:t>
      </w:r>
    </w:p>
    <w:p w:rsidR="00ED7251" w:rsidRPr="0076500C" w:rsidRDefault="00ED7251" w:rsidP="00085BA7">
      <w:pPr>
        <w:jc w:val="center"/>
        <w:rPr>
          <w:b/>
        </w:rPr>
      </w:pPr>
    </w:p>
    <w:p w:rsidR="00ED7251" w:rsidRPr="0076500C" w:rsidRDefault="00ED7251" w:rsidP="00085BA7">
      <w:pPr>
        <w:jc w:val="center"/>
        <w:rPr>
          <w:b/>
        </w:rPr>
      </w:pPr>
    </w:p>
    <w:p w:rsidR="00ED7251" w:rsidRPr="0076500C" w:rsidRDefault="00ED7251" w:rsidP="006947D3">
      <w:pPr>
        <w:rPr>
          <w:b/>
        </w:rPr>
      </w:pPr>
      <w:r>
        <w:rPr>
          <w:b/>
        </w:rPr>
        <w:t>PART 1</w:t>
      </w:r>
      <w:r>
        <w:rPr>
          <w:b/>
        </w:rPr>
        <w:tab/>
        <w:t>PRELIMINARY</w:t>
      </w:r>
    </w:p>
    <w:p w:rsidR="00ED7251" w:rsidRPr="0076500C" w:rsidRDefault="00ED7251" w:rsidP="00085BA7">
      <w:pPr>
        <w:jc w:val="center"/>
        <w:rPr>
          <w:b/>
        </w:rPr>
      </w:pPr>
    </w:p>
    <w:p w:rsidR="00ED7251" w:rsidRPr="0076500C" w:rsidRDefault="00ED7251" w:rsidP="006947D3">
      <w:pPr>
        <w:rPr>
          <w:b/>
        </w:rPr>
      </w:pPr>
      <w:r>
        <w:rPr>
          <w:b/>
        </w:rPr>
        <w:t>1</w:t>
      </w:r>
      <w:r>
        <w:rPr>
          <w:b/>
        </w:rPr>
        <w:tab/>
        <w:t>Name of Instrument</w:t>
      </w:r>
    </w:p>
    <w:p w:rsidR="00ED7251" w:rsidRPr="0076500C" w:rsidRDefault="00ED7251" w:rsidP="006947D3">
      <w:pPr>
        <w:rPr>
          <w:b/>
        </w:rPr>
      </w:pPr>
    </w:p>
    <w:p w:rsidR="00ED7251" w:rsidRPr="0076500C" w:rsidRDefault="00ED7251" w:rsidP="004D3F2B">
      <w:pPr>
        <w:ind w:left="567"/>
        <w:rPr>
          <w:i/>
        </w:rPr>
      </w:pPr>
      <w:r w:rsidRPr="0076500C">
        <w:t xml:space="preserve">This legislative instrument </w:t>
      </w:r>
      <w:r>
        <w:t>is the</w:t>
      </w:r>
      <w:r w:rsidRPr="0076500C">
        <w:t xml:space="preserve"> </w:t>
      </w:r>
      <w:r w:rsidR="004D3F2B">
        <w:rPr>
          <w:i/>
        </w:rPr>
        <w:t>National Vocational Education and Training Regulator (Charges) Determination 201</w:t>
      </w:r>
      <w:r w:rsidR="00D66B55">
        <w:rPr>
          <w:i/>
        </w:rPr>
        <w:t>3</w:t>
      </w:r>
      <w:r w:rsidR="004D3F2B">
        <w:rPr>
          <w:i/>
        </w:rPr>
        <w:t xml:space="preserve"> (No. 1)</w:t>
      </w:r>
      <w:r w:rsidR="004A2DAB">
        <w:rPr>
          <w:i/>
        </w:rPr>
        <w:t>.</w:t>
      </w:r>
    </w:p>
    <w:p w:rsidR="00ED7251" w:rsidRPr="0076500C" w:rsidRDefault="00ED7251" w:rsidP="006947D3">
      <w:pPr>
        <w:rPr>
          <w:i/>
        </w:rPr>
      </w:pPr>
    </w:p>
    <w:p w:rsidR="00ED7251" w:rsidRPr="00E07CBD" w:rsidRDefault="00ED7251" w:rsidP="00A45675">
      <w:pPr>
        <w:rPr>
          <w:b/>
        </w:rPr>
      </w:pPr>
      <w:r>
        <w:rPr>
          <w:b/>
        </w:rPr>
        <w:t>2</w:t>
      </w:r>
      <w:r>
        <w:rPr>
          <w:b/>
        </w:rPr>
        <w:tab/>
        <w:t>Commencement</w:t>
      </w:r>
      <w:r w:rsidR="006E5B2E">
        <w:rPr>
          <w:b/>
        </w:rPr>
        <w:t xml:space="preserve"> </w:t>
      </w:r>
    </w:p>
    <w:p w:rsidR="00ED7251" w:rsidRPr="0076500C" w:rsidRDefault="00ED7251" w:rsidP="006947D3">
      <w:pPr>
        <w:rPr>
          <w:b/>
        </w:rPr>
      </w:pPr>
    </w:p>
    <w:p w:rsidR="00ED7251" w:rsidRPr="0076500C" w:rsidRDefault="00ED7251" w:rsidP="006947D3">
      <w:pPr>
        <w:ind w:left="567"/>
      </w:pPr>
      <w:r w:rsidRPr="0076500C">
        <w:t xml:space="preserve">This legislative instrument will </w:t>
      </w:r>
      <w:r w:rsidR="00A45675">
        <w:t xml:space="preserve">commence on the </w:t>
      </w:r>
      <w:r w:rsidR="00A45675" w:rsidRPr="00C80053">
        <w:t>day after it is registered</w:t>
      </w:r>
      <w:r w:rsidR="00A45675">
        <w:t xml:space="preserve"> on the Federal Register of Legislative Instruments</w:t>
      </w:r>
      <w:r w:rsidRPr="0076500C">
        <w:t>.</w:t>
      </w:r>
    </w:p>
    <w:p w:rsidR="00374B6F" w:rsidRDefault="00374B6F" w:rsidP="00E07CBD">
      <w:pPr>
        <w:pStyle w:val="HR"/>
        <w:ind w:left="567" w:hanging="567"/>
        <w:rPr>
          <w:rFonts w:ascii="Times New Roman" w:hAnsi="Times New Roman"/>
        </w:rPr>
      </w:pPr>
      <w:r w:rsidRPr="00E07CBD">
        <w:rPr>
          <w:rFonts w:ascii="Times New Roman" w:hAnsi="Times New Roman"/>
        </w:rPr>
        <w:t>3</w:t>
      </w:r>
      <w:r w:rsidRPr="00E07CBD">
        <w:rPr>
          <w:rFonts w:ascii="Times New Roman" w:hAnsi="Times New Roman"/>
        </w:rPr>
        <w:tab/>
        <w:t>Revocation</w:t>
      </w:r>
    </w:p>
    <w:p w:rsidR="00996426" w:rsidRPr="00265454" w:rsidRDefault="00996426" w:rsidP="00265454">
      <w:pPr>
        <w:rPr>
          <w:b/>
        </w:rPr>
      </w:pPr>
    </w:p>
    <w:p w:rsidR="00ED7251" w:rsidRPr="00E07CBD" w:rsidRDefault="00374B6F" w:rsidP="00E07CBD">
      <w:pPr>
        <w:ind w:left="567" w:hanging="567"/>
      </w:pPr>
      <w:r w:rsidRPr="00920F0E">
        <w:rPr>
          <w:rFonts w:ascii="Arial" w:hAnsi="Arial" w:cs="Arial"/>
        </w:rPr>
        <w:tab/>
      </w:r>
      <w:r w:rsidRPr="00E07CBD">
        <w:t>T</w:t>
      </w:r>
      <w:r w:rsidRPr="00374B6F">
        <w:t xml:space="preserve">he </w:t>
      </w:r>
      <w:r w:rsidRPr="00374B6F">
        <w:rPr>
          <w:i/>
        </w:rPr>
        <w:t>National Vocational Education and Training Regulator (Charges) Determination 2012 (No. 1)</w:t>
      </w:r>
      <w:r w:rsidRPr="00E07CBD">
        <w:t xml:space="preserve">) </w:t>
      </w:r>
      <w:r w:rsidR="00247CE3">
        <w:t xml:space="preserve">(old determination) </w:t>
      </w:r>
      <w:r w:rsidRPr="00E07CBD">
        <w:t>(</w:t>
      </w:r>
      <w:r w:rsidRPr="00E07CBD">
        <w:rPr>
          <w:b/>
        </w:rPr>
        <w:t>F2012L02582</w:t>
      </w:r>
      <w:r w:rsidRPr="00E07CBD">
        <w:t>) registered on 21 December 2012 is revoked</w:t>
      </w:r>
      <w:r w:rsidR="00247CE3">
        <w:t>.</w:t>
      </w:r>
    </w:p>
    <w:p w:rsidR="00374B6F" w:rsidRDefault="00374B6F" w:rsidP="00374B6F">
      <w:pPr>
        <w:rPr>
          <w:rFonts w:ascii="Arial" w:hAnsi="Arial" w:cs="Arial"/>
        </w:rPr>
      </w:pPr>
    </w:p>
    <w:p w:rsidR="00374B6F" w:rsidRPr="00E22B61" w:rsidRDefault="00374B6F" w:rsidP="00E22B61">
      <w:pPr>
        <w:pStyle w:val="ListParagraph"/>
        <w:numPr>
          <w:ilvl w:val="0"/>
          <w:numId w:val="24"/>
        </w:numPr>
        <w:ind w:left="567" w:hanging="567"/>
        <w:rPr>
          <w:b/>
        </w:rPr>
      </w:pPr>
      <w:r w:rsidRPr="00E22B61">
        <w:rPr>
          <w:b/>
        </w:rPr>
        <w:t>Savings</w:t>
      </w:r>
    </w:p>
    <w:p w:rsidR="00996426" w:rsidRDefault="00996426" w:rsidP="00374B6F">
      <w:pPr>
        <w:rPr>
          <w:b/>
        </w:rPr>
      </w:pPr>
    </w:p>
    <w:p w:rsidR="003345D3" w:rsidRPr="00E6761F" w:rsidRDefault="003345D3" w:rsidP="00E22B61">
      <w:pPr>
        <w:pStyle w:val="ListParagraph"/>
        <w:numPr>
          <w:ilvl w:val="0"/>
          <w:numId w:val="25"/>
        </w:numPr>
        <w:ind w:left="567" w:hanging="567"/>
      </w:pPr>
      <w:r w:rsidRPr="00E6761F">
        <w:t xml:space="preserve">The </w:t>
      </w:r>
      <w:r w:rsidR="009419AD" w:rsidRPr="00E6761F">
        <w:t>charges</w:t>
      </w:r>
      <w:r w:rsidRPr="00E6761F">
        <w:t xml:space="preserve"> in section 5 of the old </w:t>
      </w:r>
      <w:r w:rsidR="00247CE3" w:rsidRPr="00E6761F">
        <w:t>d</w:t>
      </w:r>
      <w:r w:rsidRPr="00E6761F">
        <w:t xml:space="preserve">etermination, </w:t>
      </w:r>
      <w:r w:rsidR="009419AD" w:rsidRPr="00E6761F">
        <w:t>continue to apply to</w:t>
      </w:r>
      <w:r w:rsidRPr="00E6761F">
        <w:t xml:space="preserve"> compliance audits commenced by ASQA</w:t>
      </w:r>
      <w:r w:rsidR="00E80330" w:rsidRPr="00E6761F">
        <w:t xml:space="preserve"> or complaints received by ASQA </w:t>
      </w:r>
      <w:r w:rsidRPr="00E6761F">
        <w:t xml:space="preserve">prior to the commencement of this </w:t>
      </w:r>
      <w:r w:rsidR="00247CE3" w:rsidRPr="00E6761F">
        <w:t>instrument</w:t>
      </w:r>
      <w:r w:rsidR="00E6761F">
        <w:t>.</w:t>
      </w:r>
    </w:p>
    <w:p w:rsidR="00996426" w:rsidRDefault="00996426" w:rsidP="004642C2">
      <w:pPr>
        <w:pStyle w:val="ListParagraph"/>
        <w:ind w:left="567" w:hanging="567"/>
      </w:pPr>
    </w:p>
    <w:p w:rsidR="003345D3" w:rsidRPr="003E601F" w:rsidRDefault="003345D3" w:rsidP="00E22B61">
      <w:pPr>
        <w:pStyle w:val="ListParagraph"/>
        <w:numPr>
          <w:ilvl w:val="0"/>
          <w:numId w:val="25"/>
        </w:numPr>
        <w:ind w:left="567" w:hanging="567"/>
      </w:pPr>
      <w:r>
        <w:t xml:space="preserve">Despite subsection </w:t>
      </w:r>
      <w:r w:rsidR="00247CE3">
        <w:t>4</w:t>
      </w:r>
      <w:r>
        <w:t>(</w:t>
      </w:r>
      <w:r w:rsidR="00E80330">
        <w:t>1</w:t>
      </w:r>
      <w:r>
        <w:t>)</w:t>
      </w:r>
      <w:r w:rsidR="00FE2445">
        <w:t>,</w:t>
      </w:r>
      <w:r>
        <w:t xml:space="preserve"> or any other section in this </w:t>
      </w:r>
      <w:r w:rsidR="00247CE3">
        <w:t>instrument</w:t>
      </w:r>
      <w:r>
        <w:t xml:space="preserve">, </w:t>
      </w:r>
      <w:r w:rsidRPr="00FE62FD">
        <w:t xml:space="preserve">compliance audits and investigations </w:t>
      </w:r>
      <w:r w:rsidR="00D71920">
        <w:t xml:space="preserve">into substantiated </w:t>
      </w:r>
      <w:r w:rsidRPr="00FE62FD">
        <w:t xml:space="preserve">complaints commenced by ASQA prior to the commencement of this </w:t>
      </w:r>
      <w:r w:rsidR="00247CE3">
        <w:t>instrument</w:t>
      </w:r>
      <w:r>
        <w:t xml:space="preserve"> may be waived</w:t>
      </w:r>
      <w:r w:rsidR="00E80330">
        <w:t>, in whole or in part,</w:t>
      </w:r>
      <w:r>
        <w:t xml:space="preserve"> in accordance with section </w:t>
      </w:r>
      <w:r w:rsidR="00E22B61">
        <w:t>9</w:t>
      </w:r>
      <w:r>
        <w:t xml:space="preserve"> of this instrument.</w:t>
      </w:r>
    </w:p>
    <w:p w:rsidR="00374B6F" w:rsidRDefault="00374B6F" w:rsidP="00374B6F"/>
    <w:p w:rsidR="00ED7251" w:rsidRDefault="00277C54" w:rsidP="006947D3">
      <w:pPr>
        <w:rPr>
          <w:b/>
        </w:rPr>
      </w:pPr>
      <w:r>
        <w:rPr>
          <w:b/>
        </w:rPr>
        <w:t>5</w:t>
      </w:r>
      <w:r w:rsidR="00ED7251">
        <w:rPr>
          <w:b/>
        </w:rPr>
        <w:tab/>
      </w:r>
      <w:r w:rsidR="0053038B">
        <w:rPr>
          <w:b/>
        </w:rPr>
        <w:t xml:space="preserve">Authority </w:t>
      </w:r>
    </w:p>
    <w:p w:rsidR="00F0785F" w:rsidRDefault="00F0785F" w:rsidP="006947D3">
      <w:pPr>
        <w:rPr>
          <w:b/>
        </w:rPr>
      </w:pPr>
    </w:p>
    <w:p w:rsidR="00ED7251" w:rsidRDefault="00ED7251" w:rsidP="00F5097E">
      <w:pPr>
        <w:tabs>
          <w:tab w:val="left" w:pos="567"/>
          <w:tab w:val="left" w:pos="851"/>
        </w:tabs>
        <w:ind w:left="567"/>
      </w:pPr>
      <w:r>
        <w:t>This legislative instrument is made under</w:t>
      </w:r>
      <w:r w:rsidR="00347638">
        <w:t xml:space="preserve"> </w:t>
      </w:r>
      <w:r>
        <w:t>subsection</w:t>
      </w:r>
      <w:r w:rsidR="004D3F2B">
        <w:t>s 9</w:t>
      </w:r>
      <w:r w:rsidR="00025914">
        <w:t>(2)</w:t>
      </w:r>
      <w:r w:rsidR="004C6748">
        <w:t>,</w:t>
      </w:r>
      <w:r w:rsidR="00347638">
        <w:t xml:space="preserve"> </w:t>
      </w:r>
      <w:r w:rsidR="004D3F2B">
        <w:t>12</w:t>
      </w:r>
      <w:r w:rsidR="00025914">
        <w:t>(2)</w:t>
      </w:r>
      <w:r w:rsidR="00347638">
        <w:t xml:space="preserve"> </w:t>
      </w:r>
      <w:r w:rsidR="004C6748">
        <w:t xml:space="preserve">and </w:t>
      </w:r>
      <w:r w:rsidR="006B4F11">
        <w:t xml:space="preserve">section </w:t>
      </w:r>
      <w:r w:rsidR="004C6748">
        <w:t xml:space="preserve">13 </w:t>
      </w:r>
      <w:r>
        <w:t xml:space="preserve">of the </w:t>
      </w:r>
      <w:r w:rsidR="00E33B7B" w:rsidRPr="00E07CBD">
        <w:rPr>
          <w:i/>
        </w:rPr>
        <w:t xml:space="preserve">National Vocational Education and Training Regulator (Charges) Act 2012 </w:t>
      </w:r>
      <w:r w:rsidR="00E33B7B" w:rsidRPr="00E07CBD">
        <w:t>(the</w:t>
      </w:r>
      <w:r w:rsidR="00E33B7B">
        <w:rPr>
          <w:b/>
          <w:i/>
        </w:rPr>
        <w:t xml:space="preserve"> </w:t>
      </w:r>
      <w:r w:rsidR="004D3F2B">
        <w:t xml:space="preserve">Charges </w:t>
      </w:r>
      <w:r>
        <w:t>Act</w:t>
      </w:r>
      <w:r w:rsidR="00E33B7B">
        <w:t>)</w:t>
      </w:r>
      <w:r>
        <w:t>.</w:t>
      </w:r>
    </w:p>
    <w:p w:rsidR="0053038B" w:rsidRDefault="0053038B" w:rsidP="00F5097E">
      <w:pPr>
        <w:tabs>
          <w:tab w:val="left" w:pos="567"/>
          <w:tab w:val="left" w:pos="851"/>
        </w:tabs>
        <w:ind w:left="567"/>
      </w:pPr>
    </w:p>
    <w:p w:rsidR="00ED7251" w:rsidRDefault="0053038B" w:rsidP="00F5097E">
      <w:r>
        <w:rPr>
          <w:b/>
        </w:rPr>
        <w:t>6</w:t>
      </w:r>
      <w:r>
        <w:rPr>
          <w:b/>
        </w:rPr>
        <w:tab/>
        <w:t>Purpose</w:t>
      </w:r>
    </w:p>
    <w:p w:rsidR="00E22B61" w:rsidRDefault="00E22B61" w:rsidP="006947D3">
      <w:pPr>
        <w:ind w:left="567"/>
      </w:pPr>
    </w:p>
    <w:p w:rsidR="00ED7251" w:rsidRDefault="00DB0967" w:rsidP="006947D3">
      <w:pPr>
        <w:ind w:left="567"/>
      </w:pPr>
      <w:r>
        <w:t>The purpose of this i</w:t>
      </w:r>
      <w:r w:rsidR="00ED7251">
        <w:t xml:space="preserve">nstrument is to determine the </w:t>
      </w:r>
      <w:r w:rsidR="004D3F2B">
        <w:t xml:space="preserve">formula for calculating a charge payable under </w:t>
      </w:r>
      <w:r w:rsidR="00F0785F">
        <w:t xml:space="preserve">Part 2 and Part 3 of </w:t>
      </w:r>
      <w:r w:rsidR="00AB3EA2">
        <w:t>the Charges Act</w:t>
      </w:r>
      <w:r w:rsidR="004C6748">
        <w:t xml:space="preserve"> and to determine the circumstances in which that charge may be waived in whole or in part under Part 4 of the Charges Act</w:t>
      </w:r>
      <w:r w:rsidR="00D53494">
        <w:t xml:space="preserve">. </w:t>
      </w:r>
    </w:p>
    <w:p w:rsidR="008B5851" w:rsidRDefault="008B5851" w:rsidP="006947D3">
      <w:pPr>
        <w:ind w:left="567"/>
      </w:pPr>
    </w:p>
    <w:p w:rsidR="00302F41" w:rsidRDefault="00302F41" w:rsidP="006947D3">
      <w:pPr>
        <w:ind w:left="567"/>
      </w:pPr>
    </w:p>
    <w:p w:rsidR="00ED7251" w:rsidRDefault="0053038B" w:rsidP="00085BA7">
      <w:pPr>
        <w:rPr>
          <w:b/>
        </w:rPr>
      </w:pPr>
      <w:r>
        <w:rPr>
          <w:b/>
        </w:rPr>
        <w:t>7</w:t>
      </w:r>
      <w:r w:rsidR="00ED7251" w:rsidRPr="00FE6D7F">
        <w:rPr>
          <w:b/>
        </w:rPr>
        <w:tab/>
        <w:t>Definitions</w:t>
      </w:r>
    </w:p>
    <w:p w:rsidR="00417CD8" w:rsidRDefault="00ED7251" w:rsidP="00085BA7">
      <w:pPr>
        <w:rPr>
          <w:b/>
        </w:rPr>
      </w:pPr>
      <w:r>
        <w:rPr>
          <w:b/>
        </w:rPr>
        <w:tab/>
      </w:r>
    </w:p>
    <w:p w:rsidR="00ED7251" w:rsidRPr="00E614FE" w:rsidRDefault="00DB0967" w:rsidP="00417CD8">
      <w:pPr>
        <w:ind w:firstLine="567"/>
      </w:pPr>
      <w:r>
        <w:t>In this i</w:t>
      </w:r>
      <w:r w:rsidR="00ED7251" w:rsidRPr="00FE6D7F">
        <w:t>nstrument</w:t>
      </w:r>
      <w:r w:rsidR="00ED7251" w:rsidRPr="00E614FE">
        <w:t>:</w:t>
      </w:r>
    </w:p>
    <w:p w:rsidR="00ED7251" w:rsidRDefault="00ED7251" w:rsidP="00085BA7">
      <w:pPr>
        <w:rPr>
          <w:b/>
        </w:rPr>
      </w:pPr>
    </w:p>
    <w:p w:rsidR="00ED7251" w:rsidRPr="00003BC4" w:rsidRDefault="00ED7251" w:rsidP="00DB1530">
      <w:pPr>
        <w:ind w:left="567"/>
      </w:pPr>
      <w:r w:rsidRPr="00FE6D7F">
        <w:rPr>
          <w:b/>
          <w:i/>
        </w:rPr>
        <w:t>ASQA</w:t>
      </w:r>
      <w:r>
        <w:t xml:space="preserve"> means the National VET Regulator established under subsection 155(1) of the </w:t>
      </w:r>
      <w:r w:rsidR="00D53494" w:rsidRPr="00D53494">
        <w:rPr>
          <w:i/>
        </w:rPr>
        <w:t>National Vocational Education and Training Regulator Act 2011</w:t>
      </w:r>
      <w:r w:rsidR="00003BC4">
        <w:t xml:space="preserve"> and specified under section 5 of the </w:t>
      </w:r>
      <w:r w:rsidR="00003BC4">
        <w:rPr>
          <w:i/>
        </w:rPr>
        <w:t>National Vocational Education and Training Regulator Regulations 2011</w:t>
      </w:r>
      <w:r w:rsidR="004A2DAB">
        <w:t xml:space="preserve"> to be known as the Australian Skills Quality Authority</w:t>
      </w:r>
      <w:r w:rsidR="00003BC4">
        <w:t>.</w:t>
      </w:r>
    </w:p>
    <w:p w:rsidR="004D3F2B" w:rsidRDefault="004D3F2B" w:rsidP="00DB1530">
      <w:pPr>
        <w:ind w:left="567"/>
      </w:pPr>
    </w:p>
    <w:p w:rsidR="004D3F2B" w:rsidRDefault="004D3F2B" w:rsidP="004D3F2B">
      <w:pPr>
        <w:ind w:left="567"/>
      </w:pPr>
      <w:r>
        <w:rPr>
          <w:b/>
          <w:i/>
        </w:rPr>
        <w:t xml:space="preserve">Charges </w:t>
      </w:r>
      <w:r w:rsidRPr="00FE6D7F">
        <w:rPr>
          <w:b/>
          <w:i/>
        </w:rPr>
        <w:t>Act</w:t>
      </w:r>
      <w:r w:rsidRPr="00FE6D7F">
        <w:t xml:space="preserve"> means the </w:t>
      </w:r>
      <w:r w:rsidRPr="00FE6D7F">
        <w:rPr>
          <w:i/>
        </w:rPr>
        <w:t xml:space="preserve">National Vocational Education and Training Regulator </w:t>
      </w:r>
      <w:r>
        <w:rPr>
          <w:i/>
        </w:rPr>
        <w:t xml:space="preserve">(Charges) </w:t>
      </w:r>
      <w:r w:rsidRPr="00FE6D7F">
        <w:rPr>
          <w:i/>
        </w:rPr>
        <w:t>Act 201</w:t>
      </w:r>
      <w:r>
        <w:rPr>
          <w:i/>
        </w:rPr>
        <w:t>2</w:t>
      </w:r>
      <w:r>
        <w:t xml:space="preserve">. </w:t>
      </w:r>
    </w:p>
    <w:p w:rsidR="00C508F0" w:rsidRDefault="00C508F0" w:rsidP="004D3F2B">
      <w:pPr>
        <w:ind w:left="567"/>
      </w:pPr>
    </w:p>
    <w:p w:rsidR="00656377" w:rsidRDefault="000E2CF6" w:rsidP="00522401">
      <w:pPr>
        <w:spacing w:after="120"/>
        <w:ind w:left="567"/>
      </w:pPr>
      <w:r>
        <w:rPr>
          <w:b/>
          <w:i/>
        </w:rPr>
        <w:t>ASQA official</w:t>
      </w:r>
      <w:r w:rsidR="00B7599A" w:rsidRPr="00B7599A">
        <w:rPr>
          <w:b/>
          <w:i/>
        </w:rPr>
        <w:t xml:space="preserve"> travel costs </w:t>
      </w:r>
      <w:r w:rsidR="00C508F0">
        <w:t>means</w:t>
      </w:r>
      <w:r w:rsidR="005B4EC0">
        <w:t>:</w:t>
      </w:r>
      <w:r w:rsidR="00656377">
        <w:t xml:space="preserve"> </w:t>
      </w:r>
    </w:p>
    <w:p w:rsidR="0059003E" w:rsidRDefault="0053038B" w:rsidP="00522401">
      <w:pPr>
        <w:pStyle w:val="ListParagraph"/>
        <w:spacing w:before="120"/>
        <w:ind w:left="1701" w:hanging="414"/>
        <w:rPr>
          <w:bCs/>
        </w:rPr>
      </w:pPr>
      <w:r>
        <w:t>(1)</w:t>
      </w:r>
      <w:r>
        <w:tab/>
      </w:r>
      <w:r w:rsidR="00F51AF1">
        <w:t>r</w:t>
      </w:r>
      <w:r w:rsidR="00BC7A11" w:rsidRPr="00BC7A11">
        <w:t>easonably incurred airfares</w:t>
      </w:r>
      <w:r w:rsidR="00656377" w:rsidRPr="00BC7A11">
        <w:rPr>
          <w:bCs/>
        </w:rPr>
        <w:t>;</w:t>
      </w:r>
      <w:r w:rsidR="0065324A">
        <w:rPr>
          <w:bCs/>
        </w:rPr>
        <w:t xml:space="preserve"> and</w:t>
      </w:r>
    </w:p>
    <w:p w:rsidR="00522401" w:rsidRDefault="00522401" w:rsidP="00522401">
      <w:pPr>
        <w:pStyle w:val="ListParagraph"/>
        <w:spacing w:before="120"/>
        <w:ind w:left="1701" w:hanging="414"/>
        <w:rPr>
          <w:bCs/>
        </w:rPr>
      </w:pPr>
    </w:p>
    <w:p w:rsidR="0059003E" w:rsidRDefault="0065324A" w:rsidP="00F5097E">
      <w:pPr>
        <w:pStyle w:val="ListParagraph"/>
        <w:numPr>
          <w:ilvl w:val="0"/>
          <w:numId w:val="19"/>
        </w:numPr>
        <w:ind w:left="1701" w:hanging="425"/>
      </w:pPr>
      <w:r>
        <w:rPr>
          <w:bCs/>
        </w:rPr>
        <w:t xml:space="preserve">such other travel expenses which may reasonably be incurred, including </w:t>
      </w:r>
      <w:r w:rsidR="00725F26">
        <w:rPr>
          <w:bCs/>
        </w:rPr>
        <w:t>but not limited to</w:t>
      </w:r>
      <w:r w:rsidR="00AA49B2">
        <w:rPr>
          <w:bCs/>
        </w:rPr>
        <w:t xml:space="preserve">, </w:t>
      </w:r>
      <w:r w:rsidR="00656377">
        <w:rPr>
          <w:bCs/>
        </w:rPr>
        <w:t>accommodation</w:t>
      </w:r>
      <w:r>
        <w:rPr>
          <w:bCs/>
        </w:rPr>
        <w:t>, car rental</w:t>
      </w:r>
      <w:r w:rsidR="00725F26">
        <w:rPr>
          <w:bCs/>
        </w:rPr>
        <w:t xml:space="preserve"> and meals.</w:t>
      </w:r>
      <w:r w:rsidR="00F175BD" w:rsidRPr="00FE6D7F" w:rsidDel="00F175BD">
        <w:t xml:space="preserve"> </w:t>
      </w:r>
    </w:p>
    <w:p w:rsidR="00996426" w:rsidRDefault="00996426" w:rsidP="00E07CBD">
      <w:pPr>
        <w:pStyle w:val="ListParagraph"/>
        <w:ind w:left="1287"/>
      </w:pPr>
    </w:p>
    <w:p w:rsidR="00996426" w:rsidRPr="0053038B" w:rsidRDefault="004C6748" w:rsidP="00E07CBD">
      <w:pPr>
        <w:ind w:left="567" w:firstLine="3"/>
        <w:rPr>
          <w:lang w:eastAsia="en-AU"/>
        </w:rPr>
      </w:pPr>
      <w:r w:rsidRPr="00F5097E">
        <w:rPr>
          <w:b/>
          <w:i/>
        </w:rPr>
        <w:t>Reasonable expenses</w:t>
      </w:r>
      <w:r w:rsidRPr="00F5097E">
        <w:rPr>
          <w:i/>
        </w:rPr>
        <w:t xml:space="preserve"> </w:t>
      </w:r>
      <w:r w:rsidRPr="00F5097E">
        <w:t>means</w:t>
      </w:r>
      <w:r w:rsidR="00996426" w:rsidRPr="00F5097E">
        <w:t xml:space="preserve"> expenses that </w:t>
      </w:r>
      <w:r w:rsidR="00996426" w:rsidRPr="0053038B">
        <w:t>would be</w:t>
      </w:r>
      <w:r w:rsidR="00996426" w:rsidRPr="0053038B">
        <w:rPr>
          <w:lang w:eastAsia="en-AU"/>
        </w:rPr>
        <w:t xml:space="preserve"> incurred by </w:t>
      </w:r>
      <w:r w:rsidR="00996426" w:rsidRPr="00AB22FF">
        <w:rPr>
          <w:lang w:eastAsia="en-AU"/>
        </w:rPr>
        <w:t>APS employees</w:t>
      </w:r>
      <w:r w:rsidR="00996426" w:rsidRPr="0053038B">
        <w:rPr>
          <w:lang w:eastAsia="en-AU"/>
        </w:rPr>
        <w:t xml:space="preserve"> or officials perform</w:t>
      </w:r>
      <w:r w:rsidR="00996426" w:rsidRPr="00797187">
        <w:t>ing</w:t>
      </w:r>
      <w:r w:rsidR="00996426" w:rsidRPr="00F5097E">
        <w:rPr>
          <w:lang w:eastAsia="en-AU"/>
        </w:rPr>
        <w:t xml:space="preserve"> similar or comparable work in overseas locations in accordance with the then current Commonwealth policy governing overseas travel expenses</w:t>
      </w:r>
      <w:r w:rsidR="00996426" w:rsidRPr="00F5097E">
        <w:t>.</w:t>
      </w:r>
    </w:p>
    <w:p w:rsidR="00996426" w:rsidRDefault="00996426" w:rsidP="00F0785F">
      <w:pPr>
        <w:ind w:left="1695" w:hanging="1125"/>
        <w:rPr>
          <w:sz w:val="22"/>
          <w:szCs w:val="22"/>
        </w:rPr>
      </w:pPr>
    </w:p>
    <w:p w:rsidR="00ED7251" w:rsidRDefault="00F0785F" w:rsidP="00F0785F">
      <w:pPr>
        <w:ind w:left="1695" w:hanging="1125"/>
        <w:rPr>
          <w:sz w:val="22"/>
          <w:szCs w:val="22"/>
        </w:rPr>
      </w:pPr>
      <w:r w:rsidRPr="00F0785F">
        <w:rPr>
          <w:sz w:val="22"/>
          <w:szCs w:val="22"/>
        </w:rPr>
        <w:t>Note:</w:t>
      </w:r>
      <w:r w:rsidRPr="00F0785F">
        <w:rPr>
          <w:sz w:val="22"/>
          <w:szCs w:val="22"/>
        </w:rPr>
        <w:tab/>
      </w:r>
      <w:r w:rsidR="00003BC4">
        <w:rPr>
          <w:sz w:val="22"/>
          <w:szCs w:val="22"/>
        </w:rPr>
        <w:t>Unless contrary intention appears, a</w:t>
      </w:r>
      <w:r w:rsidRPr="00F0785F">
        <w:rPr>
          <w:sz w:val="22"/>
          <w:szCs w:val="22"/>
        </w:rPr>
        <w:t xml:space="preserve">n expression has the same meaning in this legislative instrument as in the </w:t>
      </w:r>
      <w:r w:rsidRPr="00F0785F">
        <w:rPr>
          <w:i/>
          <w:sz w:val="22"/>
          <w:szCs w:val="22"/>
        </w:rPr>
        <w:t>National Vocational Education and Training Regulator</w:t>
      </w:r>
      <w:r w:rsidR="004A2DAB">
        <w:rPr>
          <w:i/>
          <w:sz w:val="22"/>
          <w:szCs w:val="22"/>
        </w:rPr>
        <w:t xml:space="preserve"> </w:t>
      </w:r>
      <w:r w:rsidR="00060C0A">
        <w:rPr>
          <w:i/>
          <w:sz w:val="22"/>
          <w:szCs w:val="22"/>
        </w:rPr>
        <w:t>(</w:t>
      </w:r>
      <w:r w:rsidR="004A2DAB">
        <w:rPr>
          <w:i/>
          <w:sz w:val="22"/>
          <w:szCs w:val="22"/>
        </w:rPr>
        <w:t>Charges</w:t>
      </w:r>
      <w:r w:rsidR="00060C0A">
        <w:rPr>
          <w:i/>
          <w:sz w:val="22"/>
          <w:szCs w:val="22"/>
        </w:rPr>
        <w:t>)</w:t>
      </w:r>
      <w:r w:rsidRPr="00F0785F">
        <w:rPr>
          <w:i/>
          <w:sz w:val="22"/>
          <w:szCs w:val="22"/>
        </w:rPr>
        <w:t xml:space="preserve"> Act 201</w:t>
      </w:r>
      <w:r w:rsidR="004A2DAB">
        <w:rPr>
          <w:i/>
          <w:sz w:val="22"/>
          <w:szCs w:val="22"/>
        </w:rPr>
        <w:t>2</w:t>
      </w:r>
      <w:r w:rsidRPr="00F0785F">
        <w:rPr>
          <w:sz w:val="22"/>
          <w:szCs w:val="22"/>
        </w:rPr>
        <w:t xml:space="preserve">. </w:t>
      </w:r>
    </w:p>
    <w:p w:rsidR="00060C0A" w:rsidRDefault="00060C0A" w:rsidP="00085BA7">
      <w:pPr>
        <w:rPr>
          <w:b/>
        </w:rPr>
      </w:pPr>
    </w:p>
    <w:p w:rsidR="00060C0A" w:rsidRDefault="00060C0A" w:rsidP="00085BA7">
      <w:pPr>
        <w:rPr>
          <w:b/>
        </w:rPr>
      </w:pPr>
    </w:p>
    <w:p w:rsidR="00ED7251" w:rsidRPr="00FE6D7F" w:rsidRDefault="00055C6E" w:rsidP="00085BA7">
      <w:pPr>
        <w:rPr>
          <w:b/>
        </w:rPr>
      </w:pPr>
      <w:r>
        <w:rPr>
          <w:b/>
        </w:rPr>
        <w:t xml:space="preserve">PART </w:t>
      </w:r>
      <w:r w:rsidR="00F0785F">
        <w:rPr>
          <w:b/>
        </w:rPr>
        <w:t xml:space="preserve">2 </w:t>
      </w:r>
      <w:r w:rsidR="00266224">
        <w:rPr>
          <w:b/>
        </w:rPr>
        <w:tab/>
      </w:r>
      <w:r w:rsidR="00F0785F">
        <w:rPr>
          <w:b/>
        </w:rPr>
        <w:t xml:space="preserve">CALCULATION </w:t>
      </w:r>
      <w:r w:rsidR="00D60AA5">
        <w:rPr>
          <w:b/>
        </w:rPr>
        <w:t>FORMULAS</w:t>
      </w:r>
    </w:p>
    <w:p w:rsidR="00ED7251" w:rsidRDefault="00ED7251" w:rsidP="0076500C">
      <w:pPr>
        <w:ind w:left="567" w:hanging="567"/>
        <w:rPr>
          <w:b/>
        </w:rPr>
      </w:pPr>
    </w:p>
    <w:p w:rsidR="00ED7251" w:rsidRDefault="00797187" w:rsidP="002E636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345"/>
        </w:tabs>
        <w:ind w:left="567" w:hanging="567"/>
        <w:rPr>
          <w:b/>
        </w:rPr>
      </w:pPr>
      <w:r>
        <w:rPr>
          <w:b/>
        </w:rPr>
        <w:t>8</w:t>
      </w:r>
      <w:r w:rsidR="00ED7251">
        <w:rPr>
          <w:b/>
        </w:rPr>
        <w:tab/>
      </w:r>
      <w:r w:rsidR="00055C6E">
        <w:rPr>
          <w:b/>
        </w:rPr>
        <w:t>Calculation Formula</w:t>
      </w:r>
      <w:r w:rsidR="00D60AA5">
        <w:rPr>
          <w:b/>
        </w:rPr>
        <w:t>s</w:t>
      </w:r>
      <w:r w:rsidR="002E636B">
        <w:rPr>
          <w:b/>
        </w:rPr>
        <w:tab/>
      </w:r>
      <w:r w:rsidR="002E636B">
        <w:rPr>
          <w:b/>
        </w:rPr>
        <w:tab/>
      </w:r>
    </w:p>
    <w:p w:rsidR="00055C6E" w:rsidRDefault="00055C6E" w:rsidP="00DB1530">
      <w:pPr>
        <w:ind w:left="567" w:hanging="567"/>
        <w:rPr>
          <w:b/>
        </w:rPr>
      </w:pPr>
    </w:p>
    <w:p w:rsidR="00055C6E" w:rsidRPr="00055C6E" w:rsidRDefault="00055C6E" w:rsidP="00055C6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055C6E">
        <w:t>For the purpose of subsection 9(1) of the Charges Act, a charge under Part 2 of that Act is to be calculated according to the following formula:</w:t>
      </w:r>
    </w:p>
    <w:p w:rsidR="0053038B" w:rsidRPr="00EF4DCC" w:rsidRDefault="00C850CD" w:rsidP="00F5097E">
      <w:pPr>
        <w:pStyle w:val="subsection"/>
        <w:numPr>
          <w:ilvl w:val="0"/>
          <w:numId w:val="18"/>
        </w:numPr>
        <w:tabs>
          <w:tab w:val="clear" w:pos="1021"/>
          <w:tab w:val="left" w:pos="1985"/>
        </w:tabs>
        <w:ind w:left="1985" w:hanging="709"/>
        <w:rPr>
          <w:b/>
          <w:color w:val="000000" w:themeColor="text1"/>
          <w:sz w:val="24"/>
        </w:rPr>
      </w:pPr>
      <w:r>
        <w:rPr>
          <w:sz w:val="24"/>
        </w:rPr>
        <w:t>t</w:t>
      </w:r>
      <w:r w:rsidR="00055C6E" w:rsidRPr="00055C6E">
        <w:rPr>
          <w:sz w:val="24"/>
        </w:rPr>
        <w:t xml:space="preserve">he costs and expenses incurred by </w:t>
      </w:r>
      <w:r w:rsidR="00055C6E" w:rsidRPr="00EF4DCC">
        <w:rPr>
          <w:color w:val="000000" w:themeColor="text1"/>
          <w:sz w:val="24"/>
        </w:rPr>
        <w:t xml:space="preserve">ASQA in conducting </w:t>
      </w:r>
      <w:r w:rsidR="00003BC4" w:rsidRPr="00EF4DCC">
        <w:rPr>
          <w:color w:val="000000" w:themeColor="text1"/>
          <w:sz w:val="24"/>
        </w:rPr>
        <w:t>a</w:t>
      </w:r>
      <w:r w:rsidR="00055C6E" w:rsidRPr="00EF4DCC">
        <w:rPr>
          <w:color w:val="000000" w:themeColor="text1"/>
          <w:sz w:val="24"/>
        </w:rPr>
        <w:t xml:space="preserve"> </w:t>
      </w:r>
      <w:r w:rsidR="00F0785F" w:rsidRPr="00EF4DCC">
        <w:rPr>
          <w:color w:val="000000" w:themeColor="text1"/>
          <w:sz w:val="24"/>
        </w:rPr>
        <w:t xml:space="preserve">compliance </w:t>
      </w:r>
      <w:r w:rsidR="00055C6E" w:rsidRPr="00EF4DCC">
        <w:rPr>
          <w:color w:val="000000" w:themeColor="text1"/>
          <w:sz w:val="24"/>
        </w:rPr>
        <w:t>audit</w:t>
      </w:r>
      <w:r w:rsidR="0053038B" w:rsidRPr="00EF4DCC">
        <w:rPr>
          <w:color w:val="000000" w:themeColor="text1"/>
          <w:sz w:val="24"/>
        </w:rPr>
        <w:t>:</w:t>
      </w:r>
    </w:p>
    <w:p w:rsidR="0053038B" w:rsidRPr="00EF4DCC" w:rsidRDefault="00AF24FB" w:rsidP="00F5097E">
      <w:pPr>
        <w:pStyle w:val="subsection"/>
        <w:numPr>
          <w:ilvl w:val="0"/>
          <w:numId w:val="20"/>
        </w:numPr>
        <w:tabs>
          <w:tab w:val="clear" w:pos="1021"/>
          <w:tab w:val="left" w:pos="1985"/>
        </w:tabs>
        <w:rPr>
          <w:b/>
          <w:color w:val="000000" w:themeColor="text1"/>
          <w:sz w:val="24"/>
        </w:rPr>
      </w:pPr>
      <w:r w:rsidRPr="00EF4DCC">
        <w:rPr>
          <w:color w:val="000000" w:themeColor="text1"/>
          <w:sz w:val="24"/>
        </w:rPr>
        <w:t>$</w:t>
      </w:r>
      <w:r w:rsidR="00996426" w:rsidRPr="00EF4DCC">
        <w:rPr>
          <w:color w:val="000000" w:themeColor="text1"/>
          <w:sz w:val="24"/>
        </w:rPr>
        <w:t>1,000</w:t>
      </w:r>
      <w:r w:rsidR="0053038B" w:rsidRPr="00EF4DCC">
        <w:rPr>
          <w:color w:val="000000" w:themeColor="text1"/>
          <w:sz w:val="24"/>
        </w:rPr>
        <w:t>;</w:t>
      </w:r>
      <w:r w:rsidR="00EF4DCC" w:rsidRPr="00EF4DCC">
        <w:rPr>
          <w:color w:val="000000" w:themeColor="text1"/>
          <w:sz w:val="24"/>
        </w:rPr>
        <w:t xml:space="preserve"> </w:t>
      </w:r>
      <w:r w:rsidR="00C850CD" w:rsidRPr="00EF4DCC">
        <w:rPr>
          <w:color w:val="000000" w:themeColor="text1"/>
          <w:sz w:val="24"/>
        </w:rPr>
        <w:t xml:space="preserve">plus </w:t>
      </w:r>
    </w:p>
    <w:p w:rsidR="0053038B" w:rsidRPr="00EF4DCC" w:rsidRDefault="0053038B" w:rsidP="00890C1D">
      <w:pPr>
        <w:pStyle w:val="subsection"/>
        <w:tabs>
          <w:tab w:val="clear" w:pos="1021"/>
          <w:tab w:val="left" w:pos="1985"/>
        </w:tabs>
        <w:ind w:left="2705" w:hanging="720"/>
        <w:rPr>
          <w:color w:val="000000" w:themeColor="text1"/>
          <w:sz w:val="24"/>
        </w:rPr>
      </w:pPr>
      <w:r w:rsidRPr="00EF4DCC">
        <w:rPr>
          <w:color w:val="000000" w:themeColor="text1"/>
          <w:sz w:val="24"/>
        </w:rPr>
        <w:t>(ii)</w:t>
      </w:r>
      <w:r w:rsidRPr="00EF4DCC">
        <w:rPr>
          <w:color w:val="000000" w:themeColor="text1"/>
          <w:sz w:val="24"/>
        </w:rPr>
        <w:tab/>
        <w:t>for a</w:t>
      </w:r>
      <w:r w:rsidR="00EB3D86">
        <w:rPr>
          <w:color w:val="000000" w:themeColor="text1"/>
          <w:sz w:val="24"/>
        </w:rPr>
        <w:t xml:space="preserve"> compliance</w:t>
      </w:r>
      <w:r w:rsidRPr="00EF4DCC">
        <w:rPr>
          <w:color w:val="000000" w:themeColor="text1"/>
          <w:sz w:val="24"/>
        </w:rPr>
        <w:t xml:space="preserve"> audit that exceeds four hours in length - $250 per hour; plus</w:t>
      </w:r>
    </w:p>
    <w:p w:rsidR="000929C3" w:rsidRPr="00536494" w:rsidRDefault="002305D2" w:rsidP="00522401">
      <w:pPr>
        <w:pStyle w:val="subsection"/>
        <w:tabs>
          <w:tab w:val="clear" w:pos="1021"/>
          <w:tab w:val="left" w:pos="1985"/>
        </w:tabs>
        <w:ind w:left="2705" w:hanging="720"/>
        <w:rPr>
          <w:color w:val="000000" w:themeColor="text1"/>
          <w:sz w:val="24"/>
        </w:rPr>
      </w:pPr>
      <w:r w:rsidRPr="00536494">
        <w:rPr>
          <w:color w:val="000000" w:themeColor="text1"/>
          <w:sz w:val="24"/>
        </w:rPr>
        <w:t>(iii)</w:t>
      </w:r>
      <w:r w:rsidRPr="00536494">
        <w:rPr>
          <w:color w:val="000000" w:themeColor="text1"/>
          <w:sz w:val="24"/>
        </w:rPr>
        <w:tab/>
      </w:r>
      <w:r w:rsidR="008115B5" w:rsidRPr="00536494">
        <w:rPr>
          <w:color w:val="000000" w:themeColor="text1"/>
          <w:sz w:val="24"/>
        </w:rPr>
        <w:t xml:space="preserve">ASQA official travel costs; </w:t>
      </w:r>
      <w:r w:rsidR="000929C3" w:rsidRPr="00536494">
        <w:rPr>
          <w:color w:val="000000" w:themeColor="text1"/>
          <w:sz w:val="24"/>
        </w:rPr>
        <w:t>plus</w:t>
      </w:r>
    </w:p>
    <w:p w:rsidR="0059003E" w:rsidRDefault="005324F5" w:rsidP="00F5097E">
      <w:pPr>
        <w:pStyle w:val="subsection"/>
        <w:tabs>
          <w:tab w:val="clear" w:pos="1021"/>
        </w:tabs>
        <w:ind w:left="1985" w:hanging="709"/>
        <w:rPr>
          <w:sz w:val="24"/>
        </w:rPr>
      </w:pPr>
      <w:r w:rsidRPr="00536494">
        <w:rPr>
          <w:sz w:val="24"/>
        </w:rPr>
        <w:t>(b)</w:t>
      </w:r>
      <w:r w:rsidRPr="00536494">
        <w:rPr>
          <w:sz w:val="24"/>
        </w:rPr>
        <w:tab/>
      </w:r>
      <w:r w:rsidR="00C850CD" w:rsidRPr="00536494">
        <w:rPr>
          <w:sz w:val="24"/>
        </w:rPr>
        <w:t xml:space="preserve">if </w:t>
      </w:r>
      <w:r w:rsidR="00003BC4" w:rsidRPr="00536494">
        <w:rPr>
          <w:sz w:val="24"/>
        </w:rPr>
        <w:t>an</w:t>
      </w:r>
      <w:r w:rsidR="008115B5" w:rsidRPr="00536494">
        <w:rPr>
          <w:sz w:val="24"/>
        </w:rPr>
        <w:t>y part of a</w:t>
      </w:r>
      <w:r w:rsidR="00EB3D86" w:rsidRPr="00536494">
        <w:rPr>
          <w:sz w:val="24"/>
        </w:rPr>
        <w:t xml:space="preserve"> compliance </w:t>
      </w:r>
      <w:r w:rsidR="00055C6E" w:rsidRPr="00536494">
        <w:rPr>
          <w:sz w:val="24"/>
        </w:rPr>
        <w:t>audit is conducted outside Australia</w:t>
      </w:r>
      <w:r w:rsidR="00C508F0" w:rsidRPr="00536494">
        <w:rPr>
          <w:sz w:val="24"/>
        </w:rPr>
        <w:t xml:space="preserve">, </w:t>
      </w:r>
      <w:r w:rsidR="00BE397B" w:rsidRPr="00536494">
        <w:rPr>
          <w:sz w:val="24"/>
        </w:rPr>
        <w:t xml:space="preserve">and commenced on or after 1 January 2014, </w:t>
      </w:r>
      <w:r w:rsidRPr="00536494">
        <w:rPr>
          <w:sz w:val="24"/>
        </w:rPr>
        <w:t>the</w:t>
      </w:r>
      <w:r w:rsidR="009419AD" w:rsidRPr="00536494">
        <w:rPr>
          <w:sz w:val="24"/>
        </w:rPr>
        <w:t xml:space="preserve">n in addition to </w:t>
      </w:r>
      <w:r w:rsidRPr="00536494">
        <w:rPr>
          <w:sz w:val="24"/>
        </w:rPr>
        <w:t>costs and expenses</w:t>
      </w:r>
      <w:r>
        <w:rPr>
          <w:sz w:val="24"/>
        </w:rPr>
        <w:t xml:space="preserve"> </w:t>
      </w:r>
      <w:r w:rsidR="009419AD">
        <w:rPr>
          <w:sz w:val="24"/>
        </w:rPr>
        <w:t>in accordance with</w:t>
      </w:r>
      <w:r>
        <w:rPr>
          <w:sz w:val="24"/>
        </w:rPr>
        <w:t xml:space="preserve"> </w:t>
      </w:r>
      <w:r w:rsidR="00C13B26">
        <w:rPr>
          <w:sz w:val="24"/>
        </w:rPr>
        <w:t>paragraph</w:t>
      </w:r>
      <w:r>
        <w:rPr>
          <w:sz w:val="24"/>
        </w:rPr>
        <w:t xml:space="preserve"> </w:t>
      </w:r>
      <w:r w:rsidR="00797187">
        <w:rPr>
          <w:sz w:val="24"/>
        </w:rPr>
        <w:t>8</w:t>
      </w:r>
      <w:r>
        <w:rPr>
          <w:sz w:val="24"/>
        </w:rPr>
        <w:t>(1)(a)</w:t>
      </w:r>
      <w:r w:rsidR="009419AD">
        <w:rPr>
          <w:sz w:val="24"/>
        </w:rPr>
        <w:t xml:space="preserve">, </w:t>
      </w:r>
      <w:r w:rsidR="00C508F0">
        <w:rPr>
          <w:sz w:val="24"/>
        </w:rPr>
        <w:t xml:space="preserve">any </w:t>
      </w:r>
      <w:r w:rsidR="009419AD">
        <w:rPr>
          <w:sz w:val="24"/>
        </w:rPr>
        <w:t>additional</w:t>
      </w:r>
      <w:r w:rsidR="00C850CD">
        <w:rPr>
          <w:sz w:val="24"/>
        </w:rPr>
        <w:t xml:space="preserve"> </w:t>
      </w:r>
      <w:r w:rsidR="008115B5">
        <w:rPr>
          <w:sz w:val="24"/>
        </w:rPr>
        <w:t xml:space="preserve">reasonable </w:t>
      </w:r>
      <w:r w:rsidR="00C508F0">
        <w:rPr>
          <w:sz w:val="24"/>
        </w:rPr>
        <w:t xml:space="preserve">expenses incurred by ASQA relating to </w:t>
      </w:r>
      <w:r w:rsidR="00FE2445">
        <w:rPr>
          <w:sz w:val="24"/>
        </w:rPr>
        <w:t xml:space="preserve">that part of </w:t>
      </w:r>
      <w:r w:rsidR="00C508F0">
        <w:rPr>
          <w:sz w:val="24"/>
        </w:rPr>
        <w:t>the audit</w:t>
      </w:r>
      <w:r w:rsidR="00FB16C6">
        <w:rPr>
          <w:sz w:val="24"/>
        </w:rPr>
        <w:t xml:space="preserve">. </w:t>
      </w:r>
    </w:p>
    <w:p w:rsidR="00C23AAF" w:rsidRPr="00055C6E" w:rsidRDefault="00C23AAF" w:rsidP="00055C6E">
      <w:pPr>
        <w:pStyle w:val="subsection"/>
        <w:ind w:left="2127" w:firstLine="0"/>
        <w:rPr>
          <w:sz w:val="24"/>
        </w:rPr>
      </w:pPr>
    </w:p>
    <w:p w:rsidR="00055C6E" w:rsidRPr="00055C6E" w:rsidRDefault="00055C6E" w:rsidP="00055C6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</w:pPr>
      <w:r w:rsidRPr="00055C6E">
        <w:lastRenderedPageBreak/>
        <w:t>For the purpose of subsection 12(1) of the Charges Act, a charge under Part 3 of that Act is to be calculated according to the following formula:</w:t>
      </w:r>
    </w:p>
    <w:p w:rsidR="00055C6E" w:rsidRPr="00055C6E" w:rsidRDefault="005324F5" w:rsidP="00F5097E">
      <w:pPr>
        <w:pStyle w:val="subsection"/>
        <w:ind w:left="1985" w:hanging="709"/>
        <w:rPr>
          <w:sz w:val="24"/>
        </w:rPr>
      </w:pPr>
      <w:r>
        <w:rPr>
          <w:sz w:val="24"/>
        </w:rPr>
        <w:t>(a)</w:t>
      </w:r>
      <w:r>
        <w:rPr>
          <w:sz w:val="24"/>
        </w:rPr>
        <w:tab/>
      </w:r>
      <w:r w:rsidR="00C850CD">
        <w:rPr>
          <w:sz w:val="24"/>
        </w:rPr>
        <w:t>t</w:t>
      </w:r>
      <w:r w:rsidR="00055C6E" w:rsidRPr="00055C6E">
        <w:rPr>
          <w:sz w:val="24"/>
        </w:rPr>
        <w:t xml:space="preserve">he costs and expenses incurred by </w:t>
      </w:r>
      <w:r w:rsidR="00055C6E">
        <w:rPr>
          <w:sz w:val="24"/>
        </w:rPr>
        <w:t>ASQA</w:t>
      </w:r>
      <w:r w:rsidR="00055C6E" w:rsidRPr="00055C6E">
        <w:rPr>
          <w:sz w:val="24"/>
        </w:rPr>
        <w:t xml:space="preserve"> in conducting:</w:t>
      </w:r>
    </w:p>
    <w:p w:rsidR="008A0EFD" w:rsidRDefault="00AB3F43" w:rsidP="008A0EFD">
      <w:pPr>
        <w:pStyle w:val="subsection"/>
        <w:tabs>
          <w:tab w:val="clear" w:pos="1021"/>
          <w:tab w:val="right" w:pos="1134"/>
        </w:tabs>
        <w:ind w:left="2835" w:hanging="425"/>
        <w:rPr>
          <w:sz w:val="24"/>
        </w:rPr>
      </w:pPr>
      <w:r>
        <w:rPr>
          <w:sz w:val="24"/>
        </w:rPr>
        <w:t>(i)</w:t>
      </w:r>
      <w:r>
        <w:rPr>
          <w:sz w:val="24"/>
        </w:rPr>
        <w:tab/>
      </w:r>
      <w:r w:rsidR="00003BC4">
        <w:rPr>
          <w:sz w:val="24"/>
        </w:rPr>
        <w:t>an</w:t>
      </w:r>
      <w:r w:rsidR="00C7062D" w:rsidRPr="00055C6E">
        <w:rPr>
          <w:sz w:val="24"/>
        </w:rPr>
        <w:t xml:space="preserve"> investigation </w:t>
      </w:r>
      <w:r w:rsidR="00C7062D" w:rsidRPr="00401828">
        <w:rPr>
          <w:sz w:val="24"/>
        </w:rPr>
        <w:t xml:space="preserve">into </w:t>
      </w:r>
      <w:r w:rsidR="005324F5" w:rsidRPr="00E07CBD">
        <w:rPr>
          <w:sz w:val="24"/>
        </w:rPr>
        <w:t>a complaint about a NVR registered training organisation, which is found to be substantiated</w:t>
      </w:r>
      <w:r w:rsidR="0053038B">
        <w:rPr>
          <w:sz w:val="24"/>
        </w:rPr>
        <w:t xml:space="preserve"> </w:t>
      </w:r>
      <w:r w:rsidR="00C7062D" w:rsidRPr="00401828">
        <w:rPr>
          <w:sz w:val="24"/>
        </w:rPr>
        <w:t>- $</w:t>
      </w:r>
      <w:r w:rsidR="005324F5" w:rsidRPr="00401828">
        <w:rPr>
          <w:sz w:val="24"/>
        </w:rPr>
        <w:t xml:space="preserve">250 </w:t>
      </w:r>
      <w:r w:rsidR="00C7062D" w:rsidRPr="00401828">
        <w:rPr>
          <w:sz w:val="24"/>
        </w:rPr>
        <w:t>per hour</w:t>
      </w:r>
      <w:r w:rsidR="00222E99">
        <w:rPr>
          <w:sz w:val="24"/>
        </w:rPr>
        <w:t>; plus</w:t>
      </w:r>
    </w:p>
    <w:p w:rsidR="008A0EFD" w:rsidRDefault="008A0EFD" w:rsidP="008A0EFD">
      <w:pPr>
        <w:pStyle w:val="subsection"/>
        <w:tabs>
          <w:tab w:val="clear" w:pos="1021"/>
          <w:tab w:val="right" w:pos="1134"/>
        </w:tabs>
        <w:ind w:left="2835" w:hanging="425"/>
        <w:rPr>
          <w:sz w:val="24"/>
        </w:rPr>
      </w:pPr>
      <w:r>
        <w:rPr>
          <w:sz w:val="24"/>
        </w:rPr>
        <w:t>(ii)</w:t>
      </w:r>
      <w:r>
        <w:rPr>
          <w:sz w:val="24"/>
        </w:rPr>
        <w:tab/>
      </w:r>
      <w:r w:rsidR="000E2CF6" w:rsidRPr="00401828">
        <w:rPr>
          <w:sz w:val="24"/>
        </w:rPr>
        <w:t>ASQA official</w:t>
      </w:r>
      <w:r w:rsidR="00812933" w:rsidRPr="00401828">
        <w:rPr>
          <w:sz w:val="24"/>
        </w:rPr>
        <w:t xml:space="preserve"> travel costs;</w:t>
      </w:r>
      <w:r w:rsidR="00785578">
        <w:rPr>
          <w:sz w:val="24"/>
        </w:rPr>
        <w:t xml:space="preserve"> plus</w:t>
      </w:r>
    </w:p>
    <w:p w:rsidR="00C7062D" w:rsidRPr="00536494" w:rsidRDefault="00E221A8" w:rsidP="008A0EFD">
      <w:pPr>
        <w:pStyle w:val="subsection"/>
        <w:tabs>
          <w:tab w:val="clear" w:pos="1021"/>
          <w:tab w:val="right" w:pos="1134"/>
        </w:tabs>
        <w:ind w:left="2835" w:hanging="425"/>
        <w:rPr>
          <w:b/>
          <w:sz w:val="24"/>
        </w:rPr>
      </w:pPr>
      <w:r w:rsidRPr="00536494">
        <w:rPr>
          <w:sz w:val="24"/>
        </w:rPr>
        <w:t>(</w:t>
      </w:r>
      <w:r w:rsidR="003D10E9" w:rsidRPr="00536494">
        <w:rPr>
          <w:sz w:val="24"/>
        </w:rPr>
        <w:t>iii</w:t>
      </w:r>
      <w:r w:rsidRPr="00536494">
        <w:rPr>
          <w:sz w:val="24"/>
        </w:rPr>
        <w:t>)</w:t>
      </w:r>
      <w:r w:rsidRPr="00536494">
        <w:rPr>
          <w:sz w:val="24"/>
        </w:rPr>
        <w:tab/>
        <w:t xml:space="preserve">a compliance audit – </w:t>
      </w:r>
      <w:r w:rsidR="005C1062" w:rsidRPr="00536494">
        <w:rPr>
          <w:sz w:val="24"/>
        </w:rPr>
        <w:t xml:space="preserve">the </w:t>
      </w:r>
      <w:r w:rsidRPr="00536494">
        <w:rPr>
          <w:sz w:val="24"/>
        </w:rPr>
        <w:t xml:space="preserve">charges as prescribed in </w:t>
      </w:r>
      <w:r w:rsidR="003D10E9" w:rsidRPr="00536494">
        <w:rPr>
          <w:sz w:val="24"/>
        </w:rPr>
        <w:t>paragraph</w:t>
      </w:r>
      <w:r w:rsidRPr="00536494">
        <w:rPr>
          <w:sz w:val="24"/>
        </w:rPr>
        <w:t xml:space="preserve"> 8(1)</w:t>
      </w:r>
      <w:r w:rsidR="003D10E9" w:rsidRPr="00536494">
        <w:rPr>
          <w:sz w:val="24"/>
        </w:rPr>
        <w:t>(a)</w:t>
      </w:r>
      <w:r w:rsidRPr="00536494">
        <w:rPr>
          <w:sz w:val="24"/>
        </w:rPr>
        <w:t xml:space="preserve"> of this Determination; plus</w:t>
      </w:r>
      <w:r w:rsidR="00C96075" w:rsidRPr="00536494">
        <w:rPr>
          <w:sz w:val="24"/>
        </w:rPr>
        <w:t xml:space="preserve"> </w:t>
      </w:r>
    </w:p>
    <w:p w:rsidR="00BE397B" w:rsidRDefault="00401828" w:rsidP="00E221A8">
      <w:pPr>
        <w:pStyle w:val="subsection"/>
        <w:ind w:left="1985" w:hanging="709"/>
        <w:rPr>
          <w:sz w:val="24"/>
        </w:rPr>
      </w:pPr>
      <w:r w:rsidRPr="00536494">
        <w:rPr>
          <w:sz w:val="24"/>
        </w:rPr>
        <w:t>(b)</w:t>
      </w:r>
      <w:r w:rsidR="00E221A8" w:rsidRPr="00536494">
        <w:rPr>
          <w:sz w:val="24"/>
        </w:rPr>
        <w:tab/>
      </w:r>
      <w:r w:rsidR="00C850CD" w:rsidRPr="00536494">
        <w:rPr>
          <w:sz w:val="24"/>
        </w:rPr>
        <w:t>i</w:t>
      </w:r>
      <w:r w:rsidR="00055C6E" w:rsidRPr="00536494">
        <w:rPr>
          <w:sz w:val="24"/>
        </w:rPr>
        <w:t xml:space="preserve">f </w:t>
      </w:r>
      <w:r w:rsidR="00003BC4" w:rsidRPr="00536494">
        <w:rPr>
          <w:sz w:val="24"/>
        </w:rPr>
        <w:t>an</w:t>
      </w:r>
      <w:r w:rsidR="005324F5" w:rsidRPr="00536494">
        <w:rPr>
          <w:sz w:val="24"/>
        </w:rPr>
        <w:t>y part of the</w:t>
      </w:r>
      <w:r w:rsidR="00055C6E" w:rsidRPr="00536494">
        <w:rPr>
          <w:sz w:val="24"/>
        </w:rPr>
        <w:t xml:space="preserve"> investigation </w:t>
      </w:r>
      <w:r w:rsidR="00817DB6" w:rsidRPr="00536494">
        <w:rPr>
          <w:sz w:val="24"/>
        </w:rPr>
        <w:t xml:space="preserve">or compliance audit </w:t>
      </w:r>
      <w:r w:rsidR="00055C6E" w:rsidRPr="00536494">
        <w:rPr>
          <w:sz w:val="24"/>
        </w:rPr>
        <w:t>is conducted</w:t>
      </w:r>
      <w:r w:rsidR="00055C6E" w:rsidRPr="00055C6E">
        <w:rPr>
          <w:sz w:val="24"/>
        </w:rPr>
        <w:t xml:space="preserve"> outside Australia</w:t>
      </w:r>
      <w:r w:rsidR="00C850CD">
        <w:rPr>
          <w:sz w:val="24"/>
        </w:rPr>
        <w:t>,</w:t>
      </w:r>
      <w:r w:rsidR="00055C6E" w:rsidRPr="00055C6E">
        <w:rPr>
          <w:sz w:val="24"/>
        </w:rPr>
        <w:t xml:space="preserve"> </w:t>
      </w:r>
      <w:r w:rsidR="00E97B87">
        <w:rPr>
          <w:sz w:val="24"/>
        </w:rPr>
        <w:t xml:space="preserve">and commenced on or after 1 January 2014, </w:t>
      </w:r>
      <w:r w:rsidR="005324F5">
        <w:rPr>
          <w:sz w:val="24"/>
        </w:rPr>
        <w:t>the</w:t>
      </w:r>
      <w:r w:rsidR="009419AD">
        <w:rPr>
          <w:sz w:val="24"/>
        </w:rPr>
        <w:t xml:space="preserve">n in addition to </w:t>
      </w:r>
      <w:r w:rsidR="005324F5">
        <w:rPr>
          <w:sz w:val="24"/>
        </w:rPr>
        <w:t xml:space="preserve">costs and expenses </w:t>
      </w:r>
      <w:r w:rsidR="009419AD">
        <w:rPr>
          <w:sz w:val="24"/>
        </w:rPr>
        <w:t>in accordance with</w:t>
      </w:r>
      <w:r w:rsidR="005324F5">
        <w:rPr>
          <w:sz w:val="24"/>
        </w:rPr>
        <w:t xml:space="preserve"> </w:t>
      </w:r>
      <w:r w:rsidR="00C13B26">
        <w:rPr>
          <w:sz w:val="24"/>
        </w:rPr>
        <w:t>paragraph</w:t>
      </w:r>
      <w:r w:rsidR="005324F5">
        <w:rPr>
          <w:sz w:val="24"/>
        </w:rPr>
        <w:t xml:space="preserve"> </w:t>
      </w:r>
      <w:r w:rsidR="00797187">
        <w:rPr>
          <w:sz w:val="24"/>
        </w:rPr>
        <w:t>8</w:t>
      </w:r>
      <w:r w:rsidR="005324F5">
        <w:rPr>
          <w:sz w:val="24"/>
        </w:rPr>
        <w:t>(2)(a)</w:t>
      </w:r>
      <w:r w:rsidR="00996426">
        <w:rPr>
          <w:sz w:val="24"/>
        </w:rPr>
        <w:t>,</w:t>
      </w:r>
      <w:r>
        <w:rPr>
          <w:sz w:val="24"/>
        </w:rPr>
        <w:t xml:space="preserve"> </w:t>
      </w:r>
      <w:r w:rsidR="00C850CD">
        <w:rPr>
          <w:sz w:val="24"/>
        </w:rPr>
        <w:t xml:space="preserve">any additional </w:t>
      </w:r>
      <w:r w:rsidR="005324F5">
        <w:rPr>
          <w:sz w:val="24"/>
        </w:rPr>
        <w:t xml:space="preserve">reasonable </w:t>
      </w:r>
      <w:r w:rsidR="00C850CD">
        <w:rPr>
          <w:sz w:val="24"/>
        </w:rPr>
        <w:t>expenses</w:t>
      </w:r>
      <w:r w:rsidR="009419AD">
        <w:rPr>
          <w:sz w:val="24"/>
        </w:rPr>
        <w:t xml:space="preserve"> </w:t>
      </w:r>
      <w:r w:rsidR="00C850CD">
        <w:rPr>
          <w:sz w:val="24"/>
        </w:rPr>
        <w:t xml:space="preserve">incurred by ASQA </w:t>
      </w:r>
      <w:r w:rsidR="003E601F">
        <w:rPr>
          <w:sz w:val="24"/>
        </w:rPr>
        <w:t>in relation</w:t>
      </w:r>
      <w:r w:rsidR="00C850CD">
        <w:rPr>
          <w:sz w:val="24"/>
        </w:rPr>
        <w:t xml:space="preserve"> to th</w:t>
      </w:r>
      <w:r w:rsidR="003E601F">
        <w:rPr>
          <w:sz w:val="24"/>
        </w:rPr>
        <w:t>at part of th</w:t>
      </w:r>
      <w:r w:rsidR="00C850CD">
        <w:rPr>
          <w:sz w:val="24"/>
        </w:rPr>
        <w:t xml:space="preserve">e </w:t>
      </w:r>
      <w:r w:rsidR="00AA0730" w:rsidRPr="00055C6E">
        <w:rPr>
          <w:sz w:val="24"/>
        </w:rPr>
        <w:t>investigation</w:t>
      </w:r>
      <w:r w:rsidR="003D10E9">
        <w:rPr>
          <w:sz w:val="24"/>
        </w:rPr>
        <w:t xml:space="preserve"> or audit</w:t>
      </w:r>
      <w:r w:rsidR="00814CC8">
        <w:rPr>
          <w:sz w:val="24"/>
        </w:rPr>
        <w:t>.</w:t>
      </w:r>
      <w:r w:rsidR="00123F0E">
        <w:rPr>
          <w:sz w:val="24"/>
        </w:rPr>
        <w:t xml:space="preserve"> </w:t>
      </w:r>
    </w:p>
    <w:p w:rsidR="003E601F" w:rsidRDefault="003E601F" w:rsidP="003E601F">
      <w:pPr>
        <w:rPr>
          <w:b/>
        </w:rPr>
      </w:pPr>
    </w:p>
    <w:p w:rsidR="003E601F" w:rsidRDefault="003E601F" w:rsidP="003E601F">
      <w:pPr>
        <w:rPr>
          <w:b/>
        </w:rPr>
      </w:pPr>
    </w:p>
    <w:p w:rsidR="003E601F" w:rsidRPr="003E601F" w:rsidRDefault="003E601F" w:rsidP="003E601F">
      <w:pPr>
        <w:rPr>
          <w:b/>
        </w:rPr>
      </w:pPr>
      <w:r w:rsidRPr="003E601F">
        <w:rPr>
          <w:b/>
        </w:rPr>
        <w:t xml:space="preserve">PART 3 </w:t>
      </w:r>
      <w:r w:rsidR="00266224">
        <w:rPr>
          <w:b/>
        </w:rPr>
        <w:tab/>
      </w:r>
      <w:r w:rsidRPr="003E601F">
        <w:rPr>
          <w:b/>
        </w:rPr>
        <w:t xml:space="preserve">WAIVERS </w:t>
      </w:r>
    </w:p>
    <w:p w:rsidR="003E601F" w:rsidRPr="003E601F" w:rsidRDefault="003E601F" w:rsidP="003E601F">
      <w:pPr>
        <w:ind w:left="720"/>
        <w:contextualSpacing/>
      </w:pPr>
    </w:p>
    <w:p w:rsidR="003E601F" w:rsidRDefault="003E601F" w:rsidP="00F5097E">
      <w:pPr>
        <w:pStyle w:val="ListParagraph"/>
        <w:numPr>
          <w:ilvl w:val="0"/>
          <w:numId w:val="21"/>
        </w:numPr>
        <w:ind w:left="567" w:hanging="567"/>
        <w:rPr>
          <w:b/>
        </w:rPr>
      </w:pPr>
      <w:r w:rsidRPr="00F5097E">
        <w:rPr>
          <w:b/>
        </w:rPr>
        <w:t xml:space="preserve">Circumstances in which a charge may be waived in </w:t>
      </w:r>
      <w:r w:rsidR="00647360">
        <w:rPr>
          <w:b/>
        </w:rPr>
        <w:t xml:space="preserve">whole </w:t>
      </w:r>
      <w:r w:rsidRPr="00F5097E">
        <w:rPr>
          <w:b/>
        </w:rPr>
        <w:t xml:space="preserve">or in </w:t>
      </w:r>
      <w:r w:rsidR="00647360">
        <w:rPr>
          <w:b/>
        </w:rPr>
        <w:t>part</w:t>
      </w:r>
      <w:r w:rsidRPr="00F5097E">
        <w:rPr>
          <w:b/>
        </w:rPr>
        <w:t xml:space="preserve"> </w:t>
      </w:r>
    </w:p>
    <w:p w:rsidR="00797187" w:rsidRPr="00F5097E" w:rsidRDefault="00797187" w:rsidP="00F5097E">
      <w:pPr>
        <w:pStyle w:val="ListParagraph"/>
        <w:ind w:left="567"/>
        <w:rPr>
          <w:b/>
        </w:rPr>
      </w:pPr>
    </w:p>
    <w:p w:rsidR="003E601F" w:rsidRPr="00FF7BF1" w:rsidRDefault="003E601F" w:rsidP="004039EE">
      <w:pPr>
        <w:numPr>
          <w:ilvl w:val="0"/>
          <w:numId w:val="13"/>
        </w:numPr>
        <w:ind w:hanging="720"/>
        <w:contextualSpacing/>
      </w:pPr>
      <w:r w:rsidRPr="00FF7BF1">
        <w:t xml:space="preserve">For the purpose of subsection 13(b) of the Charges Act, a charge that would otherwise be payable under that Act may be waived, in whole or in part where, in </w:t>
      </w:r>
      <w:r w:rsidR="00E448AC">
        <w:t>the opinion of ASQA’s Chief Commissioner</w:t>
      </w:r>
      <w:r w:rsidRPr="00FF7BF1">
        <w:t>;</w:t>
      </w:r>
    </w:p>
    <w:p w:rsidR="003E601F" w:rsidRPr="00FF7BF1" w:rsidRDefault="003E601F" w:rsidP="003E601F">
      <w:pPr>
        <w:ind w:left="720"/>
        <w:contextualSpacing/>
      </w:pPr>
    </w:p>
    <w:p w:rsidR="003E601F" w:rsidRPr="00FF7BF1" w:rsidRDefault="00A03A58" w:rsidP="00F5097E">
      <w:pPr>
        <w:tabs>
          <w:tab w:val="right" w:pos="1021"/>
        </w:tabs>
        <w:spacing w:before="180"/>
        <w:ind w:left="1985" w:hanging="709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 w:rsidR="003E601F" w:rsidRPr="00FF7BF1">
        <w:rPr>
          <w:lang w:eastAsia="en-AU"/>
        </w:rPr>
        <w:t xml:space="preserve">special or unusual circumstances exist which cause the charge to be unreasonable or inequitable; or  </w:t>
      </w:r>
    </w:p>
    <w:p w:rsidR="00FF7BF1" w:rsidRPr="003E601F" w:rsidRDefault="00FF7BF1" w:rsidP="00E07CBD">
      <w:pPr>
        <w:pStyle w:val="ListParagraph"/>
        <w:tabs>
          <w:tab w:val="right" w:pos="1021"/>
        </w:tabs>
        <w:spacing w:before="180"/>
        <w:ind w:left="3345"/>
        <w:rPr>
          <w:lang w:eastAsia="en-AU"/>
        </w:rPr>
      </w:pPr>
    </w:p>
    <w:p w:rsidR="003E601F" w:rsidRDefault="006C594C" w:rsidP="00A07315">
      <w:pPr>
        <w:pStyle w:val="ListParagraph"/>
        <w:ind w:left="1985" w:hanging="709"/>
      </w:pPr>
      <w:r>
        <w:t>(b)</w:t>
      </w:r>
      <w:r>
        <w:tab/>
      </w:r>
      <w:r w:rsidR="003E601F" w:rsidRPr="003E601F">
        <w:t>the amount of the charge that remains unpaid is so small that its recovery would be uneconomical to pursue.</w:t>
      </w:r>
    </w:p>
    <w:p w:rsidR="00FF7BF1" w:rsidRDefault="00FF7BF1" w:rsidP="00E07CBD">
      <w:pPr>
        <w:pStyle w:val="ListParagraph"/>
      </w:pPr>
    </w:p>
    <w:p w:rsidR="00FF7BF1" w:rsidRPr="003E601F" w:rsidRDefault="00FF7BF1" w:rsidP="00E07CBD">
      <w:pPr>
        <w:pStyle w:val="ListParagraph"/>
        <w:ind w:left="3345"/>
      </w:pPr>
    </w:p>
    <w:p w:rsidR="003E601F" w:rsidRPr="003E601F" w:rsidRDefault="003E601F" w:rsidP="004039EE">
      <w:pPr>
        <w:numPr>
          <w:ilvl w:val="0"/>
          <w:numId w:val="13"/>
        </w:numPr>
        <w:ind w:hanging="720"/>
        <w:contextualSpacing/>
      </w:pPr>
      <w:r w:rsidRPr="003E601F">
        <w:t xml:space="preserve">For the purposes of </w:t>
      </w:r>
      <w:r w:rsidR="00C13B26">
        <w:t>paragraph</w:t>
      </w:r>
      <w:r w:rsidRPr="003E601F">
        <w:t xml:space="preserve"> </w:t>
      </w:r>
      <w:r w:rsidR="00797187">
        <w:t>9</w:t>
      </w:r>
      <w:r w:rsidRPr="003E601F">
        <w:t>(1)(a), the following circumstances do not constitute grounds for granting a waiver:</w:t>
      </w:r>
    </w:p>
    <w:p w:rsidR="003E601F" w:rsidRPr="003E601F" w:rsidRDefault="003E601F" w:rsidP="00A03A58">
      <w:pPr>
        <w:numPr>
          <w:ilvl w:val="0"/>
          <w:numId w:val="14"/>
        </w:numPr>
        <w:tabs>
          <w:tab w:val="right" w:pos="1021"/>
        </w:tabs>
        <w:spacing w:before="180"/>
        <w:ind w:left="1985" w:hanging="567"/>
        <w:rPr>
          <w:lang w:eastAsia="en-AU"/>
        </w:rPr>
      </w:pPr>
      <w:r w:rsidRPr="003E601F">
        <w:rPr>
          <w:lang w:eastAsia="en-AU"/>
        </w:rPr>
        <w:t xml:space="preserve">where the </w:t>
      </w:r>
      <w:r w:rsidR="00814C80" w:rsidRPr="005C1062">
        <w:rPr>
          <w:lang w:eastAsia="en-AU"/>
        </w:rPr>
        <w:t>NVR registered training organisation</w:t>
      </w:r>
      <w:r w:rsidR="00814C80" w:rsidRPr="00814C80">
        <w:rPr>
          <w:b/>
          <w:lang w:eastAsia="en-AU"/>
        </w:rPr>
        <w:t xml:space="preserve"> </w:t>
      </w:r>
      <w:r w:rsidRPr="003E601F">
        <w:rPr>
          <w:lang w:eastAsia="en-AU"/>
        </w:rPr>
        <w:t>required to pay the charge did not consent to the compliance audit or complaint investigation that resulted in the imposition of a charge; or</w:t>
      </w:r>
    </w:p>
    <w:p w:rsidR="003E601F" w:rsidRPr="003E601F" w:rsidRDefault="003E601F" w:rsidP="00A03A58">
      <w:pPr>
        <w:numPr>
          <w:ilvl w:val="0"/>
          <w:numId w:val="14"/>
        </w:numPr>
        <w:tabs>
          <w:tab w:val="right" w:pos="1021"/>
        </w:tabs>
        <w:spacing w:before="180"/>
        <w:ind w:left="1985" w:hanging="567"/>
        <w:rPr>
          <w:lang w:eastAsia="en-AU"/>
        </w:rPr>
      </w:pPr>
      <w:r w:rsidRPr="003E601F">
        <w:rPr>
          <w:lang w:eastAsia="en-AU"/>
        </w:rPr>
        <w:t xml:space="preserve">where the </w:t>
      </w:r>
      <w:r w:rsidR="008F720C" w:rsidRPr="005C1062">
        <w:rPr>
          <w:lang w:eastAsia="en-AU"/>
        </w:rPr>
        <w:t>NVR registered training organisation</w:t>
      </w:r>
      <w:r w:rsidRPr="003E601F">
        <w:rPr>
          <w:lang w:eastAsia="en-AU"/>
        </w:rPr>
        <w:t xml:space="preserve"> required to pay the charge does not agree with the outcome of the compliance audit or complaint investigation that resulted in the imposition of a charge; or</w:t>
      </w:r>
    </w:p>
    <w:p w:rsidR="007F4EF0" w:rsidRDefault="003E601F" w:rsidP="00F5097E">
      <w:pPr>
        <w:numPr>
          <w:ilvl w:val="0"/>
          <w:numId w:val="14"/>
        </w:numPr>
        <w:tabs>
          <w:tab w:val="right" w:pos="1021"/>
        </w:tabs>
        <w:spacing w:before="180"/>
        <w:ind w:left="1985" w:hanging="567"/>
        <w:rPr>
          <w:lang w:eastAsia="en-AU"/>
        </w:rPr>
      </w:pPr>
      <w:r w:rsidRPr="00536494">
        <w:rPr>
          <w:lang w:eastAsia="en-AU"/>
        </w:rPr>
        <w:t xml:space="preserve">where the </w:t>
      </w:r>
      <w:r w:rsidR="008F720C" w:rsidRPr="00536494">
        <w:rPr>
          <w:lang w:eastAsia="en-AU"/>
        </w:rPr>
        <w:t>NVR</w:t>
      </w:r>
      <w:r w:rsidR="008F720C" w:rsidRPr="005C1062">
        <w:rPr>
          <w:lang w:eastAsia="en-AU"/>
        </w:rPr>
        <w:t xml:space="preserve"> registered training organisation</w:t>
      </w:r>
      <w:r w:rsidRPr="003E601F">
        <w:rPr>
          <w:lang w:eastAsia="en-AU"/>
        </w:rPr>
        <w:t xml:space="preserve"> required to pay the charge ceases to exist, or ceases to be an NVR registered training organisation, or </w:t>
      </w:r>
      <w:r w:rsidR="008F720C">
        <w:rPr>
          <w:lang w:eastAsia="en-AU"/>
        </w:rPr>
        <w:t xml:space="preserve">ceases </w:t>
      </w:r>
      <w:r w:rsidRPr="003E601F">
        <w:rPr>
          <w:lang w:eastAsia="en-AU"/>
        </w:rPr>
        <w:t xml:space="preserve">to carry on business as a registered training organisation. </w:t>
      </w:r>
    </w:p>
    <w:p w:rsidR="00BB0D5A" w:rsidRDefault="00BB0D5A" w:rsidP="00BB0D5A">
      <w:pPr>
        <w:rPr>
          <w:b/>
        </w:rPr>
      </w:pPr>
    </w:p>
    <w:p w:rsidR="00BB0D5A" w:rsidRPr="00BB0D5A" w:rsidRDefault="00BB0D5A" w:rsidP="00BB0D5A">
      <w:pPr>
        <w:rPr>
          <w:b/>
        </w:rPr>
      </w:pPr>
    </w:p>
    <w:p w:rsidR="00797187" w:rsidRPr="00AB22FF" w:rsidRDefault="00797187" w:rsidP="00797187">
      <w:pPr>
        <w:tabs>
          <w:tab w:val="right" w:pos="1021"/>
        </w:tabs>
        <w:rPr>
          <w:b/>
        </w:rPr>
      </w:pPr>
      <w:r w:rsidRPr="00AB22FF">
        <w:rPr>
          <w:b/>
          <w:lang w:eastAsia="en-AU"/>
        </w:rPr>
        <w:lastRenderedPageBreak/>
        <w:t>PART 4</w:t>
      </w:r>
      <w:r w:rsidR="002A26EE">
        <w:rPr>
          <w:b/>
          <w:lang w:eastAsia="en-AU"/>
        </w:rPr>
        <w:tab/>
      </w:r>
      <w:r w:rsidR="002A26EE">
        <w:rPr>
          <w:b/>
          <w:lang w:eastAsia="en-AU"/>
        </w:rPr>
        <w:tab/>
      </w:r>
      <w:r w:rsidRPr="00AB22FF">
        <w:rPr>
          <w:b/>
          <w:lang w:eastAsia="en-AU"/>
        </w:rPr>
        <w:t>OTHER</w:t>
      </w:r>
    </w:p>
    <w:p w:rsidR="00797187" w:rsidRDefault="00797187" w:rsidP="00797187">
      <w:pPr>
        <w:tabs>
          <w:tab w:val="right" w:pos="1021"/>
        </w:tabs>
        <w:rPr>
          <w:b/>
          <w:u w:val="single"/>
        </w:rPr>
      </w:pPr>
    </w:p>
    <w:p w:rsidR="00DA6CDC" w:rsidRPr="000F1A62" w:rsidRDefault="00DA6CDC" w:rsidP="00DA6CDC">
      <w:pPr>
        <w:pStyle w:val="ListParagraph"/>
        <w:numPr>
          <w:ilvl w:val="0"/>
          <w:numId w:val="26"/>
        </w:numPr>
        <w:spacing w:after="240"/>
        <w:ind w:left="709" w:hanging="709"/>
        <w:rPr>
          <w:b/>
          <w:bCs/>
        </w:rPr>
      </w:pPr>
      <w:r w:rsidRPr="000F1A62">
        <w:rPr>
          <w:b/>
          <w:bCs/>
          <w:lang w:eastAsia="en-AU"/>
        </w:rPr>
        <w:t xml:space="preserve">Rounding </w:t>
      </w:r>
    </w:p>
    <w:p w:rsidR="00DA6CDC" w:rsidRPr="008D36F9" w:rsidRDefault="00DA6CDC" w:rsidP="00DA6CDC">
      <w:pPr>
        <w:pStyle w:val="ListParagraph"/>
        <w:spacing w:after="240"/>
        <w:ind w:left="709"/>
        <w:rPr>
          <w:b/>
          <w:bCs/>
          <w:highlight w:val="yellow"/>
        </w:rPr>
      </w:pPr>
    </w:p>
    <w:p w:rsidR="008A0EFD" w:rsidRDefault="008A0EFD" w:rsidP="008C3667">
      <w:pPr>
        <w:pStyle w:val="ListParagraph"/>
        <w:spacing w:after="240"/>
        <w:ind w:left="709"/>
        <w:rPr>
          <w:b/>
          <w:bCs/>
        </w:rPr>
      </w:pPr>
    </w:p>
    <w:p w:rsidR="00E365D9" w:rsidRDefault="00814CC8" w:rsidP="004039EE">
      <w:pPr>
        <w:pStyle w:val="ListParagraph"/>
        <w:spacing w:after="240"/>
        <w:ind w:left="709" w:hanging="709"/>
      </w:pPr>
      <w:r>
        <w:rPr>
          <w:lang w:eastAsia="en-AU"/>
        </w:rPr>
        <w:t>(1)</w:t>
      </w:r>
      <w:r>
        <w:rPr>
          <w:lang w:eastAsia="en-AU"/>
        </w:rPr>
        <w:tab/>
      </w:r>
      <w:r w:rsidR="00E365D9">
        <w:rPr>
          <w:lang w:eastAsia="en-AU"/>
        </w:rPr>
        <w:t>When determining, for the purposes of subsections 8(1) and 8(2), the amount of the charge payable for an investigation or compliance audit where the hourly rate is $250 per hour, the following amounts will apply in the following circumstances:</w:t>
      </w:r>
    </w:p>
    <w:p w:rsidR="00E365D9" w:rsidRDefault="00E365D9" w:rsidP="008C3667">
      <w:pPr>
        <w:pStyle w:val="ListParagraph"/>
        <w:spacing w:after="240"/>
        <w:ind w:left="709"/>
      </w:pPr>
    </w:p>
    <w:p w:rsidR="00E365D9" w:rsidRDefault="008C3667" w:rsidP="00A07315">
      <w:pPr>
        <w:pStyle w:val="ListParagraph"/>
        <w:spacing w:after="240"/>
        <w:ind w:left="1985" w:hanging="709"/>
      </w:pPr>
      <w:r>
        <w:rPr>
          <w:lang w:eastAsia="en-AU"/>
        </w:rPr>
        <w:t>(a)</w:t>
      </w:r>
      <w:r>
        <w:rPr>
          <w:lang w:eastAsia="en-AU"/>
        </w:rPr>
        <w:tab/>
      </w:r>
      <w:r w:rsidR="00E365D9">
        <w:rPr>
          <w:lang w:eastAsia="en-AU"/>
        </w:rPr>
        <w:t xml:space="preserve">if the time taken to complete the investigation or compliance audit is less than 30 minutes, the total amount payable will be zero dollars; and </w:t>
      </w:r>
    </w:p>
    <w:p w:rsidR="00E365D9" w:rsidRDefault="00E365D9" w:rsidP="008C3667">
      <w:pPr>
        <w:pStyle w:val="ListParagraph"/>
        <w:spacing w:after="240"/>
        <w:ind w:left="709"/>
      </w:pPr>
    </w:p>
    <w:p w:rsidR="00797187" w:rsidRDefault="008C3667" w:rsidP="00A07315">
      <w:pPr>
        <w:pStyle w:val="ListParagraph"/>
        <w:spacing w:after="240"/>
        <w:ind w:left="1985" w:hanging="709"/>
      </w:pPr>
      <w:r>
        <w:rPr>
          <w:lang w:eastAsia="en-AU"/>
        </w:rPr>
        <w:t>(b)</w:t>
      </w:r>
      <w:r>
        <w:rPr>
          <w:lang w:eastAsia="en-AU"/>
        </w:rPr>
        <w:tab/>
      </w:r>
      <w:r w:rsidR="00E365D9">
        <w:rPr>
          <w:lang w:eastAsia="en-AU"/>
        </w:rPr>
        <w:t>if the time taken to complete the investigation or compliance audit is less than one hour but equal to or greater than 30 minutes, the total amount payable will be $125.</w:t>
      </w:r>
    </w:p>
    <w:p w:rsidR="00DE4B63" w:rsidRDefault="00DE4B63" w:rsidP="00DE4B63">
      <w:pPr>
        <w:pStyle w:val="ListParagraph"/>
        <w:spacing w:after="240"/>
        <w:ind w:left="709"/>
        <w:rPr>
          <w:lang w:eastAsia="en-AU"/>
        </w:rPr>
      </w:pPr>
    </w:p>
    <w:p w:rsidR="00705600" w:rsidRDefault="00705600" w:rsidP="00DE4B63">
      <w:pPr>
        <w:pStyle w:val="ListParagraph"/>
        <w:spacing w:after="240"/>
        <w:ind w:left="709"/>
        <w:rPr>
          <w:lang w:eastAsia="en-AU"/>
        </w:rPr>
      </w:pPr>
    </w:p>
    <w:p w:rsidR="00611A7B" w:rsidRPr="00417CD8" w:rsidRDefault="00611A7B" w:rsidP="008C3667">
      <w:pPr>
        <w:pStyle w:val="ListParagraph"/>
        <w:spacing w:after="240"/>
        <w:ind w:left="709"/>
      </w:pPr>
    </w:p>
    <w:sectPr w:rsidR="00611A7B" w:rsidRPr="00417CD8" w:rsidSect="00417CD8">
      <w:headerReference w:type="default" r:id="rId13"/>
      <w:footerReference w:type="default" r:id="rId14"/>
      <w:pgSz w:w="11906" w:h="16838" w:code="9"/>
      <w:pgMar w:top="1418" w:right="1134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5F" w:rsidRDefault="00DC3C5F" w:rsidP="00192AC0">
      <w:r>
        <w:separator/>
      </w:r>
    </w:p>
  </w:endnote>
  <w:endnote w:type="continuationSeparator" w:id="0">
    <w:p w:rsidR="00DC3C5F" w:rsidRDefault="00DC3C5F" w:rsidP="0019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B" w:rsidRDefault="00A718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662">
      <w:rPr>
        <w:noProof/>
      </w:rPr>
      <w:t>2</w:t>
    </w:r>
    <w:r>
      <w:rPr>
        <w:noProof/>
      </w:rPr>
      <w:fldChar w:fldCharType="end"/>
    </w:r>
  </w:p>
  <w:p w:rsidR="00BE397B" w:rsidRDefault="00BE3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5F" w:rsidRDefault="00DC3C5F" w:rsidP="00192AC0">
      <w:r>
        <w:separator/>
      </w:r>
    </w:p>
  </w:footnote>
  <w:footnote w:type="continuationSeparator" w:id="0">
    <w:p w:rsidR="00DC3C5F" w:rsidRDefault="00DC3C5F" w:rsidP="0019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B" w:rsidRDefault="00BE397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2E9"/>
    <w:multiLevelType w:val="hybridMultilevel"/>
    <w:tmpl w:val="17F2FE5C"/>
    <w:lvl w:ilvl="0" w:tplc="54DAB0E0">
      <w:start w:val="1"/>
      <w:numFmt w:val="decimal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6F56C68"/>
    <w:multiLevelType w:val="hybridMultilevel"/>
    <w:tmpl w:val="86A0464A"/>
    <w:lvl w:ilvl="0" w:tplc="9CC8311C">
      <w:start w:val="6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BFB1E0F"/>
    <w:multiLevelType w:val="hybridMultilevel"/>
    <w:tmpl w:val="DDBC0478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E5015B9"/>
    <w:multiLevelType w:val="hybridMultilevel"/>
    <w:tmpl w:val="2A624ADA"/>
    <w:lvl w:ilvl="0" w:tplc="8CB6AE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76F26"/>
    <w:multiLevelType w:val="hybridMultilevel"/>
    <w:tmpl w:val="88BE57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105DE"/>
    <w:multiLevelType w:val="hybridMultilevel"/>
    <w:tmpl w:val="6B9A8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162E7"/>
    <w:multiLevelType w:val="hybridMultilevel"/>
    <w:tmpl w:val="1F044DD4"/>
    <w:lvl w:ilvl="0" w:tplc="A61C0DB4">
      <w:start w:val="2"/>
      <w:numFmt w:val="decimal"/>
      <w:lvlText w:val="(%1)"/>
      <w:lvlJc w:val="left"/>
      <w:pPr>
        <w:ind w:left="20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72" w:hanging="360"/>
      </w:pPr>
    </w:lvl>
    <w:lvl w:ilvl="2" w:tplc="0C09001B" w:tentative="1">
      <w:start w:val="1"/>
      <w:numFmt w:val="lowerRoman"/>
      <w:lvlText w:val="%3."/>
      <w:lvlJc w:val="right"/>
      <w:pPr>
        <w:ind w:left="3492" w:hanging="180"/>
      </w:pPr>
    </w:lvl>
    <w:lvl w:ilvl="3" w:tplc="0C09000F" w:tentative="1">
      <w:start w:val="1"/>
      <w:numFmt w:val="decimal"/>
      <w:lvlText w:val="%4."/>
      <w:lvlJc w:val="left"/>
      <w:pPr>
        <w:ind w:left="4212" w:hanging="360"/>
      </w:pPr>
    </w:lvl>
    <w:lvl w:ilvl="4" w:tplc="0C090019" w:tentative="1">
      <w:start w:val="1"/>
      <w:numFmt w:val="lowerLetter"/>
      <w:lvlText w:val="%5."/>
      <w:lvlJc w:val="left"/>
      <w:pPr>
        <w:ind w:left="4932" w:hanging="360"/>
      </w:pPr>
    </w:lvl>
    <w:lvl w:ilvl="5" w:tplc="0C09001B" w:tentative="1">
      <w:start w:val="1"/>
      <w:numFmt w:val="lowerRoman"/>
      <w:lvlText w:val="%6."/>
      <w:lvlJc w:val="right"/>
      <w:pPr>
        <w:ind w:left="5652" w:hanging="180"/>
      </w:pPr>
    </w:lvl>
    <w:lvl w:ilvl="6" w:tplc="0C09000F" w:tentative="1">
      <w:start w:val="1"/>
      <w:numFmt w:val="decimal"/>
      <w:lvlText w:val="%7."/>
      <w:lvlJc w:val="left"/>
      <w:pPr>
        <w:ind w:left="6372" w:hanging="360"/>
      </w:pPr>
    </w:lvl>
    <w:lvl w:ilvl="7" w:tplc="0C090019" w:tentative="1">
      <w:start w:val="1"/>
      <w:numFmt w:val="lowerLetter"/>
      <w:lvlText w:val="%8."/>
      <w:lvlJc w:val="left"/>
      <w:pPr>
        <w:ind w:left="7092" w:hanging="360"/>
      </w:pPr>
    </w:lvl>
    <w:lvl w:ilvl="8" w:tplc="0C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7">
    <w:nsid w:val="2C0C74C8"/>
    <w:multiLevelType w:val="hybridMultilevel"/>
    <w:tmpl w:val="C7022560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2E3E4F16"/>
    <w:multiLevelType w:val="hybridMultilevel"/>
    <w:tmpl w:val="D1FC44F2"/>
    <w:lvl w:ilvl="0" w:tplc="F29E458E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E5F2543"/>
    <w:multiLevelType w:val="hybridMultilevel"/>
    <w:tmpl w:val="C960E034"/>
    <w:lvl w:ilvl="0" w:tplc="1BA626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75724"/>
    <w:multiLevelType w:val="hybridMultilevel"/>
    <w:tmpl w:val="99B0A05E"/>
    <w:lvl w:ilvl="0" w:tplc="0C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A662D5B"/>
    <w:multiLevelType w:val="hybridMultilevel"/>
    <w:tmpl w:val="0D7EF26E"/>
    <w:lvl w:ilvl="0" w:tplc="06F645F0">
      <w:start w:val="1"/>
      <w:numFmt w:val="lowerLetter"/>
      <w:lvlText w:val="(%1)"/>
      <w:lvlJc w:val="right"/>
      <w:pPr>
        <w:ind w:left="2421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2">
    <w:nsid w:val="3CC750F4"/>
    <w:multiLevelType w:val="hybridMultilevel"/>
    <w:tmpl w:val="7DC8FAF0"/>
    <w:lvl w:ilvl="0" w:tplc="4CC21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25D52"/>
    <w:multiLevelType w:val="hybridMultilevel"/>
    <w:tmpl w:val="B4F23BF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B57CD3"/>
    <w:multiLevelType w:val="hybridMultilevel"/>
    <w:tmpl w:val="2BA272CC"/>
    <w:lvl w:ilvl="0" w:tplc="3E967260">
      <w:start w:val="9"/>
      <w:numFmt w:val="decimal"/>
      <w:lvlText w:val="%1"/>
      <w:lvlJc w:val="left"/>
      <w:pPr>
        <w:ind w:left="4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610" w:hanging="360"/>
      </w:pPr>
    </w:lvl>
    <w:lvl w:ilvl="2" w:tplc="0C09001B" w:tentative="1">
      <w:start w:val="1"/>
      <w:numFmt w:val="lowerRoman"/>
      <w:lvlText w:val="%3."/>
      <w:lvlJc w:val="right"/>
      <w:pPr>
        <w:ind w:left="6330" w:hanging="180"/>
      </w:pPr>
    </w:lvl>
    <w:lvl w:ilvl="3" w:tplc="0C09000F" w:tentative="1">
      <w:start w:val="1"/>
      <w:numFmt w:val="decimal"/>
      <w:lvlText w:val="%4."/>
      <w:lvlJc w:val="left"/>
      <w:pPr>
        <w:ind w:left="7050" w:hanging="360"/>
      </w:pPr>
    </w:lvl>
    <w:lvl w:ilvl="4" w:tplc="0C090019" w:tentative="1">
      <w:start w:val="1"/>
      <w:numFmt w:val="lowerLetter"/>
      <w:lvlText w:val="%5."/>
      <w:lvlJc w:val="left"/>
      <w:pPr>
        <w:ind w:left="7770" w:hanging="360"/>
      </w:pPr>
    </w:lvl>
    <w:lvl w:ilvl="5" w:tplc="0C09001B" w:tentative="1">
      <w:start w:val="1"/>
      <w:numFmt w:val="lowerRoman"/>
      <w:lvlText w:val="%6."/>
      <w:lvlJc w:val="right"/>
      <w:pPr>
        <w:ind w:left="8490" w:hanging="180"/>
      </w:pPr>
    </w:lvl>
    <w:lvl w:ilvl="6" w:tplc="0C09000F" w:tentative="1">
      <w:start w:val="1"/>
      <w:numFmt w:val="decimal"/>
      <w:lvlText w:val="%7."/>
      <w:lvlJc w:val="left"/>
      <w:pPr>
        <w:ind w:left="9210" w:hanging="360"/>
      </w:pPr>
    </w:lvl>
    <w:lvl w:ilvl="7" w:tplc="0C090019" w:tentative="1">
      <w:start w:val="1"/>
      <w:numFmt w:val="lowerLetter"/>
      <w:lvlText w:val="%8."/>
      <w:lvlJc w:val="left"/>
      <w:pPr>
        <w:ind w:left="9930" w:hanging="360"/>
      </w:pPr>
    </w:lvl>
    <w:lvl w:ilvl="8" w:tplc="0C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5">
    <w:nsid w:val="46E344FF"/>
    <w:multiLevelType w:val="hybridMultilevel"/>
    <w:tmpl w:val="4490D5DA"/>
    <w:lvl w:ilvl="0" w:tplc="0C09001B">
      <w:start w:val="1"/>
      <w:numFmt w:val="lowerRoman"/>
      <w:lvlText w:val="%1."/>
      <w:lvlJc w:val="right"/>
      <w:pPr>
        <w:ind w:left="257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16">
    <w:nsid w:val="59F95D8D"/>
    <w:multiLevelType w:val="hybridMultilevel"/>
    <w:tmpl w:val="4378D9CA"/>
    <w:lvl w:ilvl="0" w:tplc="7CB0F59A">
      <w:start w:val="1"/>
      <w:numFmt w:val="decimal"/>
      <w:lvlText w:val="(%1)"/>
      <w:lvlJc w:val="left"/>
      <w:pPr>
        <w:ind w:left="2421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1085E"/>
    <w:multiLevelType w:val="hybridMultilevel"/>
    <w:tmpl w:val="8CC25B8A"/>
    <w:lvl w:ilvl="0" w:tplc="F1DAEDEE">
      <w:start w:val="1"/>
      <w:numFmt w:val="lowerLetter"/>
      <w:lvlText w:val="(%1)"/>
      <w:lvlJc w:val="left"/>
      <w:pPr>
        <w:ind w:left="2487" w:hanging="360"/>
      </w:pPr>
    </w:lvl>
    <w:lvl w:ilvl="1" w:tplc="0C090019">
      <w:start w:val="1"/>
      <w:numFmt w:val="lowerLetter"/>
      <w:lvlText w:val="%2."/>
      <w:lvlJc w:val="left"/>
      <w:pPr>
        <w:ind w:left="3207" w:hanging="360"/>
      </w:pPr>
    </w:lvl>
    <w:lvl w:ilvl="2" w:tplc="0C09001B">
      <w:start w:val="1"/>
      <w:numFmt w:val="lowerRoman"/>
      <w:lvlText w:val="%3."/>
      <w:lvlJc w:val="right"/>
      <w:pPr>
        <w:ind w:left="3927" w:hanging="180"/>
      </w:pPr>
    </w:lvl>
    <w:lvl w:ilvl="3" w:tplc="0C09000F">
      <w:start w:val="1"/>
      <w:numFmt w:val="decimal"/>
      <w:lvlText w:val="%4."/>
      <w:lvlJc w:val="left"/>
      <w:pPr>
        <w:ind w:left="4647" w:hanging="360"/>
      </w:pPr>
    </w:lvl>
    <w:lvl w:ilvl="4" w:tplc="0C090019">
      <w:start w:val="1"/>
      <w:numFmt w:val="lowerLetter"/>
      <w:lvlText w:val="%5."/>
      <w:lvlJc w:val="left"/>
      <w:pPr>
        <w:ind w:left="5367" w:hanging="360"/>
      </w:pPr>
    </w:lvl>
    <w:lvl w:ilvl="5" w:tplc="0C09001B">
      <w:start w:val="1"/>
      <w:numFmt w:val="lowerRoman"/>
      <w:lvlText w:val="%6."/>
      <w:lvlJc w:val="right"/>
      <w:pPr>
        <w:ind w:left="6087" w:hanging="180"/>
      </w:pPr>
    </w:lvl>
    <w:lvl w:ilvl="6" w:tplc="0C09000F">
      <w:start w:val="1"/>
      <w:numFmt w:val="decimal"/>
      <w:lvlText w:val="%7."/>
      <w:lvlJc w:val="left"/>
      <w:pPr>
        <w:ind w:left="6807" w:hanging="360"/>
      </w:pPr>
    </w:lvl>
    <w:lvl w:ilvl="7" w:tplc="0C090019">
      <w:start w:val="1"/>
      <w:numFmt w:val="lowerLetter"/>
      <w:lvlText w:val="%8."/>
      <w:lvlJc w:val="left"/>
      <w:pPr>
        <w:ind w:left="7527" w:hanging="360"/>
      </w:pPr>
    </w:lvl>
    <w:lvl w:ilvl="8" w:tplc="0C09001B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5D3E70DB"/>
    <w:multiLevelType w:val="hybridMultilevel"/>
    <w:tmpl w:val="94A28D1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E839DE"/>
    <w:multiLevelType w:val="hybridMultilevel"/>
    <w:tmpl w:val="3A289B52"/>
    <w:lvl w:ilvl="0" w:tplc="567E9B3E">
      <w:start w:val="1"/>
      <w:numFmt w:val="lowerLetter"/>
      <w:lvlText w:val="(%1)"/>
      <w:lvlJc w:val="left"/>
      <w:pPr>
        <w:ind w:left="1689" w:hanging="55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61890245"/>
    <w:multiLevelType w:val="hybridMultilevel"/>
    <w:tmpl w:val="2FB8EB2C"/>
    <w:lvl w:ilvl="0" w:tplc="0C09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>
    <w:nsid w:val="65E60269"/>
    <w:multiLevelType w:val="hybridMultilevel"/>
    <w:tmpl w:val="285474DA"/>
    <w:lvl w:ilvl="0" w:tplc="7FBCE4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594125"/>
    <w:multiLevelType w:val="hybridMultilevel"/>
    <w:tmpl w:val="C52A8DEC"/>
    <w:lvl w:ilvl="0" w:tplc="0C09001B">
      <w:start w:val="1"/>
      <w:numFmt w:val="lowerRoman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3641B6D"/>
    <w:multiLevelType w:val="hybridMultilevel"/>
    <w:tmpl w:val="22FECA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71DA17F6">
      <w:start w:val="1"/>
      <w:numFmt w:val="lowerLetter"/>
      <w:lvlText w:val="(%4)"/>
      <w:lvlJc w:val="left"/>
      <w:pPr>
        <w:ind w:left="3345" w:hanging="825"/>
      </w:pPr>
      <w:rPr>
        <w:rFonts w:hint="default"/>
      </w:rPr>
    </w:lvl>
    <w:lvl w:ilvl="4" w:tplc="56D6C7AC">
      <w:start w:val="7"/>
      <w:numFmt w:val="decimal"/>
      <w:lvlText w:val="%5"/>
      <w:lvlJc w:val="left"/>
      <w:pPr>
        <w:ind w:left="786" w:hanging="360"/>
      </w:pPr>
      <w:rPr>
        <w:rFonts w:hint="default"/>
      </w:rPr>
    </w:lvl>
    <w:lvl w:ilvl="5" w:tplc="1A12A1C4">
      <w:start w:val="8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E026E"/>
    <w:multiLevelType w:val="hybridMultilevel"/>
    <w:tmpl w:val="6F7EC9D4"/>
    <w:lvl w:ilvl="0" w:tplc="33828144">
      <w:start w:val="1"/>
      <w:numFmt w:val="lowerRoman"/>
      <w:lvlText w:val="(%1)"/>
      <w:lvlJc w:val="left"/>
      <w:pPr>
        <w:ind w:left="2705" w:hanging="72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7FF114B6"/>
    <w:multiLevelType w:val="hybridMultilevel"/>
    <w:tmpl w:val="9400490E"/>
    <w:lvl w:ilvl="0" w:tplc="E29887B0">
      <w:start w:val="10"/>
      <w:numFmt w:val="decimal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9"/>
  </w:num>
  <w:num w:numId="5">
    <w:abstractNumId w:val="2"/>
  </w:num>
  <w:num w:numId="6">
    <w:abstractNumId w:val="21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23"/>
  </w:num>
  <w:num w:numId="12">
    <w:abstractNumId w:val="22"/>
  </w:num>
  <w:num w:numId="13">
    <w:abstractNumId w:val="3"/>
  </w:num>
  <w:num w:numId="14">
    <w:abstractNumId w:val="11"/>
  </w:num>
  <w:num w:numId="15">
    <w:abstractNumId w:val="1"/>
  </w:num>
  <w:num w:numId="16">
    <w:abstractNumId w:val="5"/>
  </w:num>
  <w:num w:numId="17">
    <w:abstractNumId w:val="18"/>
  </w:num>
  <w:num w:numId="18">
    <w:abstractNumId w:val="8"/>
  </w:num>
  <w:num w:numId="19">
    <w:abstractNumId w:val="6"/>
  </w:num>
  <w:num w:numId="20">
    <w:abstractNumId w:val="24"/>
  </w:num>
  <w:num w:numId="21">
    <w:abstractNumId w:val="14"/>
  </w:num>
  <w:num w:numId="22">
    <w:abstractNumId w:val="25"/>
  </w:num>
  <w:num w:numId="23">
    <w:abstractNumId w:val="16"/>
  </w:num>
  <w:num w:numId="24">
    <w:abstractNumId w:val="9"/>
  </w:num>
  <w:num w:numId="25">
    <w:abstractNumId w:val="0"/>
  </w:num>
  <w:num w:numId="26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A7"/>
    <w:rsid w:val="000008B8"/>
    <w:rsid w:val="00003BC4"/>
    <w:rsid w:val="00007D42"/>
    <w:rsid w:val="00020C00"/>
    <w:rsid w:val="00025914"/>
    <w:rsid w:val="00031CB3"/>
    <w:rsid w:val="00031F72"/>
    <w:rsid w:val="00046597"/>
    <w:rsid w:val="00055C6E"/>
    <w:rsid w:val="00060C0A"/>
    <w:rsid w:val="00070183"/>
    <w:rsid w:val="00085BA7"/>
    <w:rsid w:val="00085FCA"/>
    <w:rsid w:val="000929C3"/>
    <w:rsid w:val="000A3832"/>
    <w:rsid w:val="000B5293"/>
    <w:rsid w:val="000C12F1"/>
    <w:rsid w:val="000C4331"/>
    <w:rsid w:val="000D24FE"/>
    <w:rsid w:val="000E2CF6"/>
    <w:rsid w:val="000E30A4"/>
    <w:rsid w:val="000E560F"/>
    <w:rsid w:val="000F1A62"/>
    <w:rsid w:val="00101976"/>
    <w:rsid w:val="0011310D"/>
    <w:rsid w:val="0012281F"/>
    <w:rsid w:val="00123F0E"/>
    <w:rsid w:val="00125567"/>
    <w:rsid w:val="00131DBF"/>
    <w:rsid w:val="001345CF"/>
    <w:rsid w:val="00141027"/>
    <w:rsid w:val="00144A7A"/>
    <w:rsid w:val="00157BB6"/>
    <w:rsid w:val="00165DE1"/>
    <w:rsid w:val="00165FDC"/>
    <w:rsid w:val="00166BA0"/>
    <w:rsid w:val="00170238"/>
    <w:rsid w:val="00175BDF"/>
    <w:rsid w:val="001827D7"/>
    <w:rsid w:val="00184CD5"/>
    <w:rsid w:val="00185089"/>
    <w:rsid w:val="00192AC0"/>
    <w:rsid w:val="001A5D4A"/>
    <w:rsid w:val="001D2C88"/>
    <w:rsid w:val="001E3DDF"/>
    <w:rsid w:val="001E406C"/>
    <w:rsid w:val="00203C6C"/>
    <w:rsid w:val="00222E99"/>
    <w:rsid w:val="002305D2"/>
    <w:rsid w:val="00232B41"/>
    <w:rsid w:val="0024242E"/>
    <w:rsid w:val="00246DEF"/>
    <w:rsid w:val="00247184"/>
    <w:rsid w:val="00247CE3"/>
    <w:rsid w:val="0025067C"/>
    <w:rsid w:val="00261333"/>
    <w:rsid w:val="00261AF2"/>
    <w:rsid w:val="00265454"/>
    <w:rsid w:val="00266224"/>
    <w:rsid w:val="00275662"/>
    <w:rsid w:val="00277C54"/>
    <w:rsid w:val="002866D6"/>
    <w:rsid w:val="00296F0D"/>
    <w:rsid w:val="002A1154"/>
    <w:rsid w:val="002A26EE"/>
    <w:rsid w:val="002A38BC"/>
    <w:rsid w:val="002B1C54"/>
    <w:rsid w:val="002B3545"/>
    <w:rsid w:val="002B449C"/>
    <w:rsid w:val="002C2549"/>
    <w:rsid w:val="002D22AC"/>
    <w:rsid w:val="002E4ACD"/>
    <w:rsid w:val="002E636B"/>
    <w:rsid w:val="002F05F7"/>
    <w:rsid w:val="00301190"/>
    <w:rsid w:val="00302F41"/>
    <w:rsid w:val="00323230"/>
    <w:rsid w:val="003345D3"/>
    <w:rsid w:val="00347638"/>
    <w:rsid w:val="00357E11"/>
    <w:rsid w:val="00374B6F"/>
    <w:rsid w:val="003758C6"/>
    <w:rsid w:val="00381014"/>
    <w:rsid w:val="0038176F"/>
    <w:rsid w:val="00391402"/>
    <w:rsid w:val="00393C1A"/>
    <w:rsid w:val="003A75CA"/>
    <w:rsid w:val="003B2901"/>
    <w:rsid w:val="003B6D04"/>
    <w:rsid w:val="003D10E9"/>
    <w:rsid w:val="003D28A1"/>
    <w:rsid w:val="003E601F"/>
    <w:rsid w:val="003E7282"/>
    <w:rsid w:val="003E765C"/>
    <w:rsid w:val="00401828"/>
    <w:rsid w:val="00403559"/>
    <w:rsid w:val="004039EE"/>
    <w:rsid w:val="00407D4D"/>
    <w:rsid w:val="0041644F"/>
    <w:rsid w:val="00417CD8"/>
    <w:rsid w:val="00434DA5"/>
    <w:rsid w:val="00436623"/>
    <w:rsid w:val="00441A29"/>
    <w:rsid w:val="00442B53"/>
    <w:rsid w:val="00444552"/>
    <w:rsid w:val="004642C2"/>
    <w:rsid w:val="00473052"/>
    <w:rsid w:val="0049446C"/>
    <w:rsid w:val="004972FB"/>
    <w:rsid w:val="00497DB2"/>
    <w:rsid w:val="004A2DAB"/>
    <w:rsid w:val="004A3917"/>
    <w:rsid w:val="004A61B5"/>
    <w:rsid w:val="004B33F8"/>
    <w:rsid w:val="004C6748"/>
    <w:rsid w:val="004C6E79"/>
    <w:rsid w:val="004D3F2B"/>
    <w:rsid w:val="004F4B00"/>
    <w:rsid w:val="004F5724"/>
    <w:rsid w:val="00500A8D"/>
    <w:rsid w:val="00522401"/>
    <w:rsid w:val="0053038B"/>
    <w:rsid w:val="005324F5"/>
    <w:rsid w:val="005352B5"/>
    <w:rsid w:val="00536494"/>
    <w:rsid w:val="005370BE"/>
    <w:rsid w:val="00546C71"/>
    <w:rsid w:val="00555849"/>
    <w:rsid w:val="00577832"/>
    <w:rsid w:val="00577B29"/>
    <w:rsid w:val="0058686B"/>
    <w:rsid w:val="005874FD"/>
    <w:rsid w:val="0059003E"/>
    <w:rsid w:val="005952DE"/>
    <w:rsid w:val="005A41B8"/>
    <w:rsid w:val="005B4EC0"/>
    <w:rsid w:val="005C1062"/>
    <w:rsid w:val="005C21B5"/>
    <w:rsid w:val="005D20BD"/>
    <w:rsid w:val="005D236C"/>
    <w:rsid w:val="005D3AA9"/>
    <w:rsid w:val="005E5F66"/>
    <w:rsid w:val="005F416F"/>
    <w:rsid w:val="005F49EE"/>
    <w:rsid w:val="00611A7B"/>
    <w:rsid w:val="00616AD7"/>
    <w:rsid w:val="00620AB0"/>
    <w:rsid w:val="006330BC"/>
    <w:rsid w:val="006353A6"/>
    <w:rsid w:val="00647360"/>
    <w:rsid w:val="006522E8"/>
    <w:rsid w:val="0065324A"/>
    <w:rsid w:val="006545C3"/>
    <w:rsid w:val="00656377"/>
    <w:rsid w:val="006568DF"/>
    <w:rsid w:val="006578DC"/>
    <w:rsid w:val="00662C96"/>
    <w:rsid w:val="00662EDD"/>
    <w:rsid w:val="006729A2"/>
    <w:rsid w:val="00676F63"/>
    <w:rsid w:val="0067755C"/>
    <w:rsid w:val="0068310D"/>
    <w:rsid w:val="00685B02"/>
    <w:rsid w:val="006947D3"/>
    <w:rsid w:val="0069563C"/>
    <w:rsid w:val="0069663C"/>
    <w:rsid w:val="006A4F23"/>
    <w:rsid w:val="006B4F11"/>
    <w:rsid w:val="006C24CB"/>
    <w:rsid w:val="006C594C"/>
    <w:rsid w:val="006E5B2E"/>
    <w:rsid w:val="007014C8"/>
    <w:rsid w:val="007053BF"/>
    <w:rsid w:val="00705600"/>
    <w:rsid w:val="00710F9A"/>
    <w:rsid w:val="00717682"/>
    <w:rsid w:val="00725F26"/>
    <w:rsid w:val="007267AE"/>
    <w:rsid w:val="007327E8"/>
    <w:rsid w:val="00733644"/>
    <w:rsid w:val="00737AB0"/>
    <w:rsid w:val="0076500C"/>
    <w:rsid w:val="00765C1D"/>
    <w:rsid w:val="00766A7D"/>
    <w:rsid w:val="00773D80"/>
    <w:rsid w:val="00781CEF"/>
    <w:rsid w:val="00785578"/>
    <w:rsid w:val="00797187"/>
    <w:rsid w:val="007A182C"/>
    <w:rsid w:val="007A320A"/>
    <w:rsid w:val="007A3FC7"/>
    <w:rsid w:val="007A44C8"/>
    <w:rsid w:val="007B2438"/>
    <w:rsid w:val="007B7693"/>
    <w:rsid w:val="007B79D0"/>
    <w:rsid w:val="007D110D"/>
    <w:rsid w:val="007D2E8A"/>
    <w:rsid w:val="007E23BE"/>
    <w:rsid w:val="007F4EF0"/>
    <w:rsid w:val="008004A1"/>
    <w:rsid w:val="00811532"/>
    <w:rsid w:val="008115B5"/>
    <w:rsid w:val="00812933"/>
    <w:rsid w:val="00814C80"/>
    <w:rsid w:val="00814CC8"/>
    <w:rsid w:val="00814CD6"/>
    <w:rsid w:val="00817DB6"/>
    <w:rsid w:val="00845DFD"/>
    <w:rsid w:val="00846620"/>
    <w:rsid w:val="00872DC2"/>
    <w:rsid w:val="00887312"/>
    <w:rsid w:val="00890C1D"/>
    <w:rsid w:val="008918F2"/>
    <w:rsid w:val="008A0EFD"/>
    <w:rsid w:val="008A1208"/>
    <w:rsid w:val="008A210D"/>
    <w:rsid w:val="008A27C5"/>
    <w:rsid w:val="008B425F"/>
    <w:rsid w:val="008B5851"/>
    <w:rsid w:val="008C3667"/>
    <w:rsid w:val="008C4BC0"/>
    <w:rsid w:val="008D09F8"/>
    <w:rsid w:val="008D1EED"/>
    <w:rsid w:val="008D3118"/>
    <w:rsid w:val="008D40C7"/>
    <w:rsid w:val="008E37C5"/>
    <w:rsid w:val="008E3C34"/>
    <w:rsid w:val="008E5E7C"/>
    <w:rsid w:val="008E6B7A"/>
    <w:rsid w:val="008E7073"/>
    <w:rsid w:val="008F42C0"/>
    <w:rsid w:val="008F720C"/>
    <w:rsid w:val="008F7988"/>
    <w:rsid w:val="0090098B"/>
    <w:rsid w:val="00910700"/>
    <w:rsid w:val="009260FB"/>
    <w:rsid w:val="009271A1"/>
    <w:rsid w:val="00930E54"/>
    <w:rsid w:val="0093672B"/>
    <w:rsid w:val="009419AD"/>
    <w:rsid w:val="00944742"/>
    <w:rsid w:val="00954406"/>
    <w:rsid w:val="00980B32"/>
    <w:rsid w:val="00996426"/>
    <w:rsid w:val="009B094F"/>
    <w:rsid w:val="009E38F9"/>
    <w:rsid w:val="009E6BA9"/>
    <w:rsid w:val="009F0E2C"/>
    <w:rsid w:val="00A03A58"/>
    <w:rsid w:val="00A07315"/>
    <w:rsid w:val="00A1514B"/>
    <w:rsid w:val="00A16BB8"/>
    <w:rsid w:val="00A35BAC"/>
    <w:rsid w:val="00A365CF"/>
    <w:rsid w:val="00A374D7"/>
    <w:rsid w:val="00A45675"/>
    <w:rsid w:val="00A55ABB"/>
    <w:rsid w:val="00A60CC7"/>
    <w:rsid w:val="00A7180B"/>
    <w:rsid w:val="00A75C94"/>
    <w:rsid w:val="00A93FEA"/>
    <w:rsid w:val="00AA0730"/>
    <w:rsid w:val="00AA276D"/>
    <w:rsid w:val="00AA3345"/>
    <w:rsid w:val="00AA49B2"/>
    <w:rsid w:val="00AA60FB"/>
    <w:rsid w:val="00AB22FF"/>
    <w:rsid w:val="00AB3EA2"/>
    <w:rsid w:val="00AB3F43"/>
    <w:rsid w:val="00AB3F71"/>
    <w:rsid w:val="00AD77AD"/>
    <w:rsid w:val="00AF24FB"/>
    <w:rsid w:val="00B05328"/>
    <w:rsid w:val="00B06F75"/>
    <w:rsid w:val="00B33AB2"/>
    <w:rsid w:val="00B33FE7"/>
    <w:rsid w:val="00B34157"/>
    <w:rsid w:val="00B36B39"/>
    <w:rsid w:val="00B42A77"/>
    <w:rsid w:val="00B43298"/>
    <w:rsid w:val="00B4410E"/>
    <w:rsid w:val="00B47F2B"/>
    <w:rsid w:val="00B50677"/>
    <w:rsid w:val="00B56EDB"/>
    <w:rsid w:val="00B7599A"/>
    <w:rsid w:val="00B85788"/>
    <w:rsid w:val="00B86A4D"/>
    <w:rsid w:val="00B97709"/>
    <w:rsid w:val="00BA1F94"/>
    <w:rsid w:val="00BB0D5A"/>
    <w:rsid w:val="00BC7A11"/>
    <w:rsid w:val="00BE397B"/>
    <w:rsid w:val="00BF1C2C"/>
    <w:rsid w:val="00BF4D98"/>
    <w:rsid w:val="00C04C33"/>
    <w:rsid w:val="00C13B26"/>
    <w:rsid w:val="00C16226"/>
    <w:rsid w:val="00C23552"/>
    <w:rsid w:val="00C23AAF"/>
    <w:rsid w:val="00C25319"/>
    <w:rsid w:val="00C36872"/>
    <w:rsid w:val="00C40AA4"/>
    <w:rsid w:val="00C508F0"/>
    <w:rsid w:val="00C578CA"/>
    <w:rsid w:val="00C7062D"/>
    <w:rsid w:val="00C80053"/>
    <w:rsid w:val="00C81FC2"/>
    <w:rsid w:val="00C82846"/>
    <w:rsid w:val="00C850CD"/>
    <w:rsid w:val="00C96075"/>
    <w:rsid w:val="00CA3BFF"/>
    <w:rsid w:val="00CC50B5"/>
    <w:rsid w:val="00CC58E7"/>
    <w:rsid w:val="00CC5AC2"/>
    <w:rsid w:val="00CE1177"/>
    <w:rsid w:val="00CF4533"/>
    <w:rsid w:val="00CF5441"/>
    <w:rsid w:val="00CF690D"/>
    <w:rsid w:val="00D007D3"/>
    <w:rsid w:val="00D233F4"/>
    <w:rsid w:val="00D32406"/>
    <w:rsid w:val="00D36539"/>
    <w:rsid w:val="00D453FB"/>
    <w:rsid w:val="00D53494"/>
    <w:rsid w:val="00D60AA5"/>
    <w:rsid w:val="00D61BC5"/>
    <w:rsid w:val="00D64342"/>
    <w:rsid w:val="00D64684"/>
    <w:rsid w:val="00D663C9"/>
    <w:rsid w:val="00D66B55"/>
    <w:rsid w:val="00D71920"/>
    <w:rsid w:val="00D814E4"/>
    <w:rsid w:val="00D87B86"/>
    <w:rsid w:val="00DA6CDC"/>
    <w:rsid w:val="00DB0967"/>
    <w:rsid w:val="00DB1530"/>
    <w:rsid w:val="00DC3C5F"/>
    <w:rsid w:val="00DD6AFA"/>
    <w:rsid w:val="00DE13B6"/>
    <w:rsid w:val="00DE1CDD"/>
    <w:rsid w:val="00DE4A0A"/>
    <w:rsid w:val="00DE4B63"/>
    <w:rsid w:val="00DF6436"/>
    <w:rsid w:val="00E07CBD"/>
    <w:rsid w:val="00E15658"/>
    <w:rsid w:val="00E20BC6"/>
    <w:rsid w:val="00E221A8"/>
    <w:rsid w:val="00E22B61"/>
    <w:rsid w:val="00E23AE6"/>
    <w:rsid w:val="00E31394"/>
    <w:rsid w:val="00E33B7B"/>
    <w:rsid w:val="00E365D9"/>
    <w:rsid w:val="00E448AC"/>
    <w:rsid w:val="00E572E5"/>
    <w:rsid w:val="00E614FE"/>
    <w:rsid w:val="00E62227"/>
    <w:rsid w:val="00E65DE5"/>
    <w:rsid w:val="00E6761F"/>
    <w:rsid w:val="00E7229B"/>
    <w:rsid w:val="00E73E90"/>
    <w:rsid w:val="00E80330"/>
    <w:rsid w:val="00E8404D"/>
    <w:rsid w:val="00E858C7"/>
    <w:rsid w:val="00E85FF0"/>
    <w:rsid w:val="00E97B87"/>
    <w:rsid w:val="00EB3D86"/>
    <w:rsid w:val="00ED4A71"/>
    <w:rsid w:val="00ED7251"/>
    <w:rsid w:val="00EE0908"/>
    <w:rsid w:val="00EE499D"/>
    <w:rsid w:val="00EF4DCC"/>
    <w:rsid w:val="00F01B3F"/>
    <w:rsid w:val="00F06D4D"/>
    <w:rsid w:val="00F0785F"/>
    <w:rsid w:val="00F1077A"/>
    <w:rsid w:val="00F175BD"/>
    <w:rsid w:val="00F26395"/>
    <w:rsid w:val="00F311EE"/>
    <w:rsid w:val="00F358A3"/>
    <w:rsid w:val="00F45AC9"/>
    <w:rsid w:val="00F5097E"/>
    <w:rsid w:val="00F51AF1"/>
    <w:rsid w:val="00F75420"/>
    <w:rsid w:val="00F802CA"/>
    <w:rsid w:val="00F8478A"/>
    <w:rsid w:val="00FB085D"/>
    <w:rsid w:val="00FB16C6"/>
    <w:rsid w:val="00FC7BA9"/>
    <w:rsid w:val="00FD16BC"/>
    <w:rsid w:val="00FE0FE6"/>
    <w:rsid w:val="00FE2445"/>
    <w:rsid w:val="00FE62FD"/>
    <w:rsid w:val="00FE6D7F"/>
    <w:rsid w:val="00FF2D1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7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47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478A"/>
    <w:rPr>
      <w:rFonts w:ascii="Cambria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85BA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85BA7"/>
    <w:rPr>
      <w:rFonts w:ascii="Arial" w:hAnsi="Arial" w:cs="Arial"/>
      <w:b/>
      <w:bCs/>
      <w:sz w:val="40"/>
      <w:szCs w:val="40"/>
      <w:lang w:eastAsia="en-US"/>
    </w:rPr>
  </w:style>
  <w:style w:type="paragraph" w:customStyle="1" w:styleId="SigningPageBreak">
    <w:name w:val="SigningPageBreak"/>
    <w:basedOn w:val="Normal"/>
    <w:next w:val="Normal"/>
    <w:uiPriority w:val="99"/>
    <w:rsid w:val="00085BA7"/>
  </w:style>
  <w:style w:type="character" w:styleId="Hyperlink">
    <w:name w:val="Hyperlink"/>
    <w:basedOn w:val="DefaultParagraphFont"/>
    <w:uiPriority w:val="99"/>
    <w:semiHidden/>
    <w:rsid w:val="00085BA7"/>
    <w:rPr>
      <w:rFonts w:cs="Times New Roman"/>
      <w:color w:val="0000FF"/>
      <w:u w:val="single"/>
    </w:rPr>
  </w:style>
  <w:style w:type="paragraph" w:customStyle="1" w:styleId="NoteEnd">
    <w:name w:val="Note End"/>
    <w:basedOn w:val="Normal"/>
    <w:uiPriority w:val="99"/>
    <w:rsid w:val="00085BA7"/>
    <w:pPr>
      <w:spacing w:before="120" w:line="240" w:lineRule="exact"/>
      <w:ind w:left="567" w:hanging="567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5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A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92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2AC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2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AC0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50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500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500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6500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7F2B"/>
    <w:pPr>
      <w:spacing w:before="100" w:beforeAutospacing="1" w:after="100" w:afterAutospacing="1"/>
    </w:pPr>
    <w:rPr>
      <w:lang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055C6E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ubsection">
    <w:name w:val="subsection"/>
    <w:aliases w:val="ss"/>
    <w:link w:val="subsectionChar"/>
    <w:rsid w:val="00055C6E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055C6E"/>
    <w:rPr>
      <w:sz w:val="22"/>
      <w:szCs w:val="24"/>
      <w:lang w:val="en-AU" w:eastAsia="en-AU" w:bidi="ar-SA"/>
    </w:rPr>
  </w:style>
  <w:style w:type="paragraph" w:styleId="Revision">
    <w:name w:val="Revision"/>
    <w:hidden/>
    <w:uiPriority w:val="99"/>
    <w:semiHidden/>
    <w:rsid w:val="000B5293"/>
    <w:rPr>
      <w:sz w:val="24"/>
      <w:szCs w:val="24"/>
      <w:lang w:eastAsia="en-US"/>
    </w:rPr>
  </w:style>
  <w:style w:type="paragraph" w:customStyle="1" w:styleId="HR">
    <w:name w:val="HR"/>
    <w:aliases w:val="Regulation Heading"/>
    <w:basedOn w:val="Normal"/>
    <w:next w:val="R1"/>
    <w:rsid w:val="00374B6F"/>
    <w:pPr>
      <w:keepNext/>
      <w:spacing w:before="360"/>
      <w:ind w:left="964" w:hanging="964"/>
    </w:pPr>
    <w:rPr>
      <w:rFonts w:ascii="Arial" w:hAnsi="Arial"/>
      <w:b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7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47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478A"/>
    <w:rPr>
      <w:rFonts w:ascii="Cambria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85BA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85BA7"/>
    <w:rPr>
      <w:rFonts w:ascii="Arial" w:hAnsi="Arial" w:cs="Arial"/>
      <w:b/>
      <w:bCs/>
      <w:sz w:val="40"/>
      <w:szCs w:val="40"/>
      <w:lang w:eastAsia="en-US"/>
    </w:rPr>
  </w:style>
  <w:style w:type="paragraph" w:customStyle="1" w:styleId="SigningPageBreak">
    <w:name w:val="SigningPageBreak"/>
    <w:basedOn w:val="Normal"/>
    <w:next w:val="Normal"/>
    <w:uiPriority w:val="99"/>
    <w:rsid w:val="00085BA7"/>
  </w:style>
  <w:style w:type="character" w:styleId="Hyperlink">
    <w:name w:val="Hyperlink"/>
    <w:basedOn w:val="DefaultParagraphFont"/>
    <w:uiPriority w:val="99"/>
    <w:semiHidden/>
    <w:rsid w:val="00085BA7"/>
    <w:rPr>
      <w:rFonts w:cs="Times New Roman"/>
      <w:color w:val="0000FF"/>
      <w:u w:val="single"/>
    </w:rPr>
  </w:style>
  <w:style w:type="paragraph" w:customStyle="1" w:styleId="NoteEnd">
    <w:name w:val="Note End"/>
    <w:basedOn w:val="Normal"/>
    <w:uiPriority w:val="99"/>
    <w:rsid w:val="00085BA7"/>
    <w:pPr>
      <w:spacing w:before="120" w:line="240" w:lineRule="exact"/>
      <w:ind w:left="567" w:hanging="567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5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A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92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2AC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2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AC0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50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500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500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6500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7F2B"/>
    <w:pPr>
      <w:spacing w:before="100" w:beforeAutospacing="1" w:after="100" w:afterAutospacing="1"/>
    </w:pPr>
    <w:rPr>
      <w:lang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055C6E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ubsection">
    <w:name w:val="subsection"/>
    <w:aliases w:val="ss"/>
    <w:link w:val="subsectionChar"/>
    <w:rsid w:val="00055C6E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055C6E"/>
    <w:rPr>
      <w:sz w:val="22"/>
      <w:szCs w:val="24"/>
      <w:lang w:val="en-AU" w:eastAsia="en-AU" w:bidi="ar-SA"/>
    </w:rPr>
  </w:style>
  <w:style w:type="paragraph" w:styleId="Revision">
    <w:name w:val="Revision"/>
    <w:hidden/>
    <w:uiPriority w:val="99"/>
    <w:semiHidden/>
    <w:rsid w:val="000B5293"/>
    <w:rPr>
      <w:sz w:val="24"/>
      <w:szCs w:val="24"/>
      <w:lang w:eastAsia="en-US"/>
    </w:rPr>
  </w:style>
  <w:style w:type="paragraph" w:customStyle="1" w:styleId="HR">
    <w:name w:val="HR"/>
    <w:aliases w:val="Regulation Heading"/>
    <w:basedOn w:val="Normal"/>
    <w:next w:val="R1"/>
    <w:rsid w:val="00374B6F"/>
    <w:pPr>
      <w:keepNext/>
      <w:spacing w:before="360"/>
      <w:ind w:left="964" w:hanging="964"/>
    </w:pPr>
    <w:rPr>
      <w:rFonts w:ascii="Arial" w:hAnsi="Arial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6086">
                          <w:marLeft w:val="25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619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9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4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1A031FC16374680E98F17802C0ADE" ma:contentTypeVersion="3" ma:contentTypeDescription="Create a new document." ma:contentTypeScope="" ma:versionID="ed1a09f4ea5c52cf758bb0163ab4f698">
  <xsd:schema xmlns:xsd="http://www.w3.org/2001/XMLSchema" xmlns:xs="http://www.w3.org/2001/XMLSchema" xmlns:p="http://schemas.microsoft.com/office/2006/metadata/properties" xmlns:ns2="23a4e5fa-b800-47ff-aba6-0482d4300c18" targetNamespace="http://schemas.microsoft.com/office/2006/metadata/properties" ma:root="true" ma:fieldsID="ab8b8976c50400c188fbf7e1e06ffa08" ns2:_="">
    <xsd:import namespace="23a4e5fa-b800-47ff-aba6-0482d4300c18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4e5fa-b800-47ff-aba6-0482d4300c18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23a4e5fa-b800-47ff-aba6-0482d4300c18">Briefing Attachment</pdms_DocumentType>
    <pdms_AttachedBy xmlns="23a4e5fa-b800-47ff-aba6-0482d4300c18">BALDWIN , Claire</pdms_AttachedBy>
    <pdms_Reason xmlns="23a4e5fa-b800-47ff-aba6-0482d4300c18">Attachment to brief</pdms_Reas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8CCD-D484-469B-9274-CC8563BA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4e5fa-b800-47ff-aba6-0482d43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B8A34-85C4-4FB5-B6FA-BFC97EF76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57568-3262-4FD3-8EF7-E9D1729D39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3a4e5fa-b800-47ff-aba6-0482d4300c1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BF358A-91BB-4465-B7BA-715EAD83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NVETR (Charges) Determination 2013 (No  1)</vt:lpstr>
    </vt:vector>
  </TitlesOfParts>
  <Company>Australian Government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NVETR (Charges) Determination 2013 (No  1)</dc:title>
  <dc:creator>Patricia Sherry</dc:creator>
  <cp:lastModifiedBy>Prest, Alicia</cp:lastModifiedBy>
  <cp:revision>2</cp:revision>
  <cp:lastPrinted>2013-06-19T04:18:00Z</cp:lastPrinted>
  <dcterms:created xsi:type="dcterms:W3CDTF">2013-07-30T06:15:00Z</dcterms:created>
  <dcterms:modified xsi:type="dcterms:W3CDTF">2013-07-30T06:15:00Z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0x010100DC71A031FC16374680E98F17802C0ADE</vt:lpwstr>
  </property>
</Properties>
</file>