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5DA80" w14:textId="77777777" w:rsidR="004C0247" w:rsidRPr="009361CD" w:rsidRDefault="004C0247" w:rsidP="009361CD">
      <w:pPr>
        <w:spacing w:before="100" w:beforeAutospacing="1" w:after="100" w:afterAutospacing="1" w:line="240" w:lineRule="auto"/>
        <w:jc w:val="center"/>
        <w:rPr>
          <w:rFonts w:eastAsia="Times New Roman"/>
          <w:b/>
          <w:sz w:val="19"/>
          <w:szCs w:val="19"/>
          <w:lang w:eastAsia="en-AU"/>
        </w:rPr>
      </w:pPr>
      <w:bookmarkStart w:id="0" w:name="_GoBack"/>
      <w:bookmarkEnd w:id="0"/>
      <w:r w:rsidRPr="009361CD">
        <w:rPr>
          <w:rFonts w:eastAsia="Times New Roman"/>
          <w:b/>
          <w:lang w:eastAsia="en-AU"/>
        </w:rPr>
        <w:t>EXPLANATORY STATEMENT</w:t>
      </w:r>
    </w:p>
    <w:p w14:paraId="6E85DA81" w14:textId="77777777" w:rsidR="004C0247" w:rsidRPr="004C0247" w:rsidRDefault="004C0247" w:rsidP="004C0247">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4C0247">
        <w:rPr>
          <w:rFonts w:eastAsia="Times New Roman"/>
          <w:b/>
          <w:bCs/>
          <w:lang w:eastAsia="en-AU"/>
        </w:rPr>
        <w:t>Issued by the authority of the Minister for Health</w:t>
      </w:r>
    </w:p>
    <w:p w14:paraId="6E85DA82" w14:textId="77777777" w:rsidR="004C0247" w:rsidRPr="004C0247" w:rsidRDefault="004C0247" w:rsidP="004C0247">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4C0247">
        <w:rPr>
          <w:rFonts w:eastAsia="Times New Roman"/>
          <w:b/>
          <w:bCs/>
          <w:i/>
          <w:iCs/>
          <w:lang w:eastAsia="en-AU"/>
        </w:rPr>
        <w:t>Private Health Insurance (Council Administration Levy) Act 2003</w:t>
      </w:r>
    </w:p>
    <w:p w14:paraId="6E85DA83" w14:textId="77777777" w:rsidR="004C0247" w:rsidRPr="004C0247" w:rsidRDefault="004C0247" w:rsidP="009361CD">
      <w:pPr>
        <w:spacing w:after="0" w:line="240" w:lineRule="auto"/>
        <w:jc w:val="center"/>
        <w:rPr>
          <w:rFonts w:ascii="Times New Roman" w:eastAsia="Times New Roman" w:hAnsi="Times New Roman" w:cs="Times New Roman"/>
          <w:sz w:val="24"/>
          <w:szCs w:val="24"/>
          <w:lang w:eastAsia="en-AU"/>
        </w:rPr>
      </w:pPr>
      <w:r w:rsidRPr="004C0247">
        <w:rPr>
          <w:rFonts w:eastAsia="Times New Roman"/>
          <w:b/>
          <w:bCs/>
          <w:i/>
          <w:iCs/>
          <w:lang w:eastAsia="en-AU"/>
        </w:rPr>
        <w:t>Private Health Insurance (Council Administ</w:t>
      </w:r>
      <w:r w:rsidR="0094247F">
        <w:rPr>
          <w:rFonts w:eastAsia="Times New Roman"/>
          <w:b/>
          <w:bCs/>
          <w:i/>
          <w:iCs/>
          <w:lang w:eastAsia="en-AU"/>
        </w:rPr>
        <w:t>ration Levy) Amendment Rule 2013</w:t>
      </w:r>
      <w:r w:rsidRPr="004C0247">
        <w:rPr>
          <w:rFonts w:eastAsia="Times New Roman"/>
          <w:b/>
          <w:bCs/>
          <w:i/>
          <w:iCs/>
          <w:lang w:eastAsia="en-AU"/>
        </w:rPr>
        <w:t xml:space="preserve"> </w:t>
      </w:r>
    </w:p>
    <w:p w14:paraId="6E85DA84" w14:textId="77777777" w:rsidR="004C0247" w:rsidRPr="004C0247" w:rsidRDefault="00A930A2" w:rsidP="009361CD">
      <w:pPr>
        <w:spacing w:after="0" w:line="240" w:lineRule="auto"/>
        <w:jc w:val="center"/>
        <w:rPr>
          <w:rFonts w:ascii="Times New Roman" w:eastAsia="Times New Roman" w:hAnsi="Times New Roman" w:cs="Times New Roman"/>
          <w:sz w:val="24"/>
          <w:szCs w:val="24"/>
          <w:lang w:eastAsia="en-AU"/>
        </w:rPr>
      </w:pPr>
      <w:r>
        <w:rPr>
          <w:rFonts w:eastAsia="Times New Roman"/>
          <w:b/>
          <w:bCs/>
          <w:i/>
          <w:iCs/>
          <w:lang w:eastAsia="en-AU"/>
        </w:rPr>
        <w:t>(No. 2</w:t>
      </w:r>
      <w:r w:rsidR="004C0247" w:rsidRPr="004C0247">
        <w:rPr>
          <w:rFonts w:eastAsia="Times New Roman"/>
          <w:b/>
          <w:bCs/>
          <w:i/>
          <w:iCs/>
          <w:lang w:eastAsia="en-AU"/>
        </w:rPr>
        <w:t>) </w:t>
      </w:r>
    </w:p>
    <w:p w14:paraId="6E85DA85" w14:textId="77777777" w:rsidR="004C0247" w:rsidRPr="004C0247" w:rsidRDefault="004C0247" w:rsidP="004C0247">
      <w:pPr>
        <w:spacing w:before="120" w:after="120" w:line="240" w:lineRule="auto"/>
        <w:ind w:right="253"/>
        <w:jc w:val="both"/>
        <w:rPr>
          <w:rFonts w:eastAsia="Times New Roman"/>
          <w:sz w:val="19"/>
          <w:szCs w:val="19"/>
          <w:lang w:eastAsia="en-AU"/>
        </w:rPr>
      </w:pPr>
      <w:r w:rsidRPr="004C0247">
        <w:rPr>
          <w:rFonts w:eastAsia="Times New Roman"/>
          <w:b/>
          <w:bCs/>
          <w:lang w:eastAsia="en-AU"/>
        </w:rPr>
        <w:t xml:space="preserve">Authority for the Rules </w:t>
      </w:r>
    </w:p>
    <w:p w14:paraId="6E85DA86" w14:textId="334164B2" w:rsidR="004C0247" w:rsidRPr="004C0247" w:rsidRDefault="004C0247" w:rsidP="00CB5D8A">
      <w:pPr>
        <w:spacing w:before="100" w:beforeAutospacing="1" w:after="100" w:afterAutospacing="1" w:line="240" w:lineRule="auto"/>
        <w:rPr>
          <w:rFonts w:eastAsia="Times New Roman"/>
          <w:sz w:val="19"/>
          <w:szCs w:val="19"/>
          <w:lang w:eastAsia="en-AU"/>
        </w:rPr>
      </w:pPr>
      <w:r w:rsidRPr="004C0247">
        <w:rPr>
          <w:rFonts w:eastAsia="Times New Roman"/>
          <w:lang w:eastAsia="en-AU"/>
        </w:rPr>
        <w:t xml:space="preserve">Section 9A of the </w:t>
      </w:r>
      <w:r w:rsidRPr="004C0247">
        <w:rPr>
          <w:rFonts w:eastAsia="Times New Roman"/>
          <w:i/>
          <w:iCs/>
          <w:lang w:eastAsia="en-AU"/>
        </w:rPr>
        <w:t>Private Health Insurance (Council Administration Levy) Act 2003</w:t>
      </w:r>
      <w:r w:rsidR="009361CD">
        <w:rPr>
          <w:rFonts w:eastAsia="Times New Roman"/>
          <w:i/>
          <w:iCs/>
          <w:lang w:eastAsia="en-AU"/>
        </w:rPr>
        <w:br/>
      </w:r>
      <w:r w:rsidRPr="004C0247">
        <w:rPr>
          <w:rFonts w:eastAsia="Times New Roman"/>
          <w:lang w:eastAsia="en-AU"/>
        </w:rPr>
        <w:t xml:space="preserve">(the </w:t>
      </w:r>
      <w:r w:rsidRPr="004C0247">
        <w:rPr>
          <w:rFonts w:eastAsia="Times New Roman"/>
          <w:b/>
          <w:bCs/>
          <w:lang w:eastAsia="en-AU"/>
        </w:rPr>
        <w:t>CAL Act</w:t>
      </w:r>
      <w:r w:rsidRPr="004C0247">
        <w:rPr>
          <w:rFonts w:eastAsia="Times New Roman"/>
          <w:lang w:eastAsia="en-AU"/>
        </w:rPr>
        <w:t xml:space="preserve">) provides that the Minister may, by legislative instrument, make </w:t>
      </w:r>
      <w:r w:rsidRPr="004C0247">
        <w:rPr>
          <w:rFonts w:eastAsia="Times New Roman"/>
          <w:i/>
          <w:iCs/>
          <w:lang w:eastAsia="en-AU"/>
        </w:rPr>
        <w:t>Private Health Insurance</w:t>
      </w:r>
      <w:r w:rsidRPr="004C0247">
        <w:rPr>
          <w:rFonts w:eastAsia="Times New Roman"/>
          <w:lang w:eastAsia="en-AU"/>
        </w:rPr>
        <w:t xml:space="preserve"> </w:t>
      </w:r>
      <w:r w:rsidRPr="004C0247">
        <w:rPr>
          <w:rFonts w:eastAsia="Times New Roman"/>
          <w:i/>
          <w:iCs/>
          <w:lang w:eastAsia="en-AU"/>
        </w:rPr>
        <w:t>(Council Administration Levy) Rules</w:t>
      </w:r>
      <w:r w:rsidRPr="004C0247">
        <w:rPr>
          <w:rFonts w:eastAsia="Times New Roman"/>
          <w:lang w:eastAsia="en-AU"/>
        </w:rPr>
        <w:t xml:space="preserve"> (the </w:t>
      </w:r>
      <w:r w:rsidRPr="004C0247">
        <w:rPr>
          <w:rFonts w:eastAsia="Times New Roman"/>
          <w:b/>
          <w:bCs/>
          <w:lang w:eastAsia="en-AU"/>
        </w:rPr>
        <w:t>Rules</w:t>
      </w:r>
      <w:r w:rsidRPr="004C0247">
        <w:rPr>
          <w:rFonts w:eastAsia="Times New Roman"/>
          <w:lang w:eastAsia="en-AU"/>
        </w:rPr>
        <w:t>) providing for matters required or permitted by the</w:t>
      </w:r>
      <w:r w:rsidR="00A37B1E">
        <w:rPr>
          <w:rFonts w:eastAsia="Times New Roman"/>
          <w:lang w:eastAsia="en-AU"/>
        </w:rPr>
        <w:t xml:space="preserve"> CAL</w:t>
      </w:r>
      <w:r w:rsidRPr="004C0247">
        <w:rPr>
          <w:rFonts w:eastAsia="Times New Roman"/>
          <w:lang w:eastAsia="en-AU"/>
        </w:rPr>
        <w:t xml:space="preserve"> Act, or necessary, or convenient to carry out, or give effect to the</w:t>
      </w:r>
      <w:r w:rsidR="00A37B1E">
        <w:rPr>
          <w:rFonts w:eastAsia="Times New Roman"/>
          <w:lang w:eastAsia="en-AU"/>
        </w:rPr>
        <w:t xml:space="preserve"> CAL</w:t>
      </w:r>
      <w:r w:rsidRPr="004C0247">
        <w:rPr>
          <w:rFonts w:eastAsia="Times New Roman"/>
          <w:lang w:eastAsia="en-AU"/>
        </w:rPr>
        <w:t xml:space="preserve"> Act.</w:t>
      </w:r>
    </w:p>
    <w:p w14:paraId="6E85DA87" w14:textId="17ADF97A" w:rsidR="004C0247" w:rsidRPr="004C0247" w:rsidRDefault="004C0247" w:rsidP="00CB5D8A">
      <w:pPr>
        <w:spacing w:before="100" w:beforeAutospacing="1" w:after="100" w:afterAutospacing="1" w:line="240" w:lineRule="auto"/>
        <w:rPr>
          <w:rFonts w:eastAsia="Times New Roman"/>
          <w:sz w:val="19"/>
          <w:szCs w:val="19"/>
          <w:lang w:eastAsia="en-AU"/>
        </w:rPr>
      </w:pPr>
      <w:r w:rsidRPr="004C0247">
        <w:rPr>
          <w:rFonts w:eastAsia="Times New Roman"/>
          <w:lang w:eastAsia="en-AU"/>
        </w:rPr>
        <w:t xml:space="preserve">The </w:t>
      </w:r>
      <w:r w:rsidR="00A37B1E">
        <w:rPr>
          <w:rFonts w:eastAsia="Times New Roman"/>
          <w:lang w:eastAsia="en-AU"/>
        </w:rPr>
        <w:t xml:space="preserve">CAL </w:t>
      </w:r>
      <w:r w:rsidRPr="004C0247">
        <w:rPr>
          <w:rFonts w:eastAsia="Times New Roman"/>
          <w:lang w:eastAsia="en-AU"/>
        </w:rPr>
        <w:t xml:space="preserve">Act provides for the Rules to specify the rate of the Council </w:t>
      </w:r>
      <w:r w:rsidR="00A37B1E">
        <w:rPr>
          <w:rFonts w:eastAsia="Times New Roman"/>
          <w:lang w:eastAsia="en-AU"/>
        </w:rPr>
        <w:t>A</w:t>
      </w:r>
      <w:r w:rsidRPr="004C0247">
        <w:rPr>
          <w:rFonts w:eastAsia="Times New Roman"/>
          <w:lang w:eastAsia="en-AU"/>
        </w:rPr>
        <w:t xml:space="preserve">dministration </w:t>
      </w:r>
      <w:r w:rsidR="00A37B1E">
        <w:rPr>
          <w:rFonts w:eastAsia="Times New Roman"/>
          <w:lang w:eastAsia="en-AU"/>
        </w:rPr>
        <w:t>L</w:t>
      </w:r>
      <w:r w:rsidRPr="004C0247">
        <w:rPr>
          <w:rFonts w:eastAsia="Times New Roman"/>
          <w:lang w:eastAsia="en-AU"/>
        </w:rPr>
        <w:t xml:space="preserve">evy (the </w:t>
      </w:r>
      <w:r w:rsidRPr="004C0247">
        <w:rPr>
          <w:rFonts w:eastAsia="Times New Roman"/>
          <w:b/>
          <w:bCs/>
          <w:lang w:eastAsia="en-AU"/>
        </w:rPr>
        <w:t>CAL</w:t>
      </w:r>
      <w:r w:rsidRPr="004C0247">
        <w:rPr>
          <w:rFonts w:eastAsia="Times New Roman"/>
          <w:lang w:eastAsia="en-AU"/>
        </w:rPr>
        <w:t>), the CAL days and the census day.</w:t>
      </w:r>
    </w:p>
    <w:p w14:paraId="6E85DA88" w14:textId="77777777" w:rsidR="00A930A2" w:rsidRDefault="004C0247" w:rsidP="00CB5D8A">
      <w:pPr>
        <w:spacing w:before="100" w:beforeAutospacing="1" w:after="100" w:afterAutospacing="1" w:line="240" w:lineRule="auto"/>
        <w:rPr>
          <w:rFonts w:eastAsia="Times New Roman"/>
          <w:lang w:eastAsia="en-AU"/>
        </w:rPr>
      </w:pPr>
      <w:r w:rsidRPr="004C0247">
        <w:rPr>
          <w:rFonts w:eastAsia="Times New Roman"/>
          <w:lang w:eastAsia="en-AU"/>
        </w:rPr>
        <w:t xml:space="preserve">Pursuant to section 307-10 of the </w:t>
      </w:r>
      <w:r w:rsidRPr="004C0247">
        <w:rPr>
          <w:rFonts w:eastAsia="Times New Roman"/>
          <w:i/>
          <w:iCs/>
          <w:lang w:eastAsia="en-AU"/>
        </w:rPr>
        <w:t>Private Health Insurance Act 2007</w:t>
      </w:r>
      <w:r w:rsidRPr="004C0247">
        <w:rPr>
          <w:rFonts w:eastAsia="Times New Roman"/>
          <w:lang w:eastAsia="en-AU"/>
        </w:rPr>
        <w:t xml:space="preserve"> (the </w:t>
      </w:r>
      <w:r w:rsidRPr="004C0247">
        <w:rPr>
          <w:rFonts w:eastAsia="Times New Roman"/>
          <w:b/>
          <w:bCs/>
          <w:lang w:eastAsia="en-AU"/>
        </w:rPr>
        <w:t>PHI Act</w:t>
      </w:r>
      <w:r w:rsidRPr="004C0247">
        <w:rPr>
          <w:rFonts w:eastAsia="Times New Roman"/>
          <w:lang w:eastAsia="en-AU"/>
        </w:rPr>
        <w:t>) the purpose of the CAL is to meet the general administrative costs of the Private Health Insurance Administration Council (</w:t>
      </w:r>
      <w:r w:rsidRPr="004C0247">
        <w:rPr>
          <w:rFonts w:eastAsia="Times New Roman"/>
          <w:b/>
          <w:bCs/>
          <w:lang w:eastAsia="en-AU"/>
        </w:rPr>
        <w:t>PHIAC</w:t>
      </w:r>
      <w:r w:rsidRPr="004C0247">
        <w:rPr>
          <w:rFonts w:eastAsia="Times New Roman"/>
          <w:lang w:eastAsia="en-AU"/>
        </w:rPr>
        <w:t xml:space="preserve">). The CAL is imposed on registered private health insurers conducting health insurance business. </w:t>
      </w:r>
    </w:p>
    <w:p w14:paraId="6E85DA89" w14:textId="6D609E8B" w:rsidR="004C0247" w:rsidRPr="00A930A2" w:rsidRDefault="00A8399C" w:rsidP="00543CE2">
      <w:pPr>
        <w:spacing w:before="100" w:beforeAutospacing="1" w:after="100" w:afterAutospacing="1" w:line="240" w:lineRule="auto"/>
        <w:rPr>
          <w:rFonts w:eastAsia="Times New Roman"/>
          <w:lang w:eastAsia="en-AU"/>
        </w:rPr>
      </w:pPr>
      <w:r>
        <w:rPr>
          <w:rFonts w:eastAsia="Times New Roman"/>
          <w:lang w:eastAsia="en-AU"/>
        </w:rPr>
        <w:t xml:space="preserve">The </w:t>
      </w:r>
      <w:r w:rsidRPr="00A8399C">
        <w:rPr>
          <w:rFonts w:eastAsia="Times New Roman"/>
          <w:i/>
          <w:lang w:eastAsia="en-AU"/>
        </w:rPr>
        <w:t>Private Health Insurance (Council Administration Levy) Amendment Rules 2013 (No. 2)</w:t>
      </w:r>
      <w:r>
        <w:rPr>
          <w:rFonts w:eastAsia="Times New Roman"/>
          <w:lang w:eastAsia="en-AU"/>
        </w:rPr>
        <w:t xml:space="preserve"> (the </w:t>
      </w:r>
      <w:r w:rsidRPr="00A8399C">
        <w:rPr>
          <w:rFonts w:eastAsia="Times New Roman"/>
          <w:b/>
          <w:lang w:eastAsia="en-AU"/>
        </w:rPr>
        <w:t>Amendment Rules</w:t>
      </w:r>
      <w:r>
        <w:rPr>
          <w:rFonts w:eastAsia="Times New Roman"/>
          <w:lang w:eastAsia="en-AU"/>
        </w:rPr>
        <w:t>)</w:t>
      </w:r>
      <w:r w:rsidR="00A930A2">
        <w:rPr>
          <w:rFonts w:eastAsia="Times New Roman"/>
          <w:lang w:eastAsia="en-AU"/>
        </w:rPr>
        <w:t xml:space="preserve"> correct a drafting error in the </w:t>
      </w:r>
      <w:r w:rsidR="00A930A2" w:rsidRPr="00A930A2">
        <w:rPr>
          <w:rFonts w:eastAsia="Times New Roman"/>
          <w:i/>
          <w:lang w:eastAsia="en-AU"/>
        </w:rPr>
        <w:t xml:space="preserve">Private Health Insurance (Council Administration Levy) Amendment Rule 2013 </w:t>
      </w:r>
      <w:r w:rsidR="00A930A2">
        <w:rPr>
          <w:rFonts w:eastAsia="Times New Roman"/>
          <w:i/>
          <w:lang w:eastAsia="en-AU"/>
        </w:rPr>
        <w:t>(No. 1)</w:t>
      </w:r>
      <w:r w:rsidR="00543CE2">
        <w:rPr>
          <w:rFonts w:eastAsia="Times New Roman"/>
          <w:lang w:eastAsia="en-AU"/>
        </w:rPr>
        <w:t xml:space="preserve"> in order</w:t>
      </w:r>
      <w:r w:rsidR="00512F2D">
        <w:rPr>
          <w:rFonts w:eastAsia="Times New Roman"/>
          <w:lang w:eastAsia="en-AU"/>
        </w:rPr>
        <w:t xml:space="preserve"> to properly increase the CAL for the 2013-14</w:t>
      </w:r>
      <w:r w:rsidR="00543CE2">
        <w:rPr>
          <w:rFonts w:eastAsia="Times New Roman"/>
          <w:lang w:eastAsia="en-AU"/>
        </w:rPr>
        <w:t>, 2014-15 and 2015-16</w:t>
      </w:r>
      <w:r w:rsidR="00512F2D">
        <w:rPr>
          <w:rFonts w:eastAsia="Times New Roman"/>
          <w:lang w:eastAsia="en-AU"/>
        </w:rPr>
        <w:t xml:space="preserve"> financial year</w:t>
      </w:r>
      <w:r w:rsidR="00543CE2">
        <w:rPr>
          <w:rFonts w:eastAsia="Times New Roman"/>
          <w:lang w:eastAsia="en-AU"/>
        </w:rPr>
        <w:t>s</w:t>
      </w:r>
      <w:r w:rsidR="00512F2D">
        <w:rPr>
          <w:rFonts w:eastAsia="Times New Roman"/>
          <w:lang w:eastAsia="en-AU"/>
        </w:rPr>
        <w:t>.</w:t>
      </w:r>
    </w:p>
    <w:p w14:paraId="6E85DA8A" w14:textId="16DF3EA2"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b/>
          <w:bCs/>
          <w:lang w:eastAsia="en-AU"/>
        </w:rPr>
        <w:t xml:space="preserve">Purpose of the </w:t>
      </w:r>
      <w:r w:rsidR="000F188A">
        <w:rPr>
          <w:rFonts w:eastAsia="Times New Roman"/>
          <w:b/>
          <w:bCs/>
          <w:lang w:eastAsia="en-AU"/>
        </w:rPr>
        <w:t>A</w:t>
      </w:r>
      <w:r w:rsidRPr="004C0247">
        <w:rPr>
          <w:rFonts w:eastAsia="Times New Roman"/>
          <w:b/>
          <w:bCs/>
          <w:lang w:eastAsia="en-AU"/>
        </w:rPr>
        <w:t>mendment</w:t>
      </w:r>
      <w:r w:rsidR="000F188A">
        <w:rPr>
          <w:rFonts w:eastAsia="Times New Roman"/>
          <w:b/>
          <w:bCs/>
          <w:lang w:eastAsia="en-AU"/>
        </w:rPr>
        <w:t xml:space="preserve"> Rules</w:t>
      </w:r>
    </w:p>
    <w:p w14:paraId="6E85DA8B" w14:textId="345AD78E" w:rsidR="007948F4" w:rsidRDefault="009C1D8B" w:rsidP="00CB5D8A">
      <w:pPr>
        <w:spacing w:before="100" w:beforeAutospacing="1" w:after="100" w:afterAutospacing="1" w:line="240" w:lineRule="auto"/>
        <w:rPr>
          <w:rFonts w:eastAsia="Times New Roman"/>
          <w:lang w:eastAsia="en-AU"/>
        </w:rPr>
      </w:pPr>
      <w:r>
        <w:rPr>
          <w:rFonts w:eastAsia="Times New Roman"/>
          <w:lang w:eastAsia="en-AU"/>
        </w:rPr>
        <w:t>The purpose of the A</w:t>
      </w:r>
      <w:r w:rsidR="004C0247" w:rsidRPr="004C0247">
        <w:rPr>
          <w:rFonts w:eastAsia="Times New Roman"/>
          <w:lang w:eastAsia="en-AU"/>
        </w:rPr>
        <w:t>mendment</w:t>
      </w:r>
      <w:r>
        <w:rPr>
          <w:rFonts w:eastAsia="Times New Roman"/>
          <w:lang w:eastAsia="en-AU"/>
        </w:rPr>
        <w:t xml:space="preserve"> Rules </w:t>
      </w:r>
      <w:r w:rsidR="001250AF">
        <w:rPr>
          <w:rFonts w:eastAsia="Times New Roman"/>
          <w:lang w:eastAsia="en-AU"/>
        </w:rPr>
        <w:t>is</w:t>
      </w:r>
      <w:r w:rsidR="004C0247" w:rsidRPr="004C0247">
        <w:rPr>
          <w:rFonts w:eastAsia="Times New Roman"/>
          <w:lang w:eastAsia="en-AU"/>
        </w:rPr>
        <w:t xml:space="preserve"> to</w:t>
      </w:r>
      <w:r w:rsidR="00512F2D">
        <w:rPr>
          <w:rFonts w:eastAsia="Times New Roman"/>
          <w:lang w:eastAsia="en-AU"/>
        </w:rPr>
        <w:t xml:space="preserve"> correct an error</w:t>
      </w:r>
      <w:r>
        <w:rPr>
          <w:rFonts w:eastAsia="Times New Roman"/>
          <w:lang w:eastAsia="en-AU"/>
        </w:rPr>
        <w:t xml:space="preserve"> noted in the denominator used to </w:t>
      </w:r>
      <w:proofErr w:type="gramStart"/>
      <w:r>
        <w:rPr>
          <w:rFonts w:eastAsia="Times New Roman"/>
          <w:lang w:eastAsia="en-AU"/>
        </w:rPr>
        <w:t>calculate</w:t>
      </w:r>
      <w:proofErr w:type="gramEnd"/>
      <w:r>
        <w:rPr>
          <w:rFonts w:eastAsia="Times New Roman"/>
          <w:lang w:eastAsia="en-AU"/>
        </w:rPr>
        <w:t xml:space="preserve"> the CAL so as to properly apply the</w:t>
      </w:r>
      <w:r w:rsidR="001542B3">
        <w:rPr>
          <w:rFonts w:eastAsia="Times New Roman"/>
          <w:lang w:eastAsia="en-AU"/>
        </w:rPr>
        <w:t xml:space="preserve"> increase to the</w:t>
      </w:r>
      <w:r>
        <w:rPr>
          <w:rFonts w:eastAsia="Times New Roman"/>
          <w:lang w:eastAsia="en-AU"/>
        </w:rPr>
        <w:t xml:space="preserve"> </w:t>
      </w:r>
      <w:r w:rsidR="007948F4">
        <w:rPr>
          <w:rFonts w:eastAsia="Times New Roman"/>
          <w:lang w:eastAsia="en-AU"/>
        </w:rPr>
        <w:t xml:space="preserve">CAL in </w:t>
      </w:r>
      <w:r w:rsidR="00A930A2">
        <w:rPr>
          <w:rFonts w:eastAsia="Times New Roman"/>
          <w:lang w:eastAsia="en-AU"/>
        </w:rPr>
        <w:t xml:space="preserve">the </w:t>
      </w:r>
      <w:r w:rsidR="007948F4">
        <w:rPr>
          <w:rFonts w:eastAsia="Times New Roman"/>
          <w:lang w:eastAsia="en-AU"/>
        </w:rPr>
        <w:t>financial year 2013-14</w:t>
      </w:r>
      <w:r w:rsidR="006F6CFA">
        <w:rPr>
          <w:rFonts w:eastAsia="Times New Roman"/>
          <w:lang w:eastAsia="en-AU"/>
        </w:rPr>
        <w:t xml:space="preserve"> by </w:t>
      </w:r>
      <w:r w:rsidR="004C0247" w:rsidRPr="004C0247">
        <w:rPr>
          <w:rFonts w:eastAsia="Times New Roman"/>
          <w:lang w:eastAsia="en-AU"/>
        </w:rPr>
        <w:t>$</w:t>
      </w:r>
      <w:r w:rsidR="007948F4">
        <w:rPr>
          <w:rFonts w:eastAsia="Times New Roman"/>
          <w:lang w:eastAsia="en-AU"/>
        </w:rPr>
        <w:t>364</w:t>
      </w:r>
      <w:r w:rsidR="004C0247" w:rsidRPr="004C0247">
        <w:rPr>
          <w:rFonts w:eastAsia="Times New Roman"/>
          <w:lang w:eastAsia="en-AU"/>
        </w:rPr>
        <w:t>,000 to meet PHIAC’s increased general administration costs</w:t>
      </w:r>
      <w:r w:rsidR="006F6CFA">
        <w:rPr>
          <w:rFonts w:eastAsia="Times New Roman"/>
          <w:lang w:eastAsia="en-AU"/>
        </w:rPr>
        <w:t>.</w:t>
      </w:r>
    </w:p>
    <w:p w14:paraId="6E85DA8C" w14:textId="4F8958CF" w:rsidR="004C0247" w:rsidRPr="006F6CFA" w:rsidRDefault="002E636A" w:rsidP="00CB5D8A">
      <w:pPr>
        <w:spacing w:before="100" w:beforeAutospacing="1" w:after="100" w:afterAutospacing="1" w:line="240" w:lineRule="auto"/>
        <w:rPr>
          <w:rFonts w:eastAsia="Times New Roman"/>
          <w:lang w:eastAsia="en-AU"/>
        </w:rPr>
      </w:pPr>
      <w:r>
        <w:rPr>
          <w:rFonts w:eastAsia="Times New Roman"/>
          <w:lang w:eastAsia="en-AU"/>
        </w:rPr>
        <w:t>The</w:t>
      </w:r>
      <w:r w:rsidR="00A9486C">
        <w:rPr>
          <w:rFonts w:eastAsia="Times New Roman"/>
          <w:lang w:eastAsia="en-AU"/>
        </w:rPr>
        <w:t xml:space="preserve"> Amendment</w:t>
      </w:r>
      <w:r w:rsidR="008807AF">
        <w:rPr>
          <w:rFonts w:eastAsia="Times New Roman"/>
          <w:lang w:eastAsia="en-AU"/>
        </w:rPr>
        <w:t xml:space="preserve"> </w:t>
      </w:r>
      <w:r w:rsidR="006F6CFA">
        <w:rPr>
          <w:rFonts w:eastAsia="Times New Roman"/>
          <w:lang w:eastAsia="en-AU"/>
        </w:rPr>
        <w:t xml:space="preserve">Rules </w:t>
      </w:r>
      <w:r w:rsidR="003D5389">
        <w:rPr>
          <w:rFonts w:eastAsia="Times New Roman"/>
          <w:lang w:eastAsia="en-AU"/>
        </w:rPr>
        <w:t>also include</w:t>
      </w:r>
      <w:r w:rsidR="00392821">
        <w:rPr>
          <w:rFonts w:eastAsia="Times New Roman"/>
          <w:lang w:eastAsia="en-AU"/>
        </w:rPr>
        <w:t xml:space="preserve"> a third and fourth</w:t>
      </w:r>
      <w:r w:rsidR="006F6CFA">
        <w:rPr>
          <w:rFonts w:eastAsia="Times New Roman"/>
          <w:lang w:eastAsia="en-AU"/>
        </w:rPr>
        <w:t xml:space="preserve"> year increase in the </w:t>
      </w:r>
      <w:r w:rsidR="003D5389">
        <w:rPr>
          <w:rFonts w:eastAsia="Times New Roman"/>
          <w:lang w:eastAsia="en-AU"/>
        </w:rPr>
        <w:t>CAL</w:t>
      </w:r>
      <w:r w:rsidR="006F6CFA">
        <w:rPr>
          <w:rFonts w:eastAsia="Times New Roman"/>
          <w:lang w:eastAsia="en-AU"/>
        </w:rPr>
        <w:t xml:space="preserve"> </w:t>
      </w:r>
      <w:r w:rsidR="007948F4">
        <w:rPr>
          <w:rFonts w:eastAsia="Times New Roman"/>
          <w:lang w:eastAsia="en-AU"/>
        </w:rPr>
        <w:t xml:space="preserve">in accordance with the four year funding arrangements in the </w:t>
      </w:r>
      <w:r w:rsidR="007948F4" w:rsidRPr="007948F4">
        <w:rPr>
          <w:rFonts w:eastAsia="Times New Roman"/>
          <w:i/>
          <w:lang w:eastAsia="en-AU"/>
        </w:rPr>
        <w:t>Private Health Insurance (Council Administra</w:t>
      </w:r>
      <w:r w:rsidR="007948F4">
        <w:rPr>
          <w:rFonts w:eastAsia="Times New Roman"/>
          <w:i/>
          <w:lang w:eastAsia="en-AU"/>
        </w:rPr>
        <w:t>tion Levy) Amendment Rule</w:t>
      </w:r>
      <w:r w:rsidR="00EF598A">
        <w:rPr>
          <w:rFonts w:eastAsia="Times New Roman"/>
          <w:i/>
          <w:lang w:eastAsia="en-AU"/>
        </w:rPr>
        <w:t>s</w:t>
      </w:r>
      <w:r w:rsidR="007948F4">
        <w:rPr>
          <w:rFonts w:eastAsia="Times New Roman"/>
          <w:i/>
          <w:lang w:eastAsia="en-AU"/>
        </w:rPr>
        <w:t xml:space="preserve"> </w:t>
      </w:r>
      <w:r w:rsidR="007948F4" w:rsidRPr="007948F4">
        <w:rPr>
          <w:rFonts w:eastAsia="Times New Roman"/>
          <w:i/>
          <w:lang w:eastAsia="en-AU"/>
        </w:rPr>
        <w:t>2012 (No. 1)</w:t>
      </w:r>
      <w:r w:rsidR="007948F4" w:rsidRPr="007948F4">
        <w:rPr>
          <w:rFonts w:eastAsia="Times New Roman"/>
          <w:lang w:eastAsia="en-AU"/>
        </w:rPr>
        <w:t xml:space="preserve"> </w:t>
      </w:r>
      <w:r w:rsidR="007948F4">
        <w:rPr>
          <w:rFonts w:eastAsia="Times New Roman"/>
          <w:lang w:eastAsia="en-AU"/>
        </w:rPr>
        <w:t xml:space="preserve">to continue the work </w:t>
      </w:r>
      <w:r w:rsidR="004C0247" w:rsidRPr="004C0247">
        <w:rPr>
          <w:rFonts w:eastAsia="Times New Roman"/>
          <w:lang w:eastAsia="en-AU"/>
        </w:rPr>
        <w:t>of the Premiums and Competition Unit (</w:t>
      </w:r>
      <w:r w:rsidR="004C0247" w:rsidRPr="004C0247">
        <w:rPr>
          <w:rFonts w:eastAsia="Times New Roman"/>
          <w:b/>
          <w:bCs/>
          <w:lang w:eastAsia="en-AU"/>
        </w:rPr>
        <w:t>PACU</w:t>
      </w:r>
      <w:r w:rsidR="004C0247" w:rsidRPr="004C0247">
        <w:rPr>
          <w:rFonts w:eastAsia="Times New Roman"/>
          <w:lang w:eastAsia="en-AU"/>
        </w:rPr>
        <w:t xml:space="preserve">) within PHIAC. </w:t>
      </w:r>
    </w:p>
    <w:p w14:paraId="6E85DA8D" w14:textId="4AAB6F95" w:rsidR="00512F2D" w:rsidRDefault="006F6CFA" w:rsidP="00CB5D8A">
      <w:pPr>
        <w:spacing w:before="100" w:beforeAutospacing="1" w:after="100" w:afterAutospacing="1" w:line="240" w:lineRule="auto"/>
        <w:rPr>
          <w:rFonts w:eastAsia="Times New Roman"/>
          <w:lang w:eastAsia="en-AU"/>
        </w:rPr>
      </w:pPr>
      <w:r>
        <w:rPr>
          <w:rFonts w:eastAsia="Times New Roman"/>
          <w:lang w:eastAsia="en-AU"/>
        </w:rPr>
        <w:t xml:space="preserve">The </w:t>
      </w:r>
      <w:r w:rsidR="004C0247" w:rsidRPr="004C0247">
        <w:rPr>
          <w:rFonts w:eastAsia="Times New Roman"/>
          <w:lang w:eastAsia="en-AU"/>
        </w:rPr>
        <w:t>formula specifying the rate of the CAL</w:t>
      </w:r>
      <w:r w:rsidR="00BF2601">
        <w:rPr>
          <w:rFonts w:eastAsia="Times New Roman"/>
          <w:lang w:eastAsia="en-AU"/>
        </w:rPr>
        <w:t xml:space="preserve"> </w:t>
      </w:r>
      <w:r w:rsidR="00BF2601" w:rsidRPr="004C0247">
        <w:rPr>
          <w:rFonts w:eastAsia="Times New Roman"/>
          <w:lang w:eastAsia="en-AU"/>
        </w:rPr>
        <w:t>applied across the private health insurance industry</w:t>
      </w:r>
      <w:r>
        <w:rPr>
          <w:rFonts w:eastAsia="Times New Roman"/>
          <w:lang w:eastAsia="en-AU"/>
        </w:rPr>
        <w:t xml:space="preserve"> is </w:t>
      </w:r>
      <w:r w:rsidR="00BF2601">
        <w:rPr>
          <w:rFonts w:eastAsia="Times New Roman"/>
          <w:lang w:eastAsia="en-AU"/>
        </w:rPr>
        <w:t xml:space="preserve">set out in </w:t>
      </w:r>
      <w:r w:rsidR="00512F2D">
        <w:rPr>
          <w:rFonts w:eastAsia="Times New Roman"/>
          <w:lang w:eastAsia="en-AU"/>
        </w:rPr>
        <w:t xml:space="preserve">the tables in </w:t>
      </w:r>
      <w:r w:rsidRPr="004C0247">
        <w:rPr>
          <w:rFonts w:eastAsia="Times New Roman"/>
          <w:lang w:eastAsia="en-AU"/>
        </w:rPr>
        <w:t>Rules 6 and 7 of the</w:t>
      </w:r>
      <w:r w:rsidR="00C71132">
        <w:rPr>
          <w:rFonts w:eastAsia="Times New Roman"/>
          <w:lang w:eastAsia="en-AU"/>
        </w:rPr>
        <w:t xml:space="preserve"> Amendment</w:t>
      </w:r>
      <w:r w:rsidRPr="004C0247">
        <w:rPr>
          <w:rFonts w:eastAsia="Times New Roman"/>
          <w:lang w:eastAsia="en-AU"/>
        </w:rPr>
        <w:t xml:space="preserve"> Rule</w:t>
      </w:r>
      <w:r>
        <w:rPr>
          <w:rFonts w:eastAsia="Times New Roman"/>
          <w:lang w:eastAsia="en-AU"/>
        </w:rPr>
        <w:t>s.</w:t>
      </w:r>
      <w:r w:rsidRPr="004C0247">
        <w:rPr>
          <w:rFonts w:eastAsia="Times New Roman"/>
          <w:lang w:eastAsia="en-AU"/>
        </w:rPr>
        <w:t xml:space="preserve"> </w:t>
      </w:r>
    </w:p>
    <w:p w14:paraId="6E85DA8E" w14:textId="622F6415" w:rsidR="00512F2D" w:rsidRDefault="00512F2D" w:rsidP="00CB5D8A">
      <w:pPr>
        <w:spacing w:before="100" w:beforeAutospacing="1" w:after="100" w:afterAutospacing="1" w:line="240" w:lineRule="auto"/>
        <w:rPr>
          <w:rFonts w:eastAsia="Times New Roman"/>
          <w:lang w:eastAsia="en-AU"/>
        </w:rPr>
      </w:pPr>
      <w:r>
        <w:rPr>
          <w:rFonts w:eastAsia="Times New Roman"/>
          <w:lang w:eastAsia="en-AU"/>
        </w:rPr>
        <w:t>The table</w:t>
      </w:r>
      <w:r w:rsidR="00EF598A">
        <w:rPr>
          <w:rFonts w:eastAsia="Times New Roman"/>
          <w:lang w:eastAsia="en-AU"/>
        </w:rPr>
        <w:t>s</w:t>
      </w:r>
      <w:r>
        <w:rPr>
          <w:rFonts w:eastAsia="Times New Roman"/>
          <w:lang w:eastAsia="en-AU"/>
        </w:rPr>
        <w:t xml:space="preserve"> provide the formula for</w:t>
      </w:r>
      <w:r w:rsidR="0089755B">
        <w:rPr>
          <w:rFonts w:eastAsia="Times New Roman"/>
          <w:lang w:eastAsia="en-AU"/>
        </w:rPr>
        <w:t xml:space="preserve"> the</w:t>
      </w:r>
      <w:r>
        <w:rPr>
          <w:rFonts w:eastAsia="Times New Roman"/>
          <w:lang w:eastAsia="en-AU"/>
        </w:rPr>
        <w:t xml:space="preserve"> three years 2013-14, 2014-15 and 2015-16.</w:t>
      </w:r>
      <w:r w:rsidR="00A57C3E">
        <w:rPr>
          <w:rFonts w:eastAsia="Times New Roman"/>
          <w:lang w:eastAsia="en-AU"/>
        </w:rPr>
        <w:t xml:space="preserve"> The formula in the tables for </w:t>
      </w:r>
      <w:r w:rsidRPr="00447403">
        <w:rPr>
          <w:rFonts w:eastAsia="Times New Roman"/>
          <w:lang w:eastAsia="en-AU"/>
        </w:rPr>
        <w:t>the 201</w:t>
      </w:r>
      <w:r w:rsidR="004D7938" w:rsidRPr="00447403">
        <w:rPr>
          <w:rFonts w:eastAsia="Times New Roman"/>
          <w:lang w:eastAsia="en-AU"/>
        </w:rPr>
        <w:t>4</w:t>
      </w:r>
      <w:r w:rsidRPr="00447403">
        <w:rPr>
          <w:rFonts w:eastAsia="Times New Roman"/>
          <w:lang w:eastAsia="en-AU"/>
        </w:rPr>
        <w:t>-1</w:t>
      </w:r>
      <w:r w:rsidR="004D7938" w:rsidRPr="00447403">
        <w:rPr>
          <w:rFonts w:eastAsia="Times New Roman"/>
          <w:lang w:eastAsia="en-AU"/>
        </w:rPr>
        <w:t>5</w:t>
      </w:r>
      <w:r w:rsidRPr="00447403">
        <w:rPr>
          <w:rFonts w:eastAsia="Times New Roman"/>
          <w:lang w:eastAsia="en-AU"/>
        </w:rPr>
        <w:t xml:space="preserve"> and 2015-16 financial</w:t>
      </w:r>
      <w:r>
        <w:rPr>
          <w:rFonts w:eastAsia="Times New Roman"/>
          <w:lang w:eastAsia="en-AU"/>
        </w:rPr>
        <w:t xml:space="preserve"> years are unchanged as they reflect the increased funding to PHIAC for the continuation of the PACU</w:t>
      </w:r>
      <w:r w:rsidR="0089755B">
        <w:rPr>
          <w:rFonts w:eastAsia="Times New Roman"/>
          <w:lang w:eastAsia="en-AU"/>
        </w:rPr>
        <w:t xml:space="preserve">. </w:t>
      </w:r>
    </w:p>
    <w:p w14:paraId="6E85DA8F" w14:textId="77777777" w:rsidR="006F6CFA" w:rsidRPr="006F6CFA" w:rsidRDefault="006F6CFA" w:rsidP="00CB5D8A">
      <w:pPr>
        <w:spacing w:before="100" w:beforeAutospacing="1" w:after="100" w:afterAutospacing="1" w:line="240" w:lineRule="auto"/>
        <w:rPr>
          <w:rFonts w:ascii="Times New Roman" w:eastAsia="Times New Roman" w:hAnsi="Times New Roman" w:cs="Times New Roman"/>
          <w:sz w:val="24"/>
          <w:szCs w:val="24"/>
          <w:lang w:eastAsia="en-AU"/>
        </w:rPr>
      </w:pPr>
      <w:r>
        <w:rPr>
          <w:rFonts w:eastAsia="Times New Roman"/>
          <w:lang w:eastAsia="en-AU"/>
        </w:rPr>
        <w:t xml:space="preserve">The increase </w:t>
      </w:r>
      <w:r w:rsidR="00512F2D">
        <w:rPr>
          <w:rFonts w:eastAsia="Times New Roman"/>
          <w:lang w:eastAsia="en-AU"/>
        </w:rPr>
        <w:t xml:space="preserve">to the CAL for 2013-14 </w:t>
      </w:r>
      <w:r w:rsidRPr="004C0247">
        <w:rPr>
          <w:rFonts w:eastAsia="Times New Roman"/>
          <w:lang w:eastAsia="en-AU"/>
        </w:rPr>
        <w:t xml:space="preserve">will be implemented </w:t>
      </w:r>
      <w:r>
        <w:rPr>
          <w:rFonts w:eastAsia="Times New Roman"/>
          <w:lang w:eastAsia="en-AU"/>
        </w:rPr>
        <w:t xml:space="preserve">by a quarterly amount of $91,000 being added </w:t>
      </w:r>
      <w:r w:rsidRPr="004C0247">
        <w:rPr>
          <w:rFonts w:eastAsia="Times New Roman"/>
          <w:lang w:eastAsia="en-AU"/>
        </w:rPr>
        <w:t>to the numerators in the formulas</w:t>
      </w:r>
      <w:r>
        <w:rPr>
          <w:rFonts w:eastAsia="Times New Roman"/>
          <w:lang w:eastAsia="en-AU"/>
        </w:rPr>
        <w:t>.</w:t>
      </w:r>
    </w:p>
    <w:p w14:paraId="6E85DA90" w14:textId="6CE043E4"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lang w:eastAsia="en-AU"/>
        </w:rPr>
        <w:t>The</w:t>
      </w:r>
      <w:r w:rsidR="000F3796">
        <w:rPr>
          <w:rFonts w:eastAsia="Times New Roman"/>
          <w:lang w:eastAsia="en-AU"/>
        </w:rPr>
        <w:t xml:space="preserve"> Amendment Rules </w:t>
      </w:r>
      <w:r w:rsidR="00A930A2">
        <w:rPr>
          <w:rFonts w:eastAsia="Times New Roman"/>
          <w:lang w:eastAsia="en-AU"/>
        </w:rPr>
        <w:t xml:space="preserve">commence on </w:t>
      </w:r>
      <w:r w:rsidR="000F3796">
        <w:rPr>
          <w:rFonts w:eastAsia="Times New Roman"/>
          <w:lang w:eastAsia="en-AU"/>
        </w:rPr>
        <w:t>22</w:t>
      </w:r>
      <w:r w:rsidR="006F6CFA">
        <w:rPr>
          <w:rFonts w:eastAsia="Times New Roman"/>
          <w:lang w:eastAsia="en-AU"/>
        </w:rPr>
        <w:t xml:space="preserve"> July 2013</w:t>
      </w:r>
      <w:r w:rsidRPr="004C0247">
        <w:rPr>
          <w:rFonts w:eastAsia="Times New Roman"/>
          <w:lang w:eastAsia="en-AU"/>
        </w:rPr>
        <w:t xml:space="preserve">. Details of the </w:t>
      </w:r>
      <w:r w:rsidR="000F3796">
        <w:rPr>
          <w:rFonts w:eastAsia="Times New Roman"/>
          <w:lang w:eastAsia="en-AU"/>
        </w:rPr>
        <w:t>A</w:t>
      </w:r>
      <w:r w:rsidRPr="004C0247">
        <w:rPr>
          <w:rFonts w:eastAsia="Times New Roman"/>
          <w:lang w:eastAsia="en-AU"/>
        </w:rPr>
        <w:t xml:space="preserve">mendment </w:t>
      </w:r>
      <w:r w:rsidR="000F3796">
        <w:rPr>
          <w:rFonts w:eastAsia="Times New Roman"/>
          <w:lang w:eastAsia="en-AU"/>
        </w:rPr>
        <w:t>R</w:t>
      </w:r>
      <w:r w:rsidRPr="004C0247">
        <w:rPr>
          <w:rFonts w:eastAsia="Times New Roman"/>
          <w:lang w:eastAsia="en-AU"/>
        </w:rPr>
        <w:t>ule</w:t>
      </w:r>
      <w:r w:rsidR="000F3796">
        <w:rPr>
          <w:rFonts w:eastAsia="Times New Roman"/>
          <w:lang w:eastAsia="en-AU"/>
        </w:rPr>
        <w:t>s</w:t>
      </w:r>
      <w:r w:rsidRPr="004C0247">
        <w:rPr>
          <w:rFonts w:eastAsia="Times New Roman"/>
          <w:lang w:eastAsia="en-AU"/>
        </w:rPr>
        <w:t xml:space="preserve"> are set out in the </w:t>
      </w:r>
      <w:r w:rsidRPr="004C0247">
        <w:rPr>
          <w:rFonts w:eastAsia="Times New Roman"/>
          <w:u w:val="single"/>
          <w:lang w:eastAsia="en-AU"/>
        </w:rPr>
        <w:t>Attachment</w:t>
      </w:r>
      <w:r w:rsidRPr="004C0247">
        <w:rPr>
          <w:rFonts w:eastAsia="Times New Roman"/>
          <w:lang w:eastAsia="en-AU"/>
        </w:rPr>
        <w:t>.</w:t>
      </w:r>
    </w:p>
    <w:p w14:paraId="6E85DA91" w14:textId="7661EC6B"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lang w:eastAsia="en-AU"/>
        </w:rPr>
        <w:lastRenderedPageBreak/>
        <w:t xml:space="preserve">The </w:t>
      </w:r>
      <w:r w:rsidR="00800520">
        <w:rPr>
          <w:rFonts w:eastAsia="Times New Roman"/>
          <w:lang w:eastAsia="en-AU"/>
        </w:rPr>
        <w:t>A</w:t>
      </w:r>
      <w:r w:rsidRPr="004C0247">
        <w:rPr>
          <w:rFonts w:eastAsia="Times New Roman"/>
          <w:lang w:eastAsia="en-AU"/>
        </w:rPr>
        <w:t xml:space="preserve">mendment </w:t>
      </w:r>
      <w:r w:rsidR="00800520">
        <w:rPr>
          <w:rFonts w:eastAsia="Times New Roman"/>
          <w:lang w:eastAsia="en-AU"/>
        </w:rPr>
        <w:t>R</w:t>
      </w:r>
      <w:r w:rsidRPr="004C0247">
        <w:rPr>
          <w:rFonts w:eastAsia="Times New Roman"/>
          <w:lang w:eastAsia="en-AU"/>
        </w:rPr>
        <w:t>ule</w:t>
      </w:r>
      <w:r w:rsidR="00800520">
        <w:rPr>
          <w:rFonts w:eastAsia="Times New Roman"/>
          <w:lang w:eastAsia="en-AU"/>
        </w:rPr>
        <w:t xml:space="preserve">s are </w:t>
      </w:r>
      <w:r w:rsidRPr="004C0247">
        <w:rPr>
          <w:rFonts w:eastAsia="Times New Roman"/>
          <w:lang w:eastAsia="en-AU"/>
        </w:rPr>
        <w:t xml:space="preserve">a legislative instrument for the purposes of the </w:t>
      </w:r>
      <w:r w:rsidRPr="004C0247">
        <w:rPr>
          <w:rFonts w:eastAsia="Times New Roman"/>
          <w:i/>
          <w:iCs/>
          <w:lang w:eastAsia="en-AU"/>
        </w:rPr>
        <w:t>Legislative Instruments Act 2003</w:t>
      </w:r>
      <w:r w:rsidRPr="004C0247">
        <w:rPr>
          <w:rFonts w:eastAsia="Times New Roman"/>
          <w:lang w:eastAsia="en-AU"/>
        </w:rPr>
        <w:t xml:space="preserve">. </w:t>
      </w:r>
    </w:p>
    <w:p w14:paraId="6E85DA92" w14:textId="77777777"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b/>
          <w:bCs/>
          <w:lang w:eastAsia="en-AU"/>
        </w:rPr>
        <w:t>Consultation</w:t>
      </w:r>
      <w:r w:rsidRPr="004C0247">
        <w:rPr>
          <w:rFonts w:eastAsia="Times New Roman"/>
          <w:lang w:eastAsia="en-AU"/>
        </w:rPr>
        <w:t xml:space="preserve"> </w:t>
      </w:r>
    </w:p>
    <w:p w14:paraId="6E85DA93" w14:textId="77777777"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lang w:eastAsia="en-AU"/>
        </w:rPr>
        <w:t>Industry and consumers were not consulted in relation to the proposed increases to the CAL. This was a decision of Government having regard to the needs of PHIAC and the importance of appropriately resourcing prudential regulators.</w:t>
      </w:r>
    </w:p>
    <w:p w14:paraId="6E85DA94" w14:textId="77777777" w:rsidR="004C0247" w:rsidRPr="004C0247" w:rsidRDefault="004C0247" w:rsidP="00CB5D8A">
      <w:pPr>
        <w:spacing w:before="100" w:beforeAutospacing="1" w:after="100" w:afterAutospacing="1" w:line="240" w:lineRule="auto"/>
        <w:rPr>
          <w:rFonts w:ascii="Times New Roman" w:eastAsia="Times New Roman" w:hAnsi="Times New Roman" w:cs="Times New Roman"/>
          <w:sz w:val="24"/>
          <w:szCs w:val="24"/>
          <w:lang w:eastAsia="en-AU"/>
        </w:rPr>
      </w:pPr>
      <w:r w:rsidRPr="004C0247">
        <w:rPr>
          <w:rFonts w:eastAsia="Times New Roman"/>
          <w:lang w:eastAsia="en-AU"/>
        </w:rPr>
        <w:t xml:space="preserve">Advice received from the Office of Best Practice Regulation </w:t>
      </w:r>
      <w:r w:rsidRPr="004C0247">
        <w:rPr>
          <w:rFonts w:eastAsia="Times New Roman"/>
          <w:color w:val="000000"/>
          <w:lang w:eastAsia="en-AU"/>
        </w:rPr>
        <w:t>(</w:t>
      </w:r>
      <w:r w:rsidRPr="004C0247">
        <w:rPr>
          <w:rFonts w:eastAsia="Times New Roman"/>
          <w:b/>
          <w:bCs/>
          <w:color w:val="000000"/>
          <w:lang w:eastAsia="en-AU"/>
        </w:rPr>
        <w:t>OBPR</w:t>
      </w:r>
      <w:r w:rsidRPr="004C0247">
        <w:rPr>
          <w:rFonts w:eastAsia="Times New Roman"/>
          <w:color w:val="000000"/>
          <w:lang w:eastAsia="en-AU"/>
        </w:rPr>
        <w:t xml:space="preserve">) </w:t>
      </w:r>
      <w:r w:rsidR="00BA2B93">
        <w:rPr>
          <w:rFonts w:eastAsia="Times New Roman"/>
          <w:color w:val="000000"/>
          <w:lang w:eastAsia="en-AU"/>
        </w:rPr>
        <w:t xml:space="preserve">on 28 February 2013 </w:t>
      </w:r>
      <w:r w:rsidRPr="004C0247">
        <w:rPr>
          <w:rFonts w:eastAsia="Times New Roman"/>
          <w:color w:val="000000"/>
          <w:lang w:eastAsia="en-AU"/>
        </w:rPr>
        <w:t>confirmed that the changes to the Rules were considered to have a low impact on business and the not-for-profit sector and were exempt from the Regulation Impact Statement</w:t>
      </w:r>
      <w:r w:rsidR="00BA2B93">
        <w:rPr>
          <w:rFonts w:eastAsia="Times New Roman"/>
          <w:color w:val="000000"/>
          <w:lang w:eastAsia="en-AU"/>
        </w:rPr>
        <w:t xml:space="preserve"> requirements (OBPR reference 14778).</w:t>
      </w:r>
      <w:r w:rsidRPr="004C0247">
        <w:rPr>
          <w:rFonts w:eastAsia="Times New Roman"/>
          <w:color w:val="000000"/>
          <w:lang w:eastAsia="en-AU"/>
        </w:rPr>
        <w:t xml:space="preserve"> </w:t>
      </w:r>
    </w:p>
    <w:p w14:paraId="6E85DA95" w14:textId="3C8F28B3" w:rsidR="00CB5D8A" w:rsidRDefault="004C0247" w:rsidP="00CB5D8A">
      <w:pPr>
        <w:spacing w:before="100" w:beforeAutospacing="1" w:after="100" w:afterAutospacing="1" w:line="240" w:lineRule="auto"/>
        <w:rPr>
          <w:rFonts w:eastAsia="Times New Roman"/>
          <w:lang w:eastAsia="en-AU"/>
        </w:rPr>
      </w:pPr>
      <w:r w:rsidRPr="004C0247">
        <w:rPr>
          <w:rFonts w:eastAsia="Times New Roman"/>
          <w:lang w:eastAsia="en-AU"/>
        </w:rPr>
        <w:t>The Department of Finance and Deregulation (</w:t>
      </w:r>
      <w:proofErr w:type="spellStart"/>
      <w:r w:rsidRPr="004C0247">
        <w:rPr>
          <w:rFonts w:eastAsia="Times New Roman"/>
          <w:b/>
          <w:bCs/>
          <w:lang w:eastAsia="en-AU"/>
        </w:rPr>
        <w:t>DoFD</w:t>
      </w:r>
      <w:proofErr w:type="spellEnd"/>
      <w:r w:rsidRPr="004C0247">
        <w:rPr>
          <w:rFonts w:eastAsia="Times New Roman"/>
          <w:lang w:eastAsia="en-AU"/>
        </w:rPr>
        <w:t xml:space="preserve">) </w:t>
      </w:r>
      <w:r w:rsidR="00CB5D8A">
        <w:rPr>
          <w:rFonts w:eastAsia="Times New Roman"/>
          <w:lang w:eastAsia="en-AU"/>
        </w:rPr>
        <w:t>advised that a Cost Recovery Impact Statement (</w:t>
      </w:r>
      <w:r w:rsidR="00CB5D8A" w:rsidRPr="00CB5D8A">
        <w:rPr>
          <w:rFonts w:eastAsia="Times New Roman"/>
          <w:b/>
          <w:lang w:eastAsia="en-AU"/>
        </w:rPr>
        <w:t>CRIS</w:t>
      </w:r>
      <w:r w:rsidR="00CB5D8A">
        <w:rPr>
          <w:rFonts w:eastAsia="Times New Roman"/>
          <w:lang w:eastAsia="en-AU"/>
        </w:rPr>
        <w:t xml:space="preserve">) would be required for the 2013-2014 proposed increase to the </w:t>
      </w:r>
      <w:r w:rsidR="003B3FAC">
        <w:rPr>
          <w:rFonts w:eastAsia="Times New Roman"/>
          <w:lang w:eastAsia="en-AU"/>
        </w:rPr>
        <w:t>CAL</w:t>
      </w:r>
      <w:r w:rsidR="009361CD">
        <w:rPr>
          <w:rFonts w:eastAsia="Times New Roman"/>
          <w:lang w:eastAsia="en-AU"/>
        </w:rPr>
        <w:t xml:space="preserve">. </w:t>
      </w:r>
      <w:r w:rsidR="00CB5D8A">
        <w:rPr>
          <w:rFonts w:eastAsia="Times New Roman"/>
          <w:lang w:eastAsia="en-AU"/>
        </w:rPr>
        <w:t xml:space="preserve">The CRIS was certified by </w:t>
      </w:r>
      <w:proofErr w:type="spellStart"/>
      <w:r w:rsidR="00CB5D8A">
        <w:rPr>
          <w:rFonts w:eastAsia="Times New Roman"/>
          <w:lang w:eastAsia="en-AU"/>
        </w:rPr>
        <w:t>DoFD</w:t>
      </w:r>
      <w:proofErr w:type="spellEnd"/>
      <w:r w:rsidR="00CB5D8A">
        <w:rPr>
          <w:rFonts w:eastAsia="Times New Roman"/>
          <w:lang w:eastAsia="en-AU"/>
        </w:rPr>
        <w:t xml:space="preserve"> as compliant with the Guidelines on</w:t>
      </w:r>
      <w:r w:rsidR="00512F2D">
        <w:rPr>
          <w:rFonts w:eastAsia="Times New Roman"/>
          <w:lang w:eastAsia="en-AU"/>
        </w:rPr>
        <w:t xml:space="preserve"> </w:t>
      </w:r>
      <w:r w:rsidR="00882285">
        <w:rPr>
          <w:rFonts w:eastAsia="Times New Roman"/>
          <w:lang w:eastAsia="en-AU"/>
        </w:rPr>
        <w:t>13 May 2013.</w:t>
      </w:r>
    </w:p>
    <w:p w14:paraId="6E85DA96" w14:textId="77777777" w:rsidR="00CA56E5" w:rsidRDefault="00CB5D8A" w:rsidP="00CB5D8A">
      <w:pPr>
        <w:spacing w:before="100" w:beforeAutospacing="1" w:after="100" w:afterAutospacing="1" w:line="240" w:lineRule="auto"/>
        <w:rPr>
          <w:rFonts w:eastAsia="Times New Roman"/>
          <w:lang w:eastAsia="en-AU"/>
        </w:rPr>
      </w:pPr>
      <w:r>
        <w:rPr>
          <w:rFonts w:eastAsia="Times New Roman"/>
          <w:lang w:eastAsia="en-AU"/>
        </w:rPr>
        <w:t xml:space="preserve">The </w:t>
      </w:r>
      <w:r w:rsidR="009361CD">
        <w:rPr>
          <w:rFonts w:eastAsia="Times New Roman"/>
          <w:lang w:eastAsia="en-AU"/>
        </w:rPr>
        <w:t xml:space="preserve">Commissioner for Private Health Insurance Administration certified the CRIS as compliant with the Guidelines on </w:t>
      </w:r>
      <w:r w:rsidR="00A930A2">
        <w:rPr>
          <w:rFonts w:eastAsia="Times New Roman"/>
          <w:lang w:eastAsia="en-AU"/>
        </w:rPr>
        <w:t>24 May 2013</w:t>
      </w:r>
      <w:r w:rsidR="00CA56E5" w:rsidRPr="00882285">
        <w:rPr>
          <w:rFonts w:eastAsia="Times New Roman"/>
          <w:lang w:eastAsia="en-AU"/>
        </w:rPr>
        <w:t>.</w:t>
      </w:r>
    </w:p>
    <w:p w14:paraId="6E85DA97" w14:textId="3AD92948" w:rsidR="004C0247" w:rsidRPr="004C0247" w:rsidRDefault="00CA56E5" w:rsidP="00CB5D8A">
      <w:pPr>
        <w:spacing w:before="100" w:beforeAutospacing="1" w:after="100" w:afterAutospacing="1" w:line="240" w:lineRule="auto"/>
        <w:rPr>
          <w:rFonts w:ascii="Times New Roman" w:eastAsia="Times New Roman" w:hAnsi="Times New Roman" w:cs="Times New Roman"/>
          <w:sz w:val="24"/>
          <w:szCs w:val="24"/>
          <w:lang w:eastAsia="en-AU"/>
        </w:rPr>
      </w:pPr>
      <w:r>
        <w:rPr>
          <w:rFonts w:eastAsia="Times New Roman"/>
          <w:lang w:eastAsia="en-AU"/>
        </w:rPr>
        <w:t>T</w:t>
      </w:r>
      <w:r w:rsidR="009361CD">
        <w:rPr>
          <w:rFonts w:eastAsia="Times New Roman"/>
          <w:lang w:eastAsia="en-AU"/>
        </w:rPr>
        <w:t xml:space="preserve">he Department of Health and Ageing </w:t>
      </w:r>
      <w:r w:rsidR="003B3FAC">
        <w:rPr>
          <w:rFonts w:eastAsia="Times New Roman"/>
          <w:lang w:eastAsia="en-AU"/>
        </w:rPr>
        <w:t>was consulted on the CRIS and had</w:t>
      </w:r>
      <w:r w:rsidR="009361CD">
        <w:rPr>
          <w:rFonts w:eastAsia="Times New Roman"/>
          <w:lang w:eastAsia="en-AU"/>
        </w:rPr>
        <w:t xml:space="preserve"> no objection to the </w:t>
      </w:r>
      <w:r w:rsidR="003B3FAC">
        <w:rPr>
          <w:rFonts w:eastAsia="Times New Roman"/>
          <w:lang w:eastAsia="en-AU"/>
        </w:rPr>
        <w:t>CAL</w:t>
      </w:r>
      <w:r w:rsidR="009361CD">
        <w:rPr>
          <w:rFonts w:eastAsia="Times New Roman"/>
          <w:lang w:eastAsia="en-AU"/>
        </w:rPr>
        <w:t xml:space="preserve"> increase.</w:t>
      </w:r>
    </w:p>
    <w:p w14:paraId="6E85DA98" w14:textId="77777777" w:rsidR="004C0247" w:rsidRPr="004C0247" w:rsidRDefault="004C0247" w:rsidP="004C0247">
      <w:pPr>
        <w:spacing w:before="100" w:beforeAutospacing="1" w:after="100" w:afterAutospacing="1" w:line="240" w:lineRule="auto"/>
        <w:rPr>
          <w:rFonts w:ascii="Times New Roman" w:eastAsia="Times New Roman" w:hAnsi="Times New Roman" w:cs="Times New Roman"/>
          <w:sz w:val="24"/>
          <w:szCs w:val="24"/>
          <w:lang w:eastAsia="en-AU"/>
        </w:rPr>
      </w:pPr>
    </w:p>
    <w:p w14:paraId="6E85DA99" w14:textId="77777777" w:rsidR="004C0247" w:rsidRPr="004C0247" w:rsidRDefault="004C0247" w:rsidP="004C0247">
      <w:pPr>
        <w:spacing w:before="100" w:beforeAutospacing="1" w:after="100" w:afterAutospacing="1" w:line="240" w:lineRule="auto"/>
        <w:jc w:val="right"/>
        <w:rPr>
          <w:rFonts w:ascii="Times New Roman" w:eastAsia="Times New Roman" w:hAnsi="Times New Roman" w:cs="Times New Roman"/>
          <w:sz w:val="24"/>
          <w:szCs w:val="24"/>
          <w:lang w:eastAsia="en-AU"/>
        </w:rPr>
      </w:pPr>
      <w:r w:rsidRPr="004C0247">
        <w:rPr>
          <w:rFonts w:eastAsia="Times New Roman"/>
          <w:color w:val="000000"/>
          <w:lang w:eastAsia="en-AU"/>
        </w:rPr>
        <w:t xml:space="preserve">Authority: Section 9A of the </w:t>
      </w:r>
      <w:r w:rsidRPr="004C0247">
        <w:rPr>
          <w:rFonts w:eastAsia="Times New Roman"/>
          <w:i/>
          <w:iCs/>
          <w:color w:val="000000"/>
          <w:lang w:eastAsia="en-AU"/>
        </w:rPr>
        <w:t xml:space="preserve">Private Health </w:t>
      </w:r>
    </w:p>
    <w:p w14:paraId="6E85DA9A" w14:textId="77777777" w:rsidR="004C0247" w:rsidRPr="004C0247" w:rsidRDefault="004C0247" w:rsidP="004C0247">
      <w:pPr>
        <w:spacing w:before="100" w:beforeAutospacing="1" w:after="100" w:afterAutospacing="1" w:line="240" w:lineRule="auto"/>
        <w:jc w:val="right"/>
        <w:rPr>
          <w:rFonts w:ascii="Times New Roman" w:eastAsia="Times New Roman" w:hAnsi="Times New Roman" w:cs="Times New Roman"/>
          <w:sz w:val="24"/>
          <w:szCs w:val="24"/>
          <w:lang w:eastAsia="en-AU"/>
        </w:rPr>
      </w:pPr>
      <w:r w:rsidRPr="004C0247">
        <w:rPr>
          <w:rFonts w:eastAsia="Times New Roman"/>
          <w:i/>
          <w:iCs/>
          <w:color w:val="000000"/>
          <w:lang w:eastAsia="en-AU"/>
        </w:rPr>
        <w:t>Insurance (Council Administration Levy) Act 2003</w:t>
      </w:r>
    </w:p>
    <w:p w14:paraId="6E85DA9B" w14:textId="77777777" w:rsidR="009361CD" w:rsidRDefault="004C0247" w:rsidP="004C0247">
      <w:pPr>
        <w:spacing w:before="100" w:beforeAutospacing="1" w:after="100" w:afterAutospacing="1" w:line="240" w:lineRule="auto"/>
        <w:rPr>
          <w:rFonts w:eastAsia="Times New Roman"/>
          <w:b/>
          <w:bCs/>
          <w:i/>
          <w:iCs/>
          <w:color w:val="000000"/>
          <w:lang w:eastAsia="en-AU"/>
        </w:rPr>
      </w:pPr>
      <w:r w:rsidRPr="004C0247">
        <w:rPr>
          <w:rFonts w:eastAsia="Times New Roman"/>
          <w:b/>
          <w:bCs/>
          <w:i/>
          <w:iCs/>
          <w:color w:val="000000"/>
          <w:lang w:eastAsia="en-AU"/>
        </w:rPr>
        <w:t> </w:t>
      </w:r>
    </w:p>
    <w:p w14:paraId="6E85DA9C" w14:textId="77777777" w:rsidR="009361CD" w:rsidRDefault="009361CD">
      <w:pPr>
        <w:rPr>
          <w:rFonts w:eastAsia="Times New Roman"/>
          <w:b/>
          <w:bCs/>
          <w:i/>
          <w:iCs/>
          <w:color w:val="000000"/>
          <w:lang w:eastAsia="en-AU"/>
        </w:rPr>
      </w:pPr>
      <w:r>
        <w:rPr>
          <w:rFonts w:eastAsia="Times New Roman"/>
          <w:b/>
          <w:bCs/>
          <w:i/>
          <w:iCs/>
          <w:color w:val="000000"/>
          <w:lang w:eastAsia="en-AU"/>
        </w:rPr>
        <w:br w:type="page"/>
      </w:r>
    </w:p>
    <w:p w14:paraId="6E85DA9D" w14:textId="77777777" w:rsidR="009361CD" w:rsidRPr="00F06C1D" w:rsidRDefault="009361CD" w:rsidP="009361CD">
      <w:pPr>
        <w:spacing w:before="360" w:after="120"/>
        <w:jc w:val="center"/>
        <w:rPr>
          <w:szCs w:val="24"/>
          <w:lang w:eastAsia="en-AU"/>
        </w:rPr>
      </w:pPr>
      <w:r w:rsidRPr="00F06C1D">
        <w:rPr>
          <w:b/>
          <w:bCs/>
          <w:szCs w:val="24"/>
          <w:lang w:eastAsia="en-AU"/>
        </w:rPr>
        <w:lastRenderedPageBreak/>
        <w:t>Statement of Compatibility with Human Rights</w:t>
      </w:r>
    </w:p>
    <w:p w14:paraId="6E85DA9E" w14:textId="77777777" w:rsidR="009361CD" w:rsidRPr="00F06C1D" w:rsidRDefault="009361CD" w:rsidP="009361CD">
      <w:pPr>
        <w:spacing w:before="240" w:after="240"/>
        <w:jc w:val="center"/>
        <w:rPr>
          <w:lang w:eastAsia="en-AU"/>
        </w:rPr>
      </w:pPr>
      <w:r w:rsidRPr="00F06C1D">
        <w:rPr>
          <w:i/>
          <w:iCs/>
          <w:lang w:eastAsia="en-AU"/>
        </w:rPr>
        <w:t>Prepared in accordance with Part 3 of the Human Rights (Parliamentary Scrutiny) Act 2011</w:t>
      </w:r>
    </w:p>
    <w:p w14:paraId="6E85DA9F" w14:textId="77777777" w:rsidR="009361CD" w:rsidRDefault="009361CD" w:rsidP="00CA56E5">
      <w:pPr>
        <w:tabs>
          <w:tab w:val="left" w:pos="720"/>
        </w:tabs>
        <w:spacing w:after="0"/>
        <w:jc w:val="center"/>
        <w:rPr>
          <w:b/>
          <w:i/>
        </w:rPr>
      </w:pPr>
      <w:r w:rsidRPr="0072582B">
        <w:rPr>
          <w:b/>
          <w:i/>
        </w:rPr>
        <w:t>Private Health Insurance (Council Administration Levy) Amendment Rules</w:t>
      </w:r>
      <w:r w:rsidR="00CA56E5">
        <w:rPr>
          <w:b/>
          <w:i/>
        </w:rPr>
        <w:t xml:space="preserve"> 2013</w:t>
      </w:r>
      <w:r w:rsidRPr="0072582B">
        <w:rPr>
          <w:b/>
          <w:i/>
        </w:rPr>
        <w:t xml:space="preserve"> </w:t>
      </w:r>
      <w:r>
        <w:rPr>
          <w:b/>
          <w:i/>
        </w:rPr>
        <w:t xml:space="preserve"> </w:t>
      </w:r>
    </w:p>
    <w:p w14:paraId="6E85DAA0" w14:textId="6CEA906B" w:rsidR="009361CD" w:rsidRPr="0072582B" w:rsidRDefault="00A930A2" w:rsidP="00CA56E5">
      <w:pPr>
        <w:tabs>
          <w:tab w:val="left" w:pos="720"/>
        </w:tabs>
        <w:spacing w:after="0"/>
        <w:jc w:val="center"/>
        <w:rPr>
          <w:b/>
          <w:i/>
        </w:rPr>
      </w:pPr>
      <w:r>
        <w:rPr>
          <w:b/>
          <w:i/>
        </w:rPr>
        <w:t>(No.</w:t>
      </w:r>
      <w:r w:rsidR="001D036C">
        <w:rPr>
          <w:b/>
          <w:i/>
        </w:rPr>
        <w:t xml:space="preserve"> </w:t>
      </w:r>
      <w:r>
        <w:rPr>
          <w:b/>
          <w:i/>
        </w:rPr>
        <w:t>2</w:t>
      </w:r>
      <w:r w:rsidR="009361CD">
        <w:rPr>
          <w:b/>
          <w:i/>
        </w:rPr>
        <w:t>) </w:t>
      </w:r>
    </w:p>
    <w:p w14:paraId="6E85DAA1" w14:textId="77777777" w:rsidR="009361CD" w:rsidRPr="00F06C1D" w:rsidRDefault="009361CD" w:rsidP="009361CD">
      <w:pPr>
        <w:spacing w:before="240" w:after="240"/>
        <w:rPr>
          <w:lang w:eastAsia="en-AU"/>
        </w:rPr>
      </w:pPr>
      <w:r w:rsidRPr="00F06C1D">
        <w:rPr>
          <w:lang w:eastAsia="en-AU"/>
        </w:rPr>
        <w:t xml:space="preserve">This Legislative Instrument is compatible with the human rights and freedoms recognised or declared in the international instruments listed in section 3 of the </w:t>
      </w:r>
      <w:r w:rsidRPr="00F06C1D">
        <w:rPr>
          <w:i/>
          <w:iCs/>
          <w:lang w:eastAsia="en-AU"/>
        </w:rPr>
        <w:t>Human Rights (Parliamentary Scrutiny) Act 2011</w:t>
      </w:r>
      <w:r w:rsidRPr="00F06C1D">
        <w:rPr>
          <w:lang w:eastAsia="en-AU"/>
        </w:rPr>
        <w:t>.</w:t>
      </w:r>
    </w:p>
    <w:p w14:paraId="6E85DAA2" w14:textId="77777777" w:rsidR="009361CD" w:rsidRDefault="009361CD" w:rsidP="009361CD">
      <w:pPr>
        <w:tabs>
          <w:tab w:val="left" w:pos="2085"/>
        </w:tabs>
        <w:rPr>
          <w:b/>
          <w:iCs/>
          <w:color w:val="000000"/>
        </w:rPr>
      </w:pPr>
      <w:r w:rsidRPr="004C196E">
        <w:rPr>
          <w:b/>
          <w:iCs/>
          <w:color w:val="000000"/>
        </w:rPr>
        <w:t>Overview of the Legislative Instrument</w:t>
      </w:r>
    </w:p>
    <w:p w14:paraId="6E85DAA3" w14:textId="2777A48C" w:rsidR="009361CD" w:rsidRPr="00CA56E5" w:rsidRDefault="009361CD" w:rsidP="00CA56E5">
      <w:pPr>
        <w:tabs>
          <w:tab w:val="left" w:pos="720"/>
        </w:tabs>
        <w:jc w:val="both"/>
      </w:pPr>
      <w:r w:rsidRPr="00E023FF">
        <w:t xml:space="preserve">The </w:t>
      </w:r>
      <w:r w:rsidRPr="00CC2158">
        <w:rPr>
          <w:i/>
        </w:rPr>
        <w:t>Private</w:t>
      </w:r>
      <w:r w:rsidRPr="00E023FF">
        <w:rPr>
          <w:i/>
        </w:rPr>
        <w:t xml:space="preserve"> Health Insurance (Council Administr</w:t>
      </w:r>
      <w:r w:rsidR="00CA56E5">
        <w:rPr>
          <w:i/>
        </w:rPr>
        <w:t>ation Levy) Amendment Rules 2013</w:t>
      </w:r>
      <w:r w:rsidRPr="00E023FF">
        <w:rPr>
          <w:i/>
        </w:rPr>
        <w:t xml:space="preserve"> (No.</w:t>
      </w:r>
      <w:r>
        <w:rPr>
          <w:i/>
        </w:rPr>
        <w:t> </w:t>
      </w:r>
      <w:r w:rsidR="00666503">
        <w:rPr>
          <w:i/>
        </w:rPr>
        <w:t>2</w:t>
      </w:r>
      <w:r w:rsidRPr="00E023FF">
        <w:rPr>
          <w:i/>
        </w:rPr>
        <w:t>)</w:t>
      </w:r>
      <w:r>
        <w:t xml:space="preserve"> increases the Council </w:t>
      </w:r>
      <w:r w:rsidR="00666503">
        <w:t>A</w:t>
      </w:r>
      <w:r>
        <w:t xml:space="preserve">dministration </w:t>
      </w:r>
      <w:r w:rsidR="00666503">
        <w:t>L</w:t>
      </w:r>
      <w:r>
        <w:t xml:space="preserve">evy (the </w:t>
      </w:r>
      <w:r w:rsidRPr="0001657B">
        <w:rPr>
          <w:b/>
        </w:rPr>
        <w:t>CAL</w:t>
      </w:r>
      <w:r>
        <w:t>) to meet the Private Health Insurance Administration Council’s (</w:t>
      </w:r>
      <w:r w:rsidRPr="009D58B1">
        <w:rPr>
          <w:b/>
        </w:rPr>
        <w:t>PHIAC’s</w:t>
      </w:r>
      <w:r>
        <w:t xml:space="preserve">) increased general administration costs and </w:t>
      </w:r>
      <w:r w:rsidR="00CA56E5">
        <w:t>reflects the second</w:t>
      </w:r>
      <w:r w:rsidR="00D6640E">
        <w:t xml:space="preserve"> to fourth</w:t>
      </w:r>
      <w:r w:rsidR="00CA56E5">
        <w:t xml:space="preserve"> year</w:t>
      </w:r>
      <w:r w:rsidR="00D6640E">
        <w:t>s</w:t>
      </w:r>
      <w:r w:rsidR="00CA56E5">
        <w:t xml:space="preserve"> of funding for the</w:t>
      </w:r>
      <w:r>
        <w:t xml:space="preserve"> running</w:t>
      </w:r>
      <w:r w:rsidR="00D6640E">
        <w:t xml:space="preserve"> of</w:t>
      </w:r>
      <w:r>
        <w:t xml:space="preserve"> a Premiums and Competition Unit within PHIAC. </w:t>
      </w:r>
    </w:p>
    <w:p w14:paraId="6E85DAA4" w14:textId="386CC9E4" w:rsidR="009361CD" w:rsidRDefault="009361CD" w:rsidP="009361CD">
      <w:pPr>
        <w:tabs>
          <w:tab w:val="left" w:pos="720"/>
        </w:tabs>
        <w:jc w:val="both"/>
      </w:pPr>
      <w:r>
        <w:t xml:space="preserve">The </w:t>
      </w:r>
      <w:r w:rsidR="00CA56E5">
        <w:t>CAL</w:t>
      </w:r>
      <w:r>
        <w:t xml:space="preserve"> </w:t>
      </w:r>
      <w:r w:rsidR="00CA56E5">
        <w:t xml:space="preserve">is </w:t>
      </w:r>
      <w:r>
        <w:t>imposed on registered private health insurers (</w:t>
      </w:r>
      <w:r w:rsidRPr="00644C80">
        <w:rPr>
          <w:b/>
        </w:rPr>
        <w:t>insurers</w:t>
      </w:r>
      <w:r>
        <w:t xml:space="preserve">) conducting health insurance business, </w:t>
      </w:r>
      <w:r w:rsidR="00F55C4A">
        <w:t xml:space="preserve">and </w:t>
      </w:r>
      <w:r w:rsidR="00CA56E5">
        <w:t xml:space="preserve">finances </w:t>
      </w:r>
      <w:r>
        <w:t xml:space="preserve">PHIAC’s day to day costs associated with undertaking its legislative functions. </w:t>
      </w:r>
    </w:p>
    <w:p w14:paraId="6E85DAA5" w14:textId="77777777" w:rsidR="009361CD" w:rsidRPr="00CA56E5" w:rsidRDefault="009361CD" w:rsidP="00CA56E5">
      <w:pPr>
        <w:tabs>
          <w:tab w:val="left" w:pos="720"/>
        </w:tabs>
        <w:jc w:val="both"/>
        <w:rPr>
          <w:b/>
        </w:rPr>
      </w:pPr>
      <w:r w:rsidRPr="00852C93">
        <w:rPr>
          <w:b/>
        </w:rPr>
        <w:t>Human rights implications</w:t>
      </w:r>
    </w:p>
    <w:p w14:paraId="6E85DAA6" w14:textId="77777777" w:rsidR="009361CD" w:rsidRDefault="009361CD" w:rsidP="009361CD">
      <w:pPr>
        <w:tabs>
          <w:tab w:val="left" w:pos="2760"/>
        </w:tabs>
        <w:jc w:val="both"/>
        <w:rPr>
          <w:iCs/>
          <w:color w:val="000000"/>
        </w:rPr>
      </w:pPr>
      <w:r w:rsidRPr="00743C9F">
        <w:rPr>
          <w:iCs/>
          <w:color w:val="000000"/>
        </w:rPr>
        <w:t xml:space="preserve">The proposed amendments </w:t>
      </w:r>
      <w:r>
        <w:rPr>
          <w:iCs/>
          <w:color w:val="000000"/>
        </w:rPr>
        <w:t xml:space="preserve">promote the right to health of consumers. </w:t>
      </w:r>
    </w:p>
    <w:p w14:paraId="6E85DAA7" w14:textId="77777777" w:rsidR="009361CD" w:rsidRPr="00CA56E5" w:rsidRDefault="009361CD" w:rsidP="009361CD">
      <w:pPr>
        <w:tabs>
          <w:tab w:val="left" w:pos="2760"/>
        </w:tabs>
        <w:jc w:val="both"/>
        <w:rPr>
          <w:i/>
          <w:iCs/>
          <w:color w:val="000000"/>
        </w:rPr>
      </w:pPr>
      <w:r>
        <w:rPr>
          <w:i/>
          <w:iCs/>
          <w:color w:val="000000"/>
        </w:rPr>
        <w:t>The r</w:t>
      </w:r>
      <w:r w:rsidRPr="00A9043C">
        <w:rPr>
          <w:i/>
          <w:iCs/>
          <w:color w:val="000000"/>
        </w:rPr>
        <w:t>ight to health</w:t>
      </w:r>
    </w:p>
    <w:p w14:paraId="6E85DAA8" w14:textId="77777777" w:rsidR="009361CD" w:rsidRPr="00CA56E5" w:rsidRDefault="009361CD" w:rsidP="00CA56E5">
      <w:pPr>
        <w:tabs>
          <w:tab w:val="left" w:pos="2760"/>
        </w:tabs>
        <w:jc w:val="both"/>
        <w:rPr>
          <w:iCs/>
          <w:color w:val="000000"/>
        </w:rPr>
      </w:pPr>
      <w:r>
        <w:rPr>
          <w:iCs/>
          <w:color w:val="000000"/>
        </w:rPr>
        <w:t xml:space="preserve">Article 12 of the </w:t>
      </w:r>
      <w:r>
        <w:rPr>
          <w:i/>
          <w:iCs/>
          <w:color w:val="000000"/>
        </w:rPr>
        <w:t>International Covenant on Economic, Social and Cultural Rights</w:t>
      </w:r>
      <w:r>
        <w:rPr>
          <w:iCs/>
          <w:color w:val="000000"/>
        </w:rPr>
        <w:t xml:space="preserve"> “</w:t>
      </w:r>
      <w:r w:rsidRPr="00C53273">
        <w:rPr>
          <w:i/>
          <w:iCs/>
          <w:color w:val="000000"/>
        </w:rPr>
        <w:t>recognises the right of everyone to the enjoyment of the highest attainable standard of physical and mental health</w:t>
      </w:r>
      <w:r>
        <w:rPr>
          <w:iCs/>
          <w:color w:val="000000"/>
        </w:rPr>
        <w:t>”.</w:t>
      </w:r>
      <w:r>
        <w:rPr>
          <w:rStyle w:val="FootnoteReference"/>
          <w:iCs/>
          <w:color w:val="000000"/>
        </w:rPr>
        <w:footnoteReference w:id="1"/>
      </w:r>
      <w:r>
        <w:rPr>
          <w:iCs/>
          <w:color w:val="000000"/>
        </w:rPr>
        <w:t xml:space="preserve"> The steps that should be taken by Parties to the Covenant to achieve the full realisation of the right to heath include the creation of conditions which provide everyone with medical services and medical attention in the event of sickness.</w:t>
      </w:r>
      <w:r>
        <w:rPr>
          <w:rStyle w:val="FootnoteReference"/>
          <w:iCs/>
          <w:color w:val="000000"/>
        </w:rPr>
        <w:footnoteReference w:id="2"/>
      </w:r>
    </w:p>
    <w:p w14:paraId="6E85DAA9" w14:textId="77777777" w:rsidR="009361CD" w:rsidRDefault="009361CD" w:rsidP="009361CD">
      <w:pPr>
        <w:tabs>
          <w:tab w:val="left" w:pos="2760"/>
        </w:tabs>
        <w:jc w:val="both"/>
        <w:rPr>
          <w:iCs/>
          <w:color w:val="000000"/>
        </w:rPr>
      </w:pPr>
      <w:r>
        <w:rPr>
          <w:iCs/>
          <w:color w:val="000000"/>
        </w:rPr>
        <w:t xml:space="preserve">The CAL </w:t>
      </w:r>
      <w:r>
        <w:t xml:space="preserve">funds PHIAC’s day to day costs associated with undertaking its functions as set out in the </w:t>
      </w:r>
      <w:r w:rsidRPr="00D2705A">
        <w:rPr>
          <w:i/>
        </w:rPr>
        <w:t>Private Health Insurance Act 2007</w:t>
      </w:r>
      <w:r>
        <w:t xml:space="preserve">. Specifically, PHIAC is required to take all reasonable steps to achieve an appropriate balance between the objectives of: </w:t>
      </w:r>
    </w:p>
    <w:p w14:paraId="6E85DAAA" w14:textId="77777777" w:rsidR="009361CD" w:rsidRPr="00992714" w:rsidRDefault="009361CD" w:rsidP="009361CD">
      <w:pPr>
        <w:pStyle w:val="paragraph"/>
        <w:rPr>
          <w:i/>
          <w:szCs w:val="22"/>
        </w:rPr>
      </w:pPr>
      <w:r>
        <w:rPr>
          <w:szCs w:val="22"/>
        </w:rPr>
        <w:t>“</w:t>
      </w:r>
      <w:r w:rsidRPr="00992714">
        <w:rPr>
          <w:i/>
          <w:szCs w:val="22"/>
        </w:rPr>
        <w:t>(</w:t>
      </w:r>
      <w:proofErr w:type="gramStart"/>
      <w:r w:rsidRPr="00992714">
        <w:rPr>
          <w:i/>
          <w:szCs w:val="22"/>
        </w:rPr>
        <w:t>a</w:t>
      </w:r>
      <w:proofErr w:type="gramEnd"/>
      <w:r w:rsidRPr="00992714">
        <w:rPr>
          <w:i/>
          <w:szCs w:val="22"/>
        </w:rPr>
        <w:t>)</w:t>
      </w:r>
      <w:r w:rsidRPr="00992714">
        <w:rPr>
          <w:i/>
          <w:szCs w:val="22"/>
        </w:rPr>
        <w:tab/>
        <w:t xml:space="preserve">  fostering an efficient and competitive health insurance </w:t>
      </w:r>
      <w:r>
        <w:rPr>
          <w:i/>
          <w:szCs w:val="22"/>
        </w:rPr>
        <w:t>industry;</w:t>
      </w:r>
    </w:p>
    <w:p w14:paraId="6E85DAAB" w14:textId="77777777" w:rsidR="009361CD" w:rsidRPr="00992714" w:rsidRDefault="009361CD" w:rsidP="009361CD">
      <w:pPr>
        <w:pStyle w:val="paragraph"/>
        <w:rPr>
          <w:i/>
          <w:szCs w:val="22"/>
        </w:rPr>
      </w:pPr>
      <w:r w:rsidRPr="00992714">
        <w:rPr>
          <w:i/>
          <w:szCs w:val="22"/>
        </w:rPr>
        <w:t xml:space="preserve"> (b)</w:t>
      </w:r>
      <w:r w:rsidRPr="00992714">
        <w:rPr>
          <w:i/>
          <w:szCs w:val="22"/>
        </w:rPr>
        <w:tab/>
        <w:t xml:space="preserve">  </w:t>
      </w:r>
      <w:proofErr w:type="gramStart"/>
      <w:r w:rsidRPr="00992714">
        <w:rPr>
          <w:i/>
          <w:szCs w:val="22"/>
        </w:rPr>
        <w:t>protecting</w:t>
      </w:r>
      <w:proofErr w:type="gramEnd"/>
      <w:r w:rsidRPr="00992714">
        <w:rPr>
          <w:i/>
          <w:szCs w:val="22"/>
        </w:rPr>
        <w:t xml:space="preserve"> the interests of consumers</w:t>
      </w:r>
      <w:r>
        <w:rPr>
          <w:i/>
          <w:szCs w:val="22"/>
        </w:rPr>
        <w:t>;</w:t>
      </w:r>
    </w:p>
    <w:p w14:paraId="6E85DAAC" w14:textId="77777777" w:rsidR="009361CD" w:rsidRDefault="009361CD" w:rsidP="009361CD">
      <w:pPr>
        <w:pStyle w:val="paragraph"/>
        <w:rPr>
          <w:szCs w:val="22"/>
        </w:rPr>
      </w:pPr>
      <w:r w:rsidRPr="00992714">
        <w:rPr>
          <w:i/>
          <w:szCs w:val="22"/>
        </w:rPr>
        <w:t xml:space="preserve"> (c)</w:t>
      </w:r>
      <w:r w:rsidRPr="00992714">
        <w:rPr>
          <w:i/>
          <w:szCs w:val="22"/>
        </w:rPr>
        <w:tab/>
        <w:t xml:space="preserve">  </w:t>
      </w:r>
      <w:proofErr w:type="gramStart"/>
      <w:r w:rsidRPr="00992714">
        <w:rPr>
          <w:i/>
          <w:szCs w:val="22"/>
        </w:rPr>
        <w:t>ensuring</w:t>
      </w:r>
      <w:proofErr w:type="gramEnd"/>
      <w:r w:rsidRPr="00992714">
        <w:rPr>
          <w:i/>
          <w:szCs w:val="22"/>
        </w:rPr>
        <w:t xml:space="preserve"> the prudential safety of individual private health insurers</w:t>
      </w:r>
      <w:r w:rsidRPr="009E23E9">
        <w:rPr>
          <w:szCs w:val="22"/>
        </w:rPr>
        <w:t>.”</w:t>
      </w:r>
      <w:r>
        <w:rPr>
          <w:rStyle w:val="FootnoteReference"/>
          <w:i/>
          <w:szCs w:val="22"/>
        </w:rPr>
        <w:footnoteReference w:id="3"/>
      </w:r>
    </w:p>
    <w:p w14:paraId="6E85DAAD" w14:textId="77777777" w:rsidR="009361CD" w:rsidRPr="00DC0A8F" w:rsidRDefault="009361CD" w:rsidP="009361CD">
      <w:pPr>
        <w:pStyle w:val="paragraph"/>
        <w:rPr>
          <w:i/>
          <w:szCs w:val="22"/>
        </w:rPr>
      </w:pPr>
    </w:p>
    <w:p w14:paraId="6E85DAAE" w14:textId="77777777" w:rsidR="009361CD" w:rsidRDefault="009361CD" w:rsidP="009361CD">
      <w:pPr>
        <w:tabs>
          <w:tab w:val="left" w:pos="2760"/>
        </w:tabs>
        <w:jc w:val="both"/>
        <w:rPr>
          <w:iCs/>
          <w:color w:val="000000"/>
        </w:rPr>
      </w:pPr>
      <w:r>
        <w:rPr>
          <w:iCs/>
          <w:color w:val="000000"/>
        </w:rPr>
        <w:t>The increase to the CAL to finance PHIAC’s increased general administration costs will allow PHIAC to work towards fostering an efficient and competitive health insurance industry through its ongoing regulatory oversight of the industry. A competitive health insurance industry provides consumers with access to affordable health insurance products, thereby directly promoting the right to health of consumers.</w:t>
      </w:r>
    </w:p>
    <w:p w14:paraId="6E85DAAF" w14:textId="052580DE" w:rsidR="009361CD" w:rsidRDefault="009361CD" w:rsidP="009361CD">
      <w:pPr>
        <w:tabs>
          <w:tab w:val="left" w:pos="2760"/>
        </w:tabs>
        <w:jc w:val="both"/>
        <w:rPr>
          <w:iCs/>
          <w:color w:val="000000"/>
        </w:rPr>
      </w:pPr>
      <w:r>
        <w:rPr>
          <w:iCs/>
          <w:color w:val="000000"/>
        </w:rPr>
        <w:lastRenderedPageBreak/>
        <w:t xml:space="preserve">PHIAC’s second objective, of protecting the interests of consumers, directly supports their right to health, by ensuring consumer interests are considered in all key regulatory decisions.  </w:t>
      </w:r>
    </w:p>
    <w:p w14:paraId="6E85DAB0" w14:textId="77777777" w:rsidR="009361CD" w:rsidRDefault="009361CD" w:rsidP="009361CD">
      <w:pPr>
        <w:tabs>
          <w:tab w:val="left" w:pos="2760"/>
        </w:tabs>
        <w:jc w:val="both"/>
        <w:rPr>
          <w:iCs/>
          <w:color w:val="000000"/>
        </w:rPr>
      </w:pPr>
      <w:r>
        <w:rPr>
          <w:iCs/>
          <w:color w:val="000000"/>
        </w:rPr>
        <w:t xml:space="preserve">PHIAC’s third objective, of ensuring the prudential safety of insurers, aims to protect the sustainability of the private health insurance industry. This has a direct impact on consumers by protecting them from financial loss, thereby directly impacting their right to health in a positive way. </w:t>
      </w:r>
    </w:p>
    <w:p w14:paraId="6E85DAB1" w14:textId="77777777" w:rsidR="009361CD" w:rsidRDefault="009361CD" w:rsidP="00CA56E5">
      <w:pPr>
        <w:tabs>
          <w:tab w:val="left" w:pos="2280"/>
        </w:tabs>
        <w:rPr>
          <w:b/>
          <w:iCs/>
          <w:color w:val="000000"/>
        </w:rPr>
      </w:pPr>
      <w:r w:rsidRPr="00892C17">
        <w:rPr>
          <w:b/>
          <w:iCs/>
          <w:color w:val="000000"/>
        </w:rPr>
        <w:t>Conclusion</w:t>
      </w:r>
    </w:p>
    <w:p w14:paraId="6E85DAB2" w14:textId="328F2A69" w:rsidR="009361CD" w:rsidRPr="00A7367A" w:rsidRDefault="009361CD" w:rsidP="009361CD">
      <w:pPr>
        <w:tabs>
          <w:tab w:val="left" w:pos="2760"/>
        </w:tabs>
        <w:jc w:val="both"/>
        <w:rPr>
          <w:iCs/>
          <w:color w:val="000000"/>
        </w:rPr>
      </w:pPr>
      <w:r w:rsidRPr="007A522E">
        <w:rPr>
          <w:iCs/>
          <w:color w:val="000000"/>
        </w:rPr>
        <w:t xml:space="preserve">The </w:t>
      </w:r>
      <w:r w:rsidRPr="003D5687">
        <w:rPr>
          <w:i/>
        </w:rPr>
        <w:t>Private H</w:t>
      </w:r>
      <w:r w:rsidRPr="00E023FF">
        <w:rPr>
          <w:i/>
        </w:rPr>
        <w:t>ealth Insurance (Council Administr</w:t>
      </w:r>
      <w:r w:rsidR="00CA56E5">
        <w:rPr>
          <w:i/>
        </w:rPr>
        <w:t>ation Levy) Amendment Rules 2013</w:t>
      </w:r>
      <w:r w:rsidRPr="00E023FF">
        <w:rPr>
          <w:i/>
        </w:rPr>
        <w:t xml:space="preserve"> (No.</w:t>
      </w:r>
      <w:r w:rsidR="00674E89">
        <w:rPr>
          <w:i/>
        </w:rPr>
        <w:t xml:space="preserve"> </w:t>
      </w:r>
      <w:r w:rsidR="00403B57">
        <w:rPr>
          <w:i/>
        </w:rPr>
        <w:t>2</w:t>
      </w:r>
      <w:r w:rsidRPr="00E023FF">
        <w:rPr>
          <w:i/>
        </w:rPr>
        <w:t>)</w:t>
      </w:r>
      <w:r>
        <w:rPr>
          <w:iCs/>
          <w:color w:val="000000"/>
        </w:rPr>
        <w:t xml:space="preserve"> </w:t>
      </w:r>
      <w:r w:rsidR="00403B57">
        <w:rPr>
          <w:iCs/>
          <w:color w:val="000000"/>
        </w:rPr>
        <w:t>are</w:t>
      </w:r>
      <w:r w:rsidRPr="007A522E">
        <w:rPr>
          <w:iCs/>
          <w:color w:val="000000"/>
        </w:rPr>
        <w:t xml:space="preserve"> compa</w:t>
      </w:r>
      <w:r>
        <w:rPr>
          <w:iCs/>
          <w:color w:val="000000"/>
        </w:rPr>
        <w:t xml:space="preserve">tible with human rights because </w:t>
      </w:r>
      <w:r w:rsidRPr="00A7367A">
        <w:rPr>
          <w:iCs/>
          <w:color w:val="000000"/>
        </w:rPr>
        <w:t>it engages with the human rights of consumers of private health insurance</w:t>
      </w:r>
      <w:r>
        <w:rPr>
          <w:iCs/>
          <w:color w:val="000000"/>
        </w:rPr>
        <w:t xml:space="preserve">, by working to maintain an efficient and competitive private health insurance industry, ensuring product choice and maintaining pressure to minimise premium increases. </w:t>
      </w:r>
    </w:p>
    <w:p w14:paraId="6E85DAB3" w14:textId="77777777" w:rsidR="009361CD" w:rsidRDefault="009361CD" w:rsidP="009361CD">
      <w:pPr>
        <w:autoSpaceDE w:val="0"/>
        <w:autoSpaceDN w:val="0"/>
        <w:adjustRightInd w:val="0"/>
        <w:rPr>
          <w:color w:val="000000"/>
        </w:rPr>
      </w:pPr>
    </w:p>
    <w:p w14:paraId="6E85DAB4" w14:textId="77777777" w:rsidR="009B6ACA" w:rsidRPr="005B3FFA" w:rsidRDefault="009B6ACA" w:rsidP="009361CD">
      <w:pPr>
        <w:autoSpaceDE w:val="0"/>
        <w:autoSpaceDN w:val="0"/>
        <w:adjustRightInd w:val="0"/>
        <w:rPr>
          <w:b/>
          <w:color w:val="000000"/>
        </w:rPr>
      </w:pPr>
    </w:p>
    <w:p w14:paraId="6E85DAB5" w14:textId="77777777" w:rsidR="009361CD" w:rsidRPr="005B3FFA" w:rsidRDefault="00512F2D" w:rsidP="005B3FFA">
      <w:pPr>
        <w:pStyle w:val="NoSpacing"/>
        <w:rPr>
          <w:b/>
        </w:rPr>
      </w:pPr>
      <w:r w:rsidRPr="005B3FFA">
        <w:rPr>
          <w:b/>
        </w:rPr>
        <w:t>Paul Groenewegen</w:t>
      </w:r>
    </w:p>
    <w:p w14:paraId="6E85DAB6" w14:textId="77777777" w:rsidR="009361CD" w:rsidRPr="00D2705A" w:rsidRDefault="00512F2D" w:rsidP="005B3FFA">
      <w:pPr>
        <w:pStyle w:val="NoSpacing"/>
      </w:pPr>
      <w:r>
        <w:t xml:space="preserve">Acting </w:t>
      </w:r>
      <w:r w:rsidR="009361CD" w:rsidRPr="00D2705A">
        <w:t>Chief Executive Officer</w:t>
      </w:r>
    </w:p>
    <w:p w14:paraId="6E85DAB7" w14:textId="5056FC6E" w:rsidR="009361CD" w:rsidRPr="00D2705A" w:rsidRDefault="009361CD" w:rsidP="005B3FFA">
      <w:pPr>
        <w:pStyle w:val="NoSpacing"/>
      </w:pPr>
      <w:r w:rsidRPr="00D2705A">
        <w:t>Private Health In</w:t>
      </w:r>
      <w:r w:rsidR="005B3FFA">
        <w:t>surance Administration Council</w:t>
      </w:r>
    </w:p>
    <w:p w14:paraId="6E85DAB8" w14:textId="77777777" w:rsidR="009361CD" w:rsidRDefault="009361CD" w:rsidP="009B6ACA">
      <w:pPr>
        <w:tabs>
          <w:tab w:val="left" w:pos="1710"/>
        </w:tabs>
        <w:autoSpaceDE w:val="0"/>
        <w:autoSpaceDN w:val="0"/>
        <w:adjustRightInd w:val="0"/>
        <w:rPr>
          <w:color w:val="000000"/>
        </w:rPr>
      </w:pPr>
    </w:p>
    <w:p w14:paraId="6E85DAB9" w14:textId="04811D3B" w:rsidR="009361CD" w:rsidRPr="006B305B" w:rsidRDefault="009361CD" w:rsidP="009361CD">
      <w:pPr>
        <w:pStyle w:val="Header"/>
        <w:pBdr>
          <w:top w:val="single" w:sz="4" w:space="0" w:color="auto"/>
          <w:left w:val="single" w:sz="4" w:space="0" w:color="auto"/>
          <w:bottom w:val="single" w:sz="4" w:space="1" w:color="auto"/>
          <w:right w:val="single" w:sz="4" w:space="0" w:color="auto"/>
        </w:pBdr>
        <w:jc w:val="both"/>
        <w:rPr>
          <w:rFonts w:ascii="Arial" w:hAnsi="Arial" w:cs="Arial"/>
          <w:iCs/>
          <w:color w:val="000000"/>
          <w:sz w:val="22"/>
          <w:szCs w:val="22"/>
        </w:rPr>
      </w:pPr>
      <w:r w:rsidRPr="006B305B">
        <w:rPr>
          <w:rFonts w:ascii="Arial" w:hAnsi="Arial" w:cs="Arial"/>
          <w:iCs/>
          <w:color w:val="000000"/>
          <w:sz w:val="22"/>
          <w:szCs w:val="22"/>
        </w:rPr>
        <w:t>This</w:t>
      </w:r>
      <w:r>
        <w:rPr>
          <w:rFonts w:ascii="Arial" w:hAnsi="Arial" w:cs="Arial"/>
          <w:iCs/>
          <w:color w:val="000000"/>
          <w:sz w:val="22"/>
          <w:szCs w:val="22"/>
        </w:rPr>
        <w:t xml:space="preserve"> material is provided to persons who have a role in Commonwealth legislation, policy and programs as a general guidance only and is not to be relied upon as legal advice. Commonwealth agencies subject to the </w:t>
      </w:r>
      <w:r w:rsidRPr="0071609B">
        <w:rPr>
          <w:rFonts w:ascii="Arial" w:hAnsi="Arial" w:cs="Arial"/>
          <w:i/>
          <w:iCs/>
          <w:color w:val="000000"/>
          <w:sz w:val="22"/>
          <w:szCs w:val="22"/>
        </w:rPr>
        <w:t>Legal Services Directions 2005</w:t>
      </w:r>
      <w:r>
        <w:rPr>
          <w:rFonts w:ascii="Arial" w:hAnsi="Arial" w:cs="Arial"/>
          <w:iCs/>
          <w:color w:val="000000"/>
          <w:sz w:val="22"/>
          <w:szCs w:val="22"/>
        </w:rPr>
        <w:t xml:space="preserve"> requiring legal advice in relation to matters raised in this document must seek that advice in accordance with the </w:t>
      </w:r>
      <w:r w:rsidRPr="009D1F80">
        <w:rPr>
          <w:rFonts w:ascii="Arial" w:hAnsi="Arial" w:cs="Arial"/>
          <w:i/>
          <w:iCs/>
          <w:color w:val="000000"/>
          <w:sz w:val="22"/>
          <w:szCs w:val="22"/>
        </w:rPr>
        <w:t>Directions</w:t>
      </w:r>
      <w:r>
        <w:rPr>
          <w:rFonts w:ascii="Arial" w:hAnsi="Arial" w:cs="Arial"/>
          <w:iCs/>
          <w:color w:val="000000"/>
          <w:sz w:val="22"/>
          <w:szCs w:val="22"/>
        </w:rPr>
        <w:t xml:space="preserve">. </w:t>
      </w:r>
    </w:p>
    <w:p w14:paraId="6E85DABA" w14:textId="77777777" w:rsidR="009361CD" w:rsidRDefault="009361CD" w:rsidP="009361CD">
      <w:pPr>
        <w:rPr>
          <w:rFonts w:asciiTheme="minorHAnsi" w:hAnsiTheme="minorHAnsi" w:cstheme="minorBidi"/>
        </w:rPr>
      </w:pPr>
    </w:p>
    <w:p w14:paraId="6E85DABB" w14:textId="77777777" w:rsidR="009361CD" w:rsidRPr="00892C17" w:rsidRDefault="009361CD" w:rsidP="009361CD">
      <w:pPr>
        <w:tabs>
          <w:tab w:val="left" w:pos="3285"/>
        </w:tabs>
        <w:rPr>
          <w:b/>
          <w:iCs/>
          <w:color w:val="000000"/>
        </w:rPr>
      </w:pPr>
    </w:p>
    <w:p w14:paraId="6E85DABC" w14:textId="77777777" w:rsidR="009361CD" w:rsidRDefault="009361CD" w:rsidP="009361CD">
      <w:pPr>
        <w:rPr>
          <w:iCs/>
          <w:color w:val="000000"/>
        </w:rPr>
      </w:pPr>
    </w:p>
    <w:p w14:paraId="6E85DABD" w14:textId="77777777" w:rsidR="009361CD" w:rsidRDefault="009361CD" w:rsidP="009361CD">
      <w:pPr>
        <w:jc w:val="right"/>
        <w:rPr>
          <w:iCs/>
          <w:color w:val="000000"/>
        </w:rPr>
      </w:pPr>
    </w:p>
    <w:p w14:paraId="6E85DABE" w14:textId="77777777" w:rsidR="009361CD" w:rsidRDefault="009361CD" w:rsidP="009361CD">
      <w:pPr>
        <w:jc w:val="right"/>
        <w:rPr>
          <w:b/>
          <w:bCs/>
        </w:rPr>
      </w:pPr>
    </w:p>
    <w:p w14:paraId="6E85DABF" w14:textId="77777777" w:rsidR="009361CD" w:rsidRDefault="009361CD" w:rsidP="009361CD">
      <w:pPr>
        <w:jc w:val="right"/>
        <w:rPr>
          <w:b/>
          <w:bCs/>
        </w:rPr>
      </w:pPr>
    </w:p>
    <w:p w14:paraId="6E85DAC0" w14:textId="77777777" w:rsidR="009361CD" w:rsidRDefault="009361CD" w:rsidP="009361CD">
      <w:pPr>
        <w:jc w:val="right"/>
        <w:rPr>
          <w:b/>
          <w:bCs/>
        </w:rPr>
      </w:pPr>
    </w:p>
    <w:p w14:paraId="6E85DAC1" w14:textId="77777777" w:rsidR="009361CD" w:rsidRDefault="009361CD" w:rsidP="009361CD">
      <w:pPr>
        <w:jc w:val="right"/>
        <w:rPr>
          <w:b/>
          <w:bCs/>
        </w:rPr>
      </w:pPr>
    </w:p>
    <w:p w14:paraId="6E85DAC2" w14:textId="77777777" w:rsidR="009361CD" w:rsidRDefault="009361CD" w:rsidP="009361CD">
      <w:pPr>
        <w:jc w:val="right"/>
        <w:rPr>
          <w:b/>
          <w:bCs/>
        </w:rPr>
      </w:pPr>
    </w:p>
    <w:p w14:paraId="26A812E8" w14:textId="0EA9EA46" w:rsidR="00BA677B" w:rsidRDefault="00BA677B" w:rsidP="009361CD">
      <w:pPr>
        <w:jc w:val="right"/>
        <w:rPr>
          <w:b/>
          <w:bCs/>
        </w:rPr>
      </w:pPr>
    </w:p>
    <w:p w14:paraId="40942706" w14:textId="77777777" w:rsidR="00BA677B" w:rsidRDefault="00BA677B" w:rsidP="009361CD">
      <w:pPr>
        <w:jc w:val="right"/>
        <w:rPr>
          <w:b/>
          <w:bCs/>
        </w:rPr>
      </w:pPr>
    </w:p>
    <w:p w14:paraId="6E85DAC3" w14:textId="77777777" w:rsidR="009361CD" w:rsidRDefault="009361CD" w:rsidP="009361CD">
      <w:pPr>
        <w:tabs>
          <w:tab w:val="left" w:pos="8070"/>
        </w:tabs>
        <w:rPr>
          <w:b/>
          <w:bCs/>
        </w:rPr>
      </w:pPr>
    </w:p>
    <w:p w14:paraId="6E85DAC4" w14:textId="77777777" w:rsidR="009361CD" w:rsidRPr="0072582B" w:rsidRDefault="009361CD" w:rsidP="009361CD">
      <w:pPr>
        <w:jc w:val="right"/>
        <w:rPr>
          <w:b/>
          <w:bCs/>
        </w:rPr>
      </w:pPr>
      <w:r>
        <w:rPr>
          <w:b/>
          <w:bCs/>
        </w:rPr>
        <w:lastRenderedPageBreak/>
        <w:t>ATTACHMENT</w:t>
      </w:r>
    </w:p>
    <w:p w14:paraId="6E85DAC5" w14:textId="77777777" w:rsidR="009361CD" w:rsidRPr="00CA56E5" w:rsidRDefault="009361CD" w:rsidP="00CA56E5">
      <w:pPr>
        <w:pStyle w:val="Heading6"/>
        <w:tabs>
          <w:tab w:val="left" w:pos="1418"/>
        </w:tabs>
        <w:rPr>
          <w:rFonts w:ascii="Arial" w:hAnsi="Arial" w:cs="Arial"/>
          <w:caps/>
        </w:rPr>
      </w:pPr>
      <w:r w:rsidRPr="0072582B">
        <w:rPr>
          <w:rFonts w:ascii="Arial" w:hAnsi="Arial" w:cs="Arial"/>
          <w:iCs/>
        </w:rPr>
        <w:t>DETAILS OF THE</w:t>
      </w:r>
      <w:r w:rsidRPr="0072582B">
        <w:rPr>
          <w:rFonts w:ascii="Arial" w:hAnsi="Arial" w:cs="Arial"/>
          <w:i/>
          <w:iCs/>
        </w:rPr>
        <w:t xml:space="preserve"> </w:t>
      </w:r>
      <w:r w:rsidRPr="0072582B">
        <w:rPr>
          <w:rFonts w:ascii="Arial" w:hAnsi="Arial" w:cs="Arial"/>
          <w:i/>
          <w:caps/>
        </w:rPr>
        <w:t>Private Health Insurance (Council Administration Levy) Amendment Rules 20</w:t>
      </w:r>
      <w:r>
        <w:rPr>
          <w:rFonts w:ascii="Arial" w:hAnsi="Arial" w:cs="Arial"/>
          <w:i/>
          <w:caps/>
        </w:rPr>
        <w:t>1</w:t>
      </w:r>
      <w:r w:rsidR="00CA56E5">
        <w:rPr>
          <w:rFonts w:ascii="Arial" w:hAnsi="Arial" w:cs="Arial"/>
          <w:i/>
          <w:caps/>
        </w:rPr>
        <w:t>3</w:t>
      </w:r>
      <w:r w:rsidR="00A930A2">
        <w:rPr>
          <w:rFonts w:ascii="Arial" w:hAnsi="Arial" w:cs="Arial"/>
          <w:i/>
          <w:caps/>
        </w:rPr>
        <w:t xml:space="preserve"> (No. </w:t>
      </w:r>
      <w:r w:rsidR="00A930A2" w:rsidRPr="00A930A2">
        <w:rPr>
          <w:rFonts w:ascii="Arial" w:hAnsi="Arial" w:cs="Arial"/>
          <w:i/>
          <w:caps/>
        </w:rPr>
        <w:t>2</w:t>
      </w:r>
      <w:r w:rsidRPr="0072582B">
        <w:rPr>
          <w:rFonts w:ascii="Arial" w:hAnsi="Arial" w:cs="Arial"/>
          <w:i/>
          <w:caps/>
        </w:rPr>
        <w:t>)</w:t>
      </w:r>
    </w:p>
    <w:p w14:paraId="6E85DAC6" w14:textId="77777777" w:rsidR="009361CD" w:rsidRPr="006A324C" w:rsidRDefault="00512F2D" w:rsidP="009361CD">
      <w:pPr>
        <w:pStyle w:val="Header"/>
        <w:rPr>
          <w:rFonts w:ascii="Arial" w:hAnsi="Arial" w:cs="Arial"/>
          <w:b/>
          <w:bCs/>
          <w:sz w:val="22"/>
          <w:szCs w:val="22"/>
        </w:rPr>
      </w:pPr>
      <w:r>
        <w:rPr>
          <w:rFonts w:ascii="Arial" w:hAnsi="Arial" w:cs="Arial"/>
          <w:b/>
          <w:bCs/>
          <w:sz w:val="22"/>
          <w:szCs w:val="22"/>
        </w:rPr>
        <w:t>1.</w:t>
      </w:r>
      <w:r>
        <w:rPr>
          <w:rFonts w:ascii="Arial" w:hAnsi="Arial" w:cs="Arial"/>
          <w:b/>
          <w:bCs/>
          <w:sz w:val="22"/>
          <w:szCs w:val="22"/>
        </w:rPr>
        <w:tab/>
        <w:t>Name of rule</w:t>
      </w:r>
    </w:p>
    <w:p w14:paraId="6E85DAC7" w14:textId="75C8E78C" w:rsidR="009361CD" w:rsidRPr="006A324C" w:rsidRDefault="009361CD" w:rsidP="009361CD">
      <w:pPr>
        <w:pStyle w:val="Header"/>
        <w:rPr>
          <w:rFonts w:ascii="Arial" w:hAnsi="Arial" w:cs="Arial"/>
          <w:sz w:val="22"/>
          <w:szCs w:val="22"/>
        </w:rPr>
      </w:pPr>
      <w:r>
        <w:rPr>
          <w:rFonts w:ascii="Arial" w:hAnsi="Arial" w:cs="Arial"/>
          <w:sz w:val="22"/>
          <w:szCs w:val="22"/>
        </w:rPr>
        <w:t>Rule</w:t>
      </w:r>
      <w:r w:rsidR="00E24EB6">
        <w:rPr>
          <w:rFonts w:ascii="Arial" w:hAnsi="Arial" w:cs="Arial"/>
          <w:sz w:val="22"/>
          <w:szCs w:val="22"/>
        </w:rPr>
        <w:t xml:space="preserve"> 1 provides</w:t>
      </w:r>
      <w:r w:rsidRPr="0072582B">
        <w:rPr>
          <w:rFonts w:ascii="Arial" w:hAnsi="Arial" w:cs="Arial"/>
          <w:sz w:val="22"/>
          <w:szCs w:val="22"/>
        </w:rPr>
        <w:t xml:space="preserve"> the</w:t>
      </w:r>
      <w:r w:rsidR="00E24EB6">
        <w:rPr>
          <w:rFonts w:ascii="Arial" w:hAnsi="Arial" w:cs="Arial"/>
          <w:sz w:val="22"/>
          <w:szCs w:val="22"/>
        </w:rPr>
        <w:t xml:space="preserve"> name is </w:t>
      </w:r>
      <w:r w:rsidRPr="0072582B">
        <w:rPr>
          <w:rFonts w:ascii="Arial" w:hAnsi="Arial" w:cs="Arial"/>
          <w:sz w:val="22"/>
          <w:szCs w:val="22"/>
        </w:rPr>
        <w:t xml:space="preserve">the </w:t>
      </w:r>
      <w:r>
        <w:rPr>
          <w:rFonts w:ascii="Arial" w:hAnsi="Arial" w:cs="Arial"/>
          <w:sz w:val="22"/>
          <w:szCs w:val="22"/>
        </w:rPr>
        <w:t xml:space="preserve">Amendment Rules. </w:t>
      </w:r>
      <w:r w:rsidRPr="004157F4">
        <w:rPr>
          <w:rFonts w:ascii="Arial" w:hAnsi="Arial" w:cs="Arial"/>
          <w:b/>
          <w:bCs/>
          <w:sz w:val="16"/>
          <w:szCs w:val="16"/>
        </w:rPr>
        <w:t xml:space="preserve"> </w:t>
      </w:r>
    </w:p>
    <w:p w14:paraId="6E85DAC8" w14:textId="77777777" w:rsidR="009361CD" w:rsidRPr="006A324C" w:rsidRDefault="009361CD" w:rsidP="009361CD">
      <w:pPr>
        <w:pStyle w:val="Header"/>
        <w:rPr>
          <w:rFonts w:ascii="Arial" w:hAnsi="Arial" w:cs="Arial"/>
          <w:b/>
          <w:bCs/>
          <w:sz w:val="22"/>
          <w:szCs w:val="22"/>
        </w:rPr>
      </w:pPr>
      <w:r w:rsidRPr="0072582B">
        <w:rPr>
          <w:rFonts w:ascii="Arial" w:hAnsi="Arial" w:cs="Arial"/>
          <w:b/>
          <w:bCs/>
          <w:sz w:val="22"/>
          <w:szCs w:val="22"/>
        </w:rPr>
        <w:t>2.</w:t>
      </w:r>
      <w:r w:rsidRPr="0072582B">
        <w:rPr>
          <w:rFonts w:ascii="Arial" w:hAnsi="Arial" w:cs="Arial"/>
          <w:b/>
          <w:bCs/>
          <w:sz w:val="22"/>
          <w:szCs w:val="22"/>
        </w:rPr>
        <w:tab/>
        <w:t>Commencement</w:t>
      </w:r>
    </w:p>
    <w:p w14:paraId="6E85DAC9" w14:textId="5CB6F5AE" w:rsidR="009361CD" w:rsidRPr="006A324C" w:rsidRDefault="009361CD" w:rsidP="006A324C">
      <w:r>
        <w:t>Rule</w:t>
      </w:r>
      <w:r w:rsidRPr="0072582B">
        <w:t xml:space="preserve"> 2 provides that the Amendment Rules commence </w:t>
      </w:r>
      <w:r w:rsidR="00A930A2">
        <w:t xml:space="preserve">on </w:t>
      </w:r>
      <w:r w:rsidR="00EA1AAF">
        <w:t>22</w:t>
      </w:r>
      <w:r w:rsidR="006A324C">
        <w:t xml:space="preserve"> July 2013</w:t>
      </w:r>
      <w:r w:rsidRPr="0072582B">
        <w:t>.</w:t>
      </w:r>
    </w:p>
    <w:p w14:paraId="6E85DACA" w14:textId="77777777" w:rsidR="009361CD" w:rsidRPr="006A324C" w:rsidRDefault="009361CD" w:rsidP="00512F2D">
      <w:pPr>
        <w:pStyle w:val="Header"/>
        <w:ind w:left="720" w:hanging="720"/>
        <w:rPr>
          <w:rFonts w:ascii="Arial" w:hAnsi="Arial" w:cs="Arial"/>
          <w:b/>
          <w:bCs/>
          <w:sz w:val="22"/>
          <w:szCs w:val="22"/>
        </w:rPr>
      </w:pPr>
      <w:r w:rsidRPr="0072582B">
        <w:rPr>
          <w:rFonts w:ascii="Arial" w:hAnsi="Arial" w:cs="Arial"/>
          <w:b/>
          <w:bCs/>
          <w:sz w:val="22"/>
          <w:szCs w:val="22"/>
        </w:rPr>
        <w:t>3.</w:t>
      </w:r>
      <w:r w:rsidRPr="0072582B">
        <w:rPr>
          <w:rFonts w:ascii="Arial" w:hAnsi="Arial" w:cs="Arial"/>
          <w:b/>
          <w:bCs/>
          <w:sz w:val="22"/>
          <w:szCs w:val="22"/>
        </w:rPr>
        <w:tab/>
      </w:r>
      <w:r w:rsidR="00512F2D">
        <w:rPr>
          <w:rFonts w:ascii="Arial" w:hAnsi="Arial" w:cs="Arial"/>
          <w:b/>
          <w:bCs/>
          <w:sz w:val="22"/>
          <w:szCs w:val="22"/>
        </w:rPr>
        <w:t xml:space="preserve">Amendment of </w:t>
      </w:r>
      <w:r w:rsidR="00512F2D" w:rsidRPr="00512F2D">
        <w:rPr>
          <w:rFonts w:ascii="Arial" w:hAnsi="Arial" w:cs="Arial"/>
          <w:b/>
          <w:bCs/>
          <w:i/>
          <w:sz w:val="22"/>
          <w:szCs w:val="22"/>
        </w:rPr>
        <w:t>Private Health Insurance (Council Administration Levy) Rules 2007</w:t>
      </w:r>
    </w:p>
    <w:p w14:paraId="6E85DACB" w14:textId="77777777" w:rsidR="009361CD" w:rsidRPr="006A324C" w:rsidRDefault="009361CD" w:rsidP="006A324C">
      <w:pPr>
        <w:pStyle w:val="Header"/>
        <w:tabs>
          <w:tab w:val="num" w:pos="1080"/>
        </w:tabs>
        <w:rPr>
          <w:rFonts w:ascii="Arial" w:hAnsi="Arial" w:cs="Arial"/>
          <w:sz w:val="22"/>
          <w:szCs w:val="22"/>
        </w:rPr>
      </w:pPr>
      <w:r>
        <w:rPr>
          <w:rFonts w:ascii="Arial" w:hAnsi="Arial" w:cs="Arial"/>
          <w:sz w:val="22"/>
          <w:szCs w:val="22"/>
        </w:rPr>
        <w:t>Rule</w:t>
      </w:r>
      <w:r w:rsidRPr="0072582B">
        <w:rPr>
          <w:rFonts w:ascii="Arial" w:hAnsi="Arial" w:cs="Arial"/>
          <w:color w:val="000000"/>
          <w:sz w:val="22"/>
          <w:szCs w:val="22"/>
        </w:rPr>
        <w:t xml:space="preserve"> 3 provides </w:t>
      </w:r>
      <w:r>
        <w:rPr>
          <w:rFonts w:ascii="Arial" w:hAnsi="Arial" w:cs="Arial"/>
          <w:color w:val="000000"/>
          <w:sz w:val="22"/>
          <w:szCs w:val="22"/>
        </w:rPr>
        <w:t xml:space="preserve">that Schedule 1 to the </w:t>
      </w:r>
      <w:r w:rsidRPr="0072582B">
        <w:rPr>
          <w:rFonts w:ascii="Arial" w:hAnsi="Arial" w:cs="Arial"/>
          <w:i/>
          <w:sz w:val="22"/>
          <w:szCs w:val="22"/>
        </w:rPr>
        <w:t>Private Health Insurance (Council Administr</w:t>
      </w:r>
      <w:r>
        <w:rPr>
          <w:rFonts w:ascii="Arial" w:hAnsi="Arial" w:cs="Arial"/>
          <w:i/>
          <w:sz w:val="22"/>
          <w:szCs w:val="22"/>
        </w:rPr>
        <w:t>ation Levy) Amendment Rules 201</w:t>
      </w:r>
      <w:r w:rsidR="00CA56E5">
        <w:rPr>
          <w:rFonts w:ascii="Arial" w:hAnsi="Arial" w:cs="Arial"/>
          <w:i/>
          <w:sz w:val="22"/>
          <w:szCs w:val="22"/>
        </w:rPr>
        <w:t>3</w:t>
      </w:r>
      <w:r w:rsidR="00512F2D">
        <w:rPr>
          <w:rFonts w:ascii="Arial" w:hAnsi="Arial" w:cs="Arial"/>
          <w:i/>
          <w:sz w:val="22"/>
          <w:szCs w:val="22"/>
        </w:rPr>
        <w:t xml:space="preserve"> (No. 2</w:t>
      </w:r>
      <w:r w:rsidRPr="0072582B">
        <w:rPr>
          <w:rFonts w:ascii="Arial" w:hAnsi="Arial" w:cs="Arial"/>
          <w:i/>
          <w:sz w:val="22"/>
          <w:szCs w:val="22"/>
        </w:rPr>
        <w:t>)</w:t>
      </w:r>
      <w:r>
        <w:rPr>
          <w:rFonts w:ascii="Arial" w:hAnsi="Arial" w:cs="Arial"/>
          <w:i/>
          <w:sz w:val="22"/>
          <w:szCs w:val="22"/>
        </w:rPr>
        <w:t xml:space="preserve"> </w:t>
      </w:r>
      <w:r>
        <w:rPr>
          <w:rFonts w:ascii="Arial" w:hAnsi="Arial" w:cs="Arial"/>
          <w:sz w:val="22"/>
          <w:szCs w:val="22"/>
        </w:rPr>
        <w:t xml:space="preserve">amends the </w:t>
      </w:r>
      <w:r>
        <w:rPr>
          <w:rFonts w:ascii="Arial" w:hAnsi="Arial" w:cs="Arial"/>
          <w:i/>
          <w:sz w:val="22"/>
          <w:szCs w:val="22"/>
        </w:rPr>
        <w:t>Private Health Insurance (Council Administration Levy) Rules 2007</w:t>
      </w:r>
      <w:r>
        <w:rPr>
          <w:rFonts w:ascii="Arial" w:hAnsi="Arial" w:cs="Arial"/>
          <w:sz w:val="22"/>
          <w:szCs w:val="22"/>
        </w:rPr>
        <w:t>.</w:t>
      </w:r>
    </w:p>
    <w:p w14:paraId="6E85DACC" w14:textId="77777777" w:rsidR="009361CD" w:rsidRDefault="009361CD" w:rsidP="006A324C">
      <w:pPr>
        <w:pStyle w:val="Header"/>
        <w:tabs>
          <w:tab w:val="num" w:pos="567"/>
        </w:tabs>
        <w:rPr>
          <w:rFonts w:ascii="Arial" w:hAnsi="Arial" w:cs="Arial"/>
          <w:sz w:val="22"/>
          <w:szCs w:val="22"/>
        </w:rPr>
      </w:pPr>
      <w:r>
        <w:rPr>
          <w:rFonts w:ascii="Arial" w:hAnsi="Arial" w:cs="Arial"/>
          <w:b/>
          <w:sz w:val="22"/>
          <w:szCs w:val="22"/>
        </w:rPr>
        <w:t>Schedule 1 Amendments</w:t>
      </w:r>
    </w:p>
    <w:p w14:paraId="6E85DACD" w14:textId="19676B31" w:rsidR="009361CD" w:rsidRDefault="009361CD" w:rsidP="009361CD">
      <w:pPr>
        <w:pStyle w:val="Header"/>
        <w:numPr>
          <w:ilvl w:val="0"/>
          <w:numId w:val="2"/>
        </w:numPr>
        <w:spacing w:before="0" w:beforeAutospacing="0" w:after="0" w:afterAutospacing="0"/>
        <w:rPr>
          <w:rFonts w:ascii="Arial" w:hAnsi="Arial" w:cs="Arial"/>
          <w:color w:val="000000"/>
          <w:sz w:val="22"/>
          <w:szCs w:val="22"/>
        </w:rPr>
      </w:pPr>
      <w:r>
        <w:rPr>
          <w:rFonts w:ascii="Arial" w:hAnsi="Arial" w:cs="Arial"/>
          <w:sz w:val="22"/>
          <w:szCs w:val="22"/>
        </w:rPr>
        <w:t xml:space="preserve">Schedule 1 substitutes </w:t>
      </w:r>
      <w:r w:rsidR="009B6ACA">
        <w:rPr>
          <w:rFonts w:ascii="Arial" w:hAnsi="Arial" w:cs="Arial"/>
          <w:color w:val="000000"/>
          <w:sz w:val="22"/>
          <w:szCs w:val="22"/>
        </w:rPr>
        <w:t>the formula</w:t>
      </w:r>
      <w:r>
        <w:rPr>
          <w:rFonts w:ascii="Arial" w:hAnsi="Arial" w:cs="Arial"/>
          <w:color w:val="000000"/>
          <w:sz w:val="22"/>
          <w:szCs w:val="22"/>
        </w:rPr>
        <w:t xml:space="preserve"> in </w:t>
      </w:r>
      <w:r w:rsidR="003803A9">
        <w:rPr>
          <w:rFonts w:ascii="Arial" w:hAnsi="Arial" w:cs="Arial"/>
          <w:color w:val="000000"/>
          <w:sz w:val="22"/>
          <w:szCs w:val="22"/>
        </w:rPr>
        <w:t>sub-</w:t>
      </w:r>
      <w:r w:rsidR="006A324C">
        <w:rPr>
          <w:rFonts w:ascii="Arial" w:hAnsi="Arial" w:cs="Arial"/>
          <w:color w:val="000000"/>
          <w:sz w:val="22"/>
          <w:szCs w:val="22"/>
        </w:rPr>
        <w:t>rule</w:t>
      </w:r>
      <w:r w:rsidRPr="0072582B">
        <w:rPr>
          <w:rFonts w:ascii="Arial" w:hAnsi="Arial" w:cs="Arial"/>
          <w:color w:val="000000"/>
          <w:sz w:val="22"/>
          <w:szCs w:val="22"/>
        </w:rPr>
        <w:t xml:space="preserve"> 6(1) </w:t>
      </w:r>
      <w:r>
        <w:rPr>
          <w:rFonts w:ascii="Arial" w:hAnsi="Arial" w:cs="Arial"/>
          <w:color w:val="000000"/>
          <w:sz w:val="22"/>
          <w:szCs w:val="22"/>
        </w:rPr>
        <w:t xml:space="preserve">of the </w:t>
      </w:r>
      <w:r>
        <w:rPr>
          <w:rFonts w:ascii="Arial" w:hAnsi="Arial" w:cs="Arial"/>
          <w:i/>
          <w:sz w:val="22"/>
          <w:szCs w:val="22"/>
        </w:rPr>
        <w:t>Private Health Insurance (Council Administration Levy) Rules 2007</w:t>
      </w:r>
      <w:r>
        <w:t xml:space="preserve"> </w:t>
      </w:r>
      <w:r w:rsidRPr="008C25F9">
        <w:rPr>
          <w:rFonts w:ascii="Arial" w:hAnsi="Arial" w:cs="Arial"/>
          <w:color w:val="000000"/>
          <w:sz w:val="22"/>
          <w:szCs w:val="22"/>
        </w:rPr>
        <w:t xml:space="preserve">with </w:t>
      </w:r>
      <w:r w:rsidR="006A324C">
        <w:rPr>
          <w:rFonts w:ascii="Arial" w:hAnsi="Arial" w:cs="Arial"/>
          <w:color w:val="000000"/>
          <w:sz w:val="22"/>
          <w:szCs w:val="22"/>
        </w:rPr>
        <w:t xml:space="preserve">a new </w:t>
      </w:r>
      <w:r w:rsidR="00512F2D">
        <w:rPr>
          <w:rFonts w:ascii="Arial" w:hAnsi="Arial" w:cs="Arial"/>
          <w:color w:val="000000"/>
          <w:sz w:val="22"/>
          <w:szCs w:val="22"/>
        </w:rPr>
        <w:t>table</w:t>
      </w:r>
      <w:r w:rsidR="006A324C">
        <w:rPr>
          <w:rFonts w:ascii="Arial" w:hAnsi="Arial" w:cs="Arial"/>
          <w:color w:val="000000"/>
          <w:sz w:val="22"/>
          <w:szCs w:val="22"/>
        </w:rPr>
        <w:t xml:space="preserve"> </w:t>
      </w:r>
      <w:r w:rsidRPr="008C25F9">
        <w:rPr>
          <w:rFonts w:ascii="Arial" w:hAnsi="Arial" w:cs="Arial"/>
          <w:color w:val="000000"/>
          <w:sz w:val="22"/>
          <w:szCs w:val="22"/>
        </w:rPr>
        <w:t>as</w:t>
      </w:r>
      <w:r w:rsidRPr="003F5FA0">
        <w:rPr>
          <w:rFonts w:ascii="Arial" w:hAnsi="Arial" w:cs="Arial"/>
          <w:sz w:val="22"/>
          <w:szCs w:val="22"/>
        </w:rPr>
        <w:t xml:space="preserve"> follows</w:t>
      </w:r>
      <w:r w:rsidRPr="009770DD">
        <w:rPr>
          <w:rFonts w:ascii="Arial" w:hAnsi="Arial" w:cs="Arial"/>
          <w:color w:val="000000"/>
          <w:sz w:val="22"/>
          <w:szCs w:val="22"/>
        </w:rPr>
        <w:t>:</w:t>
      </w:r>
    </w:p>
    <w:p w14:paraId="6E85DACE" w14:textId="77777777" w:rsidR="00512F2D" w:rsidRPr="006A324C" w:rsidRDefault="00512F2D" w:rsidP="00512F2D">
      <w:pPr>
        <w:pStyle w:val="Header"/>
        <w:spacing w:before="0" w:beforeAutospacing="0" w:after="0" w:afterAutospacing="0"/>
        <w:ind w:left="360"/>
        <w:rPr>
          <w:rFonts w:ascii="Arial" w:hAnsi="Arial" w:cs="Arial"/>
          <w:color w:val="000000"/>
          <w:sz w:val="22"/>
          <w:szCs w:val="22"/>
        </w:rPr>
      </w:pPr>
    </w:p>
    <w:tbl>
      <w:tblPr>
        <w:tblW w:w="4967" w:type="pct"/>
        <w:tblBorders>
          <w:bottom w:val="single" w:sz="4" w:space="0" w:color="auto"/>
          <w:insideH w:val="dotted" w:sz="4" w:space="0" w:color="auto"/>
        </w:tblBorders>
        <w:tblLook w:val="04A0" w:firstRow="1" w:lastRow="0" w:firstColumn="1" w:lastColumn="0" w:noHBand="0" w:noVBand="1"/>
      </w:tblPr>
      <w:tblGrid>
        <w:gridCol w:w="887"/>
        <w:gridCol w:w="1537"/>
        <w:gridCol w:w="6757"/>
      </w:tblGrid>
      <w:tr w:rsidR="00512F2D" w:rsidRPr="007058CB" w14:paraId="6E85DAD2" w14:textId="77777777" w:rsidTr="00395AB5">
        <w:trPr>
          <w:cantSplit/>
          <w:tblHeader/>
        </w:trPr>
        <w:tc>
          <w:tcPr>
            <w:tcW w:w="483" w:type="pct"/>
            <w:tcBorders>
              <w:top w:val="nil"/>
              <w:bottom w:val="single" w:sz="4" w:space="0" w:color="auto"/>
            </w:tcBorders>
          </w:tcPr>
          <w:p w14:paraId="6E85DACF" w14:textId="77777777" w:rsidR="00512F2D" w:rsidRPr="007058CB" w:rsidRDefault="00512F2D" w:rsidP="00395AB5">
            <w:pPr>
              <w:pStyle w:val="TableColHead"/>
            </w:pPr>
            <w:r w:rsidRPr="007058CB">
              <w:t>Item</w:t>
            </w:r>
          </w:p>
        </w:tc>
        <w:tc>
          <w:tcPr>
            <w:tcW w:w="837" w:type="pct"/>
            <w:tcBorders>
              <w:top w:val="nil"/>
              <w:bottom w:val="single" w:sz="4" w:space="0" w:color="auto"/>
            </w:tcBorders>
          </w:tcPr>
          <w:p w14:paraId="6E85DAD0" w14:textId="77777777" w:rsidR="00512F2D" w:rsidRPr="007058CB" w:rsidRDefault="00512F2D" w:rsidP="00395AB5">
            <w:pPr>
              <w:pStyle w:val="TableColHead"/>
            </w:pPr>
            <w:r w:rsidRPr="007058CB">
              <w:t>Financial year</w:t>
            </w:r>
          </w:p>
        </w:tc>
        <w:tc>
          <w:tcPr>
            <w:tcW w:w="3680" w:type="pct"/>
            <w:tcBorders>
              <w:top w:val="nil"/>
              <w:bottom w:val="single" w:sz="4" w:space="0" w:color="auto"/>
            </w:tcBorders>
          </w:tcPr>
          <w:p w14:paraId="6E85DAD1" w14:textId="77777777" w:rsidR="00512F2D" w:rsidRPr="007058CB" w:rsidRDefault="00512F2D" w:rsidP="00395AB5">
            <w:pPr>
              <w:pStyle w:val="TableColHead"/>
            </w:pPr>
            <w:r w:rsidRPr="007058CB">
              <w:t>Formula</w:t>
            </w:r>
          </w:p>
        </w:tc>
      </w:tr>
      <w:tr w:rsidR="00512F2D" w:rsidRPr="007058CB" w14:paraId="6E85DAD6" w14:textId="77777777" w:rsidTr="00395AB5">
        <w:trPr>
          <w:cantSplit/>
        </w:trPr>
        <w:tc>
          <w:tcPr>
            <w:tcW w:w="483" w:type="pct"/>
            <w:vMerge w:val="restart"/>
          </w:tcPr>
          <w:p w14:paraId="6E85DAD3" w14:textId="77777777" w:rsidR="00512F2D" w:rsidRPr="007058CB" w:rsidRDefault="00512F2D" w:rsidP="00395AB5">
            <w:pPr>
              <w:pStyle w:val="TableText"/>
              <w:ind w:left="227"/>
            </w:pPr>
            <w:r>
              <w:t>1</w:t>
            </w:r>
          </w:p>
        </w:tc>
        <w:tc>
          <w:tcPr>
            <w:tcW w:w="837" w:type="pct"/>
            <w:vMerge w:val="restart"/>
          </w:tcPr>
          <w:p w14:paraId="6E85DAD4" w14:textId="77777777" w:rsidR="00512F2D" w:rsidRPr="007058CB" w:rsidRDefault="00512F2D" w:rsidP="00395AB5">
            <w:pPr>
              <w:pStyle w:val="TableText"/>
            </w:pPr>
            <w:r w:rsidRPr="007058CB">
              <w:t>2013–2014</w:t>
            </w:r>
          </w:p>
        </w:tc>
        <w:tc>
          <w:tcPr>
            <w:tcW w:w="3680" w:type="pct"/>
            <w:tcBorders>
              <w:top w:val="dotted" w:sz="4" w:space="0" w:color="auto"/>
              <w:bottom w:val="single" w:sz="4" w:space="0" w:color="auto"/>
            </w:tcBorders>
            <w:vAlign w:val="bottom"/>
          </w:tcPr>
          <w:p w14:paraId="6E85DAD5" w14:textId="77777777" w:rsidR="00512F2D" w:rsidRPr="007058CB" w:rsidRDefault="00512F2D" w:rsidP="00395AB5">
            <w:pPr>
              <w:pStyle w:val="TableText"/>
              <w:jc w:val="center"/>
            </w:pPr>
            <w:r>
              <w:t>164 275 000</w:t>
            </w:r>
          </w:p>
        </w:tc>
      </w:tr>
      <w:tr w:rsidR="00512F2D" w:rsidRPr="007058CB" w14:paraId="6E85DADA" w14:textId="77777777" w:rsidTr="00395AB5">
        <w:trPr>
          <w:cantSplit/>
        </w:trPr>
        <w:tc>
          <w:tcPr>
            <w:tcW w:w="483" w:type="pct"/>
            <w:vMerge/>
            <w:tcBorders>
              <w:bottom w:val="dotted" w:sz="4" w:space="0" w:color="auto"/>
            </w:tcBorders>
          </w:tcPr>
          <w:p w14:paraId="6E85DAD7" w14:textId="77777777" w:rsidR="00512F2D" w:rsidRPr="007058CB" w:rsidRDefault="00512F2D" w:rsidP="00395AB5">
            <w:pPr>
              <w:pStyle w:val="TableText"/>
              <w:ind w:left="227"/>
            </w:pPr>
          </w:p>
        </w:tc>
        <w:tc>
          <w:tcPr>
            <w:tcW w:w="837" w:type="pct"/>
            <w:vMerge/>
            <w:tcBorders>
              <w:bottom w:val="dotted" w:sz="4" w:space="0" w:color="auto"/>
            </w:tcBorders>
          </w:tcPr>
          <w:p w14:paraId="6E85DAD8" w14:textId="77777777" w:rsidR="00512F2D" w:rsidRPr="007058CB" w:rsidRDefault="00512F2D" w:rsidP="00395AB5">
            <w:pPr>
              <w:pStyle w:val="TableText"/>
            </w:pPr>
          </w:p>
        </w:tc>
        <w:tc>
          <w:tcPr>
            <w:tcW w:w="3680" w:type="pct"/>
            <w:tcBorders>
              <w:top w:val="single" w:sz="4" w:space="0" w:color="auto"/>
              <w:bottom w:val="dotted" w:sz="4" w:space="0" w:color="auto"/>
            </w:tcBorders>
          </w:tcPr>
          <w:p w14:paraId="6E85DAD9"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r w:rsidR="00512F2D" w:rsidRPr="007058CB" w14:paraId="6E85DADE" w14:textId="77777777" w:rsidTr="00395AB5">
        <w:trPr>
          <w:cantSplit/>
        </w:trPr>
        <w:tc>
          <w:tcPr>
            <w:tcW w:w="483" w:type="pct"/>
            <w:vMerge w:val="restart"/>
            <w:tcBorders>
              <w:top w:val="dotted" w:sz="4" w:space="0" w:color="auto"/>
              <w:bottom w:val="dotted" w:sz="4" w:space="0" w:color="auto"/>
            </w:tcBorders>
            <w:vAlign w:val="center"/>
          </w:tcPr>
          <w:p w14:paraId="6E85DADB" w14:textId="77777777" w:rsidR="00512F2D" w:rsidRPr="007058CB" w:rsidRDefault="00512F2D" w:rsidP="00395AB5">
            <w:pPr>
              <w:pStyle w:val="TableText"/>
              <w:ind w:left="227"/>
            </w:pPr>
            <w:r>
              <w:t>2</w:t>
            </w:r>
          </w:p>
        </w:tc>
        <w:tc>
          <w:tcPr>
            <w:tcW w:w="837" w:type="pct"/>
            <w:vMerge w:val="restart"/>
            <w:tcBorders>
              <w:top w:val="dotted" w:sz="4" w:space="0" w:color="auto"/>
              <w:bottom w:val="dotted" w:sz="4" w:space="0" w:color="auto"/>
            </w:tcBorders>
            <w:vAlign w:val="center"/>
          </w:tcPr>
          <w:p w14:paraId="6E85DADC" w14:textId="77777777" w:rsidR="00512F2D" w:rsidRPr="007058CB" w:rsidRDefault="00512F2D" w:rsidP="00395AB5">
            <w:pPr>
              <w:pStyle w:val="TableText"/>
            </w:pPr>
            <w:r w:rsidRPr="007058CB">
              <w:t>2014–2015</w:t>
            </w:r>
          </w:p>
        </w:tc>
        <w:tc>
          <w:tcPr>
            <w:tcW w:w="3680" w:type="pct"/>
            <w:tcBorders>
              <w:top w:val="dotted" w:sz="4" w:space="0" w:color="auto"/>
              <w:bottom w:val="single" w:sz="4" w:space="0" w:color="auto"/>
            </w:tcBorders>
            <w:vAlign w:val="bottom"/>
          </w:tcPr>
          <w:p w14:paraId="6E85DADD" w14:textId="77777777" w:rsidR="00512F2D" w:rsidRPr="007058CB" w:rsidRDefault="00512F2D" w:rsidP="00395AB5">
            <w:pPr>
              <w:pStyle w:val="TableText"/>
              <w:jc w:val="center"/>
            </w:pPr>
            <w:r w:rsidRPr="007058CB">
              <w:t>155 475 000</w:t>
            </w:r>
          </w:p>
        </w:tc>
      </w:tr>
      <w:tr w:rsidR="00512F2D" w:rsidRPr="007058CB" w14:paraId="6E85DAE2" w14:textId="77777777" w:rsidTr="00395AB5">
        <w:trPr>
          <w:cantSplit/>
        </w:trPr>
        <w:tc>
          <w:tcPr>
            <w:tcW w:w="483" w:type="pct"/>
            <w:vMerge/>
            <w:tcBorders>
              <w:top w:val="dotted" w:sz="4" w:space="0" w:color="auto"/>
              <w:bottom w:val="dotted" w:sz="4" w:space="0" w:color="auto"/>
            </w:tcBorders>
            <w:vAlign w:val="center"/>
          </w:tcPr>
          <w:p w14:paraId="6E85DADF" w14:textId="77777777" w:rsidR="00512F2D" w:rsidRPr="007058CB" w:rsidRDefault="00512F2D" w:rsidP="00395AB5">
            <w:pPr>
              <w:pStyle w:val="TableText"/>
              <w:ind w:left="227"/>
            </w:pPr>
          </w:p>
        </w:tc>
        <w:tc>
          <w:tcPr>
            <w:tcW w:w="837" w:type="pct"/>
            <w:vMerge/>
            <w:tcBorders>
              <w:top w:val="dotted" w:sz="4" w:space="0" w:color="auto"/>
              <w:bottom w:val="dotted" w:sz="4" w:space="0" w:color="auto"/>
            </w:tcBorders>
            <w:vAlign w:val="center"/>
          </w:tcPr>
          <w:p w14:paraId="6E85DAE0" w14:textId="77777777" w:rsidR="00512F2D" w:rsidRPr="007058CB" w:rsidRDefault="00512F2D" w:rsidP="00395AB5">
            <w:pPr>
              <w:pStyle w:val="TableText"/>
            </w:pPr>
          </w:p>
        </w:tc>
        <w:tc>
          <w:tcPr>
            <w:tcW w:w="3680" w:type="pct"/>
            <w:tcBorders>
              <w:top w:val="single" w:sz="4" w:space="0" w:color="auto"/>
              <w:bottom w:val="dotted" w:sz="4" w:space="0" w:color="auto"/>
            </w:tcBorders>
          </w:tcPr>
          <w:p w14:paraId="6E85DAE1"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r w:rsidR="00512F2D" w:rsidRPr="007058CB" w14:paraId="6E85DAE6" w14:textId="77777777" w:rsidTr="00395AB5">
        <w:trPr>
          <w:cantSplit/>
        </w:trPr>
        <w:tc>
          <w:tcPr>
            <w:tcW w:w="483" w:type="pct"/>
            <w:vMerge w:val="restart"/>
            <w:tcBorders>
              <w:top w:val="dotted" w:sz="4" w:space="0" w:color="auto"/>
            </w:tcBorders>
            <w:vAlign w:val="center"/>
          </w:tcPr>
          <w:p w14:paraId="6E85DAE3" w14:textId="77777777" w:rsidR="00512F2D" w:rsidRPr="007058CB" w:rsidRDefault="00512F2D" w:rsidP="00395AB5">
            <w:pPr>
              <w:pStyle w:val="TableText"/>
              <w:keepNext/>
              <w:ind w:left="227"/>
            </w:pPr>
            <w:r>
              <w:t>3</w:t>
            </w:r>
          </w:p>
        </w:tc>
        <w:tc>
          <w:tcPr>
            <w:tcW w:w="837" w:type="pct"/>
            <w:vMerge w:val="restart"/>
            <w:tcBorders>
              <w:top w:val="dotted" w:sz="4" w:space="0" w:color="auto"/>
            </w:tcBorders>
            <w:vAlign w:val="center"/>
          </w:tcPr>
          <w:p w14:paraId="6E85DAE4" w14:textId="77777777" w:rsidR="00512F2D" w:rsidRPr="007058CB" w:rsidRDefault="00512F2D" w:rsidP="00395AB5">
            <w:pPr>
              <w:pStyle w:val="TableText"/>
              <w:keepNext/>
            </w:pPr>
            <w:r w:rsidRPr="007058CB">
              <w:t>2015–2016</w:t>
            </w:r>
          </w:p>
        </w:tc>
        <w:tc>
          <w:tcPr>
            <w:tcW w:w="3680" w:type="pct"/>
            <w:tcBorders>
              <w:top w:val="dotted" w:sz="4" w:space="0" w:color="auto"/>
              <w:bottom w:val="single" w:sz="4" w:space="0" w:color="auto"/>
            </w:tcBorders>
            <w:vAlign w:val="bottom"/>
          </w:tcPr>
          <w:p w14:paraId="6E85DAE5" w14:textId="77777777" w:rsidR="00512F2D" w:rsidRPr="007058CB" w:rsidRDefault="00512F2D" w:rsidP="00395AB5">
            <w:pPr>
              <w:pStyle w:val="TableText"/>
              <w:keepNext/>
              <w:jc w:val="center"/>
            </w:pPr>
            <w:r w:rsidRPr="007058CB">
              <w:t>155 775 000</w:t>
            </w:r>
          </w:p>
        </w:tc>
      </w:tr>
      <w:tr w:rsidR="00512F2D" w:rsidRPr="007058CB" w14:paraId="6E85DAEA" w14:textId="77777777" w:rsidTr="00395AB5">
        <w:trPr>
          <w:cantSplit/>
        </w:trPr>
        <w:tc>
          <w:tcPr>
            <w:tcW w:w="483" w:type="pct"/>
            <w:vMerge/>
          </w:tcPr>
          <w:p w14:paraId="6E85DAE7" w14:textId="77777777" w:rsidR="00512F2D" w:rsidRPr="007058CB" w:rsidRDefault="00512F2D" w:rsidP="00395AB5">
            <w:pPr>
              <w:pStyle w:val="TableText"/>
              <w:ind w:left="227"/>
            </w:pPr>
          </w:p>
        </w:tc>
        <w:tc>
          <w:tcPr>
            <w:tcW w:w="837" w:type="pct"/>
            <w:vMerge/>
          </w:tcPr>
          <w:p w14:paraId="6E85DAE8" w14:textId="77777777" w:rsidR="00512F2D" w:rsidRPr="007058CB" w:rsidRDefault="00512F2D" w:rsidP="00395AB5">
            <w:pPr>
              <w:pStyle w:val="TableText"/>
            </w:pPr>
          </w:p>
        </w:tc>
        <w:tc>
          <w:tcPr>
            <w:tcW w:w="3680" w:type="pct"/>
            <w:tcBorders>
              <w:top w:val="single" w:sz="4" w:space="0" w:color="auto"/>
              <w:bottom w:val="single" w:sz="4" w:space="0" w:color="auto"/>
            </w:tcBorders>
          </w:tcPr>
          <w:p w14:paraId="6E85DAE9"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bl>
    <w:p w14:paraId="6E85DAEB" w14:textId="77777777" w:rsidR="009B6ACA" w:rsidRPr="004157F4" w:rsidRDefault="009B6ACA" w:rsidP="009B6ACA">
      <w:pPr>
        <w:pStyle w:val="Header"/>
        <w:spacing w:before="0" w:beforeAutospacing="0" w:after="0" w:afterAutospacing="0"/>
        <w:rPr>
          <w:rFonts w:ascii="Arial" w:hAnsi="Arial" w:cs="Arial"/>
          <w:b/>
          <w:bCs/>
          <w:sz w:val="16"/>
          <w:szCs w:val="16"/>
        </w:rPr>
      </w:pPr>
    </w:p>
    <w:p w14:paraId="6E85DAEC" w14:textId="2255EA8C" w:rsidR="009B6ACA" w:rsidRDefault="009B6ACA" w:rsidP="009B6ACA">
      <w:pPr>
        <w:pStyle w:val="Header"/>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Schedule 1 </w:t>
      </w:r>
      <w:r w:rsidR="00512F2D">
        <w:rPr>
          <w:rFonts w:ascii="Arial" w:hAnsi="Arial" w:cs="Arial"/>
          <w:color w:val="000000"/>
          <w:sz w:val="22"/>
          <w:szCs w:val="22"/>
        </w:rPr>
        <w:t xml:space="preserve">also </w:t>
      </w:r>
      <w:r>
        <w:rPr>
          <w:rFonts w:ascii="Arial" w:hAnsi="Arial" w:cs="Arial"/>
          <w:color w:val="000000"/>
          <w:sz w:val="22"/>
          <w:szCs w:val="22"/>
        </w:rPr>
        <w:t>substitutes the formula</w:t>
      </w:r>
      <w:r w:rsidRPr="009B6ACA">
        <w:rPr>
          <w:rFonts w:ascii="Arial" w:hAnsi="Arial" w:cs="Arial"/>
          <w:color w:val="000000"/>
          <w:sz w:val="22"/>
          <w:szCs w:val="22"/>
        </w:rPr>
        <w:t xml:space="preserve"> in </w:t>
      </w:r>
      <w:r w:rsidR="00582CF1">
        <w:rPr>
          <w:rFonts w:ascii="Arial" w:hAnsi="Arial" w:cs="Arial"/>
          <w:color w:val="000000"/>
          <w:sz w:val="22"/>
          <w:szCs w:val="22"/>
        </w:rPr>
        <w:t>sub-</w:t>
      </w:r>
      <w:r w:rsidRPr="009B6ACA">
        <w:rPr>
          <w:rFonts w:ascii="Arial" w:hAnsi="Arial" w:cs="Arial"/>
          <w:color w:val="000000"/>
          <w:sz w:val="22"/>
          <w:szCs w:val="22"/>
        </w:rPr>
        <w:t xml:space="preserve">rule 7(1) of the </w:t>
      </w:r>
      <w:r w:rsidRPr="009B6ACA">
        <w:rPr>
          <w:rFonts w:ascii="Arial" w:hAnsi="Arial" w:cs="Arial"/>
          <w:i/>
          <w:color w:val="000000"/>
          <w:sz w:val="22"/>
          <w:szCs w:val="22"/>
        </w:rPr>
        <w:t>Private Health Insurance (Council Administration Levy) Rules 2007</w:t>
      </w:r>
      <w:r w:rsidR="00512F2D">
        <w:rPr>
          <w:rFonts w:ascii="Arial" w:hAnsi="Arial" w:cs="Arial"/>
          <w:color w:val="000000"/>
          <w:sz w:val="22"/>
          <w:szCs w:val="22"/>
        </w:rPr>
        <w:t xml:space="preserve"> with a new table as follows:</w:t>
      </w:r>
    </w:p>
    <w:p w14:paraId="6E85DAED" w14:textId="77777777" w:rsidR="009B6ACA" w:rsidRDefault="009B6ACA" w:rsidP="009B6ACA">
      <w:pPr>
        <w:pStyle w:val="Header"/>
        <w:spacing w:before="0" w:beforeAutospacing="0" w:after="0" w:afterAutospacing="0"/>
        <w:ind w:left="360"/>
        <w:rPr>
          <w:rFonts w:ascii="Arial" w:hAnsi="Arial" w:cs="Arial"/>
          <w:color w:val="000000"/>
          <w:sz w:val="22"/>
          <w:szCs w:val="22"/>
        </w:rPr>
      </w:pPr>
    </w:p>
    <w:tbl>
      <w:tblPr>
        <w:tblW w:w="4967" w:type="pct"/>
        <w:tblBorders>
          <w:bottom w:val="single" w:sz="4" w:space="0" w:color="auto"/>
          <w:insideH w:val="dotted" w:sz="4" w:space="0" w:color="auto"/>
        </w:tblBorders>
        <w:tblLayout w:type="fixed"/>
        <w:tblLook w:val="04A0" w:firstRow="1" w:lastRow="0" w:firstColumn="1" w:lastColumn="0" w:noHBand="0" w:noVBand="1"/>
      </w:tblPr>
      <w:tblGrid>
        <w:gridCol w:w="637"/>
        <w:gridCol w:w="1631"/>
        <w:gridCol w:w="769"/>
        <w:gridCol w:w="6144"/>
      </w:tblGrid>
      <w:tr w:rsidR="00512F2D" w:rsidRPr="007058CB" w14:paraId="6E85DAF1" w14:textId="77777777" w:rsidTr="00395AB5">
        <w:trPr>
          <w:cantSplit/>
          <w:tblHeader/>
        </w:trPr>
        <w:tc>
          <w:tcPr>
            <w:tcW w:w="347" w:type="pct"/>
            <w:tcBorders>
              <w:top w:val="nil"/>
              <w:bottom w:val="single" w:sz="4" w:space="0" w:color="auto"/>
            </w:tcBorders>
          </w:tcPr>
          <w:p w14:paraId="6E85DAEE" w14:textId="77777777" w:rsidR="00512F2D" w:rsidRPr="007058CB" w:rsidRDefault="00512F2D" w:rsidP="00395AB5">
            <w:pPr>
              <w:pStyle w:val="TableColHead"/>
            </w:pPr>
            <w:r w:rsidRPr="007058CB">
              <w:t>Item</w:t>
            </w:r>
          </w:p>
        </w:tc>
        <w:tc>
          <w:tcPr>
            <w:tcW w:w="888" w:type="pct"/>
            <w:tcBorders>
              <w:top w:val="nil"/>
              <w:bottom w:val="single" w:sz="4" w:space="0" w:color="auto"/>
            </w:tcBorders>
          </w:tcPr>
          <w:p w14:paraId="6E85DAEF" w14:textId="77777777" w:rsidR="00512F2D" w:rsidRPr="007058CB" w:rsidRDefault="00512F2D" w:rsidP="00395AB5">
            <w:pPr>
              <w:pStyle w:val="TableColHead"/>
            </w:pPr>
            <w:r w:rsidRPr="007058CB">
              <w:t>Financial year</w:t>
            </w:r>
          </w:p>
        </w:tc>
        <w:tc>
          <w:tcPr>
            <w:tcW w:w="3765" w:type="pct"/>
            <w:gridSpan w:val="2"/>
            <w:tcBorders>
              <w:top w:val="nil"/>
              <w:bottom w:val="single" w:sz="4" w:space="0" w:color="auto"/>
            </w:tcBorders>
          </w:tcPr>
          <w:p w14:paraId="6E85DAF0" w14:textId="77777777" w:rsidR="00512F2D" w:rsidRPr="007058CB" w:rsidRDefault="00512F2D" w:rsidP="00395AB5">
            <w:pPr>
              <w:pStyle w:val="TableColHead"/>
            </w:pPr>
            <w:r w:rsidRPr="007058CB">
              <w:t>Formula</w:t>
            </w:r>
          </w:p>
        </w:tc>
      </w:tr>
      <w:tr w:rsidR="00512F2D" w:rsidRPr="007058CB" w14:paraId="6E85DAF6" w14:textId="77777777" w:rsidTr="00395AB5">
        <w:trPr>
          <w:cantSplit/>
        </w:trPr>
        <w:tc>
          <w:tcPr>
            <w:tcW w:w="347" w:type="pct"/>
            <w:vMerge w:val="restart"/>
            <w:vAlign w:val="center"/>
          </w:tcPr>
          <w:p w14:paraId="6E85DAF2" w14:textId="77777777" w:rsidR="00512F2D" w:rsidRPr="007058CB" w:rsidRDefault="00512F2D" w:rsidP="00395AB5">
            <w:pPr>
              <w:pStyle w:val="TableText"/>
              <w:ind w:left="227"/>
            </w:pPr>
            <w:r>
              <w:t>1</w:t>
            </w:r>
          </w:p>
        </w:tc>
        <w:tc>
          <w:tcPr>
            <w:tcW w:w="888" w:type="pct"/>
            <w:vMerge w:val="restart"/>
            <w:vAlign w:val="center"/>
          </w:tcPr>
          <w:p w14:paraId="6E85DAF3" w14:textId="77777777" w:rsidR="00512F2D" w:rsidRPr="007058CB" w:rsidRDefault="00512F2D" w:rsidP="00395AB5">
            <w:pPr>
              <w:pStyle w:val="TableText"/>
            </w:pPr>
            <w:r w:rsidRPr="007058CB">
              <w:t>2013–2014</w:t>
            </w:r>
          </w:p>
        </w:tc>
        <w:tc>
          <w:tcPr>
            <w:tcW w:w="419" w:type="pct"/>
            <w:vMerge w:val="restart"/>
            <w:vAlign w:val="center"/>
          </w:tcPr>
          <w:p w14:paraId="6E85DAF4" w14:textId="77777777" w:rsidR="00512F2D" w:rsidRPr="007058CB" w:rsidRDefault="00512F2D" w:rsidP="00395AB5">
            <w:pPr>
              <w:pStyle w:val="TableText"/>
              <w:jc w:val="center"/>
            </w:pPr>
            <w:r w:rsidRPr="007058CB">
              <w:t xml:space="preserve">2 </w:t>
            </w:r>
            <w:r w:rsidRPr="007058CB">
              <w:sym w:font="Wingdings 2" w:char="F0CD"/>
            </w:r>
          </w:p>
        </w:tc>
        <w:tc>
          <w:tcPr>
            <w:tcW w:w="3346" w:type="pct"/>
            <w:tcBorders>
              <w:top w:val="dotted" w:sz="4" w:space="0" w:color="auto"/>
              <w:bottom w:val="single" w:sz="4" w:space="0" w:color="auto"/>
            </w:tcBorders>
            <w:vAlign w:val="bottom"/>
          </w:tcPr>
          <w:p w14:paraId="6E85DAF5" w14:textId="77777777" w:rsidR="00512F2D" w:rsidRPr="007058CB" w:rsidRDefault="00512F2D" w:rsidP="00395AB5">
            <w:pPr>
              <w:pStyle w:val="TableText"/>
              <w:jc w:val="center"/>
            </w:pPr>
            <w:r>
              <w:t>164 275 000</w:t>
            </w:r>
          </w:p>
        </w:tc>
      </w:tr>
      <w:tr w:rsidR="00512F2D" w:rsidRPr="007058CB" w14:paraId="6E85DAFB" w14:textId="77777777" w:rsidTr="00395AB5">
        <w:trPr>
          <w:cantSplit/>
        </w:trPr>
        <w:tc>
          <w:tcPr>
            <w:tcW w:w="347" w:type="pct"/>
            <w:vMerge/>
            <w:vAlign w:val="center"/>
          </w:tcPr>
          <w:p w14:paraId="6E85DAF7" w14:textId="77777777" w:rsidR="00512F2D" w:rsidRPr="007058CB" w:rsidRDefault="00512F2D" w:rsidP="00395AB5">
            <w:pPr>
              <w:pStyle w:val="TableText"/>
              <w:ind w:left="227"/>
            </w:pPr>
          </w:p>
        </w:tc>
        <w:tc>
          <w:tcPr>
            <w:tcW w:w="888" w:type="pct"/>
            <w:vMerge/>
            <w:vAlign w:val="center"/>
          </w:tcPr>
          <w:p w14:paraId="6E85DAF8" w14:textId="77777777" w:rsidR="00512F2D" w:rsidRPr="007058CB" w:rsidRDefault="00512F2D" w:rsidP="00395AB5">
            <w:pPr>
              <w:pStyle w:val="TableText"/>
            </w:pPr>
          </w:p>
        </w:tc>
        <w:tc>
          <w:tcPr>
            <w:tcW w:w="419" w:type="pct"/>
            <w:vMerge/>
            <w:vAlign w:val="center"/>
          </w:tcPr>
          <w:p w14:paraId="6E85DAF9" w14:textId="77777777" w:rsidR="00512F2D" w:rsidRPr="007058CB" w:rsidRDefault="00512F2D" w:rsidP="00395AB5">
            <w:pPr>
              <w:pStyle w:val="TableText"/>
              <w:jc w:val="center"/>
            </w:pPr>
          </w:p>
        </w:tc>
        <w:tc>
          <w:tcPr>
            <w:tcW w:w="3346" w:type="pct"/>
            <w:tcBorders>
              <w:top w:val="single" w:sz="4" w:space="0" w:color="auto"/>
              <w:bottom w:val="dotted" w:sz="4" w:space="0" w:color="auto"/>
            </w:tcBorders>
          </w:tcPr>
          <w:p w14:paraId="6E85DAFA"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r w:rsidR="00512F2D" w:rsidRPr="007058CB" w14:paraId="6E85DB00" w14:textId="77777777" w:rsidTr="00395AB5">
        <w:trPr>
          <w:cantSplit/>
        </w:trPr>
        <w:tc>
          <w:tcPr>
            <w:tcW w:w="347" w:type="pct"/>
            <w:vMerge w:val="restart"/>
            <w:vAlign w:val="center"/>
          </w:tcPr>
          <w:p w14:paraId="6E85DAFC" w14:textId="77777777" w:rsidR="00512F2D" w:rsidRPr="007058CB" w:rsidRDefault="00512F2D" w:rsidP="00395AB5">
            <w:pPr>
              <w:pStyle w:val="TableText"/>
              <w:ind w:left="227"/>
            </w:pPr>
            <w:r>
              <w:t>2</w:t>
            </w:r>
          </w:p>
        </w:tc>
        <w:tc>
          <w:tcPr>
            <w:tcW w:w="888" w:type="pct"/>
            <w:vMerge w:val="restart"/>
            <w:vAlign w:val="center"/>
          </w:tcPr>
          <w:p w14:paraId="6E85DAFD" w14:textId="77777777" w:rsidR="00512F2D" w:rsidRPr="007058CB" w:rsidRDefault="00512F2D" w:rsidP="00395AB5">
            <w:pPr>
              <w:pStyle w:val="TableText"/>
            </w:pPr>
            <w:r w:rsidRPr="007058CB">
              <w:t>2014–2015</w:t>
            </w:r>
          </w:p>
        </w:tc>
        <w:tc>
          <w:tcPr>
            <w:tcW w:w="419" w:type="pct"/>
            <w:vMerge w:val="restart"/>
            <w:vAlign w:val="center"/>
          </w:tcPr>
          <w:p w14:paraId="6E85DAFE" w14:textId="77777777" w:rsidR="00512F2D" w:rsidRPr="007058CB" w:rsidRDefault="00512F2D" w:rsidP="00395AB5">
            <w:pPr>
              <w:pStyle w:val="TableText"/>
              <w:jc w:val="center"/>
            </w:pPr>
            <w:r w:rsidRPr="007058CB">
              <w:t xml:space="preserve">2 </w:t>
            </w:r>
            <w:r w:rsidRPr="007058CB">
              <w:sym w:font="Wingdings 2" w:char="F0CD"/>
            </w:r>
          </w:p>
        </w:tc>
        <w:tc>
          <w:tcPr>
            <w:tcW w:w="3346" w:type="pct"/>
            <w:tcBorders>
              <w:top w:val="dotted" w:sz="4" w:space="0" w:color="auto"/>
              <w:bottom w:val="single" w:sz="4" w:space="0" w:color="auto"/>
            </w:tcBorders>
            <w:vAlign w:val="bottom"/>
          </w:tcPr>
          <w:p w14:paraId="6E85DAFF" w14:textId="77777777" w:rsidR="00512F2D" w:rsidRPr="007058CB" w:rsidRDefault="00512F2D" w:rsidP="00395AB5">
            <w:pPr>
              <w:pStyle w:val="TableText"/>
              <w:jc w:val="center"/>
            </w:pPr>
            <w:r w:rsidRPr="007058CB">
              <w:t>155 475 000</w:t>
            </w:r>
          </w:p>
        </w:tc>
      </w:tr>
      <w:tr w:rsidR="00512F2D" w:rsidRPr="007058CB" w14:paraId="6E85DB05" w14:textId="77777777" w:rsidTr="00395AB5">
        <w:trPr>
          <w:cantSplit/>
        </w:trPr>
        <w:tc>
          <w:tcPr>
            <w:tcW w:w="347" w:type="pct"/>
            <w:vMerge/>
            <w:vAlign w:val="center"/>
          </w:tcPr>
          <w:p w14:paraId="6E85DB01" w14:textId="77777777" w:rsidR="00512F2D" w:rsidRPr="007058CB" w:rsidRDefault="00512F2D" w:rsidP="00395AB5">
            <w:pPr>
              <w:pStyle w:val="TableText"/>
              <w:ind w:left="227"/>
            </w:pPr>
          </w:p>
        </w:tc>
        <w:tc>
          <w:tcPr>
            <w:tcW w:w="888" w:type="pct"/>
            <w:vMerge/>
            <w:vAlign w:val="center"/>
          </w:tcPr>
          <w:p w14:paraId="6E85DB02" w14:textId="77777777" w:rsidR="00512F2D" w:rsidRPr="007058CB" w:rsidRDefault="00512F2D" w:rsidP="00395AB5">
            <w:pPr>
              <w:pStyle w:val="TableText"/>
            </w:pPr>
          </w:p>
        </w:tc>
        <w:tc>
          <w:tcPr>
            <w:tcW w:w="419" w:type="pct"/>
            <w:vMerge/>
            <w:vAlign w:val="center"/>
          </w:tcPr>
          <w:p w14:paraId="6E85DB03" w14:textId="77777777" w:rsidR="00512F2D" w:rsidRPr="007058CB" w:rsidRDefault="00512F2D" w:rsidP="00395AB5">
            <w:pPr>
              <w:pStyle w:val="TableText"/>
              <w:jc w:val="center"/>
            </w:pPr>
          </w:p>
        </w:tc>
        <w:tc>
          <w:tcPr>
            <w:tcW w:w="3346" w:type="pct"/>
            <w:tcBorders>
              <w:top w:val="single" w:sz="4" w:space="0" w:color="auto"/>
              <w:bottom w:val="dotted" w:sz="4" w:space="0" w:color="auto"/>
            </w:tcBorders>
          </w:tcPr>
          <w:p w14:paraId="6E85DB04"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r w:rsidR="00512F2D" w:rsidRPr="007058CB" w14:paraId="6E85DB0A" w14:textId="77777777" w:rsidTr="00395AB5">
        <w:trPr>
          <w:cantSplit/>
        </w:trPr>
        <w:tc>
          <w:tcPr>
            <w:tcW w:w="347" w:type="pct"/>
            <w:vMerge w:val="restart"/>
            <w:vAlign w:val="center"/>
          </w:tcPr>
          <w:p w14:paraId="6E85DB06" w14:textId="77777777" w:rsidR="00512F2D" w:rsidRPr="007058CB" w:rsidRDefault="00512F2D" w:rsidP="00395AB5">
            <w:pPr>
              <w:pStyle w:val="TableText"/>
              <w:ind w:left="227"/>
            </w:pPr>
            <w:r>
              <w:t>3</w:t>
            </w:r>
          </w:p>
        </w:tc>
        <w:tc>
          <w:tcPr>
            <w:tcW w:w="888" w:type="pct"/>
            <w:vMerge w:val="restart"/>
            <w:vAlign w:val="center"/>
          </w:tcPr>
          <w:p w14:paraId="6E85DB07" w14:textId="77777777" w:rsidR="00512F2D" w:rsidRPr="007058CB" w:rsidRDefault="00512F2D" w:rsidP="00395AB5">
            <w:pPr>
              <w:pStyle w:val="TableText"/>
            </w:pPr>
            <w:r w:rsidRPr="007058CB">
              <w:t>2015–2016</w:t>
            </w:r>
          </w:p>
        </w:tc>
        <w:tc>
          <w:tcPr>
            <w:tcW w:w="419" w:type="pct"/>
            <w:vMerge w:val="restart"/>
            <w:vAlign w:val="center"/>
          </w:tcPr>
          <w:p w14:paraId="6E85DB08" w14:textId="77777777" w:rsidR="00512F2D" w:rsidRPr="007058CB" w:rsidRDefault="00512F2D" w:rsidP="00395AB5">
            <w:pPr>
              <w:pStyle w:val="TableText"/>
              <w:jc w:val="center"/>
            </w:pPr>
            <w:r w:rsidRPr="007058CB">
              <w:t xml:space="preserve">2 </w:t>
            </w:r>
            <w:r w:rsidRPr="007058CB">
              <w:sym w:font="Wingdings 2" w:char="F0CD"/>
            </w:r>
          </w:p>
        </w:tc>
        <w:tc>
          <w:tcPr>
            <w:tcW w:w="3346" w:type="pct"/>
            <w:tcBorders>
              <w:top w:val="dotted" w:sz="4" w:space="0" w:color="auto"/>
              <w:bottom w:val="single" w:sz="4" w:space="0" w:color="auto"/>
            </w:tcBorders>
            <w:vAlign w:val="bottom"/>
          </w:tcPr>
          <w:p w14:paraId="6E85DB09" w14:textId="77777777" w:rsidR="00512F2D" w:rsidRPr="007058CB" w:rsidRDefault="00512F2D" w:rsidP="00395AB5">
            <w:pPr>
              <w:pStyle w:val="TableText"/>
              <w:jc w:val="center"/>
            </w:pPr>
            <w:r w:rsidRPr="007058CB">
              <w:t>155 775 000</w:t>
            </w:r>
          </w:p>
        </w:tc>
      </w:tr>
      <w:tr w:rsidR="00512F2D" w:rsidRPr="007058CB" w14:paraId="6E85DB0F" w14:textId="77777777" w:rsidTr="00395AB5">
        <w:trPr>
          <w:cantSplit/>
        </w:trPr>
        <w:tc>
          <w:tcPr>
            <w:tcW w:w="347" w:type="pct"/>
            <w:vMerge/>
          </w:tcPr>
          <w:p w14:paraId="6E85DB0B" w14:textId="77777777" w:rsidR="00512F2D" w:rsidRPr="007058CB" w:rsidRDefault="00512F2D" w:rsidP="00395AB5">
            <w:pPr>
              <w:pStyle w:val="TableText"/>
              <w:ind w:left="227"/>
            </w:pPr>
          </w:p>
        </w:tc>
        <w:tc>
          <w:tcPr>
            <w:tcW w:w="888" w:type="pct"/>
            <w:vMerge/>
          </w:tcPr>
          <w:p w14:paraId="6E85DB0C" w14:textId="77777777" w:rsidR="00512F2D" w:rsidRPr="007058CB" w:rsidRDefault="00512F2D" w:rsidP="00395AB5">
            <w:pPr>
              <w:pStyle w:val="TableText"/>
            </w:pPr>
          </w:p>
        </w:tc>
        <w:tc>
          <w:tcPr>
            <w:tcW w:w="419" w:type="pct"/>
            <w:vMerge/>
          </w:tcPr>
          <w:p w14:paraId="6E85DB0D" w14:textId="77777777" w:rsidR="00512F2D" w:rsidRPr="007058CB" w:rsidRDefault="00512F2D" w:rsidP="00395AB5">
            <w:pPr>
              <w:pStyle w:val="TableText"/>
              <w:jc w:val="center"/>
            </w:pPr>
          </w:p>
        </w:tc>
        <w:tc>
          <w:tcPr>
            <w:tcW w:w="3346" w:type="pct"/>
            <w:tcBorders>
              <w:top w:val="single" w:sz="4" w:space="0" w:color="auto"/>
              <w:bottom w:val="single" w:sz="4" w:space="0" w:color="auto"/>
            </w:tcBorders>
          </w:tcPr>
          <w:p w14:paraId="6E85DB0E" w14:textId="77777777" w:rsidR="00512F2D" w:rsidRPr="007058CB" w:rsidRDefault="00512F2D" w:rsidP="00395AB5">
            <w:pPr>
              <w:pStyle w:val="TableText"/>
              <w:jc w:val="center"/>
            </w:pPr>
            <w:r w:rsidRPr="007058CB">
              <w:t xml:space="preserve">single coverage policies + (2 </w:t>
            </w:r>
            <w:r w:rsidRPr="007058CB">
              <w:sym w:font="Wingdings 2" w:char="F0CD"/>
            </w:r>
            <w:r w:rsidRPr="007058CB">
              <w:t xml:space="preserve"> joint coverage policies)</w:t>
            </w:r>
          </w:p>
        </w:tc>
      </w:tr>
    </w:tbl>
    <w:p w14:paraId="6E85DB10" w14:textId="77777777" w:rsidR="00553B32" w:rsidRPr="00CA56E5" w:rsidRDefault="00553B32" w:rsidP="00512F2D">
      <w:pPr>
        <w:pStyle w:val="Header"/>
        <w:spacing w:before="0" w:beforeAutospacing="0" w:after="0" w:afterAutospacing="0"/>
      </w:pPr>
    </w:p>
    <w:sectPr w:rsidR="00553B32" w:rsidRPr="00CA56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5DB13" w14:textId="77777777" w:rsidR="00805C02" w:rsidRDefault="00805C02" w:rsidP="009361CD">
      <w:pPr>
        <w:spacing w:after="0" w:line="240" w:lineRule="auto"/>
      </w:pPr>
      <w:r>
        <w:separator/>
      </w:r>
    </w:p>
  </w:endnote>
  <w:endnote w:type="continuationSeparator" w:id="0">
    <w:p w14:paraId="6E85DB14" w14:textId="77777777" w:rsidR="00805C02" w:rsidRDefault="00805C02" w:rsidP="009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5DB11" w14:textId="77777777" w:rsidR="00805C02" w:rsidRDefault="00805C02" w:rsidP="009361CD">
      <w:pPr>
        <w:spacing w:after="0" w:line="240" w:lineRule="auto"/>
      </w:pPr>
      <w:r>
        <w:separator/>
      </w:r>
    </w:p>
  </w:footnote>
  <w:footnote w:type="continuationSeparator" w:id="0">
    <w:p w14:paraId="6E85DB12" w14:textId="77777777" w:rsidR="00805C02" w:rsidRDefault="00805C02" w:rsidP="009361CD">
      <w:pPr>
        <w:spacing w:after="0" w:line="240" w:lineRule="auto"/>
      </w:pPr>
      <w:r>
        <w:continuationSeparator/>
      </w:r>
    </w:p>
  </w:footnote>
  <w:footnote w:id="1">
    <w:p w14:paraId="6E85DB15" w14:textId="5B92AD5E" w:rsidR="009361CD" w:rsidRPr="00F55C4A" w:rsidRDefault="009361CD" w:rsidP="009361CD">
      <w:pPr>
        <w:pStyle w:val="FootnoteText"/>
      </w:pPr>
      <w:r>
        <w:rPr>
          <w:rStyle w:val="FootnoteReference"/>
        </w:rPr>
        <w:footnoteRef/>
      </w:r>
      <w:r w:rsidRPr="00694430">
        <w:rPr>
          <w:i/>
        </w:rPr>
        <w:t>International Covenant on Economic, Social and Cultural Rights</w:t>
      </w:r>
      <w:r w:rsidR="00F55C4A">
        <w:t>, Article 12.</w:t>
      </w:r>
    </w:p>
  </w:footnote>
  <w:footnote w:id="2">
    <w:p w14:paraId="6E85DB16" w14:textId="77777777" w:rsidR="009361CD" w:rsidRDefault="009361CD" w:rsidP="009361CD">
      <w:pPr>
        <w:pStyle w:val="FootnoteText"/>
      </w:pPr>
      <w:r>
        <w:rPr>
          <w:rStyle w:val="FootnoteReference"/>
        </w:rPr>
        <w:footnoteRef/>
      </w:r>
      <w:r>
        <w:t xml:space="preserve"> </w:t>
      </w:r>
      <w:proofErr w:type="gramStart"/>
      <w:r>
        <w:t>Ibid.</w:t>
      </w:r>
      <w:proofErr w:type="gramEnd"/>
      <w:r>
        <w:t xml:space="preserve"> </w:t>
      </w:r>
    </w:p>
  </w:footnote>
  <w:footnote w:id="3">
    <w:p w14:paraId="6E85DB17" w14:textId="5EF6AC65" w:rsidR="009361CD" w:rsidRPr="00F55C4A" w:rsidRDefault="009361CD" w:rsidP="009361CD">
      <w:pPr>
        <w:pStyle w:val="FootnoteText"/>
      </w:pPr>
      <w:r>
        <w:rPr>
          <w:rStyle w:val="FootnoteReference"/>
        </w:rPr>
        <w:footnoteRef/>
      </w:r>
      <w:r>
        <w:rPr>
          <w:i/>
        </w:rPr>
        <w:t>Private Health Insurance Act 2007</w:t>
      </w:r>
      <w:r w:rsidR="002A6973">
        <w:t>, s 264-5: Objectives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2D8E"/>
    <w:multiLevelType w:val="hybridMultilevel"/>
    <w:tmpl w:val="BA946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6655454"/>
    <w:multiLevelType w:val="hybridMultilevel"/>
    <w:tmpl w:val="BB74E0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1"/>
    <w:rsid w:val="0006417E"/>
    <w:rsid w:val="000F188A"/>
    <w:rsid w:val="000F3796"/>
    <w:rsid w:val="001250AF"/>
    <w:rsid w:val="001542B3"/>
    <w:rsid w:val="001A2393"/>
    <w:rsid w:val="001B3F09"/>
    <w:rsid w:val="001D036C"/>
    <w:rsid w:val="001F54F8"/>
    <w:rsid w:val="002850F1"/>
    <w:rsid w:val="00291E23"/>
    <w:rsid w:val="002A6973"/>
    <w:rsid w:val="002D7BE9"/>
    <w:rsid w:val="002E636A"/>
    <w:rsid w:val="00310CD6"/>
    <w:rsid w:val="003668A7"/>
    <w:rsid w:val="003803A9"/>
    <w:rsid w:val="00392821"/>
    <w:rsid w:val="003B3FAC"/>
    <w:rsid w:val="003D5389"/>
    <w:rsid w:val="00403B57"/>
    <w:rsid w:val="00415C64"/>
    <w:rsid w:val="00421A4F"/>
    <w:rsid w:val="00447403"/>
    <w:rsid w:val="004612B7"/>
    <w:rsid w:val="00473742"/>
    <w:rsid w:val="004802D9"/>
    <w:rsid w:val="00484DE0"/>
    <w:rsid w:val="004C0247"/>
    <w:rsid w:val="004C269A"/>
    <w:rsid w:val="004C5A56"/>
    <w:rsid w:val="004C6F6C"/>
    <w:rsid w:val="004D4167"/>
    <w:rsid w:val="004D7938"/>
    <w:rsid w:val="00512F2D"/>
    <w:rsid w:val="00543CE2"/>
    <w:rsid w:val="0055339B"/>
    <w:rsid w:val="00553B32"/>
    <w:rsid w:val="005757D2"/>
    <w:rsid w:val="00582CF1"/>
    <w:rsid w:val="005B3FFA"/>
    <w:rsid w:val="0065473C"/>
    <w:rsid w:val="00666503"/>
    <w:rsid w:val="00674E89"/>
    <w:rsid w:val="006A324C"/>
    <w:rsid w:val="006D00FA"/>
    <w:rsid w:val="006F6CFA"/>
    <w:rsid w:val="00703C21"/>
    <w:rsid w:val="007447A7"/>
    <w:rsid w:val="0079371C"/>
    <w:rsid w:val="007948F4"/>
    <w:rsid w:val="007B63EB"/>
    <w:rsid w:val="00800520"/>
    <w:rsid w:val="00805C02"/>
    <w:rsid w:val="00832B4C"/>
    <w:rsid w:val="008807AF"/>
    <w:rsid w:val="00882285"/>
    <w:rsid w:val="0089755B"/>
    <w:rsid w:val="008A535E"/>
    <w:rsid w:val="00905ECD"/>
    <w:rsid w:val="009361CD"/>
    <w:rsid w:val="0094247F"/>
    <w:rsid w:val="009B66B8"/>
    <w:rsid w:val="009B6ACA"/>
    <w:rsid w:val="009C1D8B"/>
    <w:rsid w:val="00A05A55"/>
    <w:rsid w:val="00A31576"/>
    <w:rsid w:val="00A37B1E"/>
    <w:rsid w:val="00A40F24"/>
    <w:rsid w:val="00A41E08"/>
    <w:rsid w:val="00A46F53"/>
    <w:rsid w:val="00A57C3E"/>
    <w:rsid w:val="00A8399C"/>
    <w:rsid w:val="00A930A2"/>
    <w:rsid w:val="00A9486C"/>
    <w:rsid w:val="00AD312E"/>
    <w:rsid w:val="00B958A8"/>
    <w:rsid w:val="00BA2B93"/>
    <w:rsid w:val="00BA677B"/>
    <w:rsid w:val="00BF2601"/>
    <w:rsid w:val="00C258CC"/>
    <w:rsid w:val="00C71132"/>
    <w:rsid w:val="00C92172"/>
    <w:rsid w:val="00CA56E5"/>
    <w:rsid w:val="00CB5D8A"/>
    <w:rsid w:val="00CC28DF"/>
    <w:rsid w:val="00D16B11"/>
    <w:rsid w:val="00D6640E"/>
    <w:rsid w:val="00D976D5"/>
    <w:rsid w:val="00DB33D7"/>
    <w:rsid w:val="00E24EB6"/>
    <w:rsid w:val="00E94E4F"/>
    <w:rsid w:val="00EA1AAF"/>
    <w:rsid w:val="00EC32EA"/>
    <w:rsid w:val="00EF598A"/>
    <w:rsid w:val="00F02C24"/>
    <w:rsid w:val="00F555C1"/>
    <w:rsid w:val="00F55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qFormat/>
    <w:rsid w:val="009361CD"/>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247"/>
    <w:rPr>
      <w:color w:val="0000FF"/>
      <w:u w:val="single"/>
    </w:rPr>
  </w:style>
  <w:style w:type="paragraph" w:styleId="Title">
    <w:name w:val="Title"/>
    <w:basedOn w:val="Normal"/>
    <w:link w:val="TitleChar"/>
    <w:uiPriority w:val="10"/>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C0247"/>
    <w:rPr>
      <w:rFonts w:ascii="Times New Roman" w:eastAsia="Times New Roman" w:hAnsi="Times New Roman" w:cs="Times New Roman"/>
      <w:sz w:val="24"/>
      <w:szCs w:val="24"/>
      <w:lang w:eastAsia="en-AU"/>
    </w:rPr>
  </w:style>
  <w:style w:type="paragraph" w:customStyle="1" w:styleId="default">
    <w:name w:val="default"/>
    <w:basedOn w:val="Normal"/>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link w:val="SubtitleChar"/>
    <w:uiPriority w:val="11"/>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titleChar">
    <w:name w:val="Subtitle Char"/>
    <w:basedOn w:val="DefaultParagraphFont"/>
    <w:link w:val="Subtitle"/>
    <w:uiPriority w:val="11"/>
    <w:rsid w:val="004C0247"/>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4C024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4247F"/>
    <w:rPr>
      <w:sz w:val="16"/>
      <w:szCs w:val="16"/>
    </w:rPr>
  </w:style>
  <w:style w:type="paragraph" w:styleId="CommentText">
    <w:name w:val="annotation text"/>
    <w:basedOn w:val="Normal"/>
    <w:link w:val="CommentTextChar"/>
    <w:uiPriority w:val="99"/>
    <w:semiHidden/>
    <w:unhideWhenUsed/>
    <w:rsid w:val="0094247F"/>
    <w:pPr>
      <w:spacing w:line="240" w:lineRule="auto"/>
    </w:pPr>
    <w:rPr>
      <w:sz w:val="20"/>
      <w:szCs w:val="20"/>
    </w:rPr>
  </w:style>
  <w:style w:type="character" w:customStyle="1" w:styleId="CommentTextChar">
    <w:name w:val="Comment Text Char"/>
    <w:basedOn w:val="DefaultParagraphFont"/>
    <w:link w:val="CommentText"/>
    <w:uiPriority w:val="99"/>
    <w:semiHidden/>
    <w:rsid w:val="0094247F"/>
    <w:rPr>
      <w:sz w:val="20"/>
      <w:szCs w:val="20"/>
    </w:rPr>
  </w:style>
  <w:style w:type="paragraph" w:styleId="CommentSubject">
    <w:name w:val="annotation subject"/>
    <w:basedOn w:val="CommentText"/>
    <w:next w:val="CommentText"/>
    <w:link w:val="CommentSubjectChar"/>
    <w:uiPriority w:val="99"/>
    <w:semiHidden/>
    <w:unhideWhenUsed/>
    <w:rsid w:val="0094247F"/>
    <w:rPr>
      <w:b/>
      <w:bCs/>
    </w:rPr>
  </w:style>
  <w:style w:type="character" w:customStyle="1" w:styleId="CommentSubjectChar">
    <w:name w:val="Comment Subject Char"/>
    <w:basedOn w:val="CommentTextChar"/>
    <w:link w:val="CommentSubject"/>
    <w:uiPriority w:val="99"/>
    <w:semiHidden/>
    <w:rsid w:val="0094247F"/>
    <w:rPr>
      <w:b/>
      <w:bCs/>
      <w:sz w:val="20"/>
      <w:szCs w:val="20"/>
    </w:rPr>
  </w:style>
  <w:style w:type="paragraph" w:styleId="BalloonText">
    <w:name w:val="Balloon Text"/>
    <w:basedOn w:val="Normal"/>
    <w:link w:val="BalloonTextChar"/>
    <w:uiPriority w:val="99"/>
    <w:semiHidden/>
    <w:unhideWhenUsed/>
    <w:rsid w:val="0094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7F"/>
    <w:rPr>
      <w:rFonts w:ascii="Tahoma" w:hAnsi="Tahoma" w:cs="Tahoma"/>
      <w:sz w:val="16"/>
      <w:szCs w:val="16"/>
    </w:rPr>
  </w:style>
  <w:style w:type="character" w:customStyle="1" w:styleId="Heading6Char">
    <w:name w:val="Heading 6 Char"/>
    <w:basedOn w:val="DefaultParagraphFont"/>
    <w:link w:val="Heading6"/>
    <w:uiPriority w:val="9"/>
    <w:rsid w:val="009361CD"/>
    <w:rPr>
      <w:rFonts w:ascii="Calibri" w:eastAsia="Times New Roman" w:hAnsi="Calibri" w:cs="Times New Roman"/>
      <w:b/>
      <w:bCs/>
    </w:rPr>
  </w:style>
  <w:style w:type="character" w:styleId="FootnoteReference">
    <w:name w:val="footnote reference"/>
    <w:basedOn w:val="DefaultParagraphFont"/>
    <w:uiPriority w:val="99"/>
    <w:rsid w:val="009361CD"/>
    <w:rPr>
      <w:vertAlign w:val="superscript"/>
    </w:rPr>
  </w:style>
  <w:style w:type="paragraph" w:styleId="FootnoteText">
    <w:name w:val="footnote text"/>
    <w:basedOn w:val="Normal"/>
    <w:link w:val="FootnoteTextChar"/>
    <w:uiPriority w:val="99"/>
    <w:rsid w:val="009361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61CD"/>
    <w:rPr>
      <w:rFonts w:ascii="Times New Roman" w:eastAsia="Times New Roman" w:hAnsi="Times New Roman" w:cs="Times New Roman"/>
      <w:sz w:val="20"/>
      <w:szCs w:val="20"/>
    </w:rPr>
  </w:style>
  <w:style w:type="table" w:styleId="TableGrid">
    <w:name w:val="Table Grid"/>
    <w:basedOn w:val="TableNormal"/>
    <w:uiPriority w:val="59"/>
    <w:rsid w:val="009361CD"/>
    <w:pPr>
      <w:autoSpaceDE w:val="0"/>
      <w:autoSpaceDN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Char">
    <w:name w:val="paragraph Char"/>
    <w:aliases w:val="a Char"/>
    <w:basedOn w:val="DefaultParagraphFont"/>
    <w:link w:val="paragraph"/>
    <w:locked/>
    <w:rsid w:val="009361CD"/>
    <w:rPr>
      <w:szCs w:val="24"/>
    </w:rPr>
  </w:style>
  <w:style w:type="paragraph" w:customStyle="1" w:styleId="paragraph">
    <w:name w:val="paragraph"/>
    <w:aliases w:val="a"/>
    <w:link w:val="paragraphChar"/>
    <w:rsid w:val="009361CD"/>
    <w:pPr>
      <w:tabs>
        <w:tab w:val="right" w:pos="1531"/>
      </w:tabs>
      <w:spacing w:before="40" w:after="0" w:line="240" w:lineRule="auto"/>
      <w:ind w:left="1644" w:hanging="1644"/>
    </w:pPr>
    <w:rPr>
      <w:szCs w:val="24"/>
    </w:rPr>
  </w:style>
  <w:style w:type="paragraph" w:customStyle="1" w:styleId="TableColHead">
    <w:name w:val="TableColHead"/>
    <w:basedOn w:val="Normal"/>
    <w:rsid w:val="00512F2D"/>
    <w:pPr>
      <w:keepNext/>
      <w:spacing w:before="120" w:after="60" w:line="200" w:lineRule="exact"/>
    </w:pPr>
    <w:rPr>
      <w:rFonts w:eastAsia="Times New Roman" w:cs="Times New Roman"/>
      <w:b/>
      <w:sz w:val="18"/>
      <w:szCs w:val="24"/>
      <w:lang w:eastAsia="en-AU"/>
    </w:rPr>
  </w:style>
  <w:style w:type="paragraph" w:customStyle="1" w:styleId="TableText">
    <w:name w:val="TableText"/>
    <w:basedOn w:val="Normal"/>
    <w:rsid w:val="00512F2D"/>
    <w:pPr>
      <w:spacing w:before="60" w:after="60" w:line="240" w:lineRule="exact"/>
    </w:pPr>
    <w:rPr>
      <w:rFonts w:ascii="Times New Roman" w:eastAsia="Times New Roman" w:hAnsi="Times New Roman" w:cs="Times New Roman"/>
      <w:szCs w:val="24"/>
      <w:lang w:eastAsia="en-AU"/>
    </w:rPr>
  </w:style>
  <w:style w:type="paragraph" w:styleId="NoSpacing">
    <w:name w:val="No Spacing"/>
    <w:uiPriority w:val="1"/>
    <w:qFormat/>
    <w:rsid w:val="005B3F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qFormat/>
    <w:rsid w:val="009361CD"/>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247"/>
    <w:rPr>
      <w:color w:val="0000FF"/>
      <w:u w:val="single"/>
    </w:rPr>
  </w:style>
  <w:style w:type="paragraph" w:styleId="Title">
    <w:name w:val="Title"/>
    <w:basedOn w:val="Normal"/>
    <w:link w:val="TitleChar"/>
    <w:uiPriority w:val="10"/>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C0247"/>
    <w:rPr>
      <w:rFonts w:ascii="Times New Roman" w:eastAsia="Times New Roman" w:hAnsi="Times New Roman" w:cs="Times New Roman"/>
      <w:sz w:val="24"/>
      <w:szCs w:val="24"/>
      <w:lang w:eastAsia="en-AU"/>
    </w:rPr>
  </w:style>
  <w:style w:type="paragraph" w:customStyle="1" w:styleId="default">
    <w:name w:val="default"/>
    <w:basedOn w:val="Normal"/>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Subtitle">
    <w:name w:val="Subtitle"/>
    <w:basedOn w:val="Normal"/>
    <w:link w:val="SubtitleChar"/>
    <w:uiPriority w:val="11"/>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btitleChar">
    <w:name w:val="Subtitle Char"/>
    <w:basedOn w:val="DefaultParagraphFont"/>
    <w:link w:val="Subtitle"/>
    <w:uiPriority w:val="11"/>
    <w:rsid w:val="004C0247"/>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C02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4C0247"/>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94247F"/>
    <w:rPr>
      <w:sz w:val="16"/>
      <w:szCs w:val="16"/>
    </w:rPr>
  </w:style>
  <w:style w:type="paragraph" w:styleId="CommentText">
    <w:name w:val="annotation text"/>
    <w:basedOn w:val="Normal"/>
    <w:link w:val="CommentTextChar"/>
    <w:uiPriority w:val="99"/>
    <w:semiHidden/>
    <w:unhideWhenUsed/>
    <w:rsid w:val="0094247F"/>
    <w:pPr>
      <w:spacing w:line="240" w:lineRule="auto"/>
    </w:pPr>
    <w:rPr>
      <w:sz w:val="20"/>
      <w:szCs w:val="20"/>
    </w:rPr>
  </w:style>
  <w:style w:type="character" w:customStyle="1" w:styleId="CommentTextChar">
    <w:name w:val="Comment Text Char"/>
    <w:basedOn w:val="DefaultParagraphFont"/>
    <w:link w:val="CommentText"/>
    <w:uiPriority w:val="99"/>
    <w:semiHidden/>
    <w:rsid w:val="0094247F"/>
    <w:rPr>
      <w:sz w:val="20"/>
      <w:szCs w:val="20"/>
    </w:rPr>
  </w:style>
  <w:style w:type="paragraph" w:styleId="CommentSubject">
    <w:name w:val="annotation subject"/>
    <w:basedOn w:val="CommentText"/>
    <w:next w:val="CommentText"/>
    <w:link w:val="CommentSubjectChar"/>
    <w:uiPriority w:val="99"/>
    <w:semiHidden/>
    <w:unhideWhenUsed/>
    <w:rsid w:val="0094247F"/>
    <w:rPr>
      <w:b/>
      <w:bCs/>
    </w:rPr>
  </w:style>
  <w:style w:type="character" w:customStyle="1" w:styleId="CommentSubjectChar">
    <w:name w:val="Comment Subject Char"/>
    <w:basedOn w:val="CommentTextChar"/>
    <w:link w:val="CommentSubject"/>
    <w:uiPriority w:val="99"/>
    <w:semiHidden/>
    <w:rsid w:val="0094247F"/>
    <w:rPr>
      <w:b/>
      <w:bCs/>
      <w:sz w:val="20"/>
      <w:szCs w:val="20"/>
    </w:rPr>
  </w:style>
  <w:style w:type="paragraph" w:styleId="BalloonText">
    <w:name w:val="Balloon Text"/>
    <w:basedOn w:val="Normal"/>
    <w:link w:val="BalloonTextChar"/>
    <w:uiPriority w:val="99"/>
    <w:semiHidden/>
    <w:unhideWhenUsed/>
    <w:rsid w:val="0094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7F"/>
    <w:rPr>
      <w:rFonts w:ascii="Tahoma" w:hAnsi="Tahoma" w:cs="Tahoma"/>
      <w:sz w:val="16"/>
      <w:szCs w:val="16"/>
    </w:rPr>
  </w:style>
  <w:style w:type="character" w:customStyle="1" w:styleId="Heading6Char">
    <w:name w:val="Heading 6 Char"/>
    <w:basedOn w:val="DefaultParagraphFont"/>
    <w:link w:val="Heading6"/>
    <w:uiPriority w:val="9"/>
    <w:rsid w:val="009361CD"/>
    <w:rPr>
      <w:rFonts w:ascii="Calibri" w:eastAsia="Times New Roman" w:hAnsi="Calibri" w:cs="Times New Roman"/>
      <w:b/>
      <w:bCs/>
    </w:rPr>
  </w:style>
  <w:style w:type="character" w:styleId="FootnoteReference">
    <w:name w:val="footnote reference"/>
    <w:basedOn w:val="DefaultParagraphFont"/>
    <w:uiPriority w:val="99"/>
    <w:rsid w:val="009361CD"/>
    <w:rPr>
      <w:vertAlign w:val="superscript"/>
    </w:rPr>
  </w:style>
  <w:style w:type="paragraph" w:styleId="FootnoteText">
    <w:name w:val="footnote text"/>
    <w:basedOn w:val="Normal"/>
    <w:link w:val="FootnoteTextChar"/>
    <w:uiPriority w:val="99"/>
    <w:rsid w:val="009361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361CD"/>
    <w:rPr>
      <w:rFonts w:ascii="Times New Roman" w:eastAsia="Times New Roman" w:hAnsi="Times New Roman" w:cs="Times New Roman"/>
      <w:sz w:val="20"/>
      <w:szCs w:val="20"/>
    </w:rPr>
  </w:style>
  <w:style w:type="table" w:styleId="TableGrid">
    <w:name w:val="Table Grid"/>
    <w:basedOn w:val="TableNormal"/>
    <w:uiPriority w:val="59"/>
    <w:rsid w:val="009361CD"/>
    <w:pPr>
      <w:autoSpaceDE w:val="0"/>
      <w:autoSpaceDN w:val="0"/>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Char">
    <w:name w:val="paragraph Char"/>
    <w:aliases w:val="a Char"/>
    <w:basedOn w:val="DefaultParagraphFont"/>
    <w:link w:val="paragraph"/>
    <w:locked/>
    <w:rsid w:val="009361CD"/>
    <w:rPr>
      <w:szCs w:val="24"/>
    </w:rPr>
  </w:style>
  <w:style w:type="paragraph" w:customStyle="1" w:styleId="paragraph">
    <w:name w:val="paragraph"/>
    <w:aliases w:val="a"/>
    <w:link w:val="paragraphChar"/>
    <w:rsid w:val="009361CD"/>
    <w:pPr>
      <w:tabs>
        <w:tab w:val="right" w:pos="1531"/>
      </w:tabs>
      <w:spacing w:before="40" w:after="0" w:line="240" w:lineRule="auto"/>
      <w:ind w:left="1644" w:hanging="1644"/>
    </w:pPr>
    <w:rPr>
      <w:szCs w:val="24"/>
    </w:rPr>
  </w:style>
  <w:style w:type="paragraph" w:customStyle="1" w:styleId="TableColHead">
    <w:name w:val="TableColHead"/>
    <w:basedOn w:val="Normal"/>
    <w:rsid w:val="00512F2D"/>
    <w:pPr>
      <w:keepNext/>
      <w:spacing w:before="120" w:after="60" w:line="200" w:lineRule="exact"/>
    </w:pPr>
    <w:rPr>
      <w:rFonts w:eastAsia="Times New Roman" w:cs="Times New Roman"/>
      <w:b/>
      <w:sz w:val="18"/>
      <w:szCs w:val="24"/>
      <w:lang w:eastAsia="en-AU"/>
    </w:rPr>
  </w:style>
  <w:style w:type="paragraph" w:customStyle="1" w:styleId="TableText">
    <w:name w:val="TableText"/>
    <w:basedOn w:val="Normal"/>
    <w:rsid w:val="00512F2D"/>
    <w:pPr>
      <w:spacing w:before="60" w:after="60" w:line="240" w:lineRule="exact"/>
    </w:pPr>
    <w:rPr>
      <w:rFonts w:ascii="Times New Roman" w:eastAsia="Times New Roman" w:hAnsi="Times New Roman" w:cs="Times New Roman"/>
      <w:szCs w:val="24"/>
      <w:lang w:eastAsia="en-AU"/>
    </w:rPr>
  </w:style>
  <w:style w:type="paragraph" w:styleId="NoSpacing">
    <w:name w:val="No Spacing"/>
    <w:uiPriority w:val="1"/>
    <w:qFormat/>
    <w:rsid w:val="005B3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727356">
      <w:bodyDiv w:val="1"/>
      <w:marLeft w:val="0"/>
      <w:marRight w:val="0"/>
      <w:marTop w:val="0"/>
      <w:marBottom w:val="0"/>
      <w:divBdr>
        <w:top w:val="none" w:sz="0" w:space="0" w:color="auto"/>
        <w:left w:val="none" w:sz="0" w:space="0" w:color="auto"/>
        <w:bottom w:val="none" w:sz="0" w:space="0" w:color="auto"/>
        <w:right w:val="none" w:sz="0" w:space="0" w:color="auto"/>
      </w:divBdr>
      <w:divsChild>
        <w:div w:id="314799213">
          <w:marLeft w:val="0"/>
          <w:marRight w:val="0"/>
          <w:marTop w:val="0"/>
          <w:marBottom w:val="0"/>
          <w:divBdr>
            <w:top w:val="none" w:sz="0" w:space="0" w:color="auto"/>
            <w:left w:val="none" w:sz="0" w:space="0" w:color="auto"/>
            <w:bottom w:val="none" w:sz="0" w:space="0" w:color="auto"/>
            <w:right w:val="none" w:sz="0" w:space="0" w:color="auto"/>
          </w:divBdr>
          <w:divsChild>
            <w:div w:id="1175731074">
              <w:marLeft w:val="0"/>
              <w:marRight w:val="0"/>
              <w:marTop w:val="0"/>
              <w:marBottom w:val="0"/>
              <w:divBdr>
                <w:top w:val="none" w:sz="0" w:space="0" w:color="auto"/>
                <w:left w:val="none" w:sz="0" w:space="0" w:color="auto"/>
                <w:bottom w:val="none" w:sz="0" w:space="0" w:color="auto"/>
                <w:right w:val="none" w:sz="0" w:space="0" w:color="auto"/>
              </w:divBdr>
              <w:divsChild>
                <w:div w:id="123547803">
                  <w:marLeft w:val="0"/>
                  <w:marRight w:val="0"/>
                  <w:marTop w:val="0"/>
                  <w:marBottom w:val="0"/>
                  <w:divBdr>
                    <w:top w:val="none" w:sz="0" w:space="0" w:color="auto"/>
                    <w:left w:val="none" w:sz="0" w:space="0" w:color="auto"/>
                    <w:bottom w:val="none" w:sz="0" w:space="0" w:color="auto"/>
                    <w:right w:val="none" w:sz="0" w:space="0" w:color="auto"/>
                  </w:divBdr>
                  <w:divsChild>
                    <w:div w:id="778067951">
                      <w:marLeft w:val="0"/>
                      <w:marRight w:val="0"/>
                      <w:marTop w:val="0"/>
                      <w:marBottom w:val="0"/>
                      <w:divBdr>
                        <w:top w:val="none" w:sz="0" w:space="0" w:color="auto"/>
                        <w:left w:val="none" w:sz="0" w:space="0" w:color="auto"/>
                        <w:bottom w:val="none" w:sz="0" w:space="0" w:color="auto"/>
                        <w:right w:val="none" w:sz="0" w:space="0" w:color="auto"/>
                      </w:divBdr>
                      <w:divsChild>
                        <w:div w:id="446581933">
                          <w:marLeft w:val="0"/>
                          <w:marRight w:val="0"/>
                          <w:marTop w:val="0"/>
                          <w:marBottom w:val="0"/>
                          <w:divBdr>
                            <w:top w:val="none" w:sz="0" w:space="0" w:color="auto"/>
                            <w:left w:val="none" w:sz="0" w:space="0" w:color="auto"/>
                            <w:bottom w:val="none" w:sz="0" w:space="0" w:color="auto"/>
                            <w:right w:val="none" w:sz="0" w:space="0" w:color="auto"/>
                          </w:divBdr>
                          <w:divsChild>
                            <w:div w:id="572358168">
                              <w:marLeft w:val="0"/>
                              <w:marRight w:val="0"/>
                              <w:marTop w:val="0"/>
                              <w:marBottom w:val="0"/>
                              <w:divBdr>
                                <w:top w:val="none" w:sz="0" w:space="0" w:color="auto"/>
                                <w:left w:val="none" w:sz="0" w:space="0" w:color="auto"/>
                                <w:bottom w:val="none" w:sz="0" w:space="0" w:color="auto"/>
                                <w:right w:val="none" w:sz="0" w:space="0" w:color="auto"/>
                              </w:divBdr>
                              <w:divsChild>
                                <w:div w:id="733505567">
                                  <w:marLeft w:val="0"/>
                                  <w:marRight w:val="0"/>
                                  <w:marTop w:val="0"/>
                                  <w:marBottom w:val="0"/>
                                  <w:divBdr>
                                    <w:top w:val="none" w:sz="0" w:space="0" w:color="auto"/>
                                    <w:left w:val="none" w:sz="0" w:space="0" w:color="auto"/>
                                    <w:bottom w:val="none" w:sz="0" w:space="0" w:color="auto"/>
                                    <w:right w:val="none" w:sz="0" w:space="0" w:color="auto"/>
                                  </w:divBdr>
                                  <w:divsChild>
                                    <w:div w:id="157354071">
                                      <w:marLeft w:val="0"/>
                                      <w:marRight w:val="0"/>
                                      <w:marTop w:val="0"/>
                                      <w:marBottom w:val="0"/>
                                      <w:divBdr>
                                        <w:top w:val="none" w:sz="0" w:space="0" w:color="auto"/>
                                        <w:left w:val="none" w:sz="0" w:space="0" w:color="auto"/>
                                        <w:bottom w:val="none" w:sz="0" w:space="0" w:color="auto"/>
                                        <w:right w:val="none" w:sz="0" w:space="0" w:color="auto"/>
                                      </w:divBdr>
                                      <w:divsChild>
                                        <w:div w:id="567690705">
                                          <w:marLeft w:val="0"/>
                                          <w:marRight w:val="0"/>
                                          <w:marTop w:val="0"/>
                                          <w:marBottom w:val="0"/>
                                          <w:divBdr>
                                            <w:top w:val="none" w:sz="0" w:space="0" w:color="auto"/>
                                            <w:left w:val="none" w:sz="0" w:space="0" w:color="auto"/>
                                            <w:bottom w:val="none" w:sz="0" w:space="0" w:color="auto"/>
                                            <w:right w:val="none" w:sz="0" w:space="0" w:color="auto"/>
                                          </w:divBdr>
                                          <w:divsChild>
                                            <w:div w:id="744691331">
                                              <w:marLeft w:val="0"/>
                                              <w:marRight w:val="0"/>
                                              <w:marTop w:val="0"/>
                                              <w:marBottom w:val="0"/>
                                              <w:divBdr>
                                                <w:top w:val="none" w:sz="0" w:space="0" w:color="auto"/>
                                                <w:left w:val="none" w:sz="0" w:space="0" w:color="auto"/>
                                                <w:bottom w:val="none" w:sz="0" w:space="0" w:color="auto"/>
                                                <w:right w:val="none" w:sz="0" w:space="0" w:color="auto"/>
                                              </w:divBdr>
                                              <w:divsChild>
                                                <w:div w:id="4103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CRIS_x0020_Document_x0020_Type xmlns="0cf8ab88-0bb0-4347-9f21-1be398177a20">Legislation</CRIS_x0020_Document_x0020_Type>
    <Certified_x0020_copy xmlns="95055ff2-0f05-4beb-977c-8caf01a94407">false</Certified_x0020_copy>
    <Year xmlns="95055ff2-0f05-4beb-977c-8caf01a94407">2013</Year>
    <SecurityClassification xmlns="95055ff2-0f05-4beb-977c-8caf01a94407">DLM=For-Official-Use-Only</SecurityClassification>
    <Document_x0020_Type xmlns="95055ff2-0f05-4beb-977c-8caf01a944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overnment Relations administrative tasks" ma:contentTypeID="0x010100C1937435CC706B4F9C7C361D9A2CDA880008D4F626D4DDF646B7FD6FBBCE16208D" ma:contentTypeVersion="4" ma:contentTypeDescription="Routine administrative tasks supporting government relegations" ma:contentTypeScope="" ma:versionID="32eeb5a0a7dec218132c989d30e1e9a1">
  <xsd:schema xmlns:xsd="http://www.w3.org/2001/XMLSchema" xmlns:xs="http://www.w3.org/2001/XMLSchema" xmlns:p="http://schemas.microsoft.com/office/2006/metadata/properties" xmlns:ns3="95055ff2-0f05-4beb-977c-8caf01a94407" xmlns:ns4="0cf8ab88-0bb0-4347-9f21-1be398177a20" targetNamespace="http://schemas.microsoft.com/office/2006/metadata/properties" ma:root="true" ma:fieldsID="e2010cd0fb5892904cde725dc5f57db6" ns3:_="" ns4:_="">
    <xsd:import namespace="95055ff2-0f05-4beb-977c-8caf01a94407"/>
    <xsd:import namespace="0cf8ab88-0bb0-4347-9f21-1be398177a20"/>
    <xsd:element name="properties">
      <xsd:complexType>
        <xsd:sequence>
          <xsd:element name="documentManagement">
            <xsd:complexType>
              <xsd:all>
                <xsd:element ref="ns3:_dlc_DocId" minOccurs="0"/>
                <xsd:element ref="ns3:_dlc_DocIdUrl" minOccurs="0"/>
                <xsd:element ref="ns3:_dlc_DocIdPersistId" minOccurs="0"/>
                <xsd:element ref="ns3:Certified_x0020_copy" minOccurs="0"/>
                <xsd:element ref="ns3:SecurityClassification" minOccurs="0"/>
                <xsd:element ref="ns3:Document_x0020_Type" minOccurs="0"/>
                <xsd:element ref="ns3:Year" minOccurs="0"/>
                <xsd:element ref="ns4:CRIS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55ff2-0f05-4beb-977c-8caf01a9440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Certified_x0020_copy" ma:index="12" nillable="true" ma:displayName="Certified copy" ma:default="0" ma:internalName="Certified_x0020_copy">
      <xsd:simpleType>
        <xsd:restriction base="dms:Boolean"/>
      </xsd:simpleType>
    </xsd:element>
    <xsd:element name="SecurityClassification" ma:index="13" nillable="true" ma:displayName="Confidence Classifications" ma:format="Dropdown" ma:internalName="SecurityClassification">
      <xsd:simpleType>
        <xsd:restriction base="dms:Choice">
          <xsd:enumeration value="SEC=UNOFFICIAL"/>
          <xsd:enumeration value="SEC=UNCLASSIFIED"/>
          <xsd:enumeration value="DLM=For-Official-Use-Only"/>
          <xsd:enumeration value="DLM=Sensitive"/>
          <xsd:enumeration value="DLM=Sensitive:Legal"/>
          <xsd:enumeration value="DLM=Sensitive:Personal"/>
          <xsd:enumeration value="SEC=Protected"/>
          <xsd:enumeration value="SEC=Protected|DLM=Sensitive"/>
          <xsd:enumeration value="SEC=Protected|DLM=Sensitive:Legal"/>
          <xsd:enumeration value="SEC=Protected|DLM=Sensitive:Personal"/>
          <xsd:enumeration value="SEC=Protected|DLM=Sensitive:Cabinet"/>
        </xsd:restriction>
      </xsd:simpleType>
    </xsd:element>
    <xsd:element name="Document_x0020_Type" ma:index="14" nillable="true" ma:displayName="Content Type" ma:format="Dropdown" ma:hidden="true" ma:internalName="Document_x0020_Type" ma:readOnly="false">
      <xsd:simpleType>
        <xsd:restriction base="dms:Choice">
          <xsd:enumeration value="Agenda"/>
          <xsd:enumeration value="Board paper"/>
          <xsd:enumeration value="Checklist"/>
          <xsd:enumeration value="Contract"/>
          <xsd:enumeration value="Correspondence"/>
          <xsd:enumeration value="Dataset"/>
          <xsd:enumeration value="Form"/>
          <xsd:enumeration value="Grant application"/>
          <xsd:enumeration value="Guidelines"/>
          <xsd:enumeration value="Homepage"/>
          <xsd:enumeration value="Image"/>
          <xsd:enumeration value="Instruction manual"/>
          <xsd:enumeration value="Media release"/>
          <xsd:enumeration value="Meeting minutes"/>
          <xsd:enumeration value="Minute"/>
          <xsd:enumeration value="Physical object"/>
          <xsd:enumeration value="Policy statement"/>
          <xsd:enumeration value="Presentation"/>
          <xsd:enumeration value="Promotional"/>
          <xsd:enumeration value="Publication"/>
          <xsd:enumeration value="Register"/>
          <xsd:enumeration value="Report"/>
          <xsd:enumeration value="Research project"/>
          <xsd:enumeration value="Software"/>
          <xsd:enumeration value="Sound"/>
          <xsd:enumeration value="Video"/>
        </xsd:restriction>
      </xsd:simpleType>
    </xsd:element>
    <xsd:element name="Year" ma:index="15" nillable="true" ma:displayName="Year" ma:default="2013" ma:format="Dropdown" ma:internalName="Year">
      <xsd:simpleType>
        <xsd:restriction base="dms:Choice">
          <xsd:enumeration value="2007"/>
          <xsd:enumeration value="2008"/>
          <xsd:enumeration value="2009"/>
          <xsd:enumeration value="2010"/>
          <xsd:enumeration value="2011"/>
          <xsd:enumeration value="2012"/>
          <xsd:enumeration value="2013"/>
          <xsd:enumeration value="2014"/>
          <xsd:enumeration value="2015"/>
        </xsd:restriction>
      </xsd:simpleType>
    </xsd:element>
  </xsd:schema>
  <xsd:schema xmlns:xsd="http://www.w3.org/2001/XMLSchema" xmlns:xs="http://www.w3.org/2001/XMLSchema" xmlns:dms="http://schemas.microsoft.com/office/2006/documentManagement/types" xmlns:pc="http://schemas.microsoft.com/office/infopath/2007/PartnerControls" targetNamespace="0cf8ab88-0bb0-4347-9f21-1be398177a20" elementFormDefault="qualified">
    <xsd:import namespace="http://schemas.microsoft.com/office/2006/documentManagement/types"/>
    <xsd:import namespace="http://schemas.microsoft.com/office/infopath/2007/PartnerControls"/>
    <xsd:element name="CRIS_x0020_Document_x0020_Type" ma:index="16" nillable="true" ma:displayName="Cost Recovery Impact Statements" ma:default="Forms" ma:format="Dropdown" ma:internalName="CRIS_x0020_Document_x0020_Type">
      <xsd:simpleType>
        <xsd:restriction base="dms:Choice">
          <xsd:enumeration value="Forms"/>
          <xsd:enumeration value="Legislation"/>
          <xsd:enumeration value="Requirements"/>
          <xsd:enumeration value="Briefs"/>
          <xsd:enumeration value="Administration"/>
          <xsd:enumeration value="2012 funding and charging arrangements"/>
          <xsd:enumeration value="Reference Materials"/>
          <xsd:enumeration value="Reserve and Fee for Service Strateg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2CCF-3E6E-44AF-9AB1-E41A42786D75}">
  <ds:schemaRefs>
    <ds:schemaRef ds:uri="http://schemas.microsoft.com/sharepoint/v3/contenttype/forms"/>
  </ds:schemaRefs>
</ds:datastoreItem>
</file>

<file path=customXml/itemProps2.xml><?xml version="1.0" encoding="utf-8"?>
<ds:datastoreItem xmlns:ds="http://schemas.openxmlformats.org/officeDocument/2006/customXml" ds:itemID="{E13C69C9-9E61-4257-B46C-1A0B4F37E514}">
  <ds:schemaRefs>
    <ds:schemaRef ds:uri="http://schemas.microsoft.com/sharepoint/events"/>
  </ds:schemaRefs>
</ds:datastoreItem>
</file>

<file path=customXml/itemProps3.xml><?xml version="1.0" encoding="utf-8"?>
<ds:datastoreItem xmlns:ds="http://schemas.openxmlformats.org/officeDocument/2006/customXml" ds:itemID="{EEE9E992-4E55-47B4-A034-A644E64940F2}">
  <ds:schemaRefs>
    <ds:schemaRef ds:uri="http://purl.org/dc/elements/1.1/"/>
    <ds:schemaRef ds:uri="http://schemas.microsoft.com/office/2006/documentManagement/types"/>
    <ds:schemaRef ds:uri="http://www.w3.org/XML/1998/namespace"/>
    <ds:schemaRef ds:uri="http://schemas.microsoft.com/office/2006/metadata/properties"/>
    <ds:schemaRef ds:uri="95055ff2-0f05-4beb-977c-8caf01a94407"/>
    <ds:schemaRef ds:uri="http://schemas.microsoft.com/office/infopath/2007/PartnerControls"/>
    <ds:schemaRef ds:uri="http://schemas.openxmlformats.org/package/2006/metadata/core-properties"/>
    <ds:schemaRef ds:uri="0cf8ab88-0bb0-4347-9f21-1be398177a20"/>
    <ds:schemaRef ds:uri="http://purl.org/dc/dcmitype/"/>
    <ds:schemaRef ds:uri="http://purl.org/dc/terms/"/>
  </ds:schemaRefs>
</ds:datastoreItem>
</file>

<file path=customXml/itemProps4.xml><?xml version="1.0" encoding="utf-8"?>
<ds:datastoreItem xmlns:ds="http://schemas.openxmlformats.org/officeDocument/2006/customXml" ds:itemID="{6C940535-843F-4F6E-8E7E-267482176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55ff2-0f05-4beb-977c-8caf01a94407"/>
    <ds:schemaRef ds:uri="0cf8ab88-0bb0-4347-9f21-1be398177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FA744C-E19D-4EEB-B630-44882A61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Snowy Hydro</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fiona.bowden</dc:creator>
  <cp:lastModifiedBy>Emma Shaw</cp:lastModifiedBy>
  <cp:revision>2</cp:revision>
  <cp:lastPrinted>2013-08-01T01:33:00Z</cp:lastPrinted>
  <dcterms:created xsi:type="dcterms:W3CDTF">2013-08-02T01:32:00Z</dcterms:created>
  <dcterms:modified xsi:type="dcterms:W3CDTF">2013-08-02T01:32:00Z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0x010100C1937435CC706B4F9C7C361D9A2CDA880008D4F626D4DDF646B7FD6FBBCE16208D</vt:lpwstr>
  </property>
  <property fmtid="{D5CDD505-2E9C-101B-9397-08002B2CF9AE}" pid="3" name="File Name">
    <vt:lpwstr>, </vt:lpwstr>
  </property>
  <property fmtid="{D5CDD505-2E9C-101B-9397-08002B2CF9AE}" pid="4" name="Hardcopy">
    <vt:bool>false</vt:bool>
  </property>
</Properties>
</file>