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8B" w:rsidRPr="00BA306B" w:rsidRDefault="002E568B" w:rsidP="00CD3FDA">
      <w:pPr>
        <w:pStyle w:val="Title"/>
        <w:ind w:right="-46"/>
        <w:rPr>
          <w:szCs w:val="24"/>
        </w:rPr>
      </w:pPr>
      <w:r w:rsidRPr="00BA306B">
        <w:rPr>
          <w:szCs w:val="24"/>
        </w:rPr>
        <w:t xml:space="preserve">EXPLANATORY </w:t>
      </w:r>
      <w:r w:rsidR="00841D57">
        <w:rPr>
          <w:szCs w:val="24"/>
        </w:rPr>
        <w:t>STATEMENT</w:t>
      </w:r>
    </w:p>
    <w:p w:rsidR="002E568B" w:rsidRPr="00BA306B" w:rsidRDefault="002E568B" w:rsidP="00CD3FDA">
      <w:pPr>
        <w:ind w:right="-46"/>
        <w:jc w:val="center"/>
        <w:rPr>
          <w:b/>
          <w:szCs w:val="24"/>
        </w:rPr>
      </w:pPr>
    </w:p>
    <w:p w:rsidR="002E568B" w:rsidRPr="00722960" w:rsidRDefault="002E568B" w:rsidP="00CD3FDA">
      <w:pPr>
        <w:ind w:right="-46"/>
        <w:jc w:val="center"/>
        <w:rPr>
          <w:szCs w:val="24"/>
        </w:rPr>
      </w:pPr>
    </w:p>
    <w:p w:rsidR="00815065" w:rsidRPr="00671D35" w:rsidRDefault="00841D57" w:rsidP="00CD3FDA">
      <w:pPr>
        <w:ind w:right="-46"/>
        <w:jc w:val="center"/>
        <w:rPr>
          <w:b/>
          <w:szCs w:val="24"/>
          <w:u w:val="single"/>
        </w:rPr>
      </w:pPr>
      <w:r w:rsidRPr="00671D35">
        <w:rPr>
          <w:b/>
          <w:szCs w:val="24"/>
          <w:u w:val="single"/>
        </w:rPr>
        <w:t>Select Legislative Instrument 2013 No.</w:t>
      </w:r>
      <w:r w:rsidR="00671D35">
        <w:rPr>
          <w:b/>
          <w:szCs w:val="24"/>
          <w:u w:val="single"/>
        </w:rPr>
        <w:t xml:space="preserve"> 220</w:t>
      </w:r>
    </w:p>
    <w:p w:rsidR="00815065" w:rsidRDefault="00815065" w:rsidP="00CD3FDA">
      <w:pPr>
        <w:ind w:right="-46"/>
        <w:jc w:val="center"/>
        <w:rPr>
          <w:szCs w:val="24"/>
        </w:rPr>
      </w:pPr>
    </w:p>
    <w:p w:rsidR="003E33C4" w:rsidRDefault="007B086B" w:rsidP="00CD3FDA">
      <w:pPr>
        <w:ind w:right="-46"/>
        <w:jc w:val="center"/>
        <w:rPr>
          <w:i/>
          <w:szCs w:val="24"/>
        </w:rPr>
      </w:pPr>
      <w:r w:rsidRPr="00BA306B">
        <w:rPr>
          <w:i/>
          <w:szCs w:val="24"/>
        </w:rPr>
        <w:t>Therapeutic Goods Act 1989</w:t>
      </w:r>
    </w:p>
    <w:p w:rsidR="00B85A19" w:rsidRDefault="00B85A19" w:rsidP="00CD3FDA">
      <w:pPr>
        <w:ind w:right="-46" w:firstLine="1134"/>
        <w:jc w:val="center"/>
        <w:rPr>
          <w:i/>
          <w:szCs w:val="24"/>
        </w:rPr>
      </w:pPr>
    </w:p>
    <w:p w:rsidR="002E568B" w:rsidRPr="00BA306B" w:rsidRDefault="002E568B" w:rsidP="00CD3FDA">
      <w:pPr>
        <w:ind w:right="-46"/>
        <w:jc w:val="center"/>
        <w:rPr>
          <w:i/>
          <w:szCs w:val="24"/>
        </w:rPr>
      </w:pPr>
      <w:r w:rsidRPr="00BA306B">
        <w:rPr>
          <w:i/>
          <w:szCs w:val="24"/>
        </w:rPr>
        <w:t xml:space="preserve">Therapeutic Goods </w:t>
      </w:r>
      <w:r w:rsidR="009B4412">
        <w:rPr>
          <w:i/>
          <w:szCs w:val="24"/>
        </w:rPr>
        <w:t>Amendment</w:t>
      </w:r>
      <w:r w:rsidRPr="00BA306B">
        <w:rPr>
          <w:i/>
          <w:szCs w:val="24"/>
        </w:rPr>
        <w:t xml:space="preserve"> </w:t>
      </w:r>
      <w:r w:rsidR="004553EE">
        <w:rPr>
          <w:i/>
          <w:szCs w:val="24"/>
        </w:rPr>
        <w:t xml:space="preserve">(Advisory Committees) </w:t>
      </w:r>
      <w:r w:rsidRPr="00BA306B">
        <w:rPr>
          <w:i/>
          <w:szCs w:val="24"/>
        </w:rPr>
        <w:t xml:space="preserve">Regulation </w:t>
      </w:r>
      <w:r>
        <w:rPr>
          <w:i/>
          <w:szCs w:val="24"/>
        </w:rPr>
        <w:t>201</w:t>
      </w:r>
      <w:r w:rsidR="00920D23">
        <w:rPr>
          <w:i/>
          <w:szCs w:val="24"/>
        </w:rPr>
        <w:t>3</w:t>
      </w:r>
    </w:p>
    <w:p w:rsidR="002E568B" w:rsidRPr="00704057" w:rsidRDefault="002E568B" w:rsidP="00CD3FDA">
      <w:pPr>
        <w:ind w:right="-46"/>
        <w:rPr>
          <w:szCs w:val="24"/>
          <w:highlight w:val="yellow"/>
        </w:rPr>
      </w:pPr>
    </w:p>
    <w:p w:rsidR="00ED3AE4" w:rsidRDefault="00ED3AE4" w:rsidP="00CD3FDA">
      <w:pPr>
        <w:ind w:right="-46"/>
        <w:rPr>
          <w:szCs w:val="24"/>
        </w:rPr>
      </w:pPr>
      <w:r>
        <w:rPr>
          <w:szCs w:val="24"/>
        </w:rPr>
        <w:t xml:space="preserve">The object of the </w:t>
      </w:r>
      <w:r w:rsidRPr="00FD7B79">
        <w:rPr>
          <w:i/>
          <w:szCs w:val="24"/>
        </w:rPr>
        <w:t>Therapeutic Goods Act 1989</w:t>
      </w:r>
      <w:r>
        <w:rPr>
          <w:szCs w:val="24"/>
        </w:rPr>
        <w:t xml:space="preserve"> (the Act) is to establish and maintain a national system of controls for the quality, safety, efficacy and timely availability of therapeutic goods that are used in Australia or exported from Australia. The Therapeutic Goods Administration (the TGA), which is part of the Department of Health and Ageing, i</w:t>
      </w:r>
      <w:bookmarkStart w:id="0" w:name="_GoBack"/>
      <w:bookmarkEnd w:id="0"/>
      <w:r>
        <w:rPr>
          <w:szCs w:val="24"/>
        </w:rPr>
        <w:t>s responsible for administering the Act.</w:t>
      </w:r>
    </w:p>
    <w:p w:rsidR="00ED3AE4" w:rsidRDefault="00ED3AE4" w:rsidP="00CD3FDA">
      <w:pPr>
        <w:ind w:right="-46"/>
        <w:rPr>
          <w:szCs w:val="24"/>
        </w:rPr>
      </w:pPr>
    </w:p>
    <w:p w:rsidR="00ED3AE4" w:rsidRDefault="00ED3AE4" w:rsidP="00CD3FDA">
      <w:pPr>
        <w:ind w:right="-46"/>
        <w:rPr>
          <w:szCs w:val="24"/>
        </w:rPr>
      </w:pPr>
      <w:r>
        <w:rPr>
          <w:szCs w:val="24"/>
        </w:rPr>
        <w:t>Subsection 63(1) of the Act provides that the Governor-General may make regulation</w:t>
      </w:r>
      <w:r w:rsidR="00821421">
        <w:rPr>
          <w:szCs w:val="24"/>
        </w:rPr>
        <w:t xml:space="preserve">s, not inconsistent with the </w:t>
      </w:r>
      <w:r>
        <w:rPr>
          <w:szCs w:val="24"/>
        </w:rPr>
        <w:t>Act, prescribing matters required or permitted to be prescribed by the Act or necessary or convenient to be prescribed for carrying out or giving effect to the Act.</w:t>
      </w:r>
    </w:p>
    <w:p w:rsidR="00ED3AE4" w:rsidRDefault="00ED3AE4" w:rsidP="00CD3FDA">
      <w:pPr>
        <w:ind w:right="-46"/>
        <w:rPr>
          <w:szCs w:val="24"/>
        </w:rPr>
      </w:pPr>
    </w:p>
    <w:p w:rsidR="00C90500" w:rsidRDefault="00C90500" w:rsidP="00CD3FDA">
      <w:pPr>
        <w:ind w:right="-46"/>
        <w:rPr>
          <w:szCs w:val="24"/>
        </w:rPr>
      </w:pPr>
      <w:r>
        <w:rPr>
          <w:szCs w:val="24"/>
        </w:rPr>
        <w:t xml:space="preserve">The purpose of the  regulation is to amend the </w:t>
      </w:r>
      <w:r w:rsidRPr="00005F8F">
        <w:rPr>
          <w:i/>
          <w:szCs w:val="24"/>
        </w:rPr>
        <w:t>Therapeutic Goods Regulations 1990</w:t>
      </w:r>
      <w:r>
        <w:rPr>
          <w:szCs w:val="24"/>
        </w:rPr>
        <w:t xml:space="preserve"> (the </w:t>
      </w:r>
      <w:r w:rsidR="00821421">
        <w:rPr>
          <w:szCs w:val="24"/>
        </w:rPr>
        <w:t xml:space="preserve">Principal </w:t>
      </w:r>
      <w:r>
        <w:rPr>
          <w:szCs w:val="24"/>
        </w:rPr>
        <w:t xml:space="preserve">Regulations) to make a number of minor amendments to the arrangements relating to the advisory committees established in Divisions 1-1EB of Part 6 of the </w:t>
      </w:r>
      <w:r w:rsidR="00005F8F">
        <w:rPr>
          <w:szCs w:val="24"/>
        </w:rPr>
        <w:t xml:space="preserve">Principal </w:t>
      </w:r>
      <w:r>
        <w:rPr>
          <w:szCs w:val="24"/>
        </w:rPr>
        <w:t>Regulations.</w:t>
      </w:r>
    </w:p>
    <w:p w:rsidR="00C90500" w:rsidRDefault="00C90500" w:rsidP="00CD3FDA">
      <w:pPr>
        <w:ind w:right="-46"/>
        <w:rPr>
          <w:szCs w:val="24"/>
        </w:rPr>
      </w:pPr>
    </w:p>
    <w:p w:rsidR="00C90500" w:rsidRDefault="00C90500" w:rsidP="00CD3FDA">
      <w:pPr>
        <w:ind w:right="-46"/>
        <w:rPr>
          <w:szCs w:val="24"/>
        </w:rPr>
      </w:pPr>
      <w:r>
        <w:rPr>
          <w:szCs w:val="24"/>
        </w:rPr>
        <w:t xml:space="preserve">These committees </w:t>
      </w:r>
      <w:r w:rsidR="00517F2B">
        <w:rPr>
          <w:szCs w:val="24"/>
        </w:rPr>
        <w:t xml:space="preserve">are established under the </w:t>
      </w:r>
      <w:r w:rsidR="00821421">
        <w:rPr>
          <w:szCs w:val="24"/>
        </w:rPr>
        <w:t xml:space="preserve">Principal </w:t>
      </w:r>
      <w:r w:rsidR="00517F2B">
        <w:rPr>
          <w:szCs w:val="24"/>
        </w:rPr>
        <w:t xml:space="preserve">Regulations </w:t>
      </w:r>
      <w:r>
        <w:rPr>
          <w:szCs w:val="24"/>
        </w:rPr>
        <w:t>to provide the Minister for Health</w:t>
      </w:r>
      <w:r w:rsidR="00005F8F">
        <w:rPr>
          <w:szCs w:val="24"/>
        </w:rPr>
        <w:t xml:space="preserve"> and Medical Research</w:t>
      </w:r>
      <w:r>
        <w:rPr>
          <w:szCs w:val="24"/>
        </w:rPr>
        <w:t xml:space="preserve"> and the Secretary of the Department of Health and Ageing with access to specialist expertise in relation to therapeutic goods</w:t>
      </w:r>
      <w:r w:rsidR="00517F2B">
        <w:rPr>
          <w:szCs w:val="24"/>
        </w:rPr>
        <w:t xml:space="preserve"> and </w:t>
      </w:r>
      <w:r w:rsidR="00D13F15">
        <w:rPr>
          <w:szCs w:val="24"/>
        </w:rPr>
        <w:t>include, for example,</w:t>
      </w:r>
      <w:r w:rsidR="004A3CD3">
        <w:rPr>
          <w:szCs w:val="24"/>
        </w:rPr>
        <w:t xml:space="preserve"> the </w:t>
      </w:r>
      <w:r w:rsidR="00517F2B">
        <w:rPr>
          <w:szCs w:val="24"/>
        </w:rPr>
        <w:t xml:space="preserve">Advisory Committee on Prescription Medicines (ACPM), the </w:t>
      </w:r>
      <w:r w:rsidR="004A3CD3">
        <w:rPr>
          <w:szCs w:val="24"/>
        </w:rPr>
        <w:t>Advisory Committee on the Safety of Medicines</w:t>
      </w:r>
      <w:r w:rsidR="00CD5504">
        <w:rPr>
          <w:szCs w:val="24"/>
        </w:rPr>
        <w:t xml:space="preserve"> (the ACS</w:t>
      </w:r>
      <w:r w:rsidR="00A46A18">
        <w:rPr>
          <w:szCs w:val="24"/>
        </w:rPr>
        <w:t>O</w:t>
      </w:r>
      <w:r w:rsidR="00CD5504">
        <w:rPr>
          <w:szCs w:val="24"/>
        </w:rPr>
        <w:t>M)</w:t>
      </w:r>
      <w:r w:rsidR="004A3CD3">
        <w:rPr>
          <w:szCs w:val="24"/>
        </w:rPr>
        <w:t xml:space="preserve">, the Advisory Committee on </w:t>
      </w:r>
      <w:r w:rsidR="00CD5504">
        <w:rPr>
          <w:szCs w:val="24"/>
        </w:rPr>
        <w:t xml:space="preserve">the Safety of </w:t>
      </w:r>
      <w:r w:rsidR="004A3CD3">
        <w:rPr>
          <w:szCs w:val="24"/>
        </w:rPr>
        <w:t xml:space="preserve">Medical Devices </w:t>
      </w:r>
      <w:r w:rsidR="00CD5504">
        <w:rPr>
          <w:szCs w:val="24"/>
        </w:rPr>
        <w:t xml:space="preserve">(the ACSMD) </w:t>
      </w:r>
      <w:r w:rsidR="004A3CD3">
        <w:rPr>
          <w:szCs w:val="24"/>
        </w:rPr>
        <w:t>and the Advisory Committee on the Safety of Vaccines</w:t>
      </w:r>
      <w:r w:rsidR="00CD5504">
        <w:rPr>
          <w:szCs w:val="24"/>
        </w:rPr>
        <w:t xml:space="preserve"> (the ACS</w:t>
      </w:r>
      <w:r w:rsidR="00A46A18">
        <w:rPr>
          <w:szCs w:val="24"/>
        </w:rPr>
        <w:t>O</w:t>
      </w:r>
      <w:r w:rsidR="00CD5504">
        <w:rPr>
          <w:szCs w:val="24"/>
        </w:rPr>
        <w:t>V)</w:t>
      </w:r>
      <w:r w:rsidR="004A3CD3">
        <w:rPr>
          <w:szCs w:val="24"/>
        </w:rPr>
        <w:t>.</w:t>
      </w:r>
    </w:p>
    <w:p w:rsidR="00C90500" w:rsidRDefault="00C90500" w:rsidP="00CD3FDA">
      <w:pPr>
        <w:ind w:right="-46"/>
        <w:rPr>
          <w:szCs w:val="24"/>
        </w:rPr>
      </w:pPr>
    </w:p>
    <w:p w:rsidR="00CD0A0B" w:rsidRDefault="00517F2B" w:rsidP="00CD3FDA">
      <w:pPr>
        <w:ind w:right="-46"/>
        <w:rPr>
          <w:szCs w:val="24"/>
        </w:rPr>
      </w:pPr>
      <w:r>
        <w:rPr>
          <w:szCs w:val="24"/>
        </w:rPr>
        <w:t xml:space="preserve">The purpose of a number of </w:t>
      </w:r>
      <w:r w:rsidR="00841D57">
        <w:rPr>
          <w:szCs w:val="24"/>
        </w:rPr>
        <w:t xml:space="preserve">the </w:t>
      </w:r>
      <w:r>
        <w:rPr>
          <w:szCs w:val="24"/>
        </w:rPr>
        <w:t xml:space="preserve">amendments is to clarify the circumstances in which the </w:t>
      </w:r>
      <w:r w:rsidR="004A3CD3">
        <w:rPr>
          <w:szCs w:val="24"/>
        </w:rPr>
        <w:t>commi</w:t>
      </w:r>
      <w:r w:rsidR="007405DF">
        <w:rPr>
          <w:szCs w:val="24"/>
        </w:rPr>
        <w:t xml:space="preserve">ttees </w:t>
      </w:r>
      <w:r>
        <w:rPr>
          <w:szCs w:val="24"/>
        </w:rPr>
        <w:t xml:space="preserve">provide advice, and make recommendations, </w:t>
      </w:r>
      <w:r w:rsidR="007405DF">
        <w:rPr>
          <w:szCs w:val="24"/>
        </w:rPr>
        <w:t>to</w:t>
      </w:r>
      <w:r w:rsidR="004A3CD3">
        <w:rPr>
          <w:szCs w:val="24"/>
        </w:rPr>
        <w:t xml:space="preserve"> </w:t>
      </w:r>
      <w:r w:rsidR="007405DF">
        <w:rPr>
          <w:szCs w:val="24"/>
        </w:rPr>
        <w:t xml:space="preserve">the Minister </w:t>
      </w:r>
      <w:r w:rsidR="00B323DF">
        <w:rPr>
          <w:szCs w:val="24"/>
        </w:rPr>
        <w:t xml:space="preserve">or </w:t>
      </w:r>
      <w:r w:rsidR="004A3CD3">
        <w:rPr>
          <w:szCs w:val="24"/>
        </w:rPr>
        <w:t>Secretary</w:t>
      </w:r>
      <w:r w:rsidR="0050217E">
        <w:rPr>
          <w:szCs w:val="24"/>
        </w:rPr>
        <w:t>.</w:t>
      </w:r>
      <w:r>
        <w:rPr>
          <w:szCs w:val="24"/>
        </w:rPr>
        <w:t xml:space="preserve">  This </w:t>
      </w:r>
      <w:r w:rsidR="00585729">
        <w:rPr>
          <w:szCs w:val="24"/>
        </w:rPr>
        <w:t xml:space="preserve">role is intended to be triggered </w:t>
      </w:r>
      <w:r>
        <w:rPr>
          <w:szCs w:val="24"/>
        </w:rPr>
        <w:t xml:space="preserve">when </w:t>
      </w:r>
      <w:r w:rsidR="00585729">
        <w:rPr>
          <w:szCs w:val="24"/>
        </w:rPr>
        <w:t>the Min</w:t>
      </w:r>
      <w:r w:rsidR="00B323DF">
        <w:rPr>
          <w:szCs w:val="24"/>
        </w:rPr>
        <w:t>ister or the Secretary (or a</w:t>
      </w:r>
      <w:r w:rsidR="00585729">
        <w:rPr>
          <w:szCs w:val="24"/>
        </w:rPr>
        <w:t xml:space="preserve"> delegate) </w:t>
      </w:r>
      <w:r>
        <w:rPr>
          <w:szCs w:val="24"/>
        </w:rPr>
        <w:t xml:space="preserve">requests </w:t>
      </w:r>
      <w:r w:rsidR="00B323DF">
        <w:rPr>
          <w:szCs w:val="24"/>
        </w:rPr>
        <w:t xml:space="preserve">advice </w:t>
      </w:r>
      <w:r w:rsidR="00585729">
        <w:rPr>
          <w:szCs w:val="24"/>
        </w:rPr>
        <w:t xml:space="preserve">or recommendations </w:t>
      </w:r>
      <w:r>
        <w:rPr>
          <w:szCs w:val="24"/>
        </w:rPr>
        <w:t xml:space="preserve">about </w:t>
      </w:r>
      <w:r w:rsidR="00585729">
        <w:rPr>
          <w:szCs w:val="24"/>
        </w:rPr>
        <w:t>a matter.</w:t>
      </w:r>
    </w:p>
    <w:p w:rsidR="00B323DF" w:rsidRDefault="00B323DF" w:rsidP="00CD3FDA">
      <w:pPr>
        <w:ind w:right="-46"/>
        <w:rPr>
          <w:szCs w:val="24"/>
        </w:rPr>
      </w:pPr>
    </w:p>
    <w:p w:rsidR="00B323DF" w:rsidRDefault="00B323DF" w:rsidP="00CD3FDA">
      <w:pPr>
        <w:ind w:right="-46"/>
        <w:rPr>
          <w:szCs w:val="24"/>
        </w:rPr>
      </w:pPr>
      <w:r>
        <w:rPr>
          <w:szCs w:val="24"/>
        </w:rPr>
        <w:t xml:space="preserve">This </w:t>
      </w:r>
      <w:r w:rsidR="00841D57">
        <w:rPr>
          <w:szCs w:val="24"/>
        </w:rPr>
        <w:t>will</w:t>
      </w:r>
      <w:r>
        <w:rPr>
          <w:szCs w:val="24"/>
        </w:rPr>
        <w:t xml:space="preserve"> be consistent with current administrative practices regarding the consulting of these committees.</w:t>
      </w:r>
    </w:p>
    <w:p w:rsidR="00CD0A0B" w:rsidRDefault="00CD0A0B" w:rsidP="00CD3FDA">
      <w:pPr>
        <w:ind w:right="-46"/>
        <w:rPr>
          <w:szCs w:val="24"/>
        </w:rPr>
      </w:pPr>
    </w:p>
    <w:p w:rsidR="00204A29" w:rsidRDefault="0050217E" w:rsidP="00CD3FDA">
      <w:pPr>
        <w:ind w:right="-46"/>
        <w:rPr>
          <w:szCs w:val="24"/>
        </w:rPr>
      </w:pPr>
      <w:r>
        <w:rPr>
          <w:szCs w:val="24"/>
        </w:rPr>
        <w:t xml:space="preserve">The </w:t>
      </w:r>
      <w:r w:rsidR="00821421">
        <w:rPr>
          <w:szCs w:val="24"/>
        </w:rPr>
        <w:t>r</w:t>
      </w:r>
      <w:r>
        <w:rPr>
          <w:szCs w:val="24"/>
        </w:rPr>
        <w:t>egulation</w:t>
      </w:r>
      <w:r w:rsidR="00192250">
        <w:rPr>
          <w:szCs w:val="24"/>
        </w:rPr>
        <w:t xml:space="preserve"> </w:t>
      </w:r>
      <w:r w:rsidR="00AC16BE">
        <w:rPr>
          <w:szCs w:val="24"/>
        </w:rPr>
        <w:t xml:space="preserve">also </w:t>
      </w:r>
      <w:r w:rsidR="00821421">
        <w:rPr>
          <w:szCs w:val="24"/>
        </w:rPr>
        <w:t>increase</w:t>
      </w:r>
      <w:r w:rsidR="00841D57">
        <w:rPr>
          <w:szCs w:val="24"/>
        </w:rPr>
        <w:t>s</w:t>
      </w:r>
      <w:r w:rsidR="00CD5504">
        <w:rPr>
          <w:szCs w:val="24"/>
        </w:rPr>
        <w:t xml:space="preserve"> the </w:t>
      </w:r>
      <w:r w:rsidR="00B323DF">
        <w:rPr>
          <w:szCs w:val="24"/>
        </w:rPr>
        <w:t>maximum number of members that may be appointed to</w:t>
      </w:r>
      <w:r w:rsidR="00CD5504">
        <w:rPr>
          <w:szCs w:val="24"/>
        </w:rPr>
        <w:t xml:space="preserve"> </w:t>
      </w:r>
      <w:r w:rsidR="00B323DF">
        <w:rPr>
          <w:szCs w:val="24"/>
        </w:rPr>
        <w:t xml:space="preserve">each of </w:t>
      </w:r>
      <w:r w:rsidR="00CD5504">
        <w:rPr>
          <w:szCs w:val="24"/>
        </w:rPr>
        <w:t>the ACS</w:t>
      </w:r>
      <w:r w:rsidR="00A46A18">
        <w:rPr>
          <w:szCs w:val="24"/>
        </w:rPr>
        <w:t>O</w:t>
      </w:r>
      <w:r w:rsidR="00CD5504">
        <w:rPr>
          <w:szCs w:val="24"/>
        </w:rPr>
        <w:t>M and the ACSMD</w:t>
      </w:r>
      <w:r w:rsidR="00B323DF">
        <w:rPr>
          <w:szCs w:val="24"/>
        </w:rPr>
        <w:t xml:space="preserve"> from the current 15 </w:t>
      </w:r>
      <w:r w:rsidR="0059172C">
        <w:rPr>
          <w:szCs w:val="24"/>
        </w:rPr>
        <w:t xml:space="preserve">members </w:t>
      </w:r>
      <w:r w:rsidR="00B323DF">
        <w:rPr>
          <w:szCs w:val="24"/>
        </w:rPr>
        <w:t>to 25,</w:t>
      </w:r>
      <w:r w:rsidR="00CD5504">
        <w:rPr>
          <w:szCs w:val="24"/>
        </w:rPr>
        <w:t xml:space="preserve"> and in</w:t>
      </w:r>
      <w:r w:rsidR="00821421">
        <w:rPr>
          <w:szCs w:val="24"/>
        </w:rPr>
        <w:t>troduce</w:t>
      </w:r>
      <w:r w:rsidR="00841D57">
        <w:rPr>
          <w:szCs w:val="24"/>
        </w:rPr>
        <w:t>s</w:t>
      </w:r>
      <w:r w:rsidR="00B323DF">
        <w:rPr>
          <w:szCs w:val="24"/>
        </w:rPr>
        <w:t xml:space="preserve"> a number of new </w:t>
      </w:r>
      <w:r w:rsidR="00CD5504">
        <w:rPr>
          <w:szCs w:val="24"/>
        </w:rPr>
        <w:t>fie</w:t>
      </w:r>
      <w:r w:rsidR="00B323DF">
        <w:rPr>
          <w:szCs w:val="24"/>
        </w:rPr>
        <w:t>lds of expertise</w:t>
      </w:r>
      <w:r w:rsidR="00706DE6">
        <w:rPr>
          <w:szCs w:val="24"/>
        </w:rPr>
        <w:t xml:space="preserve"> to the respective lists of fields</w:t>
      </w:r>
      <w:r w:rsidR="00B323DF">
        <w:rPr>
          <w:szCs w:val="24"/>
        </w:rPr>
        <w:t xml:space="preserve"> from which </w:t>
      </w:r>
      <w:r w:rsidR="009D29AB">
        <w:rPr>
          <w:szCs w:val="24"/>
        </w:rPr>
        <w:t xml:space="preserve">the Minister may appoint </w:t>
      </w:r>
      <w:r w:rsidR="00B323DF">
        <w:rPr>
          <w:szCs w:val="24"/>
        </w:rPr>
        <w:t>specialists</w:t>
      </w:r>
      <w:r w:rsidR="00CD5504">
        <w:rPr>
          <w:szCs w:val="24"/>
        </w:rPr>
        <w:t xml:space="preserve"> </w:t>
      </w:r>
      <w:r w:rsidR="00A85D75">
        <w:rPr>
          <w:szCs w:val="24"/>
        </w:rPr>
        <w:t xml:space="preserve">to </w:t>
      </w:r>
      <w:r w:rsidR="009D29AB">
        <w:rPr>
          <w:szCs w:val="24"/>
        </w:rPr>
        <w:t>those committees</w:t>
      </w:r>
      <w:r w:rsidR="00204A29">
        <w:rPr>
          <w:szCs w:val="24"/>
        </w:rPr>
        <w:t>.</w:t>
      </w:r>
    </w:p>
    <w:p w:rsidR="00204A29" w:rsidRDefault="00204A29" w:rsidP="00CD3FDA">
      <w:pPr>
        <w:ind w:right="-46"/>
        <w:rPr>
          <w:szCs w:val="24"/>
        </w:rPr>
      </w:pPr>
    </w:p>
    <w:p w:rsidR="00204A29" w:rsidRDefault="00806BDA" w:rsidP="00CD3FDA">
      <w:pPr>
        <w:ind w:right="-46"/>
        <w:rPr>
          <w:szCs w:val="24"/>
        </w:rPr>
      </w:pPr>
      <w:r>
        <w:rPr>
          <w:szCs w:val="24"/>
        </w:rPr>
        <w:t>The Minister may, i</w:t>
      </w:r>
      <w:r w:rsidR="009D29AB">
        <w:rPr>
          <w:szCs w:val="24"/>
        </w:rPr>
        <w:t>n the case</w:t>
      </w:r>
      <w:r>
        <w:rPr>
          <w:szCs w:val="24"/>
        </w:rPr>
        <w:t xml:space="preserve"> of the ACSOM, </w:t>
      </w:r>
      <w:r w:rsidR="009D29AB">
        <w:rPr>
          <w:szCs w:val="24"/>
        </w:rPr>
        <w:t xml:space="preserve">appoint persons with expertise in at least one of the fields </w:t>
      </w:r>
      <w:r>
        <w:rPr>
          <w:szCs w:val="24"/>
        </w:rPr>
        <w:t>listed in subregulation 37B(2), and i</w:t>
      </w:r>
      <w:r w:rsidR="009D29AB">
        <w:rPr>
          <w:szCs w:val="24"/>
        </w:rPr>
        <w:t xml:space="preserve">n the case of the ACSMD, </w:t>
      </w:r>
      <w:r w:rsidR="00204A29">
        <w:rPr>
          <w:szCs w:val="24"/>
        </w:rPr>
        <w:t xml:space="preserve">appoint </w:t>
      </w:r>
      <w:r w:rsidR="00743922">
        <w:rPr>
          <w:szCs w:val="24"/>
        </w:rPr>
        <w:t>persons with expertise in at least one of the fields listed in</w:t>
      </w:r>
      <w:r w:rsidR="009D29AB">
        <w:rPr>
          <w:szCs w:val="24"/>
        </w:rPr>
        <w:t xml:space="preserve"> su</w:t>
      </w:r>
      <w:r w:rsidR="00743922">
        <w:rPr>
          <w:szCs w:val="24"/>
        </w:rPr>
        <w:t>bregulation 38E(2)</w:t>
      </w:r>
      <w:r w:rsidR="00CD5504">
        <w:rPr>
          <w:szCs w:val="24"/>
        </w:rPr>
        <w:t>.</w:t>
      </w:r>
    </w:p>
    <w:p w:rsidR="00204A29" w:rsidRDefault="00204A29" w:rsidP="00CD3FDA">
      <w:pPr>
        <w:ind w:right="-46"/>
        <w:rPr>
          <w:szCs w:val="24"/>
        </w:rPr>
      </w:pPr>
    </w:p>
    <w:p w:rsidR="00B323DF" w:rsidRDefault="00B323DF" w:rsidP="00CD3FDA">
      <w:pPr>
        <w:ind w:right="-46"/>
        <w:rPr>
          <w:szCs w:val="24"/>
        </w:rPr>
      </w:pPr>
      <w:r>
        <w:rPr>
          <w:szCs w:val="24"/>
        </w:rPr>
        <w:t xml:space="preserve">For example, </w:t>
      </w:r>
      <w:r w:rsidR="0059172C">
        <w:rPr>
          <w:szCs w:val="24"/>
        </w:rPr>
        <w:t xml:space="preserve">the </w:t>
      </w:r>
      <w:r w:rsidR="00821421">
        <w:rPr>
          <w:szCs w:val="24"/>
        </w:rPr>
        <w:t>r</w:t>
      </w:r>
      <w:r w:rsidR="0059172C">
        <w:rPr>
          <w:szCs w:val="24"/>
        </w:rPr>
        <w:t>egulation add</w:t>
      </w:r>
      <w:r w:rsidR="00841D57">
        <w:rPr>
          <w:szCs w:val="24"/>
        </w:rPr>
        <w:t>s</w:t>
      </w:r>
      <w:r w:rsidR="0059172C">
        <w:rPr>
          <w:szCs w:val="24"/>
        </w:rPr>
        <w:t xml:space="preserve"> the fields of anaesthetics, toxicology and psychiatry in relation to the ACS</w:t>
      </w:r>
      <w:r w:rsidR="00A46A18">
        <w:rPr>
          <w:szCs w:val="24"/>
        </w:rPr>
        <w:t>O</w:t>
      </w:r>
      <w:r w:rsidR="0059172C">
        <w:rPr>
          <w:szCs w:val="24"/>
        </w:rPr>
        <w:t>M,</w:t>
      </w:r>
      <w:r w:rsidR="00616021">
        <w:rPr>
          <w:szCs w:val="24"/>
        </w:rPr>
        <w:t xml:space="preserve"> and the fields of </w:t>
      </w:r>
      <w:r w:rsidR="00EE7940">
        <w:rPr>
          <w:szCs w:val="24"/>
        </w:rPr>
        <w:t>plastic and reconstructive surgery, obstetrics or gynaecology</w:t>
      </w:r>
      <w:r w:rsidR="0059172C">
        <w:rPr>
          <w:szCs w:val="24"/>
        </w:rPr>
        <w:t xml:space="preserve"> and ear nose and throat in relation to the ACSMD.</w:t>
      </w:r>
    </w:p>
    <w:p w:rsidR="00CD5504" w:rsidRDefault="00CD5504" w:rsidP="00CD3FDA">
      <w:pPr>
        <w:ind w:right="-46"/>
        <w:rPr>
          <w:szCs w:val="24"/>
        </w:rPr>
      </w:pPr>
    </w:p>
    <w:p w:rsidR="0083516C" w:rsidRDefault="0083516C" w:rsidP="00CD3FDA">
      <w:pPr>
        <w:ind w:right="-46"/>
      </w:pPr>
      <w:r>
        <w:lastRenderedPageBreak/>
        <w:t>Since the establishment of the ACSOM (in 2009) and the ACSMD (in 2011), the TGA has on occasion needed advice on matters relating to medicines and medical devices safety from specialists whose areas of expertise are not listed in the Principal Regulations.</w:t>
      </w:r>
    </w:p>
    <w:p w:rsidR="004A53A0" w:rsidRDefault="004A53A0" w:rsidP="00CD3FDA">
      <w:pPr>
        <w:ind w:right="-46"/>
      </w:pPr>
    </w:p>
    <w:p w:rsidR="00CD5504" w:rsidRDefault="00616021" w:rsidP="00CD3FDA">
      <w:pPr>
        <w:ind w:right="-46"/>
        <w:rPr>
          <w:szCs w:val="24"/>
        </w:rPr>
      </w:pPr>
      <w:r>
        <w:rPr>
          <w:szCs w:val="24"/>
        </w:rPr>
        <w:t>These changes are</w:t>
      </w:r>
      <w:r w:rsidR="00806BDA">
        <w:rPr>
          <w:szCs w:val="24"/>
        </w:rPr>
        <w:t xml:space="preserve"> therefore</w:t>
      </w:r>
      <w:r w:rsidR="00CD3FDA">
        <w:rPr>
          <w:szCs w:val="24"/>
        </w:rPr>
        <w:t xml:space="preserve"> an important measure </w:t>
      </w:r>
      <w:r w:rsidR="00CD5504">
        <w:rPr>
          <w:szCs w:val="24"/>
        </w:rPr>
        <w:t xml:space="preserve">designed to </w:t>
      </w:r>
      <w:r w:rsidR="00806BDA">
        <w:rPr>
          <w:szCs w:val="24"/>
        </w:rPr>
        <w:t xml:space="preserve">address this, and to </w:t>
      </w:r>
      <w:r w:rsidR="00CD5504">
        <w:rPr>
          <w:szCs w:val="24"/>
        </w:rPr>
        <w:t>ensure that the TGA is able to access an appropriate range of expertise to enable it to properly</w:t>
      </w:r>
      <w:r w:rsidR="007D6CAF">
        <w:rPr>
          <w:szCs w:val="24"/>
        </w:rPr>
        <w:t>, and promptly, address</w:t>
      </w:r>
      <w:r w:rsidR="00CD5504">
        <w:rPr>
          <w:szCs w:val="24"/>
        </w:rPr>
        <w:t xml:space="preserve"> matters relating to the safety of medici</w:t>
      </w:r>
      <w:r w:rsidR="007D6CAF">
        <w:rPr>
          <w:szCs w:val="24"/>
        </w:rPr>
        <w:t>nes and medical devices.</w:t>
      </w:r>
    </w:p>
    <w:p w:rsidR="00244753" w:rsidRDefault="00244753" w:rsidP="00CD3FDA">
      <w:pPr>
        <w:ind w:right="-46"/>
        <w:rPr>
          <w:szCs w:val="24"/>
        </w:rPr>
      </w:pPr>
    </w:p>
    <w:p w:rsidR="00C26A0A" w:rsidRPr="00616021" w:rsidRDefault="00244753" w:rsidP="00CD3FDA">
      <w:pPr>
        <w:ind w:right="-46"/>
        <w:rPr>
          <w:szCs w:val="24"/>
        </w:rPr>
      </w:pPr>
      <w:r>
        <w:rPr>
          <w:szCs w:val="24"/>
        </w:rPr>
        <w:t xml:space="preserve">In addition, the </w:t>
      </w:r>
      <w:r w:rsidR="00821421">
        <w:rPr>
          <w:szCs w:val="24"/>
        </w:rPr>
        <w:t>r</w:t>
      </w:r>
      <w:r w:rsidR="004A1FC0">
        <w:rPr>
          <w:szCs w:val="24"/>
        </w:rPr>
        <w:t xml:space="preserve">egulation </w:t>
      </w:r>
      <w:r w:rsidR="00821421">
        <w:rPr>
          <w:szCs w:val="24"/>
        </w:rPr>
        <w:t xml:space="preserve"> </w:t>
      </w:r>
      <w:r w:rsidR="00A77D74">
        <w:rPr>
          <w:szCs w:val="24"/>
        </w:rPr>
        <w:t>m</w:t>
      </w:r>
      <w:r w:rsidR="004C2476" w:rsidRPr="004C1689">
        <w:rPr>
          <w:szCs w:val="24"/>
        </w:rPr>
        <w:t>ake</w:t>
      </w:r>
      <w:r w:rsidR="00841D57">
        <w:rPr>
          <w:szCs w:val="24"/>
        </w:rPr>
        <w:t>s</w:t>
      </w:r>
      <w:r w:rsidR="004C2476" w:rsidRPr="004C1689">
        <w:rPr>
          <w:szCs w:val="24"/>
        </w:rPr>
        <w:t xml:space="preserve"> a minor amendment to </w:t>
      </w:r>
      <w:r w:rsidR="0059172C">
        <w:rPr>
          <w:szCs w:val="24"/>
        </w:rPr>
        <w:t xml:space="preserve">correct an inadvertent error in relation to </w:t>
      </w:r>
      <w:r w:rsidR="004C2476" w:rsidRPr="004C1689">
        <w:rPr>
          <w:szCs w:val="24"/>
        </w:rPr>
        <w:t>a</w:t>
      </w:r>
      <w:r w:rsidR="0059172C">
        <w:rPr>
          <w:szCs w:val="24"/>
        </w:rPr>
        <w:t xml:space="preserve">n existing </w:t>
      </w:r>
      <w:r w:rsidR="004C2476" w:rsidRPr="004C1689">
        <w:rPr>
          <w:szCs w:val="24"/>
        </w:rPr>
        <w:t xml:space="preserve">field of expertise for </w:t>
      </w:r>
      <w:r w:rsidR="00814EC4">
        <w:rPr>
          <w:szCs w:val="24"/>
        </w:rPr>
        <w:t xml:space="preserve">the </w:t>
      </w:r>
      <w:r w:rsidR="004C2476" w:rsidRPr="004C1689">
        <w:rPr>
          <w:szCs w:val="24"/>
        </w:rPr>
        <w:t>members</w:t>
      </w:r>
      <w:r w:rsidR="00CE6216">
        <w:rPr>
          <w:szCs w:val="24"/>
        </w:rPr>
        <w:t xml:space="preserve">hip </w:t>
      </w:r>
      <w:r w:rsidR="004C2476" w:rsidRPr="004C1689">
        <w:rPr>
          <w:szCs w:val="24"/>
        </w:rPr>
        <w:t>of</w:t>
      </w:r>
      <w:r w:rsidR="00CE6216">
        <w:rPr>
          <w:szCs w:val="24"/>
        </w:rPr>
        <w:t xml:space="preserve"> </w:t>
      </w:r>
      <w:r w:rsidR="004C2476" w:rsidRPr="004C1689">
        <w:rPr>
          <w:szCs w:val="24"/>
        </w:rPr>
        <w:t>the</w:t>
      </w:r>
      <w:r w:rsidR="00CE6216">
        <w:rPr>
          <w:szCs w:val="24"/>
        </w:rPr>
        <w:t xml:space="preserve"> </w:t>
      </w:r>
      <w:r w:rsidR="00EF0EC4" w:rsidRPr="004C1689">
        <w:rPr>
          <w:szCs w:val="24"/>
        </w:rPr>
        <w:t>ACSOV</w:t>
      </w:r>
      <w:r w:rsidR="00AC16BE">
        <w:rPr>
          <w:szCs w:val="24"/>
        </w:rPr>
        <w:t xml:space="preserve"> (changing the </w:t>
      </w:r>
      <w:r w:rsidR="00B26600">
        <w:rPr>
          <w:szCs w:val="24"/>
        </w:rPr>
        <w:t>field</w:t>
      </w:r>
      <w:r w:rsidR="00AC16BE">
        <w:rPr>
          <w:szCs w:val="24"/>
        </w:rPr>
        <w:t xml:space="preserve"> from </w:t>
      </w:r>
      <w:r w:rsidR="00B26600">
        <w:rPr>
          <w:szCs w:val="24"/>
        </w:rPr>
        <w:t>‘</w:t>
      </w:r>
      <w:r w:rsidR="00AC16BE">
        <w:rPr>
          <w:szCs w:val="24"/>
        </w:rPr>
        <w:t>nurse practitioner</w:t>
      </w:r>
      <w:r w:rsidR="00B26600">
        <w:rPr>
          <w:szCs w:val="24"/>
        </w:rPr>
        <w:t>’</w:t>
      </w:r>
      <w:r w:rsidR="00AC16BE">
        <w:rPr>
          <w:szCs w:val="24"/>
        </w:rPr>
        <w:t xml:space="preserve"> to </w:t>
      </w:r>
      <w:r w:rsidR="00B26600">
        <w:rPr>
          <w:szCs w:val="24"/>
        </w:rPr>
        <w:t>‘</w:t>
      </w:r>
      <w:r w:rsidR="00AC16BE">
        <w:rPr>
          <w:szCs w:val="24"/>
        </w:rPr>
        <w:t>registered nurse</w:t>
      </w:r>
      <w:r w:rsidR="00B26600">
        <w:rPr>
          <w:szCs w:val="24"/>
        </w:rPr>
        <w:t>’</w:t>
      </w:r>
      <w:r w:rsidR="00AC16BE">
        <w:rPr>
          <w:szCs w:val="24"/>
        </w:rPr>
        <w:t>)</w:t>
      </w:r>
      <w:r w:rsidR="004B6251">
        <w:rPr>
          <w:szCs w:val="24"/>
        </w:rPr>
        <w:t>, and a small number of minor, editorial changes</w:t>
      </w:r>
      <w:r w:rsidR="00CE6216">
        <w:rPr>
          <w:szCs w:val="24"/>
        </w:rPr>
        <w:t>.</w:t>
      </w:r>
      <w:bookmarkStart w:id="1" w:name="OLE_LINK1"/>
    </w:p>
    <w:p w:rsidR="004C1689" w:rsidRPr="004C1689" w:rsidRDefault="004C1689" w:rsidP="00CD3FDA">
      <w:pPr>
        <w:pStyle w:val="ListParagraph"/>
        <w:ind w:left="0" w:right="-46"/>
        <w:rPr>
          <w:rFonts w:ascii="Times" w:hAnsi="Times"/>
          <w:szCs w:val="24"/>
        </w:rPr>
      </w:pPr>
    </w:p>
    <w:bookmarkEnd w:id="1"/>
    <w:p w:rsidR="002E568B" w:rsidRPr="003856A4" w:rsidRDefault="002E568B" w:rsidP="00CD3FDA">
      <w:pPr>
        <w:ind w:right="-46"/>
        <w:rPr>
          <w:szCs w:val="24"/>
        </w:rPr>
      </w:pPr>
      <w:r w:rsidRPr="003856A4">
        <w:rPr>
          <w:szCs w:val="24"/>
        </w:rPr>
        <w:t xml:space="preserve">Details of the </w:t>
      </w:r>
      <w:r>
        <w:rPr>
          <w:szCs w:val="24"/>
        </w:rPr>
        <w:t>r</w:t>
      </w:r>
      <w:r w:rsidRPr="003856A4">
        <w:rPr>
          <w:szCs w:val="24"/>
        </w:rPr>
        <w:t xml:space="preserve">egulation are set out in the </w:t>
      </w:r>
      <w:r w:rsidRPr="003856A4">
        <w:rPr>
          <w:szCs w:val="24"/>
          <w:u w:val="single"/>
        </w:rPr>
        <w:t>Attachment</w:t>
      </w:r>
      <w:r w:rsidRPr="003856A4">
        <w:rPr>
          <w:szCs w:val="24"/>
        </w:rPr>
        <w:t>.</w:t>
      </w:r>
    </w:p>
    <w:p w:rsidR="002E568B" w:rsidRPr="002747DD" w:rsidRDefault="002E568B" w:rsidP="00CD3FDA">
      <w:pPr>
        <w:ind w:right="-46"/>
        <w:rPr>
          <w:szCs w:val="24"/>
        </w:rPr>
      </w:pPr>
    </w:p>
    <w:p w:rsidR="002E568B" w:rsidRPr="003856A4" w:rsidRDefault="009B4412" w:rsidP="00CD3FDA">
      <w:pPr>
        <w:ind w:right="-46"/>
        <w:rPr>
          <w:szCs w:val="24"/>
        </w:rPr>
      </w:pPr>
      <w:r>
        <w:rPr>
          <w:szCs w:val="24"/>
        </w:rPr>
        <w:t>T</w:t>
      </w:r>
      <w:r w:rsidR="002E568B" w:rsidRPr="003856A4">
        <w:rPr>
          <w:szCs w:val="24"/>
        </w:rPr>
        <w:t xml:space="preserve">he Act </w:t>
      </w:r>
      <w:r>
        <w:rPr>
          <w:szCs w:val="24"/>
        </w:rPr>
        <w:t>does not</w:t>
      </w:r>
      <w:r w:rsidR="00EF1F76">
        <w:rPr>
          <w:szCs w:val="24"/>
        </w:rPr>
        <w:t xml:space="preserve"> specify </w:t>
      </w:r>
      <w:r w:rsidR="002E568B" w:rsidRPr="003856A4">
        <w:rPr>
          <w:szCs w:val="24"/>
        </w:rPr>
        <w:t xml:space="preserve">conditions that need to be met before the power to make </w:t>
      </w:r>
      <w:r w:rsidR="00BA167E">
        <w:rPr>
          <w:szCs w:val="24"/>
        </w:rPr>
        <w:t xml:space="preserve">the </w:t>
      </w:r>
      <w:r w:rsidR="002E568B">
        <w:rPr>
          <w:szCs w:val="24"/>
        </w:rPr>
        <w:t>r</w:t>
      </w:r>
      <w:r w:rsidR="002E568B" w:rsidRPr="003856A4">
        <w:rPr>
          <w:szCs w:val="24"/>
        </w:rPr>
        <w:t>egulation may be exercised.</w:t>
      </w:r>
    </w:p>
    <w:p w:rsidR="002E568B" w:rsidRPr="003856A4" w:rsidRDefault="002E568B" w:rsidP="00CD3FDA">
      <w:pPr>
        <w:ind w:right="-46"/>
        <w:rPr>
          <w:szCs w:val="24"/>
        </w:rPr>
      </w:pPr>
    </w:p>
    <w:p w:rsidR="002E568B" w:rsidRPr="003856A4" w:rsidRDefault="002E568B" w:rsidP="00CD3FDA">
      <w:pPr>
        <w:ind w:right="-46"/>
        <w:rPr>
          <w:szCs w:val="24"/>
        </w:rPr>
      </w:pPr>
      <w:r w:rsidRPr="003856A4">
        <w:rPr>
          <w:szCs w:val="24"/>
        </w:rPr>
        <w:t xml:space="preserve">The </w:t>
      </w:r>
      <w:r>
        <w:rPr>
          <w:szCs w:val="24"/>
        </w:rPr>
        <w:t>r</w:t>
      </w:r>
      <w:r w:rsidRPr="003856A4">
        <w:rPr>
          <w:szCs w:val="24"/>
        </w:rPr>
        <w:t xml:space="preserve">egulation </w:t>
      </w:r>
      <w:r w:rsidR="00841D57">
        <w:rPr>
          <w:szCs w:val="24"/>
        </w:rPr>
        <w:t>is</w:t>
      </w:r>
      <w:r w:rsidRPr="003856A4">
        <w:rPr>
          <w:szCs w:val="24"/>
        </w:rPr>
        <w:t xml:space="preserve"> a legislative instrument for the purposes of the </w:t>
      </w:r>
      <w:r w:rsidRPr="003856A4">
        <w:rPr>
          <w:i/>
          <w:szCs w:val="24"/>
        </w:rPr>
        <w:t>Legislative Instruments Act 2003</w:t>
      </w:r>
      <w:r w:rsidRPr="003856A4">
        <w:rPr>
          <w:szCs w:val="24"/>
        </w:rPr>
        <w:t>.</w:t>
      </w:r>
    </w:p>
    <w:p w:rsidR="002E568B" w:rsidRPr="003856A4" w:rsidRDefault="002E568B" w:rsidP="00CD3FDA">
      <w:pPr>
        <w:ind w:right="-46"/>
        <w:rPr>
          <w:szCs w:val="24"/>
        </w:rPr>
      </w:pPr>
    </w:p>
    <w:p w:rsidR="002E568B" w:rsidRPr="003856A4" w:rsidRDefault="002E568B" w:rsidP="00CD3FDA">
      <w:pPr>
        <w:ind w:right="-46"/>
        <w:rPr>
          <w:szCs w:val="24"/>
        </w:rPr>
      </w:pPr>
      <w:r w:rsidRPr="003856A4">
        <w:rPr>
          <w:szCs w:val="24"/>
        </w:rPr>
        <w:t xml:space="preserve">The </w:t>
      </w:r>
      <w:r>
        <w:rPr>
          <w:szCs w:val="24"/>
        </w:rPr>
        <w:t>r</w:t>
      </w:r>
      <w:r w:rsidRPr="003856A4">
        <w:rPr>
          <w:szCs w:val="24"/>
        </w:rPr>
        <w:t>egulation commence</w:t>
      </w:r>
      <w:r w:rsidR="00841D57">
        <w:rPr>
          <w:szCs w:val="24"/>
        </w:rPr>
        <w:t>s</w:t>
      </w:r>
      <w:r w:rsidRPr="003856A4">
        <w:rPr>
          <w:szCs w:val="24"/>
        </w:rPr>
        <w:t xml:space="preserve"> on </w:t>
      </w:r>
      <w:r w:rsidR="00382ED9">
        <w:rPr>
          <w:szCs w:val="24"/>
        </w:rPr>
        <w:t>the day after it is registered</w:t>
      </w:r>
      <w:r w:rsidRPr="003856A4">
        <w:rPr>
          <w:szCs w:val="24"/>
        </w:rPr>
        <w:t>.</w:t>
      </w:r>
    </w:p>
    <w:p w:rsidR="002E568B" w:rsidRPr="003856A4" w:rsidRDefault="002E568B" w:rsidP="00CD3FDA">
      <w:pPr>
        <w:ind w:right="-46"/>
        <w:rPr>
          <w:szCs w:val="24"/>
        </w:rPr>
      </w:pPr>
    </w:p>
    <w:p w:rsidR="00BE4CA6" w:rsidRDefault="00BE4CA6" w:rsidP="00CD3FDA">
      <w:pPr>
        <w:ind w:right="-46"/>
        <w:rPr>
          <w:szCs w:val="24"/>
        </w:rPr>
      </w:pPr>
      <w:r>
        <w:rPr>
          <w:szCs w:val="24"/>
        </w:rPr>
        <w:t>The Chairs of each of the ACSOM and the ACSMD wer</w:t>
      </w:r>
      <w:r w:rsidR="00CD3FDA">
        <w:rPr>
          <w:szCs w:val="24"/>
        </w:rPr>
        <w:t xml:space="preserve">e consulted in relation to the </w:t>
      </w:r>
      <w:r>
        <w:rPr>
          <w:szCs w:val="24"/>
        </w:rPr>
        <w:t>amendments to increase their membership and to add new fields of expertise for those committees.</w:t>
      </w:r>
    </w:p>
    <w:p w:rsidR="00BE4CA6" w:rsidRDefault="00BE4CA6" w:rsidP="00CD3FDA">
      <w:pPr>
        <w:ind w:right="-46"/>
        <w:rPr>
          <w:szCs w:val="24"/>
        </w:rPr>
      </w:pPr>
    </w:p>
    <w:p w:rsidR="00BE4CA6" w:rsidRPr="00CE6FD1" w:rsidRDefault="00BE4CA6" w:rsidP="00CD3FDA">
      <w:pPr>
        <w:ind w:right="-46"/>
        <w:rPr>
          <w:szCs w:val="24"/>
        </w:rPr>
      </w:pPr>
      <w:r>
        <w:rPr>
          <w:szCs w:val="24"/>
        </w:rPr>
        <w:t>Consultation was not undertaken in relation to the other me</w:t>
      </w:r>
      <w:r w:rsidR="00CD3FDA">
        <w:rPr>
          <w:szCs w:val="24"/>
        </w:rPr>
        <w:t xml:space="preserve">asures set out in the Amendment </w:t>
      </w:r>
      <w:r>
        <w:rPr>
          <w:szCs w:val="24"/>
        </w:rPr>
        <w:t>Regulation, as these are considered to be minor and machinery in nature, and do not substantially alter existing arrangements in relation to t</w:t>
      </w:r>
      <w:r w:rsidR="00CD3FDA">
        <w:rPr>
          <w:szCs w:val="24"/>
        </w:rPr>
        <w:t>he affected advisory committees</w:t>
      </w:r>
      <w:r>
        <w:rPr>
          <w:szCs w:val="24"/>
        </w:rPr>
        <w:t>.</w:t>
      </w:r>
    </w:p>
    <w:p w:rsidR="002E568B" w:rsidRPr="003856A4" w:rsidRDefault="002E568B" w:rsidP="00CD3FDA">
      <w:pPr>
        <w:ind w:right="-46"/>
        <w:rPr>
          <w:szCs w:val="24"/>
        </w:rPr>
      </w:pPr>
    </w:p>
    <w:p w:rsidR="00BA167E" w:rsidRPr="00BA167E" w:rsidRDefault="002E568B" w:rsidP="00CD3FDA">
      <w:pPr>
        <w:ind w:left="5670" w:right="-46" w:hanging="1134"/>
        <w:rPr>
          <w:szCs w:val="24"/>
        </w:rPr>
      </w:pPr>
      <w:r w:rsidRPr="003856A4">
        <w:rPr>
          <w:szCs w:val="24"/>
          <w:u w:val="single"/>
        </w:rPr>
        <w:t>Authority:</w:t>
      </w:r>
      <w:r w:rsidRPr="003856A4">
        <w:rPr>
          <w:szCs w:val="24"/>
        </w:rPr>
        <w:t xml:space="preserve"> </w:t>
      </w:r>
      <w:r w:rsidRPr="003856A4">
        <w:rPr>
          <w:szCs w:val="24"/>
        </w:rPr>
        <w:tab/>
      </w:r>
      <w:r w:rsidR="00BA167E">
        <w:rPr>
          <w:szCs w:val="24"/>
        </w:rPr>
        <w:t xml:space="preserve">Subsection 63(1) of the </w:t>
      </w:r>
      <w:r w:rsidR="00BA167E" w:rsidRPr="00BA167E">
        <w:rPr>
          <w:i/>
          <w:szCs w:val="24"/>
        </w:rPr>
        <w:t>Therapeutic Goods Act 1989</w:t>
      </w:r>
    </w:p>
    <w:p w:rsidR="0056578D" w:rsidRDefault="0056578D" w:rsidP="00CD3FDA">
      <w:pPr>
        <w:ind w:left="5670" w:right="-46"/>
        <w:rPr>
          <w:szCs w:val="24"/>
        </w:rPr>
      </w:pPr>
    </w:p>
    <w:p w:rsidR="002E568B" w:rsidRPr="00AC42A1" w:rsidRDefault="002E568B" w:rsidP="00CD3FDA">
      <w:pPr>
        <w:ind w:left="6237" w:right="-46" w:firstLine="3"/>
        <w:jc w:val="right"/>
        <w:rPr>
          <w:b/>
          <w:szCs w:val="24"/>
          <w:u w:val="single"/>
        </w:rPr>
      </w:pPr>
      <w:r w:rsidRPr="003856A4">
        <w:rPr>
          <w:color w:val="FF0000"/>
          <w:szCs w:val="24"/>
          <w:u w:val="single"/>
        </w:rPr>
        <w:br w:type="page"/>
      </w:r>
      <w:r w:rsidRPr="00AC42A1">
        <w:rPr>
          <w:b/>
          <w:szCs w:val="24"/>
          <w:u w:val="single"/>
        </w:rPr>
        <w:lastRenderedPageBreak/>
        <w:t>ATTACHMENT</w:t>
      </w:r>
    </w:p>
    <w:p w:rsidR="002E568B" w:rsidRPr="00684780" w:rsidRDefault="002E568B" w:rsidP="00CD3FDA">
      <w:pPr>
        <w:ind w:right="-46" w:firstLine="3"/>
        <w:rPr>
          <w:b/>
          <w:szCs w:val="24"/>
        </w:rPr>
      </w:pPr>
    </w:p>
    <w:p w:rsidR="002E568B" w:rsidRPr="00613321" w:rsidRDefault="00671D35" w:rsidP="00CD3FDA">
      <w:pPr>
        <w:ind w:right="-46" w:firstLine="3"/>
        <w:rPr>
          <w:b/>
          <w:i/>
          <w:caps/>
          <w:szCs w:val="24"/>
          <w:u w:val="single"/>
        </w:rPr>
      </w:pPr>
      <w:r>
        <w:rPr>
          <w:b/>
          <w:szCs w:val="24"/>
          <w:u w:val="single"/>
        </w:rPr>
        <w:t>Details of the</w:t>
      </w:r>
      <w:r w:rsidR="002E568B" w:rsidRPr="00613321">
        <w:rPr>
          <w:b/>
          <w:szCs w:val="24"/>
          <w:u w:val="single"/>
        </w:rPr>
        <w:t xml:space="preserve"> </w:t>
      </w:r>
      <w:r w:rsidR="002E568B" w:rsidRPr="00613321">
        <w:rPr>
          <w:b/>
          <w:i/>
          <w:szCs w:val="24"/>
          <w:u w:val="single"/>
        </w:rPr>
        <w:t xml:space="preserve">Therapeutic Goods </w:t>
      </w:r>
      <w:r w:rsidR="004553EE">
        <w:rPr>
          <w:b/>
          <w:i/>
          <w:szCs w:val="24"/>
          <w:u w:val="single"/>
        </w:rPr>
        <w:t>Amendment (Advisory Committees)</w:t>
      </w:r>
      <w:r w:rsidR="00BA167E" w:rsidRPr="00613321">
        <w:rPr>
          <w:b/>
          <w:i/>
          <w:szCs w:val="24"/>
          <w:u w:val="single"/>
        </w:rPr>
        <w:t xml:space="preserve"> Regulation 2013</w:t>
      </w:r>
    </w:p>
    <w:p w:rsidR="002E568B" w:rsidRPr="00684780" w:rsidRDefault="002E568B" w:rsidP="00CD3FDA">
      <w:pPr>
        <w:ind w:right="-46" w:firstLine="3"/>
        <w:rPr>
          <w:b/>
          <w:szCs w:val="24"/>
          <w:highlight w:val="yellow"/>
        </w:rPr>
      </w:pPr>
    </w:p>
    <w:p w:rsidR="002E568B" w:rsidRPr="00684780" w:rsidRDefault="002E568B" w:rsidP="00CD3FDA">
      <w:pPr>
        <w:ind w:right="-46" w:firstLine="3"/>
        <w:rPr>
          <w:szCs w:val="24"/>
        </w:rPr>
      </w:pPr>
      <w:r>
        <w:rPr>
          <w:szCs w:val="24"/>
          <w:u w:val="single"/>
        </w:rPr>
        <w:t>Sec</w:t>
      </w:r>
      <w:r w:rsidRPr="00684780">
        <w:rPr>
          <w:szCs w:val="24"/>
          <w:u w:val="single"/>
        </w:rPr>
        <w:t xml:space="preserve">tion 1 – Name of </w:t>
      </w:r>
      <w:r>
        <w:rPr>
          <w:szCs w:val="24"/>
          <w:u w:val="single"/>
        </w:rPr>
        <w:t>r</w:t>
      </w:r>
      <w:r w:rsidRPr="00684780">
        <w:rPr>
          <w:szCs w:val="24"/>
          <w:u w:val="single"/>
        </w:rPr>
        <w:t>egulation</w:t>
      </w:r>
    </w:p>
    <w:p w:rsidR="002E568B" w:rsidRPr="00684780" w:rsidRDefault="002E568B" w:rsidP="00CD3FDA">
      <w:pPr>
        <w:ind w:right="-46" w:firstLine="3"/>
        <w:rPr>
          <w:szCs w:val="24"/>
        </w:rPr>
      </w:pPr>
      <w:r w:rsidRPr="00684780">
        <w:rPr>
          <w:szCs w:val="24"/>
        </w:rPr>
        <w:t xml:space="preserve">This </w:t>
      </w:r>
      <w:r w:rsidR="00BA167E">
        <w:rPr>
          <w:szCs w:val="24"/>
        </w:rPr>
        <w:t>section</w:t>
      </w:r>
      <w:r w:rsidRPr="00684780">
        <w:rPr>
          <w:szCs w:val="24"/>
        </w:rPr>
        <w:t xml:space="preserve"> provide</w:t>
      </w:r>
      <w:r w:rsidR="00841D57">
        <w:rPr>
          <w:szCs w:val="24"/>
        </w:rPr>
        <w:t>s</w:t>
      </w:r>
      <w:r w:rsidRPr="00684780">
        <w:rPr>
          <w:szCs w:val="24"/>
        </w:rPr>
        <w:t xml:space="preserve"> for the </w:t>
      </w:r>
      <w:r>
        <w:rPr>
          <w:szCs w:val="24"/>
        </w:rPr>
        <w:t>r</w:t>
      </w:r>
      <w:r w:rsidRPr="00684780">
        <w:rPr>
          <w:szCs w:val="24"/>
        </w:rPr>
        <w:t xml:space="preserve">egulation to be referred to as the </w:t>
      </w:r>
      <w:r w:rsidRPr="00684780">
        <w:rPr>
          <w:i/>
          <w:szCs w:val="24"/>
        </w:rPr>
        <w:t>Therapeutic Goods</w:t>
      </w:r>
      <w:r w:rsidR="009B4412">
        <w:rPr>
          <w:i/>
          <w:szCs w:val="24"/>
        </w:rPr>
        <w:t xml:space="preserve"> Amendment</w:t>
      </w:r>
      <w:r w:rsidRPr="00684780">
        <w:rPr>
          <w:i/>
          <w:szCs w:val="24"/>
        </w:rPr>
        <w:t xml:space="preserve"> </w:t>
      </w:r>
      <w:r w:rsidR="004553EE">
        <w:rPr>
          <w:i/>
          <w:szCs w:val="24"/>
        </w:rPr>
        <w:t xml:space="preserve">(Advisory Committees) </w:t>
      </w:r>
      <w:r w:rsidRPr="00684780">
        <w:rPr>
          <w:i/>
          <w:szCs w:val="24"/>
        </w:rPr>
        <w:t>Regulation 201</w:t>
      </w:r>
      <w:r w:rsidR="001766E6">
        <w:rPr>
          <w:i/>
          <w:szCs w:val="24"/>
        </w:rPr>
        <w:t>3</w:t>
      </w:r>
      <w:r w:rsidRPr="00684780">
        <w:rPr>
          <w:i/>
          <w:szCs w:val="24"/>
        </w:rPr>
        <w:t>.</w:t>
      </w:r>
    </w:p>
    <w:p w:rsidR="002E568B" w:rsidRPr="00154185" w:rsidRDefault="002E568B" w:rsidP="00CD3FDA">
      <w:pPr>
        <w:ind w:right="-46" w:firstLine="3"/>
        <w:rPr>
          <w:szCs w:val="24"/>
        </w:rPr>
      </w:pPr>
    </w:p>
    <w:p w:rsidR="002E568B" w:rsidRPr="00684780" w:rsidRDefault="002E568B" w:rsidP="00CD3FDA">
      <w:pPr>
        <w:ind w:right="-46" w:firstLine="3"/>
        <w:rPr>
          <w:b/>
          <w:szCs w:val="24"/>
        </w:rPr>
      </w:pPr>
      <w:r>
        <w:rPr>
          <w:szCs w:val="24"/>
          <w:u w:val="single"/>
        </w:rPr>
        <w:t>Sec</w:t>
      </w:r>
      <w:r w:rsidRPr="00684780">
        <w:rPr>
          <w:szCs w:val="24"/>
          <w:u w:val="single"/>
        </w:rPr>
        <w:t>tion 2</w:t>
      </w:r>
      <w:r>
        <w:rPr>
          <w:szCs w:val="24"/>
          <w:u w:val="single"/>
        </w:rPr>
        <w:t xml:space="preserve"> – Co</w:t>
      </w:r>
      <w:r w:rsidRPr="00684780">
        <w:rPr>
          <w:szCs w:val="24"/>
          <w:u w:val="single"/>
        </w:rPr>
        <w:t>mmencement</w:t>
      </w:r>
    </w:p>
    <w:p w:rsidR="002E568B" w:rsidRPr="00684780" w:rsidRDefault="002E568B" w:rsidP="00CD3FDA">
      <w:pPr>
        <w:ind w:right="-46" w:firstLine="3"/>
        <w:rPr>
          <w:szCs w:val="24"/>
        </w:rPr>
      </w:pPr>
      <w:r w:rsidRPr="00684780">
        <w:rPr>
          <w:szCs w:val="24"/>
        </w:rPr>
        <w:t xml:space="preserve">This </w:t>
      </w:r>
      <w:r>
        <w:rPr>
          <w:szCs w:val="24"/>
        </w:rPr>
        <w:t>sec</w:t>
      </w:r>
      <w:r w:rsidRPr="00684780">
        <w:rPr>
          <w:szCs w:val="24"/>
        </w:rPr>
        <w:t>tion provide</w:t>
      </w:r>
      <w:r w:rsidR="00841D57">
        <w:rPr>
          <w:szCs w:val="24"/>
        </w:rPr>
        <w:t>s</w:t>
      </w:r>
      <w:r w:rsidRPr="00684780">
        <w:rPr>
          <w:szCs w:val="24"/>
        </w:rPr>
        <w:t xml:space="preserve"> for the </w:t>
      </w:r>
      <w:r>
        <w:rPr>
          <w:szCs w:val="24"/>
        </w:rPr>
        <w:t>r</w:t>
      </w:r>
      <w:r w:rsidRPr="00684780">
        <w:rPr>
          <w:szCs w:val="24"/>
        </w:rPr>
        <w:t>egu</w:t>
      </w:r>
      <w:r w:rsidR="009B4412">
        <w:rPr>
          <w:szCs w:val="24"/>
        </w:rPr>
        <w:t>lation to commence the day after it is registered</w:t>
      </w:r>
      <w:r w:rsidRPr="00684780">
        <w:rPr>
          <w:szCs w:val="24"/>
        </w:rPr>
        <w:t>.</w:t>
      </w:r>
    </w:p>
    <w:p w:rsidR="002E568B" w:rsidRPr="00154185" w:rsidRDefault="002E568B" w:rsidP="00CD3FDA">
      <w:pPr>
        <w:ind w:right="-46" w:firstLine="3"/>
        <w:rPr>
          <w:szCs w:val="24"/>
        </w:rPr>
      </w:pPr>
    </w:p>
    <w:p w:rsidR="00922B98" w:rsidRDefault="002E568B" w:rsidP="00CD3FDA">
      <w:pPr>
        <w:ind w:right="-46" w:firstLine="3"/>
        <w:rPr>
          <w:szCs w:val="24"/>
          <w:u w:val="single"/>
        </w:rPr>
      </w:pPr>
      <w:r>
        <w:rPr>
          <w:szCs w:val="24"/>
          <w:u w:val="single"/>
        </w:rPr>
        <w:t>Sec</w:t>
      </w:r>
      <w:r w:rsidRPr="00684780">
        <w:rPr>
          <w:szCs w:val="24"/>
          <w:u w:val="single"/>
        </w:rPr>
        <w:t xml:space="preserve">tion 3 – </w:t>
      </w:r>
      <w:r w:rsidR="00922B98">
        <w:rPr>
          <w:szCs w:val="24"/>
          <w:u w:val="single"/>
        </w:rPr>
        <w:t xml:space="preserve">Authority </w:t>
      </w:r>
    </w:p>
    <w:p w:rsidR="00900C44" w:rsidRPr="00900C44" w:rsidRDefault="00C326E4" w:rsidP="00CD3FDA">
      <w:pPr>
        <w:ind w:right="-46" w:firstLine="3"/>
        <w:rPr>
          <w:szCs w:val="24"/>
        </w:rPr>
      </w:pPr>
      <w:r>
        <w:rPr>
          <w:szCs w:val="24"/>
        </w:rPr>
        <w:t>This section provide</w:t>
      </w:r>
      <w:r w:rsidR="00841D57">
        <w:rPr>
          <w:szCs w:val="24"/>
        </w:rPr>
        <w:t>s</w:t>
      </w:r>
      <w:r>
        <w:rPr>
          <w:szCs w:val="24"/>
        </w:rPr>
        <w:t xml:space="preserve"> that the regulation is made</w:t>
      </w:r>
      <w:r w:rsidR="00574D01">
        <w:rPr>
          <w:szCs w:val="24"/>
        </w:rPr>
        <w:t xml:space="preserve"> under the </w:t>
      </w:r>
      <w:r w:rsidRPr="00C326E4">
        <w:rPr>
          <w:i/>
          <w:szCs w:val="24"/>
        </w:rPr>
        <w:t>Therapeutic Goods Act 1989</w:t>
      </w:r>
      <w:r w:rsidR="00A251B0">
        <w:rPr>
          <w:i/>
          <w:szCs w:val="24"/>
        </w:rPr>
        <w:t xml:space="preserve"> </w:t>
      </w:r>
      <w:r w:rsidR="0042269B" w:rsidRPr="0042269B">
        <w:rPr>
          <w:szCs w:val="24"/>
        </w:rPr>
        <w:t>(the Act)</w:t>
      </w:r>
      <w:r>
        <w:rPr>
          <w:szCs w:val="24"/>
        </w:rPr>
        <w:t>.</w:t>
      </w:r>
    </w:p>
    <w:p w:rsidR="00900C44" w:rsidRDefault="00900C44" w:rsidP="00CD3FDA">
      <w:pPr>
        <w:ind w:right="-46" w:firstLine="3"/>
        <w:rPr>
          <w:szCs w:val="24"/>
          <w:u w:val="single"/>
        </w:rPr>
      </w:pPr>
    </w:p>
    <w:p w:rsidR="00922B98" w:rsidRDefault="00922B98" w:rsidP="00CD3FDA">
      <w:pPr>
        <w:pStyle w:val="Heading1"/>
        <w:ind w:right="-46"/>
        <w:rPr>
          <w:b w:val="0"/>
          <w:szCs w:val="24"/>
          <w:u w:val="single"/>
        </w:rPr>
      </w:pPr>
      <w:r>
        <w:rPr>
          <w:b w:val="0"/>
          <w:szCs w:val="24"/>
          <w:u w:val="single"/>
        </w:rPr>
        <w:t>Section 4 – Schedule</w:t>
      </w:r>
    </w:p>
    <w:p w:rsidR="00941170" w:rsidRDefault="00EE6E54" w:rsidP="00CD3FDA">
      <w:pPr>
        <w:pStyle w:val="Heading1"/>
        <w:ind w:right="-46"/>
        <w:rPr>
          <w:b w:val="0"/>
          <w:szCs w:val="24"/>
        </w:rPr>
      </w:pPr>
      <w:r>
        <w:rPr>
          <w:b w:val="0"/>
          <w:szCs w:val="24"/>
        </w:rPr>
        <w:t xml:space="preserve">Each instrument that is specified in a Schedule to this instrument is </w:t>
      </w:r>
      <w:r w:rsidR="0056578D">
        <w:rPr>
          <w:b w:val="0"/>
          <w:szCs w:val="24"/>
        </w:rPr>
        <w:t>amended or repeal</w:t>
      </w:r>
      <w:r w:rsidR="007D7FA8">
        <w:rPr>
          <w:b w:val="0"/>
          <w:szCs w:val="24"/>
        </w:rPr>
        <w:t>ed</w:t>
      </w:r>
      <w:r w:rsidR="0056578D">
        <w:rPr>
          <w:b w:val="0"/>
          <w:szCs w:val="24"/>
        </w:rPr>
        <w:t xml:space="preserve"> as set out in the applicable items in the Schedule concerned, and any other item in a Schedule to this instrument has effect according to its terms.</w:t>
      </w:r>
    </w:p>
    <w:p w:rsidR="000B380F" w:rsidRDefault="000B380F" w:rsidP="00CD3FDA">
      <w:pPr>
        <w:ind w:right="-46"/>
      </w:pPr>
    </w:p>
    <w:p w:rsidR="000B380F" w:rsidRPr="00D30DEE" w:rsidRDefault="00D30DEE" w:rsidP="00CD3FDA">
      <w:pPr>
        <w:ind w:right="-46"/>
        <w:rPr>
          <w:u w:val="single"/>
        </w:rPr>
      </w:pPr>
      <w:r w:rsidRPr="00D30DEE">
        <w:rPr>
          <w:u w:val="single"/>
        </w:rPr>
        <w:t>Schedule 1 –</w:t>
      </w:r>
      <w:r>
        <w:rPr>
          <w:u w:val="single"/>
        </w:rPr>
        <w:t xml:space="preserve"> Amendments</w:t>
      </w:r>
    </w:p>
    <w:p w:rsidR="000B380F" w:rsidRDefault="000B380F" w:rsidP="00CD3FDA">
      <w:pPr>
        <w:ind w:right="-46"/>
      </w:pPr>
    </w:p>
    <w:p w:rsidR="0056578D" w:rsidRDefault="009B4412" w:rsidP="00CD3FDA">
      <w:pPr>
        <w:ind w:right="-46"/>
        <w:rPr>
          <w:b/>
          <w:i/>
        </w:rPr>
      </w:pPr>
      <w:r>
        <w:rPr>
          <w:b/>
          <w:i/>
        </w:rPr>
        <w:t xml:space="preserve">Therapeutic Goods </w:t>
      </w:r>
      <w:r w:rsidR="0056578D">
        <w:rPr>
          <w:b/>
          <w:i/>
        </w:rPr>
        <w:t>Regulation</w:t>
      </w:r>
      <w:r w:rsidR="00DF45CA">
        <w:rPr>
          <w:b/>
          <w:i/>
        </w:rPr>
        <w:t>s</w:t>
      </w:r>
      <w:r w:rsidR="0056578D">
        <w:rPr>
          <w:b/>
          <w:i/>
        </w:rPr>
        <w:t xml:space="preserve"> 1990</w:t>
      </w:r>
    </w:p>
    <w:p w:rsidR="0056578D" w:rsidRDefault="0056578D" w:rsidP="00CD3FDA">
      <w:pPr>
        <w:ind w:right="-46"/>
      </w:pPr>
    </w:p>
    <w:p w:rsidR="005F65C6" w:rsidRPr="005F65C6" w:rsidRDefault="005F65C6" w:rsidP="00CD3FDA">
      <w:pPr>
        <w:ind w:right="-46"/>
        <w:rPr>
          <w:b/>
        </w:rPr>
      </w:pPr>
      <w:r w:rsidRPr="005F65C6">
        <w:rPr>
          <w:b/>
        </w:rPr>
        <w:t>Item 1</w:t>
      </w:r>
      <w:r w:rsidR="00342F0F">
        <w:rPr>
          <w:b/>
        </w:rPr>
        <w:t xml:space="preserve"> – Subregulation 34A(1)</w:t>
      </w:r>
    </w:p>
    <w:p w:rsidR="00193D79" w:rsidRDefault="00193D79" w:rsidP="00CD3FDA">
      <w:pPr>
        <w:ind w:right="-46"/>
      </w:pPr>
      <w:r>
        <w:t xml:space="preserve">Subregulation 34A(1) of the </w:t>
      </w:r>
      <w:r w:rsidR="00821421">
        <w:t xml:space="preserve">Principal </w:t>
      </w:r>
      <w:r>
        <w:t>Regulati</w:t>
      </w:r>
      <w:r w:rsidR="005D271C">
        <w:t xml:space="preserve">ons </w:t>
      </w:r>
      <w:r w:rsidR="009D29AB">
        <w:t>provides</w:t>
      </w:r>
      <w:r w:rsidR="00AC16BE">
        <w:t xml:space="preserve"> </w:t>
      </w:r>
      <w:r w:rsidR="00695945">
        <w:t xml:space="preserve">that </w:t>
      </w:r>
      <w:r>
        <w:t xml:space="preserve">the functions of the Therapeutic </w:t>
      </w:r>
      <w:r w:rsidR="00F87284">
        <w:t>Goods Committee (the TGC)</w:t>
      </w:r>
      <w:r w:rsidR="00695945">
        <w:t xml:space="preserve"> </w:t>
      </w:r>
      <w:r w:rsidR="00F87284">
        <w:t>are</w:t>
      </w:r>
      <w:r>
        <w:t>:</w:t>
      </w:r>
    </w:p>
    <w:p w:rsidR="00193D79" w:rsidRDefault="00193D79" w:rsidP="00CD3FDA">
      <w:pPr>
        <w:ind w:right="-46"/>
      </w:pPr>
    </w:p>
    <w:p w:rsidR="005F65C6" w:rsidRDefault="00F87284" w:rsidP="00CD3FDA">
      <w:pPr>
        <w:pStyle w:val="ListParagraph"/>
        <w:numPr>
          <w:ilvl w:val="0"/>
          <w:numId w:val="11"/>
        </w:numPr>
        <w:ind w:left="567" w:right="-46" w:hanging="283"/>
      </w:pPr>
      <w:r>
        <w:t>under paragraph 34A(1)(a)</w:t>
      </w:r>
      <w:r w:rsidR="00D562AD">
        <w:t xml:space="preserve"> of the </w:t>
      </w:r>
      <w:r w:rsidR="00821421">
        <w:t xml:space="preserve">Principal </w:t>
      </w:r>
      <w:r w:rsidR="00D562AD">
        <w:t>Regulations</w:t>
      </w:r>
      <w:r>
        <w:t xml:space="preserve">, to </w:t>
      </w:r>
      <w:r w:rsidR="00193D79">
        <w:t xml:space="preserve">advise and make recommendations to the Minister about the matters </w:t>
      </w:r>
      <w:r>
        <w:t xml:space="preserve">relating to standards for therapeutic goods </w:t>
      </w:r>
      <w:r w:rsidR="00E72D69">
        <w:t xml:space="preserve">that are </w:t>
      </w:r>
      <w:r w:rsidR="00193D79">
        <w:t>listed at subp</w:t>
      </w:r>
      <w:r w:rsidR="00821421">
        <w:t>aragraphs 34A(1)(a)(i) – (vii),</w:t>
      </w:r>
      <w:r w:rsidR="00193D79">
        <w:t xml:space="preserve"> (e.g. the adoption of standards</w:t>
      </w:r>
      <w:r>
        <w:t>)</w:t>
      </w:r>
      <w:r w:rsidR="00193D79">
        <w:t>; and</w:t>
      </w:r>
    </w:p>
    <w:p w:rsidR="00193D79" w:rsidRDefault="00F87284" w:rsidP="00CD3FDA">
      <w:pPr>
        <w:pStyle w:val="ListParagraph"/>
        <w:numPr>
          <w:ilvl w:val="0"/>
          <w:numId w:val="11"/>
        </w:numPr>
        <w:ind w:left="567" w:right="-46" w:hanging="283"/>
      </w:pPr>
      <w:r>
        <w:t>under paragraph 34A(1)(b)</w:t>
      </w:r>
      <w:r w:rsidR="00D562AD">
        <w:t xml:space="preserve"> of the </w:t>
      </w:r>
      <w:r w:rsidR="00821421">
        <w:t xml:space="preserve">Principal </w:t>
      </w:r>
      <w:r w:rsidR="00D562AD">
        <w:t>Regulations</w:t>
      </w:r>
      <w:r>
        <w:t xml:space="preserve">, to </w:t>
      </w:r>
      <w:r w:rsidR="00514672">
        <w:t>advise and make recommendations to the Minister</w:t>
      </w:r>
      <w:r w:rsidR="00E72D69">
        <w:t>,</w:t>
      </w:r>
      <w:r w:rsidR="00514672">
        <w:t xml:space="preserve"> or the Secretary</w:t>
      </w:r>
      <w:r w:rsidR="00E72D69">
        <w:t>,</w:t>
      </w:r>
      <w:r w:rsidR="00514672">
        <w:t xml:space="preserve"> “</w:t>
      </w:r>
      <w:r w:rsidR="00514672" w:rsidRPr="006A5FE2">
        <w:rPr>
          <w:i/>
        </w:rPr>
        <w:t xml:space="preserve">on matters referred to the committee </w:t>
      </w:r>
      <w:r w:rsidR="006A5FE2" w:rsidRPr="006A5FE2">
        <w:rPr>
          <w:i/>
        </w:rPr>
        <w:t>by the Minister or Secretary</w:t>
      </w:r>
      <w:r w:rsidR="006A5FE2">
        <w:t>”.</w:t>
      </w:r>
    </w:p>
    <w:p w:rsidR="003E37AF" w:rsidRDefault="003E37AF" w:rsidP="00CD3FDA">
      <w:pPr>
        <w:ind w:right="-46"/>
      </w:pPr>
    </w:p>
    <w:p w:rsidR="005F65C6" w:rsidRDefault="003E37AF" w:rsidP="00CD3FDA">
      <w:pPr>
        <w:ind w:right="-46"/>
      </w:pPr>
      <w:r>
        <w:t>Item 1 introduce</w:t>
      </w:r>
      <w:r w:rsidR="00841D57">
        <w:t>s</w:t>
      </w:r>
      <w:r>
        <w:t xml:space="preserve"> a new subregulation 34A(1) to the </w:t>
      </w:r>
      <w:r w:rsidR="00821421">
        <w:t xml:space="preserve">Principal </w:t>
      </w:r>
      <w:r w:rsidR="00CD3FDA">
        <w:t>Regulations which</w:t>
      </w:r>
      <w:r>
        <w:t>, principally,</w:t>
      </w:r>
      <w:r w:rsidR="00D562AD">
        <w:t xml:space="preserve"> </w:t>
      </w:r>
      <w:r w:rsidR="00E72D69">
        <w:t>ha</w:t>
      </w:r>
      <w:r w:rsidR="00841D57">
        <w:t>s</w:t>
      </w:r>
      <w:r w:rsidR="00E72D69">
        <w:t xml:space="preserve"> the effect of </w:t>
      </w:r>
      <w:r w:rsidR="00D562AD">
        <w:t>implement</w:t>
      </w:r>
      <w:r w:rsidR="00E72D69">
        <w:t>ing</w:t>
      </w:r>
      <w:r w:rsidR="00D562AD">
        <w:t xml:space="preserve"> the following</w:t>
      </w:r>
      <w:r w:rsidR="005F4FBA">
        <w:t xml:space="preserve"> changes </w:t>
      </w:r>
      <w:r w:rsidR="00D562AD">
        <w:t>compared to the current subregulation 34A(1)</w:t>
      </w:r>
      <w:r w:rsidR="001B6539">
        <w:t xml:space="preserve"> by</w:t>
      </w:r>
      <w:r w:rsidR="00D562AD">
        <w:t>:</w:t>
      </w:r>
    </w:p>
    <w:p w:rsidR="00D562AD" w:rsidRDefault="00D562AD" w:rsidP="00CD3FDA">
      <w:pPr>
        <w:ind w:right="-46"/>
      </w:pPr>
    </w:p>
    <w:p w:rsidR="00967351" w:rsidRDefault="00967351" w:rsidP="00CD3FDA">
      <w:pPr>
        <w:pStyle w:val="ListParagraph"/>
        <w:numPr>
          <w:ilvl w:val="0"/>
          <w:numId w:val="11"/>
        </w:numPr>
        <w:ind w:left="567" w:right="-46" w:hanging="283"/>
      </w:pPr>
      <w:r>
        <w:t>replacing the current description</w:t>
      </w:r>
      <w:r w:rsidR="00E86888">
        <w:t>s</w:t>
      </w:r>
      <w:r>
        <w:t xml:space="preserve"> of the role of the TGC to “advise” the Min</w:t>
      </w:r>
      <w:r w:rsidR="00E86888">
        <w:t>ister under paragraph 34A(1)(a), or the Minister or Secretary under paragraph 34A(1)(b)</w:t>
      </w:r>
      <w:r>
        <w:t>, with a reference to this role being to “provide advice”;</w:t>
      </w:r>
      <w:r w:rsidR="00DC3CFF">
        <w:t xml:space="preserve"> and</w:t>
      </w:r>
    </w:p>
    <w:p w:rsidR="00D562AD" w:rsidRDefault="00D562AD" w:rsidP="00CD3FDA">
      <w:pPr>
        <w:pStyle w:val="ListParagraph"/>
        <w:numPr>
          <w:ilvl w:val="0"/>
          <w:numId w:val="11"/>
        </w:numPr>
        <w:ind w:left="567" w:right="-46" w:hanging="283"/>
      </w:pPr>
      <w:r>
        <w:t>clarify</w:t>
      </w:r>
      <w:r w:rsidR="00223A41">
        <w:t>ing</w:t>
      </w:r>
      <w:r w:rsidR="00967351">
        <w:t xml:space="preserve"> that the TGC’s role of providing advice and making</w:t>
      </w:r>
      <w:r>
        <w:t xml:space="preserve"> recommendations </w:t>
      </w:r>
      <w:r w:rsidR="00967351">
        <w:t xml:space="preserve">to the Minister, or the Minister or Secretary, is only </w:t>
      </w:r>
      <w:r>
        <w:t xml:space="preserve">activated where </w:t>
      </w:r>
      <w:r w:rsidR="00967351">
        <w:t>the Minister or Secretary</w:t>
      </w:r>
      <w:r w:rsidR="00E72D69">
        <w:t xml:space="preserve"> </w:t>
      </w:r>
      <w:r w:rsidR="00967351">
        <w:t>has requested such advice or recommendations</w:t>
      </w:r>
      <w:r w:rsidR="00DC3CFF">
        <w:t>.</w:t>
      </w:r>
    </w:p>
    <w:p w:rsidR="00D562AD" w:rsidRDefault="00D562AD" w:rsidP="00CD3FDA">
      <w:pPr>
        <w:ind w:right="-46"/>
      </w:pPr>
    </w:p>
    <w:p w:rsidR="005D271C" w:rsidRDefault="005D271C" w:rsidP="00CD3FDA">
      <w:pPr>
        <w:ind w:right="-46"/>
      </w:pPr>
      <w:r>
        <w:t xml:space="preserve">In relation to the </w:t>
      </w:r>
      <w:r w:rsidR="00AC16BE">
        <w:t>former</w:t>
      </w:r>
      <w:r>
        <w:t>, this amendment is designed to make clearer the distinction between advice and recommendations, as given or made by the TGC.</w:t>
      </w:r>
      <w:r w:rsidR="00AC16BE">
        <w:t xml:space="preserve">  </w:t>
      </w:r>
      <w:r>
        <w:t xml:space="preserve">This is important because, under subregulation 42(12), the Secretary is required to publish the recommendations (but not the </w:t>
      </w:r>
      <w:r>
        <w:lastRenderedPageBreak/>
        <w:t xml:space="preserve">advice) of each of the committees established under Divisions 1-1EB of Part 6 of the Regulations (which includes the TGC), following </w:t>
      </w:r>
      <w:r w:rsidR="00695945">
        <w:t>meetings of that committee</w:t>
      </w:r>
      <w:r>
        <w:t>.</w:t>
      </w:r>
    </w:p>
    <w:p w:rsidR="005D271C" w:rsidRDefault="005D271C" w:rsidP="00CD3FDA">
      <w:pPr>
        <w:ind w:right="-46"/>
      </w:pPr>
    </w:p>
    <w:p w:rsidR="005D271C" w:rsidRDefault="005D271C" w:rsidP="00CD3FDA">
      <w:pPr>
        <w:ind w:right="-46"/>
      </w:pPr>
      <w:r>
        <w:t xml:space="preserve">In relation to the </w:t>
      </w:r>
      <w:r w:rsidR="00AC16BE">
        <w:t>latter</w:t>
      </w:r>
      <w:r>
        <w:t>, t</w:t>
      </w:r>
      <w:r w:rsidR="00FF1672">
        <w:t>his is intended to clarify</w:t>
      </w:r>
      <w:r>
        <w:t xml:space="preserve"> that the </w:t>
      </w:r>
      <w:r w:rsidR="00264954">
        <w:t xml:space="preserve">TGC </w:t>
      </w:r>
      <w:r w:rsidR="00FF1672">
        <w:t>is only to undertake its</w:t>
      </w:r>
      <w:r>
        <w:t xml:space="preserve"> functions of giving advice or making recommendations </w:t>
      </w:r>
      <w:r w:rsidR="00AC16BE">
        <w:t xml:space="preserve">in response to a request from </w:t>
      </w:r>
      <w:r>
        <w:t>the Minister</w:t>
      </w:r>
      <w:r w:rsidR="00FF1672">
        <w:t xml:space="preserve"> (paragraph 34A(1)(a)),</w:t>
      </w:r>
      <w:r>
        <w:t xml:space="preserve"> </w:t>
      </w:r>
      <w:r w:rsidR="00FF1672">
        <w:t xml:space="preserve">or </w:t>
      </w:r>
      <w:r w:rsidR="00AC16BE">
        <w:t xml:space="preserve">from </w:t>
      </w:r>
      <w:r w:rsidR="00FF1672">
        <w:t xml:space="preserve">the Minister </w:t>
      </w:r>
      <w:r>
        <w:t>or Secretary</w:t>
      </w:r>
      <w:r w:rsidR="00FF1672">
        <w:t xml:space="preserve"> (paragraph 34A(1)(b))</w:t>
      </w:r>
      <w:r>
        <w:t>.</w:t>
      </w:r>
    </w:p>
    <w:p w:rsidR="005D271C" w:rsidRDefault="005D271C" w:rsidP="00CD3FDA">
      <w:pPr>
        <w:ind w:right="-46"/>
      </w:pPr>
    </w:p>
    <w:p w:rsidR="00DC3CFF" w:rsidRPr="0073644B" w:rsidRDefault="0073644B" w:rsidP="00CD3FDA">
      <w:pPr>
        <w:tabs>
          <w:tab w:val="left" w:pos="0"/>
        </w:tabs>
        <w:ind w:right="-46"/>
        <w:rPr>
          <w:b/>
        </w:rPr>
      </w:pPr>
      <w:r w:rsidRPr="0073644B">
        <w:rPr>
          <w:b/>
        </w:rPr>
        <w:t>Item 2</w:t>
      </w:r>
      <w:r w:rsidR="00342F0F">
        <w:rPr>
          <w:b/>
        </w:rPr>
        <w:t xml:space="preserve"> – Subregulation 35A(1)</w:t>
      </w:r>
    </w:p>
    <w:p w:rsidR="005F65C6" w:rsidRDefault="0057784E" w:rsidP="00CD3FDA">
      <w:pPr>
        <w:ind w:right="-46"/>
      </w:pPr>
      <w:r>
        <w:t>Subregulation 35A(</w:t>
      </w:r>
      <w:r w:rsidR="005D271C">
        <w:t xml:space="preserve">1) of the </w:t>
      </w:r>
      <w:r w:rsidR="001B6539">
        <w:t xml:space="preserve">Principal </w:t>
      </w:r>
      <w:r w:rsidR="005D271C">
        <w:t xml:space="preserve">Regulations </w:t>
      </w:r>
      <w:r w:rsidR="00AC16BE">
        <w:t xml:space="preserve">says </w:t>
      </w:r>
      <w:r w:rsidR="00B26600">
        <w:t>that the</w:t>
      </w:r>
      <w:r w:rsidR="005D271C">
        <w:t xml:space="preserve"> functions of the Advisory Committee on Pr</w:t>
      </w:r>
      <w:r w:rsidR="00826374">
        <w:t>escription Medicines (the ACPM)</w:t>
      </w:r>
      <w:r w:rsidR="00AC16BE">
        <w:t xml:space="preserve"> are </w:t>
      </w:r>
      <w:r w:rsidR="00296838">
        <w:t>to a</w:t>
      </w:r>
      <w:r w:rsidR="005D271C">
        <w:t>dvise and make recommendations to the Minister or Secretary about the matters listed at paragraphs 35A(1)(a) – (e)</w:t>
      </w:r>
      <w:r w:rsidR="00E86888">
        <w:t xml:space="preserve"> (e.g. the inclusion of a prescription medicine in the Australian Register of Therapeutic Goods</w:t>
      </w:r>
      <w:r w:rsidR="00695945">
        <w:t xml:space="preserve"> (the Register)</w:t>
      </w:r>
      <w:r w:rsidR="00E86888">
        <w:t>)</w:t>
      </w:r>
      <w:r w:rsidR="005D271C">
        <w:t>.</w:t>
      </w:r>
    </w:p>
    <w:p w:rsidR="005F65C6" w:rsidRDefault="005F65C6" w:rsidP="00CD3FDA">
      <w:pPr>
        <w:ind w:right="-46"/>
      </w:pPr>
    </w:p>
    <w:p w:rsidR="003E37AF" w:rsidRDefault="00826374" w:rsidP="00CD3FDA">
      <w:pPr>
        <w:ind w:right="-46"/>
      </w:pPr>
      <w:r>
        <w:t>Item 2  introduce</w:t>
      </w:r>
      <w:r w:rsidR="00841D57">
        <w:t>s</w:t>
      </w:r>
      <w:r>
        <w:t xml:space="preserve"> a new subregulation 35A(1) to the </w:t>
      </w:r>
      <w:r w:rsidR="001B6539">
        <w:t xml:space="preserve">Principal </w:t>
      </w:r>
      <w:r>
        <w:t>Regulations</w:t>
      </w:r>
      <w:r w:rsidR="00264954">
        <w:t xml:space="preserve">, which </w:t>
      </w:r>
      <w:r w:rsidR="00296838">
        <w:t xml:space="preserve"> </w:t>
      </w:r>
      <w:r w:rsidR="00CE619E">
        <w:t>largely</w:t>
      </w:r>
      <w:r w:rsidR="00E86888">
        <w:t xml:space="preserve"> </w:t>
      </w:r>
      <w:r w:rsidR="00695945">
        <w:t>contain</w:t>
      </w:r>
      <w:r w:rsidR="00841D57">
        <w:t>s</w:t>
      </w:r>
      <w:r w:rsidR="00E86888">
        <w:t xml:space="preserve"> equivalent changes to those outlined above in item 1</w:t>
      </w:r>
      <w:r w:rsidR="001B6539">
        <w:t xml:space="preserve">, </w:t>
      </w:r>
      <w:r>
        <w:t xml:space="preserve"> i.e. to refer to “provide advice” rather than “advise”, and to highlight that the ACPM</w:t>
      </w:r>
      <w:r w:rsidR="0020352D">
        <w:t>’s</w:t>
      </w:r>
      <w:r>
        <w:t xml:space="preserve"> role is only activated in response to a request from the Minister or Secretary.</w:t>
      </w:r>
    </w:p>
    <w:p w:rsidR="003E37AF" w:rsidRDefault="003E37AF" w:rsidP="00CD3FDA">
      <w:pPr>
        <w:ind w:right="-46"/>
      </w:pPr>
    </w:p>
    <w:p w:rsidR="00D32F37" w:rsidRDefault="00D32F37" w:rsidP="00CD3FDA">
      <w:pPr>
        <w:ind w:right="-46"/>
      </w:pPr>
      <w:r>
        <w:t>In addition, item 2 replace</w:t>
      </w:r>
      <w:r w:rsidR="00841D57">
        <w:t>s</w:t>
      </w:r>
      <w:r>
        <w:t xml:space="preserve"> the current reference in paragraph 35A(1)(a) to “the Australian Register of Therapeutic Goods (the Register)” with a reference simply to “Register”, as this term is defined in subsection 3(1) of the Act.</w:t>
      </w:r>
    </w:p>
    <w:p w:rsidR="00D32F37" w:rsidRDefault="00D32F37" w:rsidP="00CD3FDA">
      <w:pPr>
        <w:ind w:right="-46"/>
      </w:pPr>
    </w:p>
    <w:p w:rsidR="003E37AF" w:rsidRDefault="003E37AF" w:rsidP="00CD3FDA">
      <w:pPr>
        <w:ind w:right="-46"/>
      </w:pPr>
      <w:r>
        <w:t xml:space="preserve">Item 2 </w:t>
      </w:r>
      <w:r w:rsidR="00826374">
        <w:t>also implement</w:t>
      </w:r>
      <w:r w:rsidR="00841D57">
        <w:t>s</w:t>
      </w:r>
      <w:r w:rsidR="00826374">
        <w:t xml:space="preserve"> a minor editorial </w:t>
      </w:r>
      <w:r>
        <w:t>c</w:t>
      </w:r>
      <w:r w:rsidR="00826374">
        <w:t xml:space="preserve">hange </w:t>
      </w:r>
      <w:r w:rsidR="00264954">
        <w:t xml:space="preserve">to combine </w:t>
      </w:r>
      <w:r w:rsidR="00826374">
        <w:t xml:space="preserve">current paragraphs 35A(1)(d) and (e) of the </w:t>
      </w:r>
      <w:r w:rsidR="001B6539">
        <w:t xml:space="preserve">Principal </w:t>
      </w:r>
      <w:r w:rsidR="00826374">
        <w:t>Regulations</w:t>
      </w:r>
      <w:r w:rsidR="00264954">
        <w:t xml:space="preserve"> (in a new paragraph 35A(1)(d)), and remove the reference in paragraph (e) to “</w:t>
      </w:r>
      <w:r w:rsidR="00264954" w:rsidRPr="00264954">
        <w:rPr>
          <w:i/>
        </w:rPr>
        <w:t>any other matter referred to the committee by the Minister or Secretary</w:t>
      </w:r>
      <w:r w:rsidR="00264954">
        <w:t xml:space="preserve">”.  As the new </w:t>
      </w:r>
      <w:proofErr w:type="spellStart"/>
      <w:r w:rsidR="00264954">
        <w:t>subregulation</w:t>
      </w:r>
      <w:proofErr w:type="spellEnd"/>
      <w:r w:rsidR="00264954">
        <w:t xml:space="preserve"> 35A(1)  make</w:t>
      </w:r>
      <w:r w:rsidR="00841D57">
        <w:t>s</w:t>
      </w:r>
      <w:r w:rsidR="00264954">
        <w:t xml:space="preserve"> it clear the ACPM is only to give its advice etc. </w:t>
      </w:r>
      <w:r w:rsidR="00AC16BE">
        <w:t xml:space="preserve">at </w:t>
      </w:r>
      <w:r w:rsidR="00264954">
        <w:t xml:space="preserve">the </w:t>
      </w:r>
      <w:r w:rsidR="00AC16BE">
        <w:t xml:space="preserve">request of the </w:t>
      </w:r>
      <w:r w:rsidR="00264954">
        <w:t xml:space="preserve">Minister or Secretary, this reference </w:t>
      </w:r>
      <w:r w:rsidR="00841D57">
        <w:t>will</w:t>
      </w:r>
      <w:r w:rsidR="00264954">
        <w:t xml:space="preserve"> be redundant.</w:t>
      </w:r>
    </w:p>
    <w:p w:rsidR="002A6FEA" w:rsidRDefault="002A6FEA" w:rsidP="00CD3FDA">
      <w:pPr>
        <w:ind w:right="-46"/>
      </w:pPr>
    </w:p>
    <w:p w:rsidR="005F65C6" w:rsidRPr="00CB22E2" w:rsidRDefault="00CB22E2" w:rsidP="00CD3FDA">
      <w:pPr>
        <w:ind w:right="-46"/>
        <w:rPr>
          <w:b/>
        </w:rPr>
      </w:pPr>
      <w:r w:rsidRPr="00CB22E2">
        <w:rPr>
          <w:b/>
        </w:rPr>
        <w:t>Item 3</w:t>
      </w:r>
      <w:r w:rsidR="0020352D">
        <w:rPr>
          <w:b/>
        </w:rPr>
        <w:t xml:space="preserve"> – </w:t>
      </w:r>
      <w:r w:rsidR="00342F0F">
        <w:rPr>
          <w:b/>
        </w:rPr>
        <w:t>Subregulation 36A(1)</w:t>
      </w:r>
    </w:p>
    <w:p w:rsidR="00695945" w:rsidRDefault="00695945" w:rsidP="00CD3FDA">
      <w:pPr>
        <w:ind w:right="-46"/>
      </w:pPr>
      <w:r>
        <w:t xml:space="preserve">Subregulation 36A(1) of the </w:t>
      </w:r>
      <w:r w:rsidR="001B6539">
        <w:t xml:space="preserve">Principal </w:t>
      </w:r>
      <w:r>
        <w:t xml:space="preserve">Regulations </w:t>
      </w:r>
      <w:r w:rsidR="00AC16BE">
        <w:t xml:space="preserve">says </w:t>
      </w:r>
      <w:r w:rsidR="00B26600">
        <w:t>that the</w:t>
      </w:r>
      <w:r>
        <w:t xml:space="preserve"> functions of the Advisory Committee on Non-prescription Medicines (the ACNM)</w:t>
      </w:r>
      <w:r w:rsidR="00AC16BE">
        <w:t xml:space="preserve"> are </w:t>
      </w:r>
      <w:r>
        <w:t xml:space="preserve">to advise and make recommendations to the Minister or Secretary about the matters listed at paragraphs </w:t>
      </w:r>
      <w:r w:rsidR="001B6539">
        <w:t xml:space="preserve">   </w:t>
      </w:r>
      <w:r>
        <w:t>36A(1)(a) – (e) (e.g. the inclusion of a non-prescription medicine in the Register).</w:t>
      </w:r>
    </w:p>
    <w:p w:rsidR="00695945" w:rsidRDefault="00695945" w:rsidP="00CD3FDA">
      <w:pPr>
        <w:ind w:right="-46"/>
      </w:pPr>
    </w:p>
    <w:p w:rsidR="00695945" w:rsidRDefault="00695945" w:rsidP="00CD3FDA">
      <w:pPr>
        <w:ind w:right="-46"/>
      </w:pPr>
      <w:r>
        <w:t>Item 3 introduce</w:t>
      </w:r>
      <w:r w:rsidR="00841D57">
        <w:t>s</w:t>
      </w:r>
      <w:r>
        <w:t xml:space="preserve"> a new </w:t>
      </w:r>
      <w:proofErr w:type="spellStart"/>
      <w:r>
        <w:t>subregulation</w:t>
      </w:r>
      <w:proofErr w:type="spellEnd"/>
      <w:r>
        <w:t xml:space="preserve"> 36A(1) to the </w:t>
      </w:r>
      <w:r w:rsidR="001B6539">
        <w:t xml:space="preserve">Principal </w:t>
      </w:r>
      <w:r>
        <w:t>Regulations.</w:t>
      </w:r>
    </w:p>
    <w:p w:rsidR="00695945" w:rsidRDefault="00695945" w:rsidP="00CD3FDA">
      <w:pPr>
        <w:ind w:right="-46"/>
      </w:pPr>
    </w:p>
    <w:p w:rsidR="005F65C6" w:rsidRDefault="00695945" w:rsidP="00CD3FDA">
      <w:pPr>
        <w:ind w:right="-46"/>
      </w:pPr>
      <w:r>
        <w:t xml:space="preserve">The new </w:t>
      </w:r>
      <w:proofErr w:type="spellStart"/>
      <w:r>
        <w:t>subregulation</w:t>
      </w:r>
      <w:proofErr w:type="spellEnd"/>
      <w:r>
        <w:t xml:space="preserve"> 36A(1) </w:t>
      </w:r>
      <w:r w:rsidR="00296838">
        <w:t xml:space="preserve"> </w:t>
      </w:r>
      <w:r w:rsidR="00CE619E">
        <w:t>contain</w:t>
      </w:r>
      <w:r w:rsidR="00841D57">
        <w:t>s</w:t>
      </w:r>
      <w:r>
        <w:t xml:space="preserve"> equivalent changes in relation to subregulation 36A(1) to those outlined above in relation to item 2.</w:t>
      </w:r>
    </w:p>
    <w:p w:rsidR="005F65C6" w:rsidRDefault="005F65C6" w:rsidP="00CD3FDA">
      <w:pPr>
        <w:ind w:right="-46"/>
      </w:pPr>
    </w:p>
    <w:p w:rsidR="005F65C6" w:rsidRPr="00695945" w:rsidRDefault="00695945" w:rsidP="00CD3FDA">
      <w:pPr>
        <w:ind w:right="-46"/>
        <w:rPr>
          <w:b/>
        </w:rPr>
      </w:pPr>
      <w:r w:rsidRPr="00695945">
        <w:rPr>
          <w:b/>
        </w:rPr>
        <w:t>Item 4</w:t>
      </w:r>
      <w:r w:rsidR="00342F0F">
        <w:rPr>
          <w:b/>
        </w:rPr>
        <w:t xml:space="preserve"> – Subregulation 37A(1)</w:t>
      </w:r>
    </w:p>
    <w:p w:rsidR="00695945" w:rsidRDefault="00695945" w:rsidP="00CD3FDA">
      <w:pPr>
        <w:ind w:right="-22"/>
      </w:pPr>
      <w:r>
        <w:t xml:space="preserve">Subregulation 37A(1) of the </w:t>
      </w:r>
      <w:r w:rsidR="001B6539">
        <w:t xml:space="preserve">Principal </w:t>
      </w:r>
      <w:r>
        <w:t>Regulations sets out the functions of the ACSM</w:t>
      </w:r>
      <w:r w:rsidR="00296838">
        <w:t xml:space="preserve">, being </w:t>
      </w:r>
      <w:r>
        <w:t>to advise and make recommendations to the Minister or Secretary about the matters listed at paragraphs 37</w:t>
      </w:r>
      <w:r w:rsidR="000E1A7D">
        <w:t>A</w:t>
      </w:r>
      <w:r>
        <w:t>(1)(a) – (d)</w:t>
      </w:r>
      <w:r w:rsidR="009503F8">
        <w:t xml:space="preserve"> (e.g. risk assessment and risk management of medicines)</w:t>
      </w:r>
      <w:r>
        <w:t>.</w:t>
      </w:r>
    </w:p>
    <w:p w:rsidR="005F65C6" w:rsidRDefault="005F65C6" w:rsidP="00CD3FDA">
      <w:pPr>
        <w:ind w:right="-46"/>
      </w:pPr>
    </w:p>
    <w:p w:rsidR="00695945" w:rsidRDefault="00695945" w:rsidP="00CD3FDA">
      <w:pPr>
        <w:ind w:right="-46"/>
      </w:pPr>
      <w:r>
        <w:t>Item 4 introduce</w:t>
      </w:r>
      <w:r w:rsidR="00841D57">
        <w:t>s</w:t>
      </w:r>
      <w:r>
        <w:t xml:space="preserve"> a new </w:t>
      </w:r>
      <w:proofErr w:type="spellStart"/>
      <w:r>
        <w:t>subregulation</w:t>
      </w:r>
      <w:proofErr w:type="spellEnd"/>
      <w:r>
        <w:t xml:space="preserve"> 37A(1) to the Regulations</w:t>
      </w:r>
      <w:r w:rsidR="0059077B">
        <w:t xml:space="preserve">, which </w:t>
      </w:r>
      <w:r w:rsidR="00CE619E">
        <w:t>largely</w:t>
      </w:r>
      <w:r>
        <w:t xml:space="preserve"> contain</w:t>
      </w:r>
      <w:r w:rsidR="00841D57">
        <w:t>s</w:t>
      </w:r>
      <w:r>
        <w:t xml:space="preserve"> equivalent changes</w:t>
      </w:r>
      <w:r w:rsidR="002A6FEA">
        <w:t xml:space="preserve"> </w:t>
      </w:r>
      <w:r>
        <w:t>to thos</w:t>
      </w:r>
      <w:r w:rsidR="00696D9F">
        <w:t xml:space="preserve">e outlined above in </w:t>
      </w:r>
      <w:r>
        <w:t>item</w:t>
      </w:r>
      <w:r w:rsidR="002A6FEA">
        <w:t xml:space="preserve">s 2 and 3, in relation to </w:t>
      </w:r>
      <w:r>
        <w:t>refer</w:t>
      </w:r>
      <w:r w:rsidR="002A6FEA">
        <w:t>ring</w:t>
      </w:r>
      <w:r>
        <w:t xml:space="preserve"> to “provide advic</w:t>
      </w:r>
      <w:r w:rsidR="002A6FEA">
        <w:t>e” rather than “advise”</w:t>
      </w:r>
      <w:r w:rsidR="0059077B">
        <w:t xml:space="preserve"> and </w:t>
      </w:r>
      <w:r w:rsidR="002A6FEA">
        <w:t>clarifying that the ACS</w:t>
      </w:r>
      <w:r>
        <w:t>M’s role is only activated in response to a request from the Minister or Secretary.</w:t>
      </w:r>
    </w:p>
    <w:p w:rsidR="005F65C6" w:rsidRDefault="005F65C6" w:rsidP="00CD3FDA">
      <w:pPr>
        <w:ind w:right="-46"/>
      </w:pPr>
    </w:p>
    <w:p w:rsidR="002A6FEA" w:rsidRDefault="00696D9F" w:rsidP="00CD3FDA">
      <w:pPr>
        <w:ind w:right="-46"/>
      </w:pPr>
      <w:r>
        <w:lastRenderedPageBreak/>
        <w:t>I</w:t>
      </w:r>
      <w:r w:rsidR="002A6FEA">
        <w:t xml:space="preserve">tem 4 </w:t>
      </w:r>
      <w:r>
        <w:t xml:space="preserve">also </w:t>
      </w:r>
      <w:r w:rsidR="002A6FEA">
        <w:t>make</w:t>
      </w:r>
      <w:r w:rsidR="00841D57">
        <w:t>s</w:t>
      </w:r>
      <w:r w:rsidR="002A6FEA">
        <w:t xml:space="preserve"> </w:t>
      </w:r>
      <w:r w:rsidR="0059077B">
        <w:t xml:space="preserve">a </w:t>
      </w:r>
      <w:r w:rsidR="002A6FEA">
        <w:t>minor adjustment to paragraphs 37A(1)(c) and (d).</w:t>
      </w:r>
      <w:r w:rsidR="00F27418">
        <w:t xml:space="preserve">  </w:t>
      </w:r>
      <w:r w:rsidR="002A6FEA">
        <w:t xml:space="preserve">Currently </w:t>
      </w:r>
      <w:r w:rsidR="00700444">
        <w:t xml:space="preserve">under </w:t>
      </w:r>
      <w:r w:rsidR="002A6FEA">
        <w:t>paragr</w:t>
      </w:r>
      <w:r>
        <w:t>aph 37A(1)(c)</w:t>
      </w:r>
      <w:r w:rsidR="002A6FEA">
        <w:t xml:space="preserve">, one of the </w:t>
      </w:r>
      <w:r w:rsidR="001B6539">
        <w:t>ACS</w:t>
      </w:r>
      <w:r w:rsidR="005E39E7">
        <w:t>O</w:t>
      </w:r>
      <w:r w:rsidR="001B6539">
        <w:t>M</w:t>
      </w:r>
      <w:r w:rsidR="005E39E7">
        <w:t>’</w:t>
      </w:r>
      <w:r w:rsidR="00700444">
        <w:t xml:space="preserve">s </w:t>
      </w:r>
      <w:r w:rsidR="002A6FEA">
        <w:t>functions is to advise and make recommendations about “</w:t>
      </w:r>
      <w:r w:rsidR="002A6FEA" w:rsidRPr="00063280">
        <w:rPr>
          <w:i/>
        </w:rPr>
        <w:t>other matters related to pharmacovigilance</w:t>
      </w:r>
      <w:r w:rsidR="002A6FEA">
        <w:t>”.</w:t>
      </w:r>
      <w:r w:rsidR="00F27418">
        <w:t xml:space="preserve">  </w:t>
      </w:r>
      <w:r w:rsidR="002A6FEA">
        <w:t xml:space="preserve">In order to clarify the relationship between paragraphs 37A(1)(a) and (b) of the </w:t>
      </w:r>
      <w:r w:rsidR="001B6539">
        <w:t xml:space="preserve">Principal </w:t>
      </w:r>
      <w:r w:rsidR="002A6FEA">
        <w:t>Regulations and paragraph 37A(1)(c)</w:t>
      </w:r>
      <w:r w:rsidR="00700444">
        <w:t>,</w:t>
      </w:r>
      <w:r w:rsidR="002A6FEA">
        <w:t xml:space="preserve"> </w:t>
      </w:r>
      <w:r w:rsidR="00700444">
        <w:t>item 4</w:t>
      </w:r>
      <w:r w:rsidR="002A6FEA">
        <w:t xml:space="preserve">  remove the reference to “</w:t>
      </w:r>
      <w:r w:rsidR="002A6FEA" w:rsidRPr="00700444">
        <w:rPr>
          <w:i/>
        </w:rPr>
        <w:t>any other matters related to</w:t>
      </w:r>
      <w:r w:rsidR="002A6FEA">
        <w:t xml:space="preserve"> [pharmacovigila</w:t>
      </w:r>
      <w:r>
        <w:t>nce]</w:t>
      </w:r>
      <w:r w:rsidR="0059077B">
        <w:t>” from paragraph 37A(1)(c)</w:t>
      </w:r>
      <w:r>
        <w:t>, with the effect that the</w:t>
      </w:r>
      <w:r w:rsidR="002A6FEA">
        <w:t xml:space="preserve"> paragraph  </w:t>
      </w:r>
      <w:r w:rsidR="0059077B">
        <w:t>refer</w:t>
      </w:r>
      <w:r w:rsidR="00841D57">
        <w:t>s</w:t>
      </w:r>
      <w:r w:rsidR="0059077B">
        <w:t xml:space="preserve"> </w:t>
      </w:r>
      <w:r w:rsidR="002A6FEA">
        <w:t>simply to “</w:t>
      </w:r>
      <w:proofErr w:type="spellStart"/>
      <w:r w:rsidR="002A6FEA" w:rsidRPr="00696D9F">
        <w:rPr>
          <w:i/>
        </w:rPr>
        <w:t>pharmacovigilance</w:t>
      </w:r>
      <w:proofErr w:type="spellEnd"/>
      <w:r w:rsidR="002A6FEA">
        <w:t>”.</w:t>
      </w:r>
    </w:p>
    <w:p w:rsidR="005F65C6" w:rsidRDefault="005F65C6" w:rsidP="00CD3FDA">
      <w:pPr>
        <w:ind w:right="-46"/>
      </w:pPr>
    </w:p>
    <w:p w:rsidR="005F65C6" w:rsidRDefault="00700444" w:rsidP="00CD3FDA">
      <w:pPr>
        <w:ind w:right="-46"/>
      </w:pPr>
      <w:r>
        <w:t>Item 4 also remove</w:t>
      </w:r>
      <w:r w:rsidR="00841D57">
        <w:t>s</w:t>
      </w:r>
      <w:r>
        <w:t xml:space="preserve"> the</w:t>
      </w:r>
      <w:r w:rsidR="001270E0">
        <w:t xml:space="preserve"> reference in paragraph 37A(1)(d</w:t>
      </w:r>
      <w:r>
        <w:t>) to “</w:t>
      </w:r>
      <w:r w:rsidRPr="00696D9F">
        <w:rPr>
          <w:i/>
        </w:rPr>
        <w:t>referred to the committee</w:t>
      </w:r>
      <w:r w:rsidR="00696D9F" w:rsidRPr="00696D9F">
        <w:rPr>
          <w:i/>
        </w:rPr>
        <w:t xml:space="preserve"> by the Minister or Secretary</w:t>
      </w:r>
      <w:r w:rsidR="00696D9F">
        <w:t>”, for the same reasons as outlined</w:t>
      </w:r>
      <w:r w:rsidR="009503F8">
        <w:t xml:space="preserve"> above in item 2.</w:t>
      </w:r>
    </w:p>
    <w:p w:rsidR="005F65C6" w:rsidRDefault="005F65C6" w:rsidP="00CD3FDA">
      <w:pPr>
        <w:ind w:right="-46"/>
      </w:pPr>
    </w:p>
    <w:p w:rsidR="005F65C6" w:rsidRPr="00586D88" w:rsidRDefault="00586D88" w:rsidP="00CD3FDA">
      <w:pPr>
        <w:ind w:right="-46"/>
        <w:rPr>
          <w:b/>
        </w:rPr>
      </w:pPr>
      <w:r w:rsidRPr="00586D88">
        <w:rPr>
          <w:b/>
        </w:rPr>
        <w:t>Item 5</w:t>
      </w:r>
      <w:r w:rsidR="00342F0F">
        <w:rPr>
          <w:b/>
        </w:rPr>
        <w:t xml:space="preserve"> – Subregulation 37B(1)</w:t>
      </w:r>
    </w:p>
    <w:p w:rsidR="00342F0F" w:rsidRDefault="00586D88" w:rsidP="00CD3FDA">
      <w:pPr>
        <w:ind w:right="-46"/>
      </w:pPr>
      <w:r>
        <w:t xml:space="preserve">Subregulation 37B(1) of the </w:t>
      </w:r>
      <w:r w:rsidR="001B6539">
        <w:t xml:space="preserve">Principal </w:t>
      </w:r>
      <w:r>
        <w:t>Regulations currently permits the Minister to appoint up to 15 persons to the ACSOM.</w:t>
      </w:r>
    </w:p>
    <w:p w:rsidR="00342F0F" w:rsidRDefault="00342F0F" w:rsidP="00CD3FDA">
      <w:pPr>
        <w:ind w:right="-46"/>
      </w:pPr>
    </w:p>
    <w:p w:rsidR="00586D88" w:rsidRDefault="00586D88" w:rsidP="00CD3FDA">
      <w:pPr>
        <w:ind w:right="-46"/>
      </w:pPr>
      <w:r>
        <w:t>Item</w:t>
      </w:r>
      <w:r w:rsidR="00342F0F">
        <w:t xml:space="preserve"> 5</w:t>
      </w:r>
      <w:r>
        <w:t xml:space="preserve"> amend</w:t>
      </w:r>
      <w:r w:rsidR="00841D57">
        <w:t>s</w:t>
      </w:r>
      <w:r>
        <w:t xml:space="preserve"> </w:t>
      </w:r>
      <w:proofErr w:type="spellStart"/>
      <w:r>
        <w:t>subregulation</w:t>
      </w:r>
      <w:proofErr w:type="spellEnd"/>
      <w:r>
        <w:t xml:space="preserve"> 37B(1) to increase this to 25 persons.</w:t>
      </w:r>
    </w:p>
    <w:p w:rsidR="00586D88" w:rsidRDefault="00586D88" w:rsidP="00CD3FDA">
      <w:pPr>
        <w:ind w:right="-46"/>
      </w:pPr>
    </w:p>
    <w:p w:rsidR="005F65C6" w:rsidRPr="00342F0F" w:rsidRDefault="00342F0F" w:rsidP="00CD3FDA">
      <w:pPr>
        <w:ind w:right="-46"/>
        <w:rPr>
          <w:b/>
        </w:rPr>
      </w:pPr>
      <w:r w:rsidRPr="00342F0F">
        <w:rPr>
          <w:b/>
        </w:rPr>
        <w:t>Item 6 – Paragraphs 37B(1)(a) to (j)</w:t>
      </w:r>
    </w:p>
    <w:p w:rsidR="007322C1" w:rsidRDefault="007322C1" w:rsidP="00CD3FDA">
      <w:pPr>
        <w:ind w:right="-46"/>
      </w:pPr>
      <w:r>
        <w:t xml:space="preserve">Subregulation 37B(2) of the </w:t>
      </w:r>
      <w:r w:rsidR="001B6539">
        <w:t xml:space="preserve">Principal </w:t>
      </w:r>
      <w:r>
        <w:t xml:space="preserve">Regulations currently lists, at paragraphs 37B(2)(a) – (j), 10 fields of expertise from which suitably qualified members may be appointed </w:t>
      </w:r>
      <w:r w:rsidR="001B6539">
        <w:rPr>
          <w:szCs w:val="24"/>
        </w:rPr>
        <w:t>ACSOM)</w:t>
      </w:r>
      <w:r w:rsidR="00296838">
        <w:t>, e.g.</w:t>
      </w:r>
      <w:r>
        <w:t xml:space="preserve"> paediatrics, clinical pharmacy and general medical practice in Australia.</w:t>
      </w:r>
    </w:p>
    <w:p w:rsidR="007322C1" w:rsidRDefault="007322C1" w:rsidP="00CD3FDA">
      <w:pPr>
        <w:ind w:right="-46"/>
      </w:pPr>
    </w:p>
    <w:p w:rsidR="007322C1" w:rsidRDefault="00F06D90" w:rsidP="00CD3FDA">
      <w:pPr>
        <w:ind w:right="-46"/>
      </w:pPr>
      <w:r>
        <w:t>Item 6</w:t>
      </w:r>
      <w:r w:rsidR="007322C1">
        <w:t xml:space="preserve"> </w:t>
      </w:r>
      <w:r w:rsidR="00296838">
        <w:t>introduce</w:t>
      </w:r>
      <w:r w:rsidR="00841D57">
        <w:t>s</w:t>
      </w:r>
      <w:r w:rsidR="007322C1">
        <w:t xml:space="preserve"> a new </w:t>
      </w:r>
      <w:proofErr w:type="spellStart"/>
      <w:r w:rsidR="007322C1">
        <w:t>subregulation</w:t>
      </w:r>
      <w:proofErr w:type="spellEnd"/>
      <w:r w:rsidR="007322C1">
        <w:t xml:space="preserve"> 37B(2), which  incorporate</w:t>
      </w:r>
      <w:r w:rsidR="00841D57">
        <w:t>s</w:t>
      </w:r>
      <w:r w:rsidR="007322C1">
        <w:t xml:space="preserve"> a number of new fields of expertise, </w:t>
      </w:r>
      <w:r w:rsidR="00296838">
        <w:t>e.g.</w:t>
      </w:r>
      <w:r w:rsidR="007322C1">
        <w:t xml:space="preserve"> gerontology, intensive care, anaesthetics, toxicology and internal medicine (which itself includes a number of areas of expertise such as haematology, oncology and neurology).</w:t>
      </w:r>
    </w:p>
    <w:p w:rsidR="007322C1" w:rsidRDefault="007322C1" w:rsidP="00CD3FDA">
      <w:pPr>
        <w:ind w:right="-46"/>
      </w:pPr>
    </w:p>
    <w:p w:rsidR="007322C1" w:rsidRDefault="007322C1" w:rsidP="00CD3FDA">
      <w:pPr>
        <w:ind w:right="-46"/>
      </w:pPr>
      <w:r>
        <w:t xml:space="preserve">The new </w:t>
      </w:r>
      <w:proofErr w:type="spellStart"/>
      <w:r>
        <w:t>subregulation</w:t>
      </w:r>
      <w:proofErr w:type="spellEnd"/>
      <w:r>
        <w:t xml:space="preserve"> 37B(2)  modif</w:t>
      </w:r>
      <w:r w:rsidR="00841D57">
        <w:t>ies</w:t>
      </w:r>
      <w:r>
        <w:t xml:space="preserve"> </w:t>
      </w:r>
      <w:r w:rsidR="004E658C">
        <w:t>an</w:t>
      </w:r>
      <w:r>
        <w:t xml:space="preserve"> existing field of expertise (adding a reference to “pharmacokinetics” to existing field “clinical pharmacology”) and incorporate </w:t>
      </w:r>
      <w:r w:rsidR="004E658C">
        <w:t>some</w:t>
      </w:r>
      <w:r>
        <w:t xml:space="preserve"> existing fields within new fields (“pharmacology” by “epidemiology”, “general medicine” by “internal medicine” and “hepatology” by “gastroenterology and hepatology”).</w:t>
      </w:r>
    </w:p>
    <w:p w:rsidR="007322C1" w:rsidRDefault="007322C1" w:rsidP="00CD3FDA">
      <w:pPr>
        <w:ind w:right="-46"/>
      </w:pPr>
    </w:p>
    <w:p w:rsidR="007322C1" w:rsidRDefault="007322C1" w:rsidP="00CD3FDA">
      <w:pPr>
        <w:ind w:right="-46"/>
      </w:pPr>
      <w:r>
        <w:t>These changes ensure th</w:t>
      </w:r>
      <w:r w:rsidR="004E658C">
        <w:t>at</w:t>
      </w:r>
      <w:r>
        <w:t xml:space="preserve"> </w:t>
      </w:r>
      <w:r w:rsidR="00D360A6">
        <w:t xml:space="preserve">the </w:t>
      </w:r>
      <w:r>
        <w:t>ACSOM is able to access a broader range of specialist advice to inform its consideration of matters relating to the safety of medicines</w:t>
      </w:r>
      <w:r w:rsidR="008C6489">
        <w:t>.</w:t>
      </w:r>
    </w:p>
    <w:p w:rsidR="005F65C6" w:rsidRDefault="005F65C6" w:rsidP="00CD3FDA">
      <w:pPr>
        <w:ind w:right="-46"/>
      </w:pPr>
    </w:p>
    <w:p w:rsidR="005F65C6" w:rsidRPr="00F06D90" w:rsidRDefault="00F06D90" w:rsidP="00CD3FDA">
      <w:pPr>
        <w:ind w:right="-46"/>
        <w:rPr>
          <w:b/>
        </w:rPr>
      </w:pPr>
      <w:r w:rsidRPr="00F06D90">
        <w:rPr>
          <w:b/>
        </w:rPr>
        <w:t>Item 7</w:t>
      </w:r>
      <w:r>
        <w:rPr>
          <w:b/>
        </w:rPr>
        <w:t xml:space="preserve"> – Subregulation 38A(1)</w:t>
      </w:r>
    </w:p>
    <w:p w:rsidR="00F06D90" w:rsidRDefault="00F06D90" w:rsidP="00CD3FDA">
      <w:pPr>
        <w:ind w:right="-46"/>
      </w:pPr>
      <w:r>
        <w:t xml:space="preserve">Subregulation 38A(1) of the </w:t>
      </w:r>
      <w:r w:rsidR="0020352D">
        <w:t xml:space="preserve">Principal </w:t>
      </w:r>
      <w:r>
        <w:t xml:space="preserve">Regulations </w:t>
      </w:r>
      <w:r w:rsidR="00F27418">
        <w:t xml:space="preserve">says </w:t>
      </w:r>
      <w:r w:rsidR="00B26600">
        <w:t xml:space="preserve">that </w:t>
      </w:r>
      <w:r>
        <w:t>the functions of the Advisory Committee on Medical Devices (the ACMD)</w:t>
      </w:r>
      <w:r w:rsidR="00F27418">
        <w:t xml:space="preserve"> are </w:t>
      </w:r>
      <w:r>
        <w:t>to advise and make recommendations to the Minister or Secretary about the matters listed at paragraphs 38A(1)(a) – (e)</w:t>
      </w:r>
      <w:r w:rsidR="0058378B">
        <w:t xml:space="preserve"> </w:t>
      </w:r>
      <w:r>
        <w:t>(e.g. the inclusion of a medical device in the Register).</w:t>
      </w:r>
    </w:p>
    <w:p w:rsidR="00F06D90" w:rsidRDefault="00F06D90" w:rsidP="00CD3FDA">
      <w:pPr>
        <w:ind w:right="-46"/>
      </w:pPr>
    </w:p>
    <w:p w:rsidR="00F06D90" w:rsidRDefault="00F06D90" w:rsidP="00CD3FDA">
      <w:pPr>
        <w:ind w:right="-46"/>
      </w:pPr>
      <w:r>
        <w:t>Item 7 introduce</w:t>
      </w:r>
      <w:r w:rsidR="00841D57">
        <w:t>s</w:t>
      </w:r>
      <w:r>
        <w:t xml:space="preserve"> a new </w:t>
      </w:r>
      <w:proofErr w:type="spellStart"/>
      <w:r>
        <w:t>subregulation</w:t>
      </w:r>
      <w:proofErr w:type="spellEnd"/>
      <w:r>
        <w:t xml:space="preserve"> 38A(1) to the </w:t>
      </w:r>
      <w:r w:rsidR="00812E96">
        <w:t xml:space="preserve">Principal </w:t>
      </w:r>
      <w:r>
        <w:t>Regulations.</w:t>
      </w:r>
    </w:p>
    <w:p w:rsidR="00F06D90" w:rsidRDefault="00F06D90" w:rsidP="00CD3FDA">
      <w:pPr>
        <w:ind w:right="-46"/>
      </w:pPr>
    </w:p>
    <w:p w:rsidR="00F06D90" w:rsidRDefault="00F06D90" w:rsidP="00CD3FDA">
      <w:pPr>
        <w:ind w:right="-46"/>
      </w:pPr>
      <w:r>
        <w:t xml:space="preserve">The new </w:t>
      </w:r>
      <w:proofErr w:type="spellStart"/>
      <w:r>
        <w:t>subregulation</w:t>
      </w:r>
      <w:proofErr w:type="spellEnd"/>
      <w:r>
        <w:t xml:space="preserve"> 38A(1) </w:t>
      </w:r>
      <w:r w:rsidR="00296838">
        <w:t xml:space="preserve"> </w:t>
      </w:r>
      <w:r w:rsidR="00CE619E">
        <w:t>contain</w:t>
      </w:r>
      <w:r w:rsidR="00841D57">
        <w:t>s</w:t>
      </w:r>
      <w:r>
        <w:t xml:space="preserve"> equivalent changes in relation to subregulation 38A(1) to those outlined above in relation to items 2 and 3.</w:t>
      </w:r>
    </w:p>
    <w:p w:rsidR="005F65C6" w:rsidRDefault="005F65C6" w:rsidP="00CD3FDA">
      <w:pPr>
        <w:ind w:right="-46"/>
      </w:pPr>
    </w:p>
    <w:p w:rsidR="005F65C6" w:rsidRPr="0058378B" w:rsidRDefault="0058378B" w:rsidP="00CD3FDA">
      <w:pPr>
        <w:ind w:right="-46"/>
        <w:rPr>
          <w:b/>
        </w:rPr>
      </w:pPr>
      <w:r w:rsidRPr="0058378B">
        <w:rPr>
          <w:b/>
        </w:rPr>
        <w:t>Item 8 – Subregulation 38D(1)</w:t>
      </w:r>
    </w:p>
    <w:p w:rsidR="000E1A7D" w:rsidRDefault="000E1A7D" w:rsidP="00CD3FDA">
      <w:pPr>
        <w:ind w:right="-46"/>
      </w:pPr>
      <w:r>
        <w:t xml:space="preserve">Subregulation 38D(1) of the </w:t>
      </w:r>
      <w:r w:rsidR="00812E96">
        <w:t xml:space="preserve">Principal </w:t>
      </w:r>
      <w:r>
        <w:t xml:space="preserve">Regulations </w:t>
      </w:r>
      <w:r w:rsidR="00B26600">
        <w:t>says that</w:t>
      </w:r>
      <w:r>
        <w:t xml:space="preserve"> the functions of the Advisory Committee on the Safety of Medical Devices (the ACSMD)</w:t>
      </w:r>
      <w:r w:rsidR="00B26600">
        <w:t xml:space="preserve"> are</w:t>
      </w:r>
      <w:r w:rsidR="00296838">
        <w:t xml:space="preserve"> </w:t>
      </w:r>
      <w:r>
        <w:t>to advise and make recommendations to the Minister or Secretary about the matters listed at paragraphs 38D(1)(a) – (d)</w:t>
      </w:r>
      <w:r w:rsidR="003A73CF">
        <w:t xml:space="preserve"> </w:t>
      </w:r>
      <w:r>
        <w:t>(e.g. risk assessment and risk management of medical devices).</w:t>
      </w:r>
    </w:p>
    <w:p w:rsidR="000E1A7D" w:rsidRDefault="000E1A7D" w:rsidP="00CD3FDA">
      <w:pPr>
        <w:ind w:right="-46"/>
      </w:pPr>
    </w:p>
    <w:p w:rsidR="000E1A7D" w:rsidRDefault="00A55B3E" w:rsidP="00CD3FDA">
      <w:pPr>
        <w:ind w:right="-46"/>
      </w:pPr>
      <w:r>
        <w:lastRenderedPageBreak/>
        <w:t>Item 8</w:t>
      </w:r>
      <w:r w:rsidR="000E1A7D">
        <w:t xml:space="preserve"> i</w:t>
      </w:r>
      <w:r w:rsidR="001270E0">
        <w:t>ntroduce</w:t>
      </w:r>
      <w:r w:rsidR="00841D57">
        <w:t>s</w:t>
      </w:r>
      <w:r w:rsidR="001270E0">
        <w:t xml:space="preserve"> a new </w:t>
      </w:r>
      <w:proofErr w:type="spellStart"/>
      <w:r w:rsidR="001270E0">
        <w:t>subregulation</w:t>
      </w:r>
      <w:proofErr w:type="spellEnd"/>
      <w:r w:rsidR="001270E0">
        <w:t xml:space="preserve"> 38D</w:t>
      </w:r>
      <w:r w:rsidR="000E1A7D">
        <w:t xml:space="preserve">(1) to the </w:t>
      </w:r>
      <w:r w:rsidR="0020352D">
        <w:t xml:space="preserve">Principal </w:t>
      </w:r>
      <w:r w:rsidR="000E1A7D">
        <w:t>Regulations.</w:t>
      </w:r>
    </w:p>
    <w:p w:rsidR="000E1A7D" w:rsidRDefault="000E1A7D" w:rsidP="00CD3FDA">
      <w:pPr>
        <w:ind w:right="-46"/>
      </w:pPr>
    </w:p>
    <w:p w:rsidR="000E1A7D" w:rsidRDefault="000E1A7D" w:rsidP="00CD3FDA">
      <w:pPr>
        <w:ind w:right="-46"/>
      </w:pPr>
      <w:r>
        <w:t xml:space="preserve">The  new </w:t>
      </w:r>
      <w:proofErr w:type="spellStart"/>
      <w:r>
        <w:t>subregulation</w:t>
      </w:r>
      <w:proofErr w:type="spellEnd"/>
      <w:r>
        <w:t xml:space="preserve"> 3</w:t>
      </w:r>
      <w:r w:rsidR="001270E0">
        <w:t>8D</w:t>
      </w:r>
      <w:r w:rsidR="00CE619E">
        <w:t xml:space="preserve">(1) </w:t>
      </w:r>
      <w:r w:rsidR="00920CF0">
        <w:t xml:space="preserve"> </w:t>
      </w:r>
      <w:r w:rsidR="00CE619E">
        <w:t xml:space="preserve">largely </w:t>
      </w:r>
      <w:r>
        <w:t>contain</w:t>
      </w:r>
      <w:r w:rsidR="00841D57">
        <w:t>s</w:t>
      </w:r>
      <w:r>
        <w:t xml:space="preserve"> equivalent changes to those outlined above in item</w:t>
      </w:r>
      <w:r w:rsidR="00A55B3E">
        <w:t xml:space="preserve">s 2, </w:t>
      </w:r>
      <w:r>
        <w:t>3,</w:t>
      </w:r>
      <w:r w:rsidR="00A55B3E">
        <w:t xml:space="preserve"> 4 and 7</w:t>
      </w:r>
      <w:r>
        <w:t xml:space="preserve"> in relation to referring to “provide advice” rather than “advise” and clarifying that the ACSM’s role is only activated in response to a request from the Minister or Secretary.</w:t>
      </w:r>
    </w:p>
    <w:p w:rsidR="000E1A7D" w:rsidRDefault="000E1A7D" w:rsidP="00CD3FDA">
      <w:pPr>
        <w:ind w:right="-46"/>
      </w:pPr>
    </w:p>
    <w:p w:rsidR="000E1A7D" w:rsidRDefault="000E1A7D" w:rsidP="00CD3FDA">
      <w:pPr>
        <w:ind w:right="-46"/>
      </w:pPr>
      <w:r>
        <w:t>I</w:t>
      </w:r>
      <w:r w:rsidR="00A55B3E">
        <w:t>tem 8</w:t>
      </w:r>
      <w:r>
        <w:t xml:space="preserve"> also make</w:t>
      </w:r>
      <w:r w:rsidR="00841D57">
        <w:t>s</w:t>
      </w:r>
      <w:r>
        <w:t xml:space="preserve"> </w:t>
      </w:r>
      <w:r w:rsidR="000605C4">
        <w:t xml:space="preserve">a </w:t>
      </w:r>
      <w:r>
        <w:t>minor adjustment</w:t>
      </w:r>
      <w:r w:rsidR="000605C4">
        <w:t xml:space="preserve"> </w:t>
      </w:r>
      <w:r w:rsidR="001270E0">
        <w:t>to paragraphs 38D</w:t>
      </w:r>
      <w:r>
        <w:t>(1)(c) and (d).</w:t>
      </w:r>
      <w:r w:rsidR="00F27418">
        <w:t xml:space="preserve">  </w:t>
      </w:r>
      <w:r>
        <w:t>Currently under paragr</w:t>
      </w:r>
      <w:r w:rsidR="001270E0">
        <w:t>aph 38D</w:t>
      </w:r>
      <w:r>
        <w:t>(1)(c), one of the ACSM</w:t>
      </w:r>
      <w:r w:rsidR="001270E0">
        <w:t>D</w:t>
      </w:r>
      <w:r>
        <w:t>’s functions is to advise and make recommendations about “</w:t>
      </w:r>
      <w:r w:rsidRPr="00063280">
        <w:rPr>
          <w:i/>
        </w:rPr>
        <w:t>other matters related to p</w:t>
      </w:r>
      <w:r w:rsidR="001270E0">
        <w:rPr>
          <w:i/>
        </w:rPr>
        <w:t>erformance of medical devices</w:t>
      </w:r>
      <w:r>
        <w:t>”.</w:t>
      </w:r>
      <w:r w:rsidR="00F27418">
        <w:t xml:space="preserve">  </w:t>
      </w:r>
      <w:r>
        <w:t>In order to clarify the re</w:t>
      </w:r>
      <w:r w:rsidR="001270E0">
        <w:t>lationship between paragraphs 38D</w:t>
      </w:r>
      <w:r>
        <w:t>(1)(a) and (b) of t</w:t>
      </w:r>
      <w:r w:rsidR="001270E0">
        <w:t xml:space="preserve">he </w:t>
      </w:r>
      <w:r w:rsidR="00812E96">
        <w:t xml:space="preserve">Principal </w:t>
      </w:r>
      <w:r w:rsidR="001270E0">
        <w:t>Regulations and paragraph 38D</w:t>
      </w:r>
      <w:r>
        <w:t xml:space="preserve">(1)(c), item </w:t>
      </w:r>
      <w:r w:rsidR="001270E0">
        <w:t>8</w:t>
      </w:r>
      <w:r>
        <w:t xml:space="preserve">  remove</w:t>
      </w:r>
      <w:r w:rsidR="00841D57">
        <w:t>s</w:t>
      </w:r>
      <w:r>
        <w:t xml:space="preserve"> the reference to “</w:t>
      </w:r>
      <w:r w:rsidRPr="00700444">
        <w:rPr>
          <w:i/>
        </w:rPr>
        <w:t>any other matters related to</w:t>
      </w:r>
      <w:r w:rsidR="001270E0">
        <w:t xml:space="preserve"> [performance of medical devices</w:t>
      </w:r>
      <w:r>
        <w:t>]”</w:t>
      </w:r>
      <w:r w:rsidR="000605C4">
        <w:t xml:space="preserve"> from paragraph 38D(1)(c)</w:t>
      </w:r>
      <w:r>
        <w:t>, with the effect that the paragraph  simply refer</w:t>
      </w:r>
      <w:r w:rsidR="00841D57">
        <w:t>s</w:t>
      </w:r>
      <w:r>
        <w:t xml:space="preserve"> to “</w:t>
      </w:r>
      <w:r w:rsidRPr="00696D9F">
        <w:rPr>
          <w:i/>
        </w:rPr>
        <w:t>p</w:t>
      </w:r>
      <w:r w:rsidR="001270E0">
        <w:rPr>
          <w:i/>
        </w:rPr>
        <w:t>erformance of medical devices</w:t>
      </w:r>
      <w:r>
        <w:t>”.</w:t>
      </w:r>
    </w:p>
    <w:p w:rsidR="000E1A7D" w:rsidRDefault="000E1A7D" w:rsidP="00CD3FDA">
      <w:pPr>
        <w:ind w:right="-46"/>
      </w:pPr>
    </w:p>
    <w:p w:rsidR="000E1A7D" w:rsidRDefault="001270E0" w:rsidP="00CD3FDA">
      <w:pPr>
        <w:ind w:right="-46"/>
      </w:pPr>
      <w:r>
        <w:t>Item 8</w:t>
      </w:r>
      <w:r w:rsidR="000E1A7D">
        <w:t xml:space="preserve"> also remov</w:t>
      </w:r>
      <w:r>
        <w:t>e</w:t>
      </w:r>
      <w:r w:rsidR="00841D57">
        <w:t>s</w:t>
      </w:r>
      <w:r>
        <w:t xml:space="preserve"> the reference in paragraph 38D(1)(d</w:t>
      </w:r>
      <w:r w:rsidR="000E1A7D">
        <w:t>) to “</w:t>
      </w:r>
      <w:r w:rsidR="000E1A7D" w:rsidRPr="00696D9F">
        <w:rPr>
          <w:i/>
        </w:rPr>
        <w:t>referred to the committee by the Minister or Secretary</w:t>
      </w:r>
      <w:r w:rsidR="000E1A7D">
        <w:t>”, for the same reasons as outlined above in item 2.</w:t>
      </w:r>
    </w:p>
    <w:p w:rsidR="005F65C6" w:rsidRDefault="005F65C6" w:rsidP="00CD3FDA">
      <w:pPr>
        <w:ind w:right="-46"/>
      </w:pPr>
    </w:p>
    <w:p w:rsidR="005F65C6" w:rsidRPr="00A55B3E" w:rsidRDefault="00A55B3E" w:rsidP="00CD3FDA">
      <w:pPr>
        <w:ind w:right="-46"/>
        <w:rPr>
          <w:b/>
        </w:rPr>
      </w:pPr>
      <w:r w:rsidRPr="00A55B3E">
        <w:rPr>
          <w:b/>
        </w:rPr>
        <w:t>Item 9 – Subregulation 38E(1)</w:t>
      </w:r>
    </w:p>
    <w:p w:rsidR="00C463D5" w:rsidRDefault="00531A46" w:rsidP="00CD3FDA">
      <w:pPr>
        <w:ind w:right="-46"/>
      </w:pPr>
      <w:r>
        <w:t xml:space="preserve">Subregulation 38E(1) of the </w:t>
      </w:r>
      <w:r w:rsidR="00812E96">
        <w:t xml:space="preserve">Principal </w:t>
      </w:r>
      <w:r>
        <w:t>Regulations currently permits the Minister to appoint up to 15 persons to the ACSMD.</w:t>
      </w:r>
    </w:p>
    <w:p w:rsidR="00C463D5" w:rsidRDefault="00C463D5" w:rsidP="00CD3FDA">
      <w:pPr>
        <w:ind w:right="-46"/>
      </w:pPr>
    </w:p>
    <w:p w:rsidR="00531A46" w:rsidRDefault="00531A46" w:rsidP="00CD3FDA">
      <w:pPr>
        <w:ind w:right="-46"/>
      </w:pPr>
      <w:r>
        <w:t xml:space="preserve">Item </w:t>
      </w:r>
      <w:r w:rsidR="00812E96">
        <w:t>9</w:t>
      </w:r>
      <w:r w:rsidR="00010F7E">
        <w:t xml:space="preserve"> </w:t>
      </w:r>
      <w:r>
        <w:t>amend</w:t>
      </w:r>
      <w:r w:rsidR="00841D57">
        <w:t>s</w:t>
      </w:r>
      <w:r>
        <w:t xml:space="preserve"> </w:t>
      </w:r>
      <w:proofErr w:type="spellStart"/>
      <w:r>
        <w:t>subregulation</w:t>
      </w:r>
      <w:proofErr w:type="spellEnd"/>
      <w:r>
        <w:t xml:space="preserve"> 38E(1) to increase this to 25 persons.</w:t>
      </w:r>
    </w:p>
    <w:p w:rsidR="00531A46" w:rsidRDefault="00531A46" w:rsidP="00CD3FDA">
      <w:pPr>
        <w:ind w:right="-46"/>
      </w:pPr>
    </w:p>
    <w:p w:rsidR="005F65C6" w:rsidRPr="00266787" w:rsidRDefault="00266787" w:rsidP="00CD3FDA">
      <w:pPr>
        <w:ind w:right="-46"/>
        <w:rPr>
          <w:b/>
        </w:rPr>
      </w:pPr>
      <w:r w:rsidRPr="00266787">
        <w:rPr>
          <w:b/>
        </w:rPr>
        <w:t>Item 10 – Subregulation 38E(2)</w:t>
      </w:r>
    </w:p>
    <w:p w:rsidR="00531A46" w:rsidRDefault="00531A46" w:rsidP="00CD3FDA">
      <w:pPr>
        <w:ind w:right="-46"/>
      </w:pPr>
      <w:r>
        <w:t>Subregulation 38E(2) currently lists, at paragraphs 38E(2)(a) – (m), 13 fields of expertise from which suitably qualified members may be appointed to the ACSMD</w:t>
      </w:r>
      <w:r w:rsidR="00D360A6">
        <w:t xml:space="preserve">, e.g. </w:t>
      </w:r>
      <w:r>
        <w:t>anaesthetics, cardiology and consumer issues.</w:t>
      </w:r>
    </w:p>
    <w:p w:rsidR="00531A46" w:rsidRDefault="00531A46" w:rsidP="00CD3FDA">
      <w:pPr>
        <w:ind w:right="-46"/>
      </w:pPr>
    </w:p>
    <w:p w:rsidR="00531A46" w:rsidRDefault="00010F7E" w:rsidP="00CD3FDA">
      <w:pPr>
        <w:ind w:right="-46"/>
      </w:pPr>
      <w:r>
        <w:t xml:space="preserve">Item 10 </w:t>
      </w:r>
      <w:r w:rsidR="00D360A6">
        <w:t>introduce</w:t>
      </w:r>
      <w:r w:rsidR="00841D57">
        <w:t>s</w:t>
      </w:r>
      <w:r w:rsidR="00D360A6">
        <w:t xml:space="preserve"> </w:t>
      </w:r>
      <w:r w:rsidR="00531A46">
        <w:t xml:space="preserve">a new </w:t>
      </w:r>
      <w:proofErr w:type="spellStart"/>
      <w:r w:rsidR="00531A46">
        <w:t>subregulation</w:t>
      </w:r>
      <w:proofErr w:type="spellEnd"/>
      <w:r w:rsidR="00531A46">
        <w:t xml:space="preserve"> 38E(2), which  incorporate</w:t>
      </w:r>
      <w:r w:rsidR="00CD3FDA">
        <w:t>s</w:t>
      </w:r>
      <w:r w:rsidR="00531A46">
        <w:t xml:space="preserve"> a number of new fields of expertise, </w:t>
      </w:r>
      <w:r w:rsidR="00D360A6">
        <w:t>e.g.</w:t>
      </w:r>
      <w:r w:rsidR="00531A46">
        <w:t xml:space="preserve"> medical or surgical expertise in plastic and reconstructive surgery, respiratory medicine and neurology.</w:t>
      </w:r>
    </w:p>
    <w:p w:rsidR="00531A46" w:rsidRDefault="00531A46" w:rsidP="00CD3FDA">
      <w:pPr>
        <w:ind w:right="-46"/>
      </w:pPr>
    </w:p>
    <w:p w:rsidR="00531A46" w:rsidRDefault="00531A46" w:rsidP="00CD3FDA">
      <w:pPr>
        <w:ind w:right="-46"/>
      </w:pPr>
      <w:r>
        <w:t xml:space="preserve">The  new </w:t>
      </w:r>
      <w:proofErr w:type="spellStart"/>
      <w:r>
        <w:t>subregulation</w:t>
      </w:r>
      <w:proofErr w:type="spellEnd"/>
      <w:r>
        <w:t xml:space="preserve"> 38E(2)  modif</w:t>
      </w:r>
      <w:r w:rsidR="00CD3FDA">
        <w:t>ies</w:t>
      </w:r>
      <w:r>
        <w:t xml:space="preserve"> a small number of existing fields of expertise, by referring to “gastroenterology” rather than the current “gastrointestinal surgery”, to “orthopaedics” rather than the current “orthopaedic surgery” and to “biomaterials” rather than the current “biomaterial science”.</w:t>
      </w:r>
    </w:p>
    <w:p w:rsidR="00531A46" w:rsidRDefault="00531A46" w:rsidP="00CD3FDA">
      <w:pPr>
        <w:ind w:right="-46"/>
      </w:pPr>
    </w:p>
    <w:p w:rsidR="00531A46" w:rsidRDefault="00010F7E" w:rsidP="00CD3FDA">
      <w:pPr>
        <w:ind w:right="-46"/>
      </w:pPr>
      <w:r>
        <w:t xml:space="preserve">The </w:t>
      </w:r>
      <w:r w:rsidR="00531A46">
        <w:t xml:space="preserve">new </w:t>
      </w:r>
      <w:proofErr w:type="spellStart"/>
      <w:r w:rsidR="00531A46">
        <w:t>subregulation</w:t>
      </w:r>
      <w:proofErr w:type="spellEnd"/>
      <w:r w:rsidR="00531A46">
        <w:t xml:space="preserve"> 38E(2)  also incorporate</w:t>
      </w:r>
      <w:r w:rsidR="00CD3FDA">
        <w:t>s</w:t>
      </w:r>
      <w:r w:rsidR="00531A46">
        <w:t xml:space="preserve"> </w:t>
      </w:r>
      <w:r w:rsidR="00D360A6">
        <w:t>two</w:t>
      </w:r>
      <w:r w:rsidR="00531A46">
        <w:t xml:space="preserve"> existing fields of expertise within new fields - “oro-maxillofacial surgery” by “dentistry or oro-maxillofacial surgery”</w:t>
      </w:r>
      <w:r w:rsidR="00920CF0">
        <w:t>,</w:t>
      </w:r>
      <w:r w:rsidR="00531A46">
        <w:t xml:space="preserve"> and “epidemiology” by “epidemiology or</w:t>
      </w:r>
      <w:r w:rsidR="00920CF0">
        <w:t xml:space="preserve"> </w:t>
      </w:r>
      <w:r w:rsidR="00531A46">
        <w:t>biostatistics”.</w:t>
      </w:r>
    </w:p>
    <w:p w:rsidR="00531A46" w:rsidRDefault="00531A46" w:rsidP="00CD3FDA">
      <w:pPr>
        <w:ind w:right="-46"/>
      </w:pPr>
    </w:p>
    <w:p w:rsidR="00531A46" w:rsidRDefault="00010F7E" w:rsidP="00CD3FDA">
      <w:pPr>
        <w:ind w:right="-46"/>
      </w:pPr>
      <w:r>
        <w:t xml:space="preserve">These </w:t>
      </w:r>
      <w:r w:rsidR="00531A46">
        <w:t>changes ensure that the ACSMD is able to access a broader range of specialist advice to inform its consideration of matters relating to the safety of medical devices.</w:t>
      </w:r>
    </w:p>
    <w:p w:rsidR="005F65C6" w:rsidRDefault="005F65C6" w:rsidP="00CD3FDA">
      <w:pPr>
        <w:ind w:right="-46"/>
      </w:pPr>
    </w:p>
    <w:p w:rsidR="005F65C6" w:rsidRPr="00B73B7E" w:rsidRDefault="00B73B7E" w:rsidP="00CD3FDA">
      <w:pPr>
        <w:ind w:right="-46"/>
        <w:rPr>
          <w:b/>
        </w:rPr>
      </w:pPr>
      <w:r w:rsidRPr="00B73B7E">
        <w:rPr>
          <w:b/>
        </w:rPr>
        <w:t>Item 11 – Subregulation 39A(1)</w:t>
      </w:r>
    </w:p>
    <w:p w:rsidR="00B73B7E" w:rsidRDefault="00B73B7E" w:rsidP="00CD3FDA">
      <w:pPr>
        <w:ind w:right="-46"/>
      </w:pPr>
      <w:r>
        <w:t xml:space="preserve">Subregulation 39A(1) of the </w:t>
      </w:r>
      <w:r w:rsidR="00812E96">
        <w:t xml:space="preserve">Principal </w:t>
      </w:r>
      <w:r>
        <w:t xml:space="preserve">Regulations </w:t>
      </w:r>
      <w:r w:rsidR="00B26600">
        <w:t>says that</w:t>
      </w:r>
      <w:r>
        <w:t xml:space="preserve"> the functions of the Advisory Committee on Complementary Medicines (the ACCM)</w:t>
      </w:r>
      <w:r w:rsidR="00B26600">
        <w:t xml:space="preserve"> are</w:t>
      </w:r>
      <w:r w:rsidR="00920CF0">
        <w:t xml:space="preserve"> </w:t>
      </w:r>
      <w:r>
        <w:t>to advise and make recommendations to the Minister or Secretary about the matters listed at paragraphs 39A(1)(a) – (e) (e.g. the inclusion of a complementary medicine in the Register).</w:t>
      </w:r>
    </w:p>
    <w:p w:rsidR="00B73B7E" w:rsidRDefault="00B73B7E" w:rsidP="00CD3FDA">
      <w:pPr>
        <w:ind w:right="-46"/>
      </w:pPr>
    </w:p>
    <w:p w:rsidR="00B73B7E" w:rsidRDefault="00010F7E" w:rsidP="00CD3FDA">
      <w:pPr>
        <w:ind w:right="-46"/>
      </w:pPr>
      <w:r>
        <w:lastRenderedPageBreak/>
        <w:t xml:space="preserve">Item 11 </w:t>
      </w:r>
      <w:r w:rsidR="00B73B7E">
        <w:t>introduce</w:t>
      </w:r>
      <w:r w:rsidR="00CD3FDA">
        <w:t>s</w:t>
      </w:r>
      <w:r w:rsidR="00B73B7E">
        <w:t xml:space="preserve"> a new </w:t>
      </w:r>
      <w:proofErr w:type="spellStart"/>
      <w:r w:rsidR="00B73B7E">
        <w:t>subregulation</w:t>
      </w:r>
      <w:proofErr w:type="spellEnd"/>
      <w:r w:rsidR="00B73B7E">
        <w:t xml:space="preserve"> 39A(1) to the </w:t>
      </w:r>
      <w:r w:rsidR="00812E96">
        <w:t xml:space="preserve">Principal </w:t>
      </w:r>
      <w:r w:rsidR="00B73B7E">
        <w:t>Regulations.</w:t>
      </w:r>
    </w:p>
    <w:p w:rsidR="00B73B7E" w:rsidRDefault="00B73B7E" w:rsidP="00CD3FDA">
      <w:pPr>
        <w:ind w:right="-46"/>
      </w:pPr>
    </w:p>
    <w:p w:rsidR="00B73B7E" w:rsidRDefault="00010F7E" w:rsidP="00CD3FDA">
      <w:pPr>
        <w:ind w:right="-46"/>
      </w:pPr>
      <w:r>
        <w:t xml:space="preserve">The </w:t>
      </w:r>
      <w:r w:rsidR="00B73B7E">
        <w:t xml:space="preserve">new </w:t>
      </w:r>
      <w:proofErr w:type="spellStart"/>
      <w:r w:rsidR="00B73B7E">
        <w:t>subregulation</w:t>
      </w:r>
      <w:proofErr w:type="spellEnd"/>
      <w:r w:rsidR="00B73B7E">
        <w:t xml:space="preserve"> 39A(1) </w:t>
      </w:r>
      <w:r w:rsidR="00920CF0">
        <w:t xml:space="preserve"> </w:t>
      </w:r>
      <w:r w:rsidR="00B73B7E">
        <w:t>contain</w:t>
      </w:r>
      <w:r w:rsidR="00CD3FDA">
        <w:t>s</w:t>
      </w:r>
      <w:r w:rsidR="00B73B7E">
        <w:t xml:space="preserve"> equivalent changes in relation to subregulation 39A(1) to those outlined above in relation to items 2, 3 and 7.</w:t>
      </w:r>
    </w:p>
    <w:p w:rsidR="005F65C6" w:rsidRDefault="005F65C6" w:rsidP="00CD3FDA">
      <w:pPr>
        <w:ind w:right="-46"/>
      </w:pPr>
    </w:p>
    <w:p w:rsidR="00B73B7E" w:rsidRPr="00B73B7E" w:rsidRDefault="00B73B7E" w:rsidP="00CD3FDA">
      <w:pPr>
        <w:ind w:right="-46"/>
        <w:rPr>
          <w:b/>
        </w:rPr>
      </w:pPr>
      <w:r w:rsidRPr="00B73B7E">
        <w:rPr>
          <w:b/>
        </w:rPr>
        <w:t>Item 12 – Subregulation 39D(1)</w:t>
      </w:r>
    </w:p>
    <w:p w:rsidR="00B73B7E" w:rsidRDefault="00B73B7E" w:rsidP="00CD3FDA">
      <w:pPr>
        <w:ind w:right="-46"/>
      </w:pPr>
      <w:r>
        <w:t xml:space="preserve">Subregulation 39D(1) of the </w:t>
      </w:r>
      <w:r w:rsidR="00812E96">
        <w:t xml:space="preserve">Principal </w:t>
      </w:r>
      <w:r>
        <w:t xml:space="preserve">Regulations </w:t>
      </w:r>
      <w:r w:rsidR="00B26600">
        <w:t>says that</w:t>
      </w:r>
      <w:r>
        <w:t xml:space="preserve"> the functions of the Advisory Committee on Biologicals (the ACB)</w:t>
      </w:r>
      <w:r w:rsidR="00B26600">
        <w:t xml:space="preserve"> are</w:t>
      </w:r>
      <w:r w:rsidR="00920CF0">
        <w:t xml:space="preserve"> </w:t>
      </w:r>
      <w:r>
        <w:t>to advise and make recommendations to the Minister or Secretary about the matters listed at paragraphs 39D(1)(a) – (e) (e.g. the inclusion of a biological in the Register).</w:t>
      </w:r>
    </w:p>
    <w:p w:rsidR="00B73B7E" w:rsidRDefault="00B73B7E" w:rsidP="00CD3FDA">
      <w:pPr>
        <w:ind w:right="-46"/>
      </w:pPr>
    </w:p>
    <w:p w:rsidR="00B73B7E" w:rsidRDefault="00010F7E" w:rsidP="00CD3FDA">
      <w:pPr>
        <w:ind w:right="-46"/>
      </w:pPr>
      <w:r>
        <w:t xml:space="preserve">Item 12 </w:t>
      </w:r>
      <w:r w:rsidR="00B73B7E">
        <w:t>introduce</w:t>
      </w:r>
      <w:r w:rsidR="00CD3FDA">
        <w:t>s</w:t>
      </w:r>
      <w:r w:rsidR="00B73B7E">
        <w:t xml:space="preserve"> a new </w:t>
      </w:r>
      <w:proofErr w:type="spellStart"/>
      <w:r w:rsidR="00B73B7E">
        <w:t>subregulation</w:t>
      </w:r>
      <w:proofErr w:type="spellEnd"/>
      <w:r w:rsidR="00B73B7E">
        <w:t xml:space="preserve"> 39D(1) to the </w:t>
      </w:r>
      <w:r w:rsidR="00812E96">
        <w:t xml:space="preserve">Principal </w:t>
      </w:r>
      <w:r w:rsidR="00B73B7E">
        <w:t>Regulations.</w:t>
      </w:r>
    </w:p>
    <w:p w:rsidR="00B73B7E" w:rsidRDefault="00B73B7E" w:rsidP="00CD3FDA">
      <w:pPr>
        <w:ind w:right="-46"/>
      </w:pPr>
    </w:p>
    <w:p w:rsidR="00B73B7E" w:rsidRDefault="00010F7E" w:rsidP="00CD3FDA">
      <w:pPr>
        <w:ind w:right="-46"/>
      </w:pPr>
      <w:r>
        <w:t>The</w:t>
      </w:r>
      <w:r w:rsidR="00B73B7E">
        <w:t xml:space="preserve"> new </w:t>
      </w:r>
      <w:proofErr w:type="spellStart"/>
      <w:r w:rsidR="00B73B7E">
        <w:t>subregulation</w:t>
      </w:r>
      <w:proofErr w:type="spellEnd"/>
      <w:r w:rsidR="00B73B7E">
        <w:t xml:space="preserve"> 39D(1) contain</w:t>
      </w:r>
      <w:r w:rsidR="00CD3FDA">
        <w:t>s</w:t>
      </w:r>
      <w:r w:rsidR="00B73B7E">
        <w:t xml:space="preserve"> equivalent changes in relation to subregulation 39D(1) to those outlined above in relation to items 2, 3, 7 and 11 – with the exception of the amendment in those items replacing the relevant reference to “the Australian Register of Therapeutic Goods” with a reference to “the Register”.</w:t>
      </w:r>
    </w:p>
    <w:p w:rsidR="00B73B7E" w:rsidRDefault="00B73B7E" w:rsidP="00CD3FDA">
      <w:pPr>
        <w:ind w:right="-46"/>
      </w:pPr>
    </w:p>
    <w:p w:rsidR="00B73B7E" w:rsidRDefault="00B73B7E" w:rsidP="00CD3FDA">
      <w:pPr>
        <w:ind w:right="-46"/>
      </w:pPr>
      <w:r>
        <w:t>That mea</w:t>
      </w:r>
      <w:r w:rsidR="009679EE">
        <w:t xml:space="preserve">sure is not needed in </w:t>
      </w:r>
      <w:r w:rsidR="00D360A6">
        <w:t>relation to the ACB</w:t>
      </w:r>
      <w:r w:rsidR="009679EE">
        <w:t xml:space="preserve">, </w:t>
      </w:r>
      <w:r w:rsidR="00920CF0">
        <w:t>as</w:t>
      </w:r>
      <w:r w:rsidR="009679EE">
        <w:t xml:space="preserve"> subparagraph 39D(1)(a) already refers simply to “the Register”.</w:t>
      </w:r>
    </w:p>
    <w:p w:rsidR="009679EE" w:rsidRDefault="009679EE" w:rsidP="00CD3FDA">
      <w:pPr>
        <w:ind w:right="-46"/>
      </w:pPr>
    </w:p>
    <w:p w:rsidR="009679EE" w:rsidRPr="009679EE" w:rsidRDefault="009679EE" w:rsidP="00CD3FDA">
      <w:pPr>
        <w:ind w:right="-46"/>
        <w:rPr>
          <w:b/>
        </w:rPr>
      </w:pPr>
      <w:r w:rsidRPr="009679EE">
        <w:rPr>
          <w:b/>
        </w:rPr>
        <w:t>Item 13 – Subsection 39G(1)</w:t>
      </w:r>
    </w:p>
    <w:p w:rsidR="009679EE" w:rsidRDefault="009679EE" w:rsidP="00CD3FDA">
      <w:pPr>
        <w:ind w:right="-46"/>
      </w:pPr>
      <w:r>
        <w:t xml:space="preserve">Subregulation 39G(1) of the </w:t>
      </w:r>
      <w:r w:rsidR="00812E96">
        <w:t xml:space="preserve">Principal </w:t>
      </w:r>
      <w:r>
        <w:t xml:space="preserve">Regulations </w:t>
      </w:r>
      <w:r w:rsidR="00B26600">
        <w:t>says that</w:t>
      </w:r>
      <w:r>
        <w:t xml:space="preserve"> the functions of the Advisory Committee on Safety of Vaccines (ACSOV)</w:t>
      </w:r>
      <w:r w:rsidR="00B26600">
        <w:t xml:space="preserve"> are</w:t>
      </w:r>
      <w:r w:rsidR="00920CF0">
        <w:t xml:space="preserve"> </w:t>
      </w:r>
      <w:r>
        <w:t>to advise and make recommendations to the Minister or Secretary about the matters listed at paragraphs 39G(1)(a) – (c) (e.g. risk assessment and risk management of vaccines).</w:t>
      </w:r>
    </w:p>
    <w:p w:rsidR="009679EE" w:rsidRDefault="009679EE" w:rsidP="00CD3FDA">
      <w:pPr>
        <w:ind w:right="-46"/>
      </w:pPr>
    </w:p>
    <w:p w:rsidR="009679EE" w:rsidRDefault="00010F7E" w:rsidP="00CD3FDA">
      <w:pPr>
        <w:ind w:right="-46"/>
      </w:pPr>
      <w:r>
        <w:t xml:space="preserve">Item 13 </w:t>
      </w:r>
      <w:r w:rsidR="009679EE">
        <w:t>introduce</w:t>
      </w:r>
      <w:r w:rsidR="00CD3FDA">
        <w:t>s</w:t>
      </w:r>
      <w:r w:rsidR="009679EE">
        <w:t xml:space="preserve"> a new </w:t>
      </w:r>
      <w:proofErr w:type="spellStart"/>
      <w:r w:rsidR="009679EE">
        <w:t>subregulation</w:t>
      </w:r>
      <w:proofErr w:type="spellEnd"/>
      <w:r w:rsidR="009679EE">
        <w:t xml:space="preserve"> 39G(1) to the </w:t>
      </w:r>
      <w:r w:rsidR="00812E96">
        <w:t xml:space="preserve">Principal </w:t>
      </w:r>
      <w:r w:rsidR="009679EE">
        <w:t>Regulations</w:t>
      </w:r>
      <w:r w:rsidR="00920CF0">
        <w:t>.</w:t>
      </w:r>
    </w:p>
    <w:p w:rsidR="009679EE" w:rsidRDefault="009679EE" w:rsidP="00CD3FDA">
      <w:pPr>
        <w:ind w:right="-46"/>
      </w:pPr>
    </w:p>
    <w:p w:rsidR="00920CF0" w:rsidRDefault="00920CF0" w:rsidP="00CD3FDA">
      <w:pPr>
        <w:ind w:right="-46"/>
      </w:pPr>
      <w:r>
        <w:t xml:space="preserve">The  new </w:t>
      </w:r>
      <w:proofErr w:type="spellStart"/>
      <w:r>
        <w:t>subregulation</w:t>
      </w:r>
      <w:proofErr w:type="spellEnd"/>
      <w:r>
        <w:t xml:space="preserve"> 39G</w:t>
      </w:r>
      <w:r w:rsidR="00F27418">
        <w:t>(1)</w:t>
      </w:r>
      <w:r>
        <w:t xml:space="preserve">  contain</w:t>
      </w:r>
      <w:r w:rsidR="00CD3FDA">
        <w:t>s</w:t>
      </w:r>
      <w:r>
        <w:t xml:space="preserve"> equivalent changes to relevant above items in relation to replacing “advise” with “provide advice”</w:t>
      </w:r>
      <w:r w:rsidR="006322D5">
        <w:t xml:space="preserve">, </w:t>
      </w:r>
      <w:r>
        <w:t xml:space="preserve">clarifying that that the </w:t>
      </w:r>
      <w:r w:rsidR="00955891">
        <w:t>ACSOV’s</w:t>
      </w:r>
      <w:r>
        <w:t xml:space="preserve"> role is only activated </w:t>
      </w:r>
      <w:r w:rsidR="00D360A6">
        <w:t>upon</w:t>
      </w:r>
      <w:r>
        <w:t xml:space="preserve"> request </w:t>
      </w:r>
      <w:r w:rsidR="00D360A6">
        <w:t>by</w:t>
      </w:r>
      <w:r>
        <w:t xml:space="preserve"> the Minister or Secretary</w:t>
      </w:r>
      <w:r w:rsidR="006322D5">
        <w:t xml:space="preserve"> and removing the reference in paragraph 39G(1)(c) to “</w:t>
      </w:r>
      <w:r w:rsidR="006322D5" w:rsidRPr="006322D5">
        <w:rPr>
          <w:i/>
        </w:rPr>
        <w:t>referred to the committee by the Minister or Secretary</w:t>
      </w:r>
      <w:r w:rsidR="006322D5">
        <w:t>”</w:t>
      </w:r>
      <w:r>
        <w:t>.</w:t>
      </w:r>
    </w:p>
    <w:p w:rsidR="009679EE" w:rsidRDefault="009679EE" w:rsidP="00CD3FDA">
      <w:pPr>
        <w:ind w:right="-46"/>
      </w:pPr>
    </w:p>
    <w:p w:rsidR="009679EE" w:rsidRPr="006322D5" w:rsidRDefault="006322D5" w:rsidP="00CD3FDA">
      <w:pPr>
        <w:ind w:right="-46"/>
        <w:rPr>
          <w:b/>
        </w:rPr>
      </w:pPr>
      <w:r w:rsidRPr="006322D5">
        <w:rPr>
          <w:b/>
        </w:rPr>
        <w:t>Item 14 –</w:t>
      </w:r>
      <w:r>
        <w:rPr>
          <w:b/>
        </w:rPr>
        <w:t xml:space="preserve"> Subp</w:t>
      </w:r>
      <w:r w:rsidRPr="006322D5">
        <w:rPr>
          <w:b/>
        </w:rPr>
        <w:t>aragraph 39H(3)(l)</w:t>
      </w:r>
    </w:p>
    <w:p w:rsidR="00264954" w:rsidRDefault="00264954" w:rsidP="00CD3FDA">
      <w:pPr>
        <w:ind w:right="-46"/>
      </w:pPr>
      <w:r>
        <w:t xml:space="preserve">Under paragraph 39H(3)(l) of the </w:t>
      </w:r>
      <w:r w:rsidR="00812E96">
        <w:t xml:space="preserve">Principal </w:t>
      </w:r>
      <w:r>
        <w:t>Regulations, one of the fields of expertise from which the Minister may appoint members to the ACSOV is the provision of immunisation treatment by a nurse practitioner.</w:t>
      </w:r>
    </w:p>
    <w:p w:rsidR="00264954" w:rsidRDefault="00264954" w:rsidP="00CD3FDA">
      <w:pPr>
        <w:ind w:right="-46"/>
      </w:pPr>
    </w:p>
    <w:p w:rsidR="00264954" w:rsidRDefault="00264954" w:rsidP="00CD3FDA">
      <w:pPr>
        <w:ind w:right="-46"/>
      </w:pPr>
      <w:r>
        <w:t xml:space="preserve">This reference was included in the list of fields of expertise for ACSOV members when the </w:t>
      </w:r>
      <w:r w:rsidR="00812E96">
        <w:t xml:space="preserve">Principal </w:t>
      </w:r>
      <w:r>
        <w:t>Regulations were amended in 2012 to establish that committee and provide for its functions and membership.</w:t>
      </w:r>
    </w:p>
    <w:p w:rsidR="00264954" w:rsidRDefault="00264954" w:rsidP="00CD3FDA">
      <w:pPr>
        <w:ind w:right="-46"/>
      </w:pPr>
    </w:p>
    <w:p w:rsidR="00264954" w:rsidRDefault="00264954" w:rsidP="00CD3FDA">
      <w:pPr>
        <w:ind w:right="-46"/>
      </w:pPr>
      <w:r>
        <w:t>However, the reference to expertise in the provision of immunisation treatment by a “nurse practitioner” was intended to refer to such treatment by a “registered nurse” (such as a nurse with experience working in a general practice setting).  “Nurse practitioners” are a specific subgroup of registered nurses, and it was not intended to restrict this field of expertise to only such nurses.</w:t>
      </w:r>
    </w:p>
    <w:p w:rsidR="00264954" w:rsidRDefault="00264954" w:rsidP="00CD3FDA">
      <w:pPr>
        <w:ind w:right="-46"/>
      </w:pPr>
    </w:p>
    <w:p w:rsidR="00BE356E" w:rsidRDefault="00010F7E" w:rsidP="00CD3FDA">
      <w:pPr>
        <w:ind w:right="-46"/>
      </w:pPr>
      <w:r>
        <w:t xml:space="preserve">Item 14 </w:t>
      </w:r>
      <w:r w:rsidR="00264954">
        <w:t>therefore replace</w:t>
      </w:r>
      <w:r w:rsidR="00CD3FDA">
        <w:t>s</w:t>
      </w:r>
      <w:r w:rsidR="00264954">
        <w:t xml:space="preserve"> “nurse practitioner” with “registered nurse”.</w:t>
      </w:r>
    </w:p>
    <w:p w:rsidR="004F3B5D" w:rsidRDefault="004F3B5D" w:rsidP="00CD3FDA">
      <w:pPr>
        <w:spacing w:before="360" w:after="120"/>
        <w:ind w:right="-46"/>
        <w:jc w:val="center"/>
        <w:rPr>
          <w:b/>
          <w:sz w:val="28"/>
          <w:szCs w:val="28"/>
        </w:rPr>
      </w:pPr>
      <w:r>
        <w:rPr>
          <w:b/>
          <w:sz w:val="28"/>
          <w:szCs w:val="28"/>
        </w:rPr>
        <w:lastRenderedPageBreak/>
        <w:t>Statement of Compatibility with Human Rights</w:t>
      </w:r>
    </w:p>
    <w:p w:rsidR="004F3B5D" w:rsidRDefault="004F3B5D" w:rsidP="00CD3FDA">
      <w:pPr>
        <w:spacing w:before="120" w:after="120"/>
        <w:ind w:right="-46"/>
        <w:jc w:val="center"/>
        <w:rPr>
          <w:szCs w:val="24"/>
        </w:rPr>
      </w:pPr>
      <w:r>
        <w:rPr>
          <w:i/>
          <w:szCs w:val="24"/>
        </w:rPr>
        <w:t>Prepared in accordance with Part 3 of the Human Rights (Parliamentary Scrutiny) Act 2011</w:t>
      </w:r>
    </w:p>
    <w:p w:rsidR="004F3B5D" w:rsidRDefault="004F3B5D" w:rsidP="00CD3FDA">
      <w:pPr>
        <w:spacing w:before="120" w:after="120"/>
        <w:ind w:right="-46"/>
        <w:jc w:val="center"/>
        <w:rPr>
          <w:szCs w:val="24"/>
        </w:rPr>
      </w:pPr>
    </w:p>
    <w:p w:rsidR="004F3B5D" w:rsidRDefault="004F3B5D" w:rsidP="00CD3FDA">
      <w:pPr>
        <w:spacing w:before="120" w:after="120"/>
        <w:ind w:right="-46"/>
        <w:jc w:val="center"/>
        <w:rPr>
          <w:b/>
          <w:szCs w:val="24"/>
        </w:rPr>
      </w:pPr>
      <w:r>
        <w:rPr>
          <w:b/>
          <w:szCs w:val="24"/>
        </w:rPr>
        <w:t>Therapeutic Goods Amendment (Advisory Committees) Regulation 2013</w:t>
      </w:r>
    </w:p>
    <w:p w:rsidR="004F3B5D" w:rsidRDefault="004F3B5D" w:rsidP="00CD3FDA">
      <w:pPr>
        <w:spacing w:before="120" w:after="120"/>
        <w:ind w:right="-46"/>
        <w:jc w:val="center"/>
        <w:rPr>
          <w:szCs w:val="24"/>
        </w:rPr>
      </w:pPr>
    </w:p>
    <w:p w:rsidR="004F3B5D" w:rsidRDefault="004F3B5D" w:rsidP="00CD3FDA">
      <w:pPr>
        <w:spacing w:before="120" w:after="120"/>
        <w:ind w:right="-46"/>
        <w:jc w:val="center"/>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4F3B5D" w:rsidRDefault="004F3B5D" w:rsidP="00CD3FDA">
      <w:pPr>
        <w:spacing w:before="120" w:after="120"/>
        <w:ind w:right="-46"/>
        <w:jc w:val="center"/>
        <w:rPr>
          <w:szCs w:val="24"/>
        </w:rPr>
      </w:pPr>
    </w:p>
    <w:p w:rsidR="004F3B5D" w:rsidRDefault="004F3B5D" w:rsidP="00CD3FDA">
      <w:pPr>
        <w:spacing w:before="120" w:after="120"/>
        <w:ind w:right="-46"/>
        <w:jc w:val="both"/>
        <w:rPr>
          <w:b/>
          <w:szCs w:val="24"/>
        </w:rPr>
      </w:pPr>
      <w:r>
        <w:rPr>
          <w:b/>
          <w:szCs w:val="24"/>
        </w:rPr>
        <w:t>Overview of the Legislative Instrument</w:t>
      </w:r>
    </w:p>
    <w:p w:rsidR="004F3B5D" w:rsidRDefault="004F3B5D" w:rsidP="00CD3FDA">
      <w:pPr>
        <w:spacing w:before="120" w:after="120"/>
        <w:ind w:right="-46"/>
        <w:rPr>
          <w:szCs w:val="24"/>
        </w:rPr>
      </w:pPr>
      <w:r>
        <w:rPr>
          <w:szCs w:val="24"/>
        </w:rPr>
        <w:t xml:space="preserve">The </w:t>
      </w:r>
      <w:r>
        <w:rPr>
          <w:i/>
          <w:szCs w:val="24"/>
        </w:rPr>
        <w:t xml:space="preserve">Therapeutic Goods Amendment (Advisory Committees) Regulation 2013 </w:t>
      </w:r>
      <w:r>
        <w:rPr>
          <w:szCs w:val="24"/>
        </w:rPr>
        <w:t xml:space="preserve">(the Amendment Regulation) is made under subsection 63(1) of the </w:t>
      </w:r>
      <w:r>
        <w:rPr>
          <w:i/>
          <w:szCs w:val="24"/>
        </w:rPr>
        <w:t>Therapeutic Goods Act 1989</w:t>
      </w:r>
      <w:r>
        <w:rPr>
          <w:szCs w:val="24"/>
        </w:rPr>
        <w:t>.</w:t>
      </w:r>
    </w:p>
    <w:p w:rsidR="004F3B5D" w:rsidRDefault="004F3B5D" w:rsidP="00CD3FDA">
      <w:pPr>
        <w:spacing w:before="120" w:after="120"/>
        <w:ind w:right="-46"/>
        <w:rPr>
          <w:szCs w:val="24"/>
        </w:rPr>
      </w:pPr>
      <w:r>
        <w:rPr>
          <w:szCs w:val="24"/>
        </w:rPr>
        <w:t xml:space="preserve">The purpose of the Amendment Regulation is to make a small number of minor amendments to the </w:t>
      </w:r>
      <w:r>
        <w:rPr>
          <w:i/>
          <w:szCs w:val="24"/>
        </w:rPr>
        <w:t>Therapeutic Goods Regulations 1990</w:t>
      </w:r>
      <w:r>
        <w:rPr>
          <w:szCs w:val="24"/>
        </w:rPr>
        <w:t xml:space="preserve"> (the Principal Regulations) in relation to the advisory committees established under Divisions 1-1EB of Part 6 of the </w:t>
      </w:r>
      <w:r w:rsidR="00CD3FDA">
        <w:rPr>
          <w:szCs w:val="24"/>
        </w:rPr>
        <w:t xml:space="preserve">Principal </w:t>
      </w:r>
      <w:r>
        <w:rPr>
          <w:szCs w:val="24"/>
        </w:rPr>
        <w:t>Regulations to advise the Minister and the Secretary about matters related to therapeutic goods.</w:t>
      </w:r>
    </w:p>
    <w:p w:rsidR="004F3B5D" w:rsidRDefault="00CD3FDA" w:rsidP="00CD3FDA">
      <w:pPr>
        <w:spacing w:before="120" w:after="120"/>
        <w:ind w:right="-46"/>
        <w:rPr>
          <w:szCs w:val="24"/>
        </w:rPr>
      </w:pPr>
      <w:r>
        <w:rPr>
          <w:szCs w:val="24"/>
        </w:rPr>
        <w:t xml:space="preserve">The Amendment Regulation </w:t>
      </w:r>
      <w:r w:rsidR="004F3B5D">
        <w:rPr>
          <w:szCs w:val="24"/>
        </w:rPr>
        <w:t>increase</w:t>
      </w:r>
      <w:r>
        <w:rPr>
          <w:szCs w:val="24"/>
        </w:rPr>
        <w:t>s</w:t>
      </w:r>
      <w:r w:rsidR="004F3B5D">
        <w:rPr>
          <w:szCs w:val="24"/>
        </w:rPr>
        <w:t xml:space="preserve"> the number of members able to be appointed to the Advisory Committee on the Safety of Medicines (ACSOM) and the Advisory Committee on the Safety of Medical Devices (ACSMD) (f</w:t>
      </w:r>
      <w:r w:rsidR="00010F7E">
        <w:rPr>
          <w:szCs w:val="24"/>
        </w:rPr>
        <w:t xml:space="preserve">rom 15 to 25 in each case) and </w:t>
      </w:r>
      <w:r w:rsidR="004F3B5D">
        <w:rPr>
          <w:szCs w:val="24"/>
        </w:rPr>
        <w:t>add</w:t>
      </w:r>
      <w:r>
        <w:rPr>
          <w:szCs w:val="24"/>
        </w:rPr>
        <w:t>s</w:t>
      </w:r>
      <w:r w:rsidR="004F3B5D">
        <w:rPr>
          <w:szCs w:val="24"/>
        </w:rPr>
        <w:t xml:space="preserve"> a number of new fields of expertise from which members of those committees ma</w:t>
      </w:r>
      <w:r>
        <w:rPr>
          <w:szCs w:val="24"/>
        </w:rPr>
        <w:t xml:space="preserve">y be appointed.  These changes </w:t>
      </w:r>
      <w:r w:rsidR="004F3B5D">
        <w:rPr>
          <w:szCs w:val="24"/>
        </w:rPr>
        <w:t>enable the ACSOM and ACSMD to access a broader range of expertise to inform their consideration of medicines and medic</w:t>
      </w:r>
      <w:r w:rsidR="00010F7E">
        <w:rPr>
          <w:szCs w:val="24"/>
        </w:rPr>
        <w:t xml:space="preserve">al devices safety matters, and </w:t>
      </w:r>
      <w:r w:rsidR="004F3B5D">
        <w:rPr>
          <w:szCs w:val="24"/>
        </w:rPr>
        <w:t>enhance</w:t>
      </w:r>
      <w:r w:rsidR="00010F7E">
        <w:rPr>
          <w:szCs w:val="24"/>
        </w:rPr>
        <w:t>s</w:t>
      </w:r>
      <w:r w:rsidR="004F3B5D">
        <w:rPr>
          <w:szCs w:val="24"/>
        </w:rPr>
        <w:t xml:space="preserve"> the ability of the Therapeutic Goods Administration to respond promptly to such matters.</w:t>
      </w:r>
    </w:p>
    <w:p w:rsidR="004F3B5D" w:rsidRDefault="00CD3FDA" w:rsidP="00CD3FDA">
      <w:pPr>
        <w:spacing w:before="120" w:after="120"/>
        <w:ind w:right="-46"/>
        <w:rPr>
          <w:szCs w:val="24"/>
        </w:rPr>
      </w:pPr>
      <w:r>
        <w:rPr>
          <w:szCs w:val="24"/>
        </w:rPr>
        <w:t xml:space="preserve">The Amendment Regulation </w:t>
      </w:r>
      <w:r w:rsidR="004F3B5D">
        <w:rPr>
          <w:szCs w:val="24"/>
        </w:rPr>
        <w:t>also c</w:t>
      </w:r>
      <w:r>
        <w:rPr>
          <w:szCs w:val="24"/>
        </w:rPr>
        <w:t>larifies</w:t>
      </w:r>
      <w:r w:rsidR="004F3B5D">
        <w:rPr>
          <w:szCs w:val="24"/>
        </w:rPr>
        <w:t xml:space="preserve"> that the function of the committees to provide advice and to make recommendations is activated in response to a request from the Mi</w:t>
      </w:r>
      <w:r>
        <w:rPr>
          <w:szCs w:val="24"/>
        </w:rPr>
        <w:t xml:space="preserve">nister or the Secretary.  They </w:t>
      </w:r>
      <w:r w:rsidR="004F3B5D">
        <w:rPr>
          <w:szCs w:val="24"/>
        </w:rPr>
        <w:t>also clarify the intent of one of the fields of expertise for the Advisory Committee on the Safety of Vaccines by replacing a reference to ‘nurse practitioner’ with ‘registered nurse’.</w:t>
      </w:r>
    </w:p>
    <w:p w:rsidR="004F3B5D" w:rsidRDefault="004F3B5D" w:rsidP="00CD3FDA">
      <w:pPr>
        <w:spacing w:before="120" w:after="120"/>
        <w:ind w:right="-46"/>
        <w:rPr>
          <w:szCs w:val="24"/>
        </w:rPr>
      </w:pPr>
    </w:p>
    <w:p w:rsidR="004F3B5D" w:rsidRDefault="004F3B5D" w:rsidP="00CD3FDA">
      <w:pPr>
        <w:spacing w:before="120" w:after="120"/>
        <w:ind w:right="-46"/>
        <w:rPr>
          <w:b/>
          <w:szCs w:val="24"/>
        </w:rPr>
      </w:pPr>
      <w:r>
        <w:rPr>
          <w:b/>
          <w:szCs w:val="24"/>
        </w:rPr>
        <w:t>Human rights implications</w:t>
      </w:r>
    </w:p>
    <w:p w:rsidR="004F3B5D" w:rsidRDefault="004F3B5D" w:rsidP="00CD3FDA">
      <w:pPr>
        <w:ind w:right="-46"/>
        <w:rPr>
          <w:szCs w:val="24"/>
        </w:rPr>
      </w:pPr>
      <w:r>
        <w:rPr>
          <w:szCs w:val="24"/>
        </w:rPr>
        <w:t>As the Amendment Regulation does not introduce any changes to the Principal Regulations other than to implement the minor changes mentioned above, it does not engage any of the applicable rights or freedoms.</w:t>
      </w:r>
    </w:p>
    <w:p w:rsidR="004F3B5D" w:rsidRDefault="004F3B5D" w:rsidP="00CD3FDA">
      <w:pPr>
        <w:spacing w:before="120" w:after="120"/>
        <w:ind w:right="-46"/>
        <w:rPr>
          <w:szCs w:val="24"/>
        </w:rPr>
      </w:pPr>
    </w:p>
    <w:p w:rsidR="004F3B5D" w:rsidRDefault="004F3B5D" w:rsidP="00CD3FDA">
      <w:pPr>
        <w:spacing w:before="120" w:after="120"/>
        <w:ind w:right="-46"/>
        <w:rPr>
          <w:b/>
          <w:szCs w:val="24"/>
        </w:rPr>
      </w:pPr>
      <w:r>
        <w:rPr>
          <w:b/>
          <w:szCs w:val="24"/>
        </w:rPr>
        <w:t>Conclusion</w:t>
      </w:r>
    </w:p>
    <w:p w:rsidR="004F3B5D" w:rsidRDefault="004F3B5D" w:rsidP="00CD3FDA">
      <w:pPr>
        <w:spacing w:before="120" w:after="120"/>
        <w:ind w:right="-46"/>
        <w:rPr>
          <w:szCs w:val="24"/>
        </w:rPr>
      </w:pPr>
      <w:r>
        <w:rPr>
          <w:szCs w:val="24"/>
        </w:rPr>
        <w:t>This legislative instrument is compatible with human rights as it does not raise any human rights issues.</w:t>
      </w:r>
    </w:p>
    <w:p w:rsidR="004F3B5D" w:rsidRDefault="004F3B5D" w:rsidP="00CD3FDA">
      <w:pPr>
        <w:ind w:right="-46"/>
        <w:jc w:val="center"/>
        <w:rPr>
          <w:b/>
          <w:szCs w:val="24"/>
        </w:rPr>
      </w:pPr>
    </w:p>
    <w:p w:rsidR="004F3B5D" w:rsidRPr="005F7046" w:rsidRDefault="004F3B5D" w:rsidP="00CD3FDA">
      <w:pPr>
        <w:ind w:right="-46"/>
        <w:jc w:val="center"/>
        <w:rPr>
          <w:szCs w:val="24"/>
        </w:rPr>
      </w:pPr>
    </w:p>
    <w:p w:rsidR="004F3B5D" w:rsidRDefault="004F3B5D" w:rsidP="00CD3FDA">
      <w:pPr>
        <w:spacing w:before="120" w:after="120"/>
        <w:ind w:right="-46"/>
        <w:jc w:val="center"/>
        <w:rPr>
          <w:b/>
          <w:szCs w:val="24"/>
        </w:rPr>
      </w:pPr>
      <w:r>
        <w:rPr>
          <w:b/>
          <w:szCs w:val="24"/>
        </w:rPr>
        <w:t>Shayne Neumann</w:t>
      </w:r>
    </w:p>
    <w:p w:rsidR="004F3B5D" w:rsidRPr="00671D35" w:rsidRDefault="004F3B5D" w:rsidP="00671D35">
      <w:pPr>
        <w:spacing w:before="120" w:after="120"/>
        <w:ind w:right="-46"/>
        <w:jc w:val="center"/>
        <w:rPr>
          <w:szCs w:val="24"/>
        </w:rPr>
      </w:pPr>
      <w:r>
        <w:rPr>
          <w:b/>
          <w:szCs w:val="24"/>
        </w:rPr>
        <w:t>Parliamentary Secretary for Health and Ageing</w:t>
      </w:r>
    </w:p>
    <w:sectPr w:rsidR="004F3B5D" w:rsidRPr="00671D35" w:rsidSect="00CD3FDA">
      <w:pgSz w:w="11906" w:h="16838"/>
      <w:pgMar w:top="1304" w:right="1274" w:bottom="130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FDA" w:rsidRDefault="00CD3FDA" w:rsidP="00A2299B">
      <w:r>
        <w:separator/>
      </w:r>
    </w:p>
  </w:endnote>
  <w:endnote w:type="continuationSeparator" w:id="0">
    <w:p w:rsidR="00CD3FDA" w:rsidRDefault="00CD3FDA" w:rsidP="00A2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FDA" w:rsidRDefault="00CD3FDA" w:rsidP="00A2299B">
      <w:r>
        <w:separator/>
      </w:r>
    </w:p>
  </w:footnote>
  <w:footnote w:type="continuationSeparator" w:id="0">
    <w:p w:rsidR="00CD3FDA" w:rsidRDefault="00CD3FDA" w:rsidP="00A229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551"/>
    <w:multiLevelType w:val="hybridMultilevel"/>
    <w:tmpl w:val="48CE6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F8146D"/>
    <w:multiLevelType w:val="hybridMultilevel"/>
    <w:tmpl w:val="E2963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232AD6"/>
    <w:multiLevelType w:val="hybridMultilevel"/>
    <w:tmpl w:val="1F8C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1D51FB"/>
    <w:multiLevelType w:val="hybridMultilevel"/>
    <w:tmpl w:val="8CDEB254"/>
    <w:lvl w:ilvl="0" w:tplc="AB5A07EC">
      <w:start w:val="1"/>
      <w:numFmt w:val="decimal"/>
      <w:lvlText w:val="%1. "/>
      <w:lvlJc w:val="left"/>
      <w:pPr>
        <w:ind w:left="360" w:hanging="360"/>
      </w:pPr>
      <w:rPr>
        <w:rFonts w:hint="default"/>
        <w:spacing w:val="-20"/>
        <w:w w:val="100"/>
        <w:kern w:val="0"/>
        <w:position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B46799A"/>
    <w:multiLevelType w:val="hybridMultilevel"/>
    <w:tmpl w:val="91F87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E163DA"/>
    <w:multiLevelType w:val="hybridMultilevel"/>
    <w:tmpl w:val="D0087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1CE7BD9"/>
    <w:multiLevelType w:val="hybridMultilevel"/>
    <w:tmpl w:val="028E453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3D243AA"/>
    <w:multiLevelType w:val="hybridMultilevel"/>
    <w:tmpl w:val="2628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2B2649B"/>
    <w:multiLevelType w:val="hybridMultilevel"/>
    <w:tmpl w:val="9A66D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AB7677F"/>
    <w:multiLevelType w:val="hybridMultilevel"/>
    <w:tmpl w:val="672A228E"/>
    <w:lvl w:ilvl="0" w:tplc="2C80B504">
      <w:start w:val="1"/>
      <w:numFmt w:val="lowerLetter"/>
      <w:lvlText w:val="(%1)"/>
      <w:lvlJc w:val="left"/>
      <w:pPr>
        <w:ind w:left="765" w:hanging="360"/>
      </w:pPr>
      <w:rPr>
        <w:rFonts w:ascii="Times New Roman" w:eastAsia="Times New Roman" w:hAnsi="Times New Roman" w:cs="Times New Roman"/>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abstractNum w:abstractNumId="10">
    <w:nsid w:val="5B824454"/>
    <w:multiLevelType w:val="hybridMultilevel"/>
    <w:tmpl w:val="4976BD14"/>
    <w:lvl w:ilvl="0" w:tplc="AB5A07EC">
      <w:start w:val="1"/>
      <w:numFmt w:val="decimal"/>
      <w:lvlText w:val="%1. "/>
      <w:lvlJc w:val="left"/>
      <w:pPr>
        <w:ind w:left="360" w:hanging="360"/>
      </w:pPr>
      <w:rPr>
        <w:rFonts w:hint="default"/>
        <w:spacing w:val="-20"/>
        <w:w w:val="100"/>
        <w:kern w:val="0"/>
        <w:position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694D7D65"/>
    <w:multiLevelType w:val="hybridMultilevel"/>
    <w:tmpl w:val="D068E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D3F5AB0"/>
    <w:multiLevelType w:val="hybridMultilevel"/>
    <w:tmpl w:val="D8C8E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2"/>
  </w:num>
  <w:num w:numId="4">
    <w:abstractNumId w:val="10"/>
  </w:num>
  <w:num w:numId="5">
    <w:abstractNumId w:val="0"/>
  </w:num>
  <w:num w:numId="6">
    <w:abstractNumId w:val="7"/>
  </w:num>
  <w:num w:numId="7">
    <w:abstractNumId w:val="3"/>
  </w:num>
  <w:num w:numId="8">
    <w:abstractNumId w:val="11"/>
  </w:num>
  <w:num w:numId="9">
    <w:abstractNumId w:val="5"/>
  </w:num>
  <w:num w:numId="10">
    <w:abstractNumId w:val="1"/>
  </w:num>
  <w:num w:numId="11">
    <w:abstractNumId w:val="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28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A4"/>
    <w:rsid w:val="00005F8F"/>
    <w:rsid w:val="00006EED"/>
    <w:rsid w:val="00010F7E"/>
    <w:rsid w:val="000149B5"/>
    <w:rsid w:val="00030D81"/>
    <w:rsid w:val="00037882"/>
    <w:rsid w:val="0004282E"/>
    <w:rsid w:val="0004434A"/>
    <w:rsid w:val="000450DA"/>
    <w:rsid w:val="00051EAE"/>
    <w:rsid w:val="00056B7A"/>
    <w:rsid w:val="000605C4"/>
    <w:rsid w:val="00060820"/>
    <w:rsid w:val="000627DF"/>
    <w:rsid w:val="00063280"/>
    <w:rsid w:val="00066E1B"/>
    <w:rsid w:val="0007195A"/>
    <w:rsid w:val="000734F6"/>
    <w:rsid w:val="000749D3"/>
    <w:rsid w:val="0007636B"/>
    <w:rsid w:val="00080A30"/>
    <w:rsid w:val="00084325"/>
    <w:rsid w:val="00087448"/>
    <w:rsid w:val="00090014"/>
    <w:rsid w:val="00092711"/>
    <w:rsid w:val="000B0FF3"/>
    <w:rsid w:val="000B1535"/>
    <w:rsid w:val="000B380F"/>
    <w:rsid w:val="000C029A"/>
    <w:rsid w:val="000C6B8D"/>
    <w:rsid w:val="000C7524"/>
    <w:rsid w:val="000D572D"/>
    <w:rsid w:val="000D5BFD"/>
    <w:rsid w:val="000E1A7D"/>
    <w:rsid w:val="000E4581"/>
    <w:rsid w:val="000F2F45"/>
    <w:rsid w:val="000F5D0F"/>
    <w:rsid w:val="00113533"/>
    <w:rsid w:val="00113B45"/>
    <w:rsid w:val="001163EC"/>
    <w:rsid w:val="00122C61"/>
    <w:rsid w:val="00125550"/>
    <w:rsid w:val="0012593D"/>
    <w:rsid w:val="001270E0"/>
    <w:rsid w:val="001360A1"/>
    <w:rsid w:val="00153688"/>
    <w:rsid w:val="00153C58"/>
    <w:rsid w:val="00154185"/>
    <w:rsid w:val="001542B5"/>
    <w:rsid w:val="00156491"/>
    <w:rsid w:val="00163597"/>
    <w:rsid w:val="00164764"/>
    <w:rsid w:val="001658E2"/>
    <w:rsid w:val="001756EF"/>
    <w:rsid w:val="00175A79"/>
    <w:rsid w:val="001766E6"/>
    <w:rsid w:val="00183016"/>
    <w:rsid w:val="00185569"/>
    <w:rsid w:val="0019006E"/>
    <w:rsid w:val="0019011B"/>
    <w:rsid w:val="00191E54"/>
    <w:rsid w:val="00192250"/>
    <w:rsid w:val="00192453"/>
    <w:rsid w:val="0019271E"/>
    <w:rsid w:val="00193D79"/>
    <w:rsid w:val="00196CD4"/>
    <w:rsid w:val="00197CC0"/>
    <w:rsid w:val="001B38E8"/>
    <w:rsid w:val="001B6539"/>
    <w:rsid w:val="001C56A8"/>
    <w:rsid w:val="001C6DCC"/>
    <w:rsid w:val="001D2AEF"/>
    <w:rsid w:val="001D2E82"/>
    <w:rsid w:val="001D711C"/>
    <w:rsid w:val="001E64D3"/>
    <w:rsid w:val="00202085"/>
    <w:rsid w:val="0020352D"/>
    <w:rsid w:val="00203E51"/>
    <w:rsid w:val="00204A29"/>
    <w:rsid w:val="002153D5"/>
    <w:rsid w:val="0021688E"/>
    <w:rsid w:val="00217465"/>
    <w:rsid w:val="00223A41"/>
    <w:rsid w:val="00235126"/>
    <w:rsid w:val="00241672"/>
    <w:rsid w:val="00244753"/>
    <w:rsid w:val="0024495C"/>
    <w:rsid w:val="00246AD2"/>
    <w:rsid w:val="00247FA8"/>
    <w:rsid w:val="00264954"/>
    <w:rsid w:val="00266787"/>
    <w:rsid w:val="00270C51"/>
    <w:rsid w:val="00273AEB"/>
    <w:rsid w:val="002747DD"/>
    <w:rsid w:val="00277E34"/>
    <w:rsid w:val="002810EE"/>
    <w:rsid w:val="00283A2F"/>
    <w:rsid w:val="002945AB"/>
    <w:rsid w:val="00295A1D"/>
    <w:rsid w:val="00296838"/>
    <w:rsid w:val="00297F4D"/>
    <w:rsid w:val="002A351A"/>
    <w:rsid w:val="002A5AE1"/>
    <w:rsid w:val="002A6FEA"/>
    <w:rsid w:val="002B48E2"/>
    <w:rsid w:val="002C1A9B"/>
    <w:rsid w:val="002C1AFC"/>
    <w:rsid w:val="002C2885"/>
    <w:rsid w:val="002C4298"/>
    <w:rsid w:val="002C5267"/>
    <w:rsid w:val="002C5C61"/>
    <w:rsid w:val="002D5938"/>
    <w:rsid w:val="002D70E0"/>
    <w:rsid w:val="002E0B8C"/>
    <w:rsid w:val="002E568B"/>
    <w:rsid w:val="002F3E9E"/>
    <w:rsid w:val="002F413F"/>
    <w:rsid w:val="00304C8B"/>
    <w:rsid w:val="00311F0C"/>
    <w:rsid w:val="00313B30"/>
    <w:rsid w:val="003172AB"/>
    <w:rsid w:val="0032168C"/>
    <w:rsid w:val="00322D3A"/>
    <w:rsid w:val="00323171"/>
    <w:rsid w:val="003261E6"/>
    <w:rsid w:val="00327722"/>
    <w:rsid w:val="0033580D"/>
    <w:rsid w:val="00335F54"/>
    <w:rsid w:val="00337CDA"/>
    <w:rsid w:val="003411ED"/>
    <w:rsid w:val="00342F0F"/>
    <w:rsid w:val="003442D9"/>
    <w:rsid w:val="00347FB1"/>
    <w:rsid w:val="003516DD"/>
    <w:rsid w:val="0036468F"/>
    <w:rsid w:val="00364CA3"/>
    <w:rsid w:val="00365402"/>
    <w:rsid w:val="00376B26"/>
    <w:rsid w:val="00380326"/>
    <w:rsid w:val="00382ED9"/>
    <w:rsid w:val="003856A4"/>
    <w:rsid w:val="00387931"/>
    <w:rsid w:val="0039169F"/>
    <w:rsid w:val="00392C09"/>
    <w:rsid w:val="003A26DD"/>
    <w:rsid w:val="003A2845"/>
    <w:rsid w:val="003A4BB8"/>
    <w:rsid w:val="003A5C6B"/>
    <w:rsid w:val="003A73CF"/>
    <w:rsid w:val="003B2F54"/>
    <w:rsid w:val="003C4B49"/>
    <w:rsid w:val="003C4E57"/>
    <w:rsid w:val="003C72AF"/>
    <w:rsid w:val="003D1810"/>
    <w:rsid w:val="003D377F"/>
    <w:rsid w:val="003D3F2F"/>
    <w:rsid w:val="003D5AD5"/>
    <w:rsid w:val="003E33C4"/>
    <w:rsid w:val="003E37AF"/>
    <w:rsid w:val="003E4FBA"/>
    <w:rsid w:val="003E6BDB"/>
    <w:rsid w:val="003F7635"/>
    <w:rsid w:val="003F7719"/>
    <w:rsid w:val="00415793"/>
    <w:rsid w:val="00415C2D"/>
    <w:rsid w:val="00417C2F"/>
    <w:rsid w:val="0042269B"/>
    <w:rsid w:val="00431FBB"/>
    <w:rsid w:val="004352DD"/>
    <w:rsid w:val="004366B4"/>
    <w:rsid w:val="004408A5"/>
    <w:rsid w:val="0044252B"/>
    <w:rsid w:val="004548E3"/>
    <w:rsid w:val="004553EE"/>
    <w:rsid w:val="0046065D"/>
    <w:rsid w:val="00462276"/>
    <w:rsid w:val="00462FBF"/>
    <w:rsid w:val="0046430C"/>
    <w:rsid w:val="00470A7B"/>
    <w:rsid w:val="004728EB"/>
    <w:rsid w:val="00473809"/>
    <w:rsid w:val="00473E85"/>
    <w:rsid w:val="00476DEF"/>
    <w:rsid w:val="004906E3"/>
    <w:rsid w:val="004947F7"/>
    <w:rsid w:val="00497028"/>
    <w:rsid w:val="004A1B01"/>
    <w:rsid w:val="004A1FC0"/>
    <w:rsid w:val="004A3CD3"/>
    <w:rsid w:val="004A53A0"/>
    <w:rsid w:val="004A6582"/>
    <w:rsid w:val="004B211D"/>
    <w:rsid w:val="004B285A"/>
    <w:rsid w:val="004B6251"/>
    <w:rsid w:val="004C1689"/>
    <w:rsid w:val="004C2476"/>
    <w:rsid w:val="004C4DD5"/>
    <w:rsid w:val="004D7B80"/>
    <w:rsid w:val="004E2513"/>
    <w:rsid w:val="004E3A8A"/>
    <w:rsid w:val="004E658C"/>
    <w:rsid w:val="004F3B5D"/>
    <w:rsid w:val="00500F1D"/>
    <w:rsid w:val="0050217E"/>
    <w:rsid w:val="00506562"/>
    <w:rsid w:val="00506C06"/>
    <w:rsid w:val="00507967"/>
    <w:rsid w:val="00512873"/>
    <w:rsid w:val="0051396A"/>
    <w:rsid w:val="00514672"/>
    <w:rsid w:val="00517846"/>
    <w:rsid w:val="005178B5"/>
    <w:rsid w:val="00517F2B"/>
    <w:rsid w:val="00522D42"/>
    <w:rsid w:val="0052612F"/>
    <w:rsid w:val="00530B7D"/>
    <w:rsid w:val="00531A46"/>
    <w:rsid w:val="005329D6"/>
    <w:rsid w:val="00537149"/>
    <w:rsid w:val="00537C85"/>
    <w:rsid w:val="00541077"/>
    <w:rsid w:val="00542F8E"/>
    <w:rsid w:val="005446FF"/>
    <w:rsid w:val="0054771E"/>
    <w:rsid w:val="0056578D"/>
    <w:rsid w:val="00572DC2"/>
    <w:rsid w:val="00574D01"/>
    <w:rsid w:val="00575D61"/>
    <w:rsid w:val="00575EA8"/>
    <w:rsid w:val="00575F8F"/>
    <w:rsid w:val="0057784E"/>
    <w:rsid w:val="00577CA2"/>
    <w:rsid w:val="0058378B"/>
    <w:rsid w:val="00585729"/>
    <w:rsid w:val="00586D88"/>
    <w:rsid w:val="0059077B"/>
    <w:rsid w:val="0059172C"/>
    <w:rsid w:val="00594F74"/>
    <w:rsid w:val="005A054C"/>
    <w:rsid w:val="005A07DE"/>
    <w:rsid w:val="005B0F41"/>
    <w:rsid w:val="005B371D"/>
    <w:rsid w:val="005B4ABF"/>
    <w:rsid w:val="005C173B"/>
    <w:rsid w:val="005C1FA3"/>
    <w:rsid w:val="005D271C"/>
    <w:rsid w:val="005D7E8D"/>
    <w:rsid w:val="005E39E7"/>
    <w:rsid w:val="005F1FEA"/>
    <w:rsid w:val="005F3B1E"/>
    <w:rsid w:val="005F4FBA"/>
    <w:rsid w:val="005F65C6"/>
    <w:rsid w:val="005F75F0"/>
    <w:rsid w:val="00600CB8"/>
    <w:rsid w:val="00601891"/>
    <w:rsid w:val="006028FD"/>
    <w:rsid w:val="00613321"/>
    <w:rsid w:val="00616021"/>
    <w:rsid w:val="00621174"/>
    <w:rsid w:val="00622F2F"/>
    <w:rsid w:val="00623B27"/>
    <w:rsid w:val="006311D3"/>
    <w:rsid w:val="006322D5"/>
    <w:rsid w:val="00634DF1"/>
    <w:rsid w:val="00641252"/>
    <w:rsid w:val="0064335B"/>
    <w:rsid w:val="00646CC0"/>
    <w:rsid w:val="0064791B"/>
    <w:rsid w:val="00666057"/>
    <w:rsid w:val="006672A6"/>
    <w:rsid w:val="00671C55"/>
    <w:rsid w:val="00671D35"/>
    <w:rsid w:val="0067242A"/>
    <w:rsid w:val="00673B84"/>
    <w:rsid w:val="00675505"/>
    <w:rsid w:val="00680200"/>
    <w:rsid w:val="00682C3E"/>
    <w:rsid w:val="00684173"/>
    <w:rsid w:val="00684780"/>
    <w:rsid w:val="00694012"/>
    <w:rsid w:val="00695945"/>
    <w:rsid w:val="00696D9F"/>
    <w:rsid w:val="00697608"/>
    <w:rsid w:val="006A2C75"/>
    <w:rsid w:val="006A57AE"/>
    <w:rsid w:val="006A5FE2"/>
    <w:rsid w:val="006A68E5"/>
    <w:rsid w:val="006A7534"/>
    <w:rsid w:val="006B07BF"/>
    <w:rsid w:val="006B3112"/>
    <w:rsid w:val="006C1907"/>
    <w:rsid w:val="006C6278"/>
    <w:rsid w:val="006D75A9"/>
    <w:rsid w:val="006E0AA8"/>
    <w:rsid w:val="006E4C3D"/>
    <w:rsid w:val="006E7A6C"/>
    <w:rsid w:val="006F575B"/>
    <w:rsid w:val="00700444"/>
    <w:rsid w:val="00704057"/>
    <w:rsid w:val="007048C4"/>
    <w:rsid w:val="00704A6B"/>
    <w:rsid w:val="00706DE6"/>
    <w:rsid w:val="00710B2A"/>
    <w:rsid w:val="0071137E"/>
    <w:rsid w:val="007140A6"/>
    <w:rsid w:val="0072242C"/>
    <w:rsid w:val="00722960"/>
    <w:rsid w:val="00730734"/>
    <w:rsid w:val="007322C1"/>
    <w:rsid w:val="00735AFD"/>
    <w:rsid w:val="0073644B"/>
    <w:rsid w:val="007405DF"/>
    <w:rsid w:val="00743922"/>
    <w:rsid w:val="00743A70"/>
    <w:rsid w:val="00747579"/>
    <w:rsid w:val="007514B3"/>
    <w:rsid w:val="00751C9B"/>
    <w:rsid w:val="00753273"/>
    <w:rsid w:val="00756F52"/>
    <w:rsid w:val="00771BDB"/>
    <w:rsid w:val="0077263E"/>
    <w:rsid w:val="00773588"/>
    <w:rsid w:val="00773852"/>
    <w:rsid w:val="00783E35"/>
    <w:rsid w:val="00785B3A"/>
    <w:rsid w:val="00792D36"/>
    <w:rsid w:val="00793714"/>
    <w:rsid w:val="00794E77"/>
    <w:rsid w:val="00795062"/>
    <w:rsid w:val="00797701"/>
    <w:rsid w:val="007A2D51"/>
    <w:rsid w:val="007A458D"/>
    <w:rsid w:val="007A706C"/>
    <w:rsid w:val="007B086B"/>
    <w:rsid w:val="007B31FD"/>
    <w:rsid w:val="007B6541"/>
    <w:rsid w:val="007C08F3"/>
    <w:rsid w:val="007C0E54"/>
    <w:rsid w:val="007C210C"/>
    <w:rsid w:val="007D6CAF"/>
    <w:rsid w:val="007D7FA8"/>
    <w:rsid w:val="007E5DD2"/>
    <w:rsid w:val="007F4F1E"/>
    <w:rsid w:val="007F51A0"/>
    <w:rsid w:val="007F6167"/>
    <w:rsid w:val="00800C44"/>
    <w:rsid w:val="00806B73"/>
    <w:rsid w:val="00806BDA"/>
    <w:rsid w:val="00810717"/>
    <w:rsid w:val="00812E96"/>
    <w:rsid w:val="00814EC4"/>
    <w:rsid w:val="00815065"/>
    <w:rsid w:val="008179AC"/>
    <w:rsid w:val="00821421"/>
    <w:rsid w:val="008244B1"/>
    <w:rsid w:val="00826374"/>
    <w:rsid w:val="00827DA5"/>
    <w:rsid w:val="00831EF9"/>
    <w:rsid w:val="0083516C"/>
    <w:rsid w:val="00836B07"/>
    <w:rsid w:val="00841D57"/>
    <w:rsid w:val="00846E3C"/>
    <w:rsid w:val="00850F73"/>
    <w:rsid w:val="00852AF3"/>
    <w:rsid w:val="008545ED"/>
    <w:rsid w:val="0085650A"/>
    <w:rsid w:val="008772B3"/>
    <w:rsid w:val="008839D2"/>
    <w:rsid w:val="008849BE"/>
    <w:rsid w:val="00891888"/>
    <w:rsid w:val="0089192E"/>
    <w:rsid w:val="008974B8"/>
    <w:rsid w:val="008A0AD6"/>
    <w:rsid w:val="008A0FDA"/>
    <w:rsid w:val="008A2198"/>
    <w:rsid w:val="008A3758"/>
    <w:rsid w:val="008A4684"/>
    <w:rsid w:val="008A4B48"/>
    <w:rsid w:val="008B2CB5"/>
    <w:rsid w:val="008C6489"/>
    <w:rsid w:val="008D5C3B"/>
    <w:rsid w:val="008E30B6"/>
    <w:rsid w:val="008E7167"/>
    <w:rsid w:val="008F11E7"/>
    <w:rsid w:val="008F3A73"/>
    <w:rsid w:val="008F464D"/>
    <w:rsid w:val="00900C44"/>
    <w:rsid w:val="00901A68"/>
    <w:rsid w:val="00903DEB"/>
    <w:rsid w:val="009161C8"/>
    <w:rsid w:val="00917950"/>
    <w:rsid w:val="00920CF0"/>
    <w:rsid w:val="00920D23"/>
    <w:rsid w:val="00922B98"/>
    <w:rsid w:val="00935A9A"/>
    <w:rsid w:val="0093638A"/>
    <w:rsid w:val="00941170"/>
    <w:rsid w:val="009438BE"/>
    <w:rsid w:val="009455DC"/>
    <w:rsid w:val="00945A69"/>
    <w:rsid w:val="009503F8"/>
    <w:rsid w:val="00951323"/>
    <w:rsid w:val="00951650"/>
    <w:rsid w:val="00951CBB"/>
    <w:rsid w:val="00955891"/>
    <w:rsid w:val="00955B3E"/>
    <w:rsid w:val="00961F07"/>
    <w:rsid w:val="00967351"/>
    <w:rsid w:val="009679EE"/>
    <w:rsid w:val="00971254"/>
    <w:rsid w:val="00973269"/>
    <w:rsid w:val="009732BE"/>
    <w:rsid w:val="0097624B"/>
    <w:rsid w:val="009830FB"/>
    <w:rsid w:val="009958EE"/>
    <w:rsid w:val="00995BEC"/>
    <w:rsid w:val="00996541"/>
    <w:rsid w:val="009A0D09"/>
    <w:rsid w:val="009B4412"/>
    <w:rsid w:val="009C010D"/>
    <w:rsid w:val="009C36C7"/>
    <w:rsid w:val="009C63C9"/>
    <w:rsid w:val="009C737D"/>
    <w:rsid w:val="009D29AB"/>
    <w:rsid w:val="009D43ED"/>
    <w:rsid w:val="009D5DB7"/>
    <w:rsid w:val="009D740E"/>
    <w:rsid w:val="009E637B"/>
    <w:rsid w:val="009F0F57"/>
    <w:rsid w:val="00A01FCA"/>
    <w:rsid w:val="00A033D5"/>
    <w:rsid w:val="00A06BE5"/>
    <w:rsid w:val="00A12278"/>
    <w:rsid w:val="00A13FE4"/>
    <w:rsid w:val="00A148E9"/>
    <w:rsid w:val="00A17D8C"/>
    <w:rsid w:val="00A2299B"/>
    <w:rsid w:val="00A22CDC"/>
    <w:rsid w:val="00A251B0"/>
    <w:rsid w:val="00A3114F"/>
    <w:rsid w:val="00A354CA"/>
    <w:rsid w:val="00A46A18"/>
    <w:rsid w:val="00A52DE7"/>
    <w:rsid w:val="00A55B3E"/>
    <w:rsid w:val="00A641D4"/>
    <w:rsid w:val="00A67055"/>
    <w:rsid w:val="00A75822"/>
    <w:rsid w:val="00A77D74"/>
    <w:rsid w:val="00A85600"/>
    <w:rsid w:val="00A85D75"/>
    <w:rsid w:val="00A8653F"/>
    <w:rsid w:val="00A86D8F"/>
    <w:rsid w:val="00A91AE5"/>
    <w:rsid w:val="00A91FB7"/>
    <w:rsid w:val="00A95A6C"/>
    <w:rsid w:val="00AA3401"/>
    <w:rsid w:val="00AA4CF1"/>
    <w:rsid w:val="00AA4F2C"/>
    <w:rsid w:val="00AC0627"/>
    <w:rsid w:val="00AC11C8"/>
    <w:rsid w:val="00AC16BE"/>
    <w:rsid w:val="00AC42A1"/>
    <w:rsid w:val="00AD14E2"/>
    <w:rsid w:val="00AD390C"/>
    <w:rsid w:val="00AD4F3B"/>
    <w:rsid w:val="00AD7222"/>
    <w:rsid w:val="00AD72DB"/>
    <w:rsid w:val="00AE3DDE"/>
    <w:rsid w:val="00AE5795"/>
    <w:rsid w:val="00AF14FF"/>
    <w:rsid w:val="00B00892"/>
    <w:rsid w:val="00B0417C"/>
    <w:rsid w:val="00B11F16"/>
    <w:rsid w:val="00B15BAC"/>
    <w:rsid w:val="00B16191"/>
    <w:rsid w:val="00B163A7"/>
    <w:rsid w:val="00B25B8F"/>
    <w:rsid w:val="00B26600"/>
    <w:rsid w:val="00B323DF"/>
    <w:rsid w:val="00B377DB"/>
    <w:rsid w:val="00B42634"/>
    <w:rsid w:val="00B43D28"/>
    <w:rsid w:val="00B446E4"/>
    <w:rsid w:val="00B46646"/>
    <w:rsid w:val="00B46E4E"/>
    <w:rsid w:val="00B50B81"/>
    <w:rsid w:val="00B62ECF"/>
    <w:rsid w:val="00B70663"/>
    <w:rsid w:val="00B73B7E"/>
    <w:rsid w:val="00B749B8"/>
    <w:rsid w:val="00B77AB9"/>
    <w:rsid w:val="00B80D30"/>
    <w:rsid w:val="00B85A19"/>
    <w:rsid w:val="00B85EC1"/>
    <w:rsid w:val="00B93A28"/>
    <w:rsid w:val="00B94493"/>
    <w:rsid w:val="00B94717"/>
    <w:rsid w:val="00BA167E"/>
    <w:rsid w:val="00BA306B"/>
    <w:rsid w:val="00BA6847"/>
    <w:rsid w:val="00BB095E"/>
    <w:rsid w:val="00BB1A7C"/>
    <w:rsid w:val="00BB2087"/>
    <w:rsid w:val="00BB7B51"/>
    <w:rsid w:val="00BC67DB"/>
    <w:rsid w:val="00BD19B6"/>
    <w:rsid w:val="00BD3B96"/>
    <w:rsid w:val="00BE295C"/>
    <w:rsid w:val="00BE356E"/>
    <w:rsid w:val="00BE4008"/>
    <w:rsid w:val="00BE4CA6"/>
    <w:rsid w:val="00BF41B6"/>
    <w:rsid w:val="00BF6DCC"/>
    <w:rsid w:val="00BF7750"/>
    <w:rsid w:val="00C001FC"/>
    <w:rsid w:val="00C047D9"/>
    <w:rsid w:val="00C103B9"/>
    <w:rsid w:val="00C20D4C"/>
    <w:rsid w:val="00C214DD"/>
    <w:rsid w:val="00C26A0A"/>
    <w:rsid w:val="00C3139C"/>
    <w:rsid w:val="00C326E4"/>
    <w:rsid w:val="00C4022C"/>
    <w:rsid w:val="00C44B5B"/>
    <w:rsid w:val="00C463D5"/>
    <w:rsid w:val="00C47D97"/>
    <w:rsid w:val="00C513B4"/>
    <w:rsid w:val="00C55671"/>
    <w:rsid w:val="00C56741"/>
    <w:rsid w:val="00C571D1"/>
    <w:rsid w:val="00C57FA9"/>
    <w:rsid w:val="00C61DC9"/>
    <w:rsid w:val="00C626A1"/>
    <w:rsid w:val="00C6471F"/>
    <w:rsid w:val="00C6703F"/>
    <w:rsid w:val="00C6778C"/>
    <w:rsid w:val="00C73432"/>
    <w:rsid w:val="00C81D32"/>
    <w:rsid w:val="00C82242"/>
    <w:rsid w:val="00C83867"/>
    <w:rsid w:val="00C856C9"/>
    <w:rsid w:val="00C863BC"/>
    <w:rsid w:val="00C90500"/>
    <w:rsid w:val="00C90901"/>
    <w:rsid w:val="00C93586"/>
    <w:rsid w:val="00C96E92"/>
    <w:rsid w:val="00C97005"/>
    <w:rsid w:val="00C97411"/>
    <w:rsid w:val="00C97781"/>
    <w:rsid w:val="00CB22E2"/>
    <w:rsid w:val="00CB7508"/>
    <w:rsid w:val="00CD0A0B"/>
    <w:rsid w:val="00CD0ED3"/>
    <w:rsid w:val="00CD1EF6"/>
    <w:rsid w:val="00CD3FDA"/>
    <w:rsid w:val="00CD49B1"/>
    <w:rsid w:val="00CD5504"/>
    <w:rsid w:val="00CD75F5"/>
    <w:rsid w:val="00CD7CD9"/>
    <w:rsid w:val="00CE1C24"/>
    <w:rsid w:val="00CE1FA7"/>
    <w:rsid w:val="00CE4765"/>
    <w:rsid w:val="00CE4CD7"/>
    <w:rsid w:val="00CE619E"/>
    <w:rsid w:val="00CE6216"/>
    <w:rsid w:val="00CF0DC8"/>
    <w:rsid w:val="00CF4AC9"/>
    <w:rsid w:val="00CF6A09"/>
    <w:rsid w:val="00CF71DD"/>
    <w:rsid w:val="00D027A9"/>
    <w:rsid w:val="00D1357E"/>
    <w:rsid w:val="00D13F15"/>
    <w:rsid w:val="00D140DB"/>
    <w:rsid w:val="00D17848"/>
    <w:rsid w:val="00D2672A"/>
    <w:rsid w:val="00D30DEE"/>
    <w:rsid w:val="00D32EA9"/>
    <w:rsid w:val="00D32F37"/>
    <w:rsid w:val="00D360A6"/>
    <w:rsid w:val="00D443FC"/>
    <w:rsid w:val="00D46B3C"/>
    <w:rsid w:val="00D4730B"/>
    <w:rsid w:val="00D562AD"/>
    <w:rsid w:val="00D6356B"/>
    <w:rsid w:val="00D65FFD"/>
    <w:rsid w:val="00D66A30"/>
    <w:rsid w:val="00D73E73"/>
    <w:rsid w:val="00D761A2"/>
    <w:rsid w:val="00D83EA8"/>
    <w:rsid w:val="00D8442B"/>
    <w:rsid w:val="00D84927"/>
    <w:rsid w:val="00D84E6E"/>
    <w:rsid w:val="00D86657"/>
    <w:rsid w:val="00D86EC1"/>
    <w:rsid w:val="00D878AE"/>
    <w:rsid w:val="00D9238E"/>
    <w:rsid w:val="00D95DAE"/>
    <w:rsid w:val="00D975EE"/>
    <w:rsid w:val="00DB064D"/>
    <w:rsid w:val="00DB62C5"/>
    <w:rsid w:val="00DB6F99"/>
    <w:rsid w:val="00DC3CFF"/>
    <w:rsid w:val="00DD5EB3"/>
    <w:rsid w:val="00DE1E1A"/>
    <w:rsid w:val="00DE2D23"/>
    <w:rsid w:val="00DE6864"/>
    <w:rsid w:val="00DE68CF"/>
    <w:rsid w:val="00DF22D7"/>
    <w:rsid w:val="00DF45CA"/>
    <w:rsid w:val="00DF76DD"/>
    <w:rsid w:val="00E0323E"/>
    <w:rsid w:val="00E06387"/>
    <w:rsid w:val="00E1049D"/>
    <w:rsid w:val="00E129BF"/>
    <w:rsid w:val="00E1333B"/>
    <w:rsid w:val="00E15798"/>
    <w:rsid w:val="00E170D6"/>
    <w:rsid w:val="00E22292"/>
    <w:rsid w:val="00E2509F"/>
    <w:rsid w:val="00E2744D"/>
    <w:rsid w:val="00E2752A"/>
    <w:rsid w:val="00E3083F"/>
    <w:rsid w:val="00E31573"/>
    <w:rsid w:val="00E3700D"/>
    <w:rsid w:val="00E409DC"/>
    <w:rsid w:val="00E41F02"/>
    <w:rsid w:val="00E47D17"/>
    <w:rsid w:val="00E5529E"/>
    <w:rsid w:val="00E5544E"/>
    <w:rsid w:val="00E5589A"/>
    <w:rsid w:val="00E56FBC"/>
    <w:rsid w:val="00E60488"/>
    <w:rsid w:val="00E608CA"/>
    <w:rsid w:val="00E63361"/>
    <w:rsid w:val="00E6405D"/>
    <w:rsid w:val="00E70921"/>
    <w:rsid w:val="00E72D69"/>
    <w:rsid w:val="00E81E6C"/>
    <w:rsid w:val="00E86888"/>
    <w:rsid w:val="00E90EC6"/>
    <w:rsid w:val="00E91F84"/>
    <w:rsid w:val="00E93A0F"/>
    <w:rsid w:val="00EA2F76"/>
    <w:rsid w:val="00EB25DE"/>
    <w:rsid w:val="00EB3C6F"/>
    <w:rsid w:val="00EB441B"/>
    <w:rsid w:val="00EB66C8"/>
    <w:rsid w:val="00EB6F85"/>
    <w:rsid w:val="00EB7787"/>
    <w:rsid w:val="00EC0460"/>
    <w:rsid w:val="00EC2556"/>
    <w:rsid w:val="00EC5E3C"/>
    <w:rsid w:val="00ED19AA"/>
    <w:rsid w:val="00ED3AE4"/>
    <w:rsid w:val="00ED6246"/>
    <w:rsid w:val="00EE2C6F"/>
    <w:rsid w:val="00EE437F"/>
    <w:rsid w:val="00EE6E54"/>
    <w:rsid w:val="00EE7940"/>
    <w:rsid w:val="00EF0EC4"/>
    <w:rsid w:val="00EF0F4F"/>
    <w:rsid w:val="00EF1F76"/>
    <w:rsid w:val="00EF6410"/>
    <w:rsid w:val="00EF6D89"/>
    <w:rsid w:val="00F00015"/>
    <w:rsid w:val="00F03FD6"/>
    <w:rsid w:val="00F06B34"/>
    <w:rsid w:val="00F06D90"/>
    <w:rsid w:val="00F235B3"/>
    <w:rsid w:val="00F25B4C"/>
    <w:rsid w:val="00F27418"/>
    <w:rsid w:val="00F336AD"/>
    <w:rsid w:val="00F35DC6"/>
    <w:rsid w:val="00F478C7"/>
    <w:rsid w:val="00F52483"/>
    <w:rsid w:val="00F52CBD"/>
    <w:rsid w:val="00F53C1D"/>
    <w:rsid w:val="00F53ED2"/>
    <w:rsid w:val="00F57A4A"/>
    <w:rsid w:val="00F61134"/>
    <w:rsid w:val="00F61524"/>
    <w:rsid w:val="00F66E67"/>
    <w:rsid w:val="00F83577"/>
    <w:rsid w:val="00F87284"/>
    <w:rsid w:val="00F9796C"/>
    <w:rsid w:val="00FA2332"/>
    <w:rsid w:val="00FA33AC"/>
    <w:rsid w:val="00FA6381"/>
    <w:rsid w:val="00FA7030"/>
    <w:rsid w:val="00FB1315"/>
    <w:rsid w:val="00FB24E5"/>
    <w:rsid w:val="00FB7657"/>
    <w:rsid w:val="00FD466C"/>
    <w:rsid w:val="00FD7B79"/>
    <w:rsid w:val="00FE13A9"/>
    <w:rsid w:val="00FE6DEF"/>
    <w:rsid w:val="00FF1672"/>
    <w:rsid w:val="00FF3CD5"/>
    <w:rsid w:val="00FF3E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semiHidden/>
    <w:rsid w:val="00A2299B"/>
    <w:pPr>
      <w:tabs>
        <w:tab w:val="center" w:pos="4513"/>
        <w:tab w:val="right" w:pos="9026"/>
      </w:tabs>
    </w:pPr>
  </w:style>
  <w:style w:type="character" w:customStyle="1" w:styleId="FooterChar">
    <w:name w:val="Footer Char"/>
    <w:basedOn w:val="DefaultParagraphFont"/>
    <w:link w:val="Footer"/>
    <w:uiPriority w:val="99"/>
    <w:semiHidden/>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customStyle="1" w:styleId="Default">
    <w:name w:val="Default"/>
    <w:rsid w:val="00C81D32"/>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517F2B"/>
    <w:rPr>
      <w:rFonts w:ascii="Times New Roman" w:eastAsia="Times New Roman" w:hAnsi="Times New Roman"/>
      <w:sz w:val="24"/>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semiHidden/>
    <w:rsid w:val="00A2299B"/>
    <w:pPr>
      <w:tabs>
        <w:tab w:val="center" w:pos="4513"/>
        <w:tab w:val="right" w:pos="9026"/>
      </w:tabs>
    </w:pPr>
  </w:style>
  <w:style w:type="character" w:customStyle="1" w:styleId="FooterChar">
    <w:name w:val="Footer Char"/>
    <w:basedOn w:val="DefaultParagraphFont"/>
    <w:link w:val="Footer"/>
    <w:uiPriority w:val="99"/>
    <w:semiHidden/>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customStyle="1" w:styleId="Default">
    <w:name w:val="Default"/>
    <w:rsid w:val="00C81D32"/>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517F2B"/>
    <w:rPr>
      <w:rFonts w:ascii="Times New Roman" w:eastAsia="Times New Roman" w:hAnsi="Times New Roman"/>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18FF1-D6FD-49B7-A8A0-93249DA61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3118</Words>
  <Characters>17778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TGA</Company>
  <LinksUpToDate>false</LinksUpToDate>
  <CharactersWithSpaces>20855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banchj</dc:creator>
  <cp:lastModifiedBy>Hilhorst, Matt</cp:lastModifiedBy>
  <cp:revision>2</cp:revision>
  <cp:lastPrinted>2013-07-23T04:19:00Z</cp:lastPrinted>
  <dcterms:created xsi:type="dcterms:W3CDTF">2013-08-05T04:13:00Z</dcterms:created>
  <dcterms:modified xsi:type="dcterms:W3CDTF">2013-08-05T04:13:00Z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